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7"/>
          <w:szCs w:val="17"/>
          <w:b w:val="1"/>
          <w:bCs w:val="1"/>
          <w:color w:val="auto"/>
        </w:rPr>
        <w:t>UNITED STATES</w:t>
      </w:r>
    </w:p>
    <w:p>
      <w:pPr>
        <w:spacing w:after="0" w:line="78" w:lineRule="exact"/>
        <w:rPr>
          <w:sz w:val="24"/>
          <w:szCs w:val="24"/>
          <w:color w:val="auto"/>
        </w:rPr>
      </w:pPr>
    </w:p>
    <w:p>
      <w:pPr>
        <w:jc w:val="center"/>
        <w:ind w:right="-1080"/>
        <w:spacing w:after="0"/>
        <w:rPr>
          <w:sz w:val="20"/>
          <w:szCs w:val="20"/>
          <w:color w:val="auto"/>
        </w:rPr>
      </w:pPr>
      <w:r>
        <w:rPr>
          <w:rFonts w:ascii="Arial" w:cs="Arial" w:eastAsia="Arial" w:hAnsi="Arial"/>
          <w:sz w:val="17"/>
          <w:szCs w:val="17"/>
          <w:b w:val="1"/>
          <w:bCs w:val="1"/>
          <w:color w:val="auto"/>
        </w:rPr>
        <w:t>SECURITIES AND EXCHANGE COMMISSION</w:t>
      </w:r>
    </w:p>
    <w:p>
      <w:pPr>
        <w:spacing w:after="0" w:line="78"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Washington, DC 20549</w:t>
      </w:r>
    </w:p>
    <w:p>
      <w:pPr>
        <w:spacing w:after="0" w:line="164" w:lineRule="exact"/>
        <w:rPr>
          <w:sz w:val="24"/>
          <w:szCs w:val="24"/>
          <w:color w:val="auto"/>
        </w:rPr>
      </w:pPr>
    </w:p>
    <w:p>
      <w:pPr>
        <w:jc w:val="center"/>
        <w:ind w:right="-1080"/>
        <w:spacing w:after="0"/>
        <w:rPr>
          <w:sz w:val="20"/>
          <w:szCs w:val="20"/>
          <w:color w:val="auto"/>
        </w:rPr>
      </w:pPr>
      <w:r>
        <w:rPr>
          <w:rFonts w:ascii="Arial" w:cs="Arial" w:eastAsia="Arial" w:hAnsi="Arial"/>
          <w:sz w:val="26"/>
          <w:szCs w:val="26"/>
          <w:b w:val="1"/>
          <w:bCs w:val="1"/>
          <w:color w:val="auto"/>
        </w:rPr>
        <w:t>SCHEDULE 14A</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7"/>
          <w:szCs w:val="17"/>
          <w:b w:val="1"/>
          <w:bCs w:val="1"/>
          <w:color w:val="auto"/>
        </w:rPr>
        <w:t>PROXY STATEMENT PURSUANT TO SECTION 14(a)</w:t>
      </w:r>
    </w:p>
    <w:p>
      <w:pPr>
        <w:jc w:val="center"/>
        <w:ind w:right="-1080"/>
        <w:spacing w:after="0" w:line="236" w:lineRule="auto"/>
        <w:rPr>
          <w:sz w:val="20"/>
          <w:szCs w:val="20"/>
          <w:color w:val="auto"/>
        </w:rPr>
      </w:pPr>
      <w:r>
        <w:rPr>
          <w:rFonts w:ascii="Arial" w:cs="Arial" w:eastAsia="Arial" w:hAnsi="Arial"/>
          <w:sz w:val="17"/>
          <w:szCs w:val="17"/>
          <w:b w:val="1"/>
          <w:bCs w:val="1"/>
          <w:color w:val="auto"/>
        </w:rPr>
        <w:t>OF THE SECURITIES EXCHANGE ACT OF 1934</w:t>
      </w:r>
    </w:p>
    <w:p>
      <w:pPr>
        <w:spacing w:after="0" w:line="1" w:lineRule="exact"/>
        <w:rPr>
          <w:sz w:val="24"/>
          <w:szCs w:val="24"/>
          <w:color w:val="auto"/>
        </w:rPr>
      </w:pPr>
    </w:p>
    <w:p>
      <w:pPr>
        <w:jc w:val="center"/>
        <w:ind w:right="-1060"/>
        <w:spacing w:after="0"/>
        <w:tabs>
          <w:tab w:leader="none" w:pos="220" w:val="left"/>
        </w:tabs>
        <w:rPr>
          <w:sz w:val="20"/>
          <w:szCs w:val="20"/>
          <w:color w:val="auto"/>
        </w:rPr>
      </w:pPr>
      <w:r>
        <w:rPr>
          <w:rFonts w:ascii="Arial" w:cs="Arial" w:eastAsia="Arial" w:hAnsi="Arial"/>
          <w:sz w:val="17"/>
          <w:szCs w:val="17"/>
          <w:b w:val="1"/>
          <w:bCs w:val="1"/>
          <w:color w:val="auto"/>
        </w:rPr>
        <w:t>(Amendment No.</w:t>
      </w:r>
      <w:r>
        <w:rPr>
          <w:sz w:val="20"/>
          <w:szCs w:val="20"/>
          <w:color w:val="auto"/>
        </w:rPr>
        <w:tab/>
      </w:r>
      <w:r>
        <w:rPr>
          <w:rFonts w:ascii="Arial" w:cs="Arial" w:eastAsia="Arial" w:hAnsi="Arial"/>
          <w:sz w:val="12"/>
          <w:szCs w:val="1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817880</wp:posOffset>
            </wp:positionH>
            <wp:positionV relativeFrom="paragraph">
              <wp:posOffset>113030</wp:posOffset>
            </wp:positionV>
            <wp:extent cx="196850"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6850" cy="196850"/>
                    </a:xfrm>
                    <a:prstGeom prst="rect">
                      <a:avLst/>
                    </a:prstGeom>
                    <a:noFill/>
                  </pic:spPr>
                </pic:pic>
              </a:graphicData>
            </a:graphic>
          </wp:anchor>
        </w:drawing>
      </w:r>
    </w:p>
    <w:p>
      <w:pPr>
        <w:spacing w:after="0" w:line="137" w:lineRule="exact"/>
        <w:rPr>
          <w:sz w:val="24"/>
          <w:szCs w:val="24"/>
          <w:color w:val="auto"/>
        </w:rPr>
      </w:pPr>
    </w:p>
    <w:p>
      <w:pPr>
        <w:jc w:val="right"/>
        <w:ind w:right="639"/>
        <w:spacing w:after="0"/>
        <w:rPr>
          <w:sz w:val="20"/>
          <w:szCs w:val="20"/>
          <w:color w:val="auto"/>
        </w:rPr>
      </w:pPr>
      <w:r>
        <w:rPr>
          <w:rFonts w:ascii="Arial" w:cs="Arial" w:eastAsia="Arial" w:hAnsi="Arial"/>
          <w:sz w:val="17"/>
          <w:szCs w:val="17"/>
          <w:color w:val="auto"/>
        </w:rPr>
        <w:t xml:space="preserve">Filed by the Registrant                              </w:t>
      </w:r>
      <w:r>
        <w:rPr>
          <w:sz w:val="1"/>
          <w:szCs w:val="1"/>
          <w:color w:val="auto"/>
        </w:rPr>
        <w:drawing>
          <wp:inline distT="0" distB="0" distL="0" distR="0">
            <wp:extent cx="196850" cy="196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6850" cy="196850"/>
                    </a:xfrm>
                    <a:prstGeom prst="rect">
                      <a:avLst/>
                    </a:prstGeom>
                    <a:noFill/>
                    <a:ln>
                      <a:noFill/>
                    </a:ln>
                  </pic:spPr>
                </pic:pic>
              </a:graphicData>
            </a:graphic>
          </wp:inline>
        </w:drawing>
      </w:r>
      <w:r>
        <w:rPr>
          <w:rFonts w:ascii="Arial" w:cs="Arial" w:eastAsia="Arial" w:hAnsi="Arial"/>
          <w:sz w:val="17"/>
          <w:szCs w:val="17"/>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108585</wp:posOffset>
            </wp:positionV>
            <wp:extent cx="7143115" cy="1324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115" cy="1324610"/>
                    </a:xfrm>
                    <a:prstGeom prst="rect">
                      <a:avLst/>
                    </a:prstGeom>
                    <a:noFill/>
                  </pic:spPr>
                </pic:pic>
              </a:graphicData>
            </a:graphic>
          </wp:anchor>
        </w:drawing>
      </w:r>
    </w:p>
    <w:p>
      <w:pPr>
        <w:spacing w:after="0" w:line="16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Check the appropriate box:</w:t>
      </w:r>
    </w:p>
    <w:p>
      <w:pPr>
        <w:spacing w:after="0" w:line="177" w:lineRule="exact"/>
        <w:rPr>
          <w:sz w:val="24"/>
          <w:szCs w:val="24"/>
          <w:color w:val="auto"/>
        </w:rPr>
      </w:pPr>
    </w:p>
    <w:p>
      <w:pPr>
        <w:ind w:left="580"/>
        <w:spacing w:after="0"/>
        <w:rPr>
          <w:sz w:val="20"/>
          <w:szCs w:val="20"/>
          <w:color w:val="auto"/>
        </w:rPr>
      </w:pPr>
      <w:r>
        <w:rPr>
          <w:rFonts w:ascii="Arial" w:cs="Arial" w:eastAsia="Arial" w:hAnsi="Arial"/>
          <w:sz w:val="17"/>
          <w:szCs w:val="17"/>
          <w:color w:val="auto"/>
        </w:rPr>
        <w:t>Preliminary Proxy Statement</w:t>
      </w:r>
    </w:p>
    <w:p>
      <w:pPr>
        <w:spacing w:after="0" w:line="165" w:lineRule="exact"/>
        <w:rPr>
          <w:sz w:val="24"/>
          <w:szCs w:val="24"/>
          <w:color w:val="auto"/>
        </w:rPr>
      </w:pPr>
    </w:p>
    <w:p>
      <w:pPr>
        <w:ind w:left="580"/>
        <w:spacing w:after="0"/>
        <w:rPr>
          <w:sz w:val="20"/>
          <w:szCs w:val="20"/>
          <w:color w:val="auto"/>
        </w:rPr>
      </w:pPr>
      <w:r>
        <w:rPr>
          <w:rFonts w:ascii="Arial" w:cs="Arial" w:eastAsia="Arial" w:hAnsi="Arial"/>
          <w:sz w:val="17"/>
          <w:szCs w:val="17"/>
          <w:b w:val="1"/>
          <w:bCs w:val="1"/>
          <w:color w:val="auto"/>
        </w:rPr>
        <w:t>Confidential, for Use of the Commission Only (as permitted by Rule 14A-6(E)(2))</w:t>
      </w:r>
    </w:p>
    <w:p>
      <w:pPr>
        <w:spacing w:after="0" w:line="165" w:lineRule="exact"/>
        <w:rPr>
          <w:sz w:val="24"/>
          <w:szCs w:val="24"/>
          <w:color w:val="auto"/>
        </w:rPr>
      </w:pPr>
    </w:p>
    <w:p>
      <w:pPr>
        <w:ind w:left="580"/>
        <w:spacing w:after="0"/>
        <w:rPr>
          <w:sz w:val="20"/>
          <w:szCs w:val="20"/>
          <w:color w:val="auto"/>
        </w:rPr>
      </w:pPr>
      <w:r>
        <w:rPr>
          <w:rFonts w:ascii="Arial" w:cs="Arial" w:eastAsia="Arial" w:hAnsi="Arial"/>
          <w:sz w:val="17"/>
          <w:szCs w:val="17"/>
          <w:color w:val="auto"/>
        </w:rPr>
        <w:t>Definitive Proxy Statement</w:t>
      </w:r>
    </w:p>
    <w:p>
      <w:pPr>
        <w:spacing w:after="0" w:line="165" w:lineRule="exact"/>
        <w:rPr>
          <w:sz w:val="24"/>
          <w:szCs w:val="24"/>
          <w:color w:val="auto"/>
        </w:rPr>
      </w:pPr>
    </w:p>
    <w:p>
      <w:pPr>
        <w:ind w:left="580"/>
        <w:spacing w:after="0"/>
        <w:rPr>
          <w:sz w:val="20"/>
          <w:szCs w:val="20"/>
          <w:color w:val="auto"/>
        </w:rPr>
      </w:pPr>
      <w:r>
        <w:rPr>
          <w:rFonts w:ascii="Arial" w:cs="Arial" w:eastAsia="Arial" w:hAnsi="Arial"/>
          <w:sz w:val="17"/>
          <w:szCs w:val="17"/>
          <w:color w:val="auto"/>
        </w:rPr>
        <w:t>Definitive Additional Materials</w:t>
      </w:r>
    </w:p>
    <w:p>
      <w:pPr>
        <w:spacing w:after="0" w:line="165" w:lineRule="exact"/>
        <w:rPr>
          <w:sz w:val="24"/>
          <w:szCs w:val="24"/>
          <w:color w:val="auto"/>
        </w:rPr>
      </w:pPr>
    </w:p>
    <w:p>
      <w:pPr>
        <w:ind w:left="580"/>
        <w:spacing w:after="0"/>
        <w:rPr>
          <w:sz w:val="20"/>
          <w:szCs w:val="20"/>
          <w:color w:val="auto"/>
        </w:rPr>
      </w:pPr>
      <w:r>
        <w:rPr>
          <w:rFonts w:ascii="Arial" w:cs="Arial" w:eastAsia="Arial" w:hAnsi="Arial"/>
          <w:sz w:val="17"/>
          <w:szCs w:val="17"/>
          <w:color w:val="auto"/>
        </w:rPr>
        <w:t>Soliciting Material under §240.14a-12</w:t>
      </w:r>
    </w:p>
    <w:p>
      <w:pPr>
        <w:spacing w:after="0" w:line="189" w:lineRule="exact"/>
        <w:rPr>
          <w:sz w:val="24"/>
          <w:szCs w:val="24"/>
          <w:color w:val="auto"/>
        </w:rPr>
      </w:pPr>
    </w:p>
    <w:p>
      <w:pPr>
        <w:ind w:left="3840"/>
        <w:spacing w:after="0"/>
        <w:rPr>
          <w:sz w:val="20"/>
          <w:szCs w:val="20"/>
          <w:color w:val="auto"/>
        </w:rPr>
      </w:pPr>
      <w:r>
        <w:rPr>
          <w:rFonts w:ascii="Arial" w:cs="Arial" w:eastAsia="Arial" w:hAnsi="Arial"/>
          <w:sz w:val="26"/>
          <w:szCs w:val="26"/>
          <w:b w:val="1"/>
          <w:bCs w:val="1"/>
          <w:color w:val="auto"/>
        </w:rPr>
        <w:t>Mondelēz International. Inc.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080"/>
        <w:spacing w:after="0"/>
        <w:rPr>
          <w:sz w:val="20"/>
          <w:szCs w:val="20"/>
          <w:color w:val="auto"/>
        </w:rPr>
      </w:pPr>
      <w:r>
        <w:rPr>
          <w:rFonts w:ascii="Arial" w:cs="Arial" w:eastAsia="Arial" w:hAnsi="Arial"/>
          <w:sz w:val="17"/>
          <w:szCs w:val="17"/>
          <w:i w:val="1"/>
          <w:iCs w:val="1"/>
          <w:color w:val="auto"/>
        </w:rPr>
        <w:t>(Name of Registrant as Specified in Its Charter)</w:t>
      </w:r>
    </w:p>
    <w:p>
      <w:pPr>
        <w:spacing w:after="0" w:line="177" w:lineRule="exact"/>
        <w:rPr>
          <w:sz w:val="24"/>
          <w:szCs w:val="24"/>
          <w:color w:val="auto"/>
        </w:rPr>
      </w:pPr>
    </w:p>
    <w:p>
      <w:pPr>
        <w:jc w:val="center"/>
        <w:ind w:right="-1080"/>
        <w:spacing w:after="0"/>
        <w:rPr>
          <w:sz w:val="20"/>
          <w:szCs w:val="20"/>
          <w:color w:val="auto"/>
        </w:rPr>
      </w:pPr>
      <w:r>
        <w:rPr>
          <w:rFonts w:ascii="Arial" w:cs="Arial" w:eastAsia="Arial" w:hAnsi="Arial"/>
          <w:sz w:val="17"/>
          <w:szCs w:val="17"/>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43180</wp:posOffset>
            </wp:positionV>
            <wp:extent cx="7143115" cy="867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115" cy="867410"/>
                    </a:xfrm>
                    <a:prstGeom prst="rect">
                      <a:avLst/>
                    </a:prstGeom>
                    <a:noFill/>
                  </pic:spPr>
                </pic:pic>
              </a:graphicData>
            </a:graphic>
          </wp:anchor>
        </w:drawing>
      </w:r>
    </w:p>
    <w:p>
      <w:pPr>
        <w:spacing w:after="0" w:line="59"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Payment of Filing Fee (Check all boxes that apply):</w:t>
      </w:r>
    </w:p>
    <w:p>
      <w:pPr>
        <w:spacing w:after="0" w:line="177" w:lineRule="exact"/>
        <w:rPr>
          <w:sz w:val="24"/>
          <w:szCs w:val="24"/>
          <w:color w:val="auto"/>
        </w:rPr>
      </w:pPr>
    </w:p>
    <w:p>
      <w:pPr>
        <w:ind w:left="620"/>
        <w:spacing w:after="0"/>
        <w:rPr>
          <w:sz w:val="20"/>
          <w:szCs w:val="20"/>
          <w:color w:val="auto"/>
        </w:rPr>
      </w:pPr>
      <w:r>
        <w:rPr>
          <w:rFonts w:ascii="Arial" w:cs="Arial" w:eastAsia="Arial" w:hAnsi="Arial"/>
          <w:sz w:val="17"/>
          <w:szCs w:val="17"/>
          <w:b w:val="1"/>
          <w:bCs w:val="1"/>
          <w:color w:val="auto"/>
        </w:rPr>
        <w:t>No fee required.</w:t>
      </w:r>
    </w:p>
    <w:p>
      <w:pPr>
        <w:spacing w:after="0" w:line="165" w:lineRule="exact"/>
        <w:rPr>
          <w:sz w:val="24"/>
          <w:szCs w:val="24"/>
          <w:color w:val="auto"/>
        </w:rPr>
      </w:pPr>
    </w:p>
    <w:p>
      <w:pPr>
        <w:ind w:left="620"/>
        <w:spacing w:after="0"/>
        <w:rPr>
          <w:sz w:val="20"/>
          <w:szCs w:val="20"/>
          <w:color w:val="auto"/>
        </w:rPr>
      </w:pPr>
      <w:r>
        <w:rPr>
          <w:rFonts w:ascii="Arial" w:cs="Arial" w:eastAsia="Arial" w:hAnsi="Arial"/>
          <w:sz w:val="17"/>
          <w:szCs w:val="17"/>
          <w:b w:val="1"/>
          <w:bCs w:val="1"/>
          <w:color w:val="auto"/>
        </w:rPr>
        <w:t>Fee paid previously with preliminary materials.</w:t>
      </w:r>
    </w:p>
    <w:p>
      <w:pPr>
        <w:spacing w:after="0" w:line="165" w:lineRule="exact"/>
        <w:rPr>
          <w:sz w:val="24"/>
          <w:szCs w:val="24"/>
          <w:color w:val="auto"/>
        </w:rPr>
      </w:pPr>
    </w:p>
    <w:p>
      <w:pPr>
        <w:ind w:left="620"/>
        <w:spacing w:after="0"/>
        <w:rPr>
          <w:sz w:val="20"/>
          <w:szCs w:val="20"/>
          <w:color w:val="auto"/>
        </w:rPr>
      </w:pPr>
      <w:r>
        <w:rPr>
          <w:rFonts w:ascii="Arial" w:cs="Arial" w:eastAsia="Arial" w:hAnsi="Arial"/>
          <w:sz w:val="17"/>
          <w:szCs w:val="17"/>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83820</wp:posOffset>
            </wp:positionV>
            <wp:extent cx="714311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099"/>
          </w:cols>
          <w:pgMar w:left="360" w:top="222"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8091805</wp:posOffset>
            </wp:positionV>
            <wp:extent cx="714311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115" cy="8183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115" cy="8183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left="988" w:right="3260"/>
        <w:spacing w:after="0" w:line="291" w:lineRule="auto"/>
        <w:rPr>
          <w:sz w:val="20"/>
          <w:szCs w:val="20"/>
          <w:color w:val="auto"/>
        </w:rPr>
      </w:pPr>
      <w:r>
        <w:rPr>
          <w:rFonts w:ascii="Arial" w:cs="Arial" w:eastAsia="Arial" w:hAnsi="Arial"/>
          <w:sz w:val="43"/>
          <w:szCs w:val="43"/>
          <w:b w:val="1"/>
          <w:bCs w:val="1"/>
          <w:color w:val="582C83"/>
        </w:rPr>
        <w:drawing>
          <wp:anchor simplePos="0" relativeHeight="251657728" behindDoc="1" locked="0" layoutInCell="0" allowOverlap="1">
            <wp:simplePos x="0" y="0"/>
            <wp:positionH relativeFrom="page">
              <wp:posOffset>628650</wp:posOffset>
            </wp:positionH>
            <wp:positionV relativeFrom="page">
              <wp:posOffset>96520</wp:posOffset>
            </wp:positionV>
            <wp:extent cx="6307455" cy="1545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t>LETTER FROM OUR CHAIRMAN AND CHIEF EXECUTIVE OFFICER</w:t>
      </w:r>
    </w:p>
    <w:p>
      <w:pPr>
        <w:sectPr>
          <w:pgSz w:w="11900" w:h="16838" w:orient="portrait"/>
          <w:cols w:equalWidth="0" w:num="1">
            <w:col w:w="11228"/>
          </w:cols>
          <w:pgMar w:left="332" w:top="5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8"/>
        <w:spacing w:after="0"/>
        <w:rPr>
          <w:sz w:val="20"/>
          <w:szCs w:val="20"/>
          <w:color w:val="auto"/>
        </w:rPr>
      </w:pPr>
      <w:r>
        <w:rPr>
          <w:rFonts w:ascii="Arial" w:cs="Arial" w:eastAsia="Arial" w:hAnsi="Arial"/>
          <w:sz w:val="20"/>
          <w:szCs w:val="20"/>
          <w:b w:val="1"/>
          <w:bCs w:val="1"/>
          <w:color w:val="582C83"/>
        </w:rPr>
        <w:t>April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52070</wp:posOffset>
            </wp:positionV>
            <wp:extent cx="2010410" cy="1640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10410" cy="164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868"/>
        <w:spacing w:after="0"/>
        <w:rPr>
          <w:sz w:val="20"/>
          <w:szCs w:val="20"/>
          <w:color w:val="auto"/>
        </w:rPr>
      </w:pPr>
      <w:r>
        <w:rPr>
          <w:rFonts w:ascii="Arial" w:cs="Arial" w:eastAsia="Arial" w:hAnsi="Arial"/>
          <w:sz w:val="20"/>
          <w:szCs w:val="20"/>
          <w:b w:val="1"/>
          <w:bCs w:val="1"/>
          <w:color w:val="auto"/>
        </w:rPr>
        <w:t>Dirk Van de Put</w:t>
      </w:r>
    </w:p>
    <w:p>
      <w:pPr>
        <w:spacing w:after="0" w:line="14" w:lineRule="exact"/>
        <w:rPr>
          <w:sz w:val="20"/>
          <w:szCs w:val="20"/>
          <w:color w:val="auto"/>
        </w:rPr>
      </w:pPr>
    </w:p>
    <w:p>
      <w:pPr>
        <w:ind w:left="868"/>
        <w:spacing w:after="0"/>
        <w:rPr>
          <w:sz w:val="20"/>
          <w:szCs w:val="20"/>
          <w:color w:val="auto"/>
        </w:rPr>
      </w:pPr>
      <w:r>
        <w:rPr>
          <w:rFonts w:ascii="Arial" w:cs="Arial" w:eastAsia="Arial" w:hAnsi="Arial"/>
          <w:sz w:val="20"/>
          <w:szCs w:val="20"/>
          <w:i w:val="1"/>
          <w:iCs w:val="1"/>
          <w:color w:val="auto"/>
        </w:rPr>
        <w:t>Chairman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677545</wp:posOffset>
            </wp:positionV>
            <wp:extent cx="2010410" cy="2475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10410" cy="247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48"/>
        <w:spacing w:after="0" w:line="249" w:lineRule="auto"/>
        <w:rPr>
          <w:sz w:val="20"/>
          <w:szCs w:val="20"/>
          <w:color w:val="auto"/>
        </w:rPr>
      </w:pPr>
      <w:r>
        <w:rPr>
          <w:rFonts w:ascii="Arial" w:cs="Arial" w:eastAsia="Arial" w:hAnsi="Arial"/>
          <w:sz w:val="18"/>
          <w:szCs w:val="18"/>
          <w:b w:val="1"/>
          <w:bCs w:val="1"/>
          <w:color w:val="582C83"/>
        </w:rPr>
        <w:t xml:space="preserve">“By continuing to double down on the attractive chocolate, biscuits and baked snacks categories; investing in our widely loved brands; focusing on operational execution and cost discipline; empowering our great people and driving our </w:t>
      </w:r>
      <w:r>
        <w:rPr>
          <w:rFonts w:ascii="Arial" w:cs="Arial" w:eastAsia="Arial" w:hAnsi="Arial"/>
          <w:sz w:val="18"/>
          <w:szCs w:val="18"/>
          <w:b w:val="1"/>
          <w:bCs w:val="1"/>
          <w:i w:val="1"/>
          <w:iCs w:val="1"/>
          <w:color w:val="582C83"/>
        </w:rPr>
        <w:t>Sustainability</w:t>
      </w:r>
      <w:r>
        <w:rPr>
          <w:rFonts w:ascii="Arial" w:cs="Arial" w:eastAsia="Arial" w:hAnsi="Arial"/>
          <w:sz w:val="18"/>
          <w:szCs w:val="18"/>
          <w:b w:val="1"/>
          <w:bCs w:val="1"/>
          <w:color w:val="582C83"/>
        </w:rPr>
        <w:t xml:space="preserve"> strategy, I am confident that we can deliver strong performance for years to 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
        <w:spacing w:after="0"/>
        <w:rPr>
          <w:sz w:val="20"/>
          <w:szCs w:val="20"/>
          <w:color w:val="auto"/>
        </w:rPr>
      </w:pPr>
      <w:r>
        <w:rPr>
          <w:rFonts w:ascii="Arial" w:cs="Arial" w:eastAsia="Arial" w:hAnsi="Arial"/>
          <w:sz w:val="20"/>
          <w:szCs w:val="20"/>
          <w:color w:val="auto"/>
        </w:rPr>
        <w:t>Dear Fellow Shareholders,</w:t>
      </w:r>
    </w:p>
    <w:p>
      <w:pPr>
        <w:spacing w:after="0" w:line="167" w:lineRule="exact"/>
        <w:rPr>
          <w:sz w:val="20"/>
          <w:szCs w:val="20"/>
          <w:color w:val="auto"/>
        </w:rPr>
      </w:pPr>
    </w:p>
    <w:p>
      <w:pPr>
        <w:ind w:left="6" w:right="660"/>
        <w:spacing w:after="0" w:line="252" w:lineRule="auto"/>
        <w:rPr>
          <w:sz w:val="20"/>
          <w:szCs w:val="20"/>
          <w:color w:val="auto"/>
        </w:rPr>
      </w:pPr>
      <w:r>
        <w:rPr>
          <w:rFonts w:ascii="Arial" w:cs="Arial" w:eastAsia="Arial" w:hAnsi="Arial"/>
          <w:sz w:val="19"/>
          <w:szCs w:val="19"/>
          <w:color w:val="auto"/>
        </w:rPr>
        <w:t>In 2022, Mondelēz International celebrated its 10th anniversary. We marked that special occasion by delivering another year of strong growth, enabling robust free cash flow generation, while returning approximately $4 billion in capital to shareholders. Since our founding in 2012, we have delivered a total shareholder return (“TSR”) of approximately 193%,</w:t>
      </w:r>
    </w:p>
    <w:p>
      <w:pPr>
        <w:spacing w:after="0" w:line="2" w:lineRule="exact"/>
        <w:rPr>
          <w:sz w:val="20"/>
          <w:szCs w:val="20"/>
          <w:color w:val="auto"/>
        </w:rPr>
      </w:pPr>
    </w:p>
    <w:p>
      <w:pPr>
        <w:ind w:left="6" w:right="780"/>
        <w:spacing w:after="0" w:line="214" w:lineRule="auto"/>
        <w:rPr>
          <w:sz w:val="20"/>
          <w:szCs w:val="20"/>
          <w:color w:val="auto"/>
        </w:rPr>
      </w:pPr>
      <w:r>
        <w:rPr>
          <w:rFonts w:ascii="Arial" w:cs="Arial" w:eastAsia="Arial" w:hAnsi="Arial"/>
          <w:sz w:val="20"/>
          <w:szCs w:val="20"/>
          <w:color w:val="auto"/>
        </w:rPr>
        <w:t>significantly above our peer average</w:t>
      </w:r>
      <w:r>
        <w:rPr>
          <w:rFonts w:ascii="Arial" w:cs="Arial" w:eastAsia="Arial" w:hAnsi="Arial"/>
          <w:sz w:val="37"/>
          <w:szCs w:val="37"/>
          <w:color w:val="auto"/>
          <w:vertAlign w:val="superscript"/>
        </w:rPr>
        <w:t>(1)</w:t>
      </w:r>
      <w:r>
        <w:rPr>
          <w:rFonts w:ascii="Arial" w:cs="Arial" w:eastAsia="Arial" w:hAnsi="Arial"/>
          <w:sz w:val="20"/>
          <w:szCs w:val="20"/>
          <w:color w:val="auto"/>
        </w:rPr>
        <w:t>. We’re pleased but not satisfied with this strong performance throughout our first decade - and we’re confident that we can continue to deliver robust results in the years ahead. We deeply appreciate your investment in our Company and your continued support for our strategy.</w:t>
      </w:r>
    </w:p>
    <w:p>
      <w:pPr>
        <w:spacing w:after="0" w:line="135" w:lineRule="exact"/>
        <w:rPr>
          <w:sz w:val="20"/>
          <w:szCs w:val="20"/>
          <w:color w:val="auto"/>
        </w:rPr>
      </w:pPr>
    </w:p>
    <w:p>
      <w:pPr>
        <w:ind w:left="6" w:right="800"/>
        <w:spacing w:after="0" w:line="238" w:lineRule="auto"/>
        <w:rPr>
          <w:sz w:val="20"/>
          <w:szCs w:val="20"/>
          <w:color w:val="auto"/>
        </w:rPr>
      </w:pPr>
      <w:r>
        <w:rPr>
          <w:rFonts w:ascii="Arial" w:cs="Arial" w:eastAsia="Arial" w:hAnsi="Arial"/>
          <w:sz w:val="20"/>
          <w:szCs w:val="20"/>
          <w:color w:val="auto"/>
        </w:rPr>
        <w:t>When we separated from Kraft Foods more than 10 years ago, we were excited about creating a pure-play snacking company, investing in high-growth brands. After embedding a culture of cost discipline, we successfully shifted our focus to step-changing our topline growth performance with our leading brands. Now, as we enter our second decade, we have further refined our long-term strategy to accelerate growth – prioritizing our fast-growing core categories of chocolate, biscuits and baked snacks.</w:t>
      </w:r>
    </w:p>
    <w:p>
      <w:pPr>
        <w:spacing w:after="0" w:line="137" w:lineRule="exact"/>
        <w:rPr>
          <w:sz w:val="20"/>
          <w:szCs w:val="20"/>
          <w:color w:val="auto"/>
        </w:rPr>
      </w:pPr>
    </w:p>
    <w:p>
      <w:pPr>
        <w:jc w:val="both"/>
        <w:ind w:left="6" w:right="680"/>
        <w:spacing w:after="0" w:line="260" w:lineRule="auto"/>
        <w:rPr>
          <w:sz w:val="20"/>
          <w:szCs w:val="20"/>
          <w:color w:val="auto"/>
        </w:rPr>
      </w:pPr>
      <w:r>
        <w:rPr>
          <w:rFonts w:ascii="Arial" w:cs="Arial" w:eastAsia="Arial" w:hAnsi="Arial"/>
          <w:sz w:val="19"/>
          <w:szCs w:val="19"/>
          <w:color w:val="auto"/>
        </w:rPr>
        <w:t>We call our refined strategy “Vision 2030” because we envision achieving global snacking leadership and our people are passionate about bringing our vision to life. To get there, we have outlined four key pillars:</w:t>
      </w:r>
    </w:p>
    <w:p>
      <w:pPr>
        <w:spacing w:after="0" w:line="134" w:lineRule="exact"/>
        <w:rPr>
          <w:sz w:val="20"/>
          <w:szCs w:val="20"/>
          <w:color w:val="auto"/>
        </w:rPr>
      </w:pPr>
    </w:p>
    <w:p>
      <w:pPr>
        <w:ind w:left="166" w:right="1100" w:hanging="166"/>
        <w:spacing w:after="0" w:line="185" w:lineRule="auto"/>
        <w:tabs>
          <w:tab w:leader="none" w:pos="166" w:val="left"/>
        </w:tabs>
        <w:numPr>
          <w:ilvl w:val="0"/>
          <w:numId w:val="1"/>
        </w:numPr>
        <w:rPr>
          <w:rFonts w:ascii="Arial" w:cs="Arial" w:eastAsia="Arial" w:hAnsi="Arial"/>
          <w:sz w:val="40"/>
          <w:szCs w:val="40"/>
          <w:color w:val="582C83"/>
          <w:vertAlign w:val="subscript"/>
        </w:rPr>
      </w:pPr>
      <w:r>
        <w:rPr>
          <w:rFonts w:ascii="Arial" w:cs="Arial" w:eastAsia="Arial" w:hAnsi="Arial"/>
          <w:sz w:val="20"/>
          <w:szCs w:val="20"/>
          <w:i w:val="1"/>
          <w:iCs w:val="1"/>
          <w:color w:val="auto"/>
        </w:rPr>
        <w:t xml:space="preserve">Growth: </w:t>
      </w:r>
      <w:r>
        <w:rPr>
          <w:rFonts w:ascii="Arial" w:cs="Arial" w:eastAsia="Arial" w:hAnsi="Arial"/>
          <w:sz w:val="20"/>
          <w:szCs w:val="20"/>
          <w:color w:val="auto"/>
        </w:rPr>
        <w:t>Accelerating growth and focusing our portfolio to generate</w:t>
      </w:r>
      <w:r>
        <w:rPr>
          <w:rFonts w:ascii="Arial" w:cs="Arial" w:eastAsia="Arial" w:hAnsi="Arial"/>
          <w:sz w:val="20"/>
          <w:szCs w:val="20"/>
          <w:i w:val="1"/>
          <w:iCs w:val="1"/>
          <w:color w:val="auto"/>
        </w:rPr>
        <w:t xml:space="preserve"> </w:t>
      </w:r>
      <w:r>
        <w:rPr>
          <w:rFonts w:ascii="Arial" w:cs="Arial" w:eastAsia="Arial" w:hAnsi="Arial"/>
          <w:sz w:val="20"/>
          <w:szCs w:val="20"/>
          <w:color w:val="auto"/>
        </w:rPr>
        <w:t>about 90% of revenue in the attractive resilient core categories of chocolate, biscuits and baked snacks.</w:t>
      </w:r>
    </w:p>
    <w:p>
      <w:pPr>
        <w:spacing w:after="0" w:line="60" w:lineRule="exact"/>
        <w:rPr>
          <w:rFonts w:ascii="Arial" w:cs="Arial" w:eastAsia="Arial" w:hAnsi="Arial"/>
          <w:sz w:val="40"/>
          <w:szCs w:val="40"/>
          <w:color w:val="582C83"/>
          <w:vertAlign w:val="subscript"/>
        </w:rPr>
      </w:pPr>
    </w:p>
    <w:p>
      <w:pPr>
        <w:ind w:left="166" w:right="820" w:hanging="166"/>
        <w:spacing w:after="0" w:line="194" w:lineRule="auto"/>
        <w:tabs>
          <w:tab w:leader="none" w:pos="166" w:val="left"/>
        </w:tabs>
        <w:numPr>
          <w:ilvl w:val="0"/>
          <w:numId w:val="1"/>
        </w:numPr>
        <w:rPr>
          <w:rFonts w:ascii="Arial" w:cs="Arial" w:eastAsia="Arial" w:hAnsi="Arial"/>
          <w:sz w:val="40"/>
          <w:szCs w:val="40"/>
          <w:color w:val="582C83"/>
          <w:vertAlign w:val="subscript"/>
        </w:rPr>
      </w:pPr>
      <w:r>
        <w:rPr>
          <w:rFonts w:ascii="Arial" w:cs="Arial" w:eastAsia="Arial" w:hAnsi="Arial"/>
          <w:sz w:val="20"/>
          <w:szCs w:val="20"/>
          <w:i w:val="1"/>
          <w:iCs w:val="1"/>
          <w:color w:val="auto"/>
        </w:rPr>
        <w:t xml:space="preserve">Execution: </w:t>
      </w:r>
      <w:r>
        <w:rPr>
          <w:rFonts w:ascii="Arial" w:cs="Arial" w:eastAsia="Arial" w:hAnsi="Arial"/>
          <w:sz w:val="20"/>
          <w:szCs w:val="20"/>
          <w:color w:val="auto"/>
        </w:rPr>
        <w:t>Investing more than $1 billion to become the digital snacks</w:t>
      </w:r>
      <w:r>
        <w:rPr>
          <w:rFonts w:ascii="Arial" w:cs="Arial" w:eastAsia="Arial" w:hAnsi="Arial"/>
          <w:sz w:val="20"/>
          <w:szCs w:val="20"/>
          <w:i w:val="1"/>
          <w:iCs w:val="1"/>
          <w:color w:val="auto"/>
        </w:rPr>
        <w:t xml:space="preserve"> </w:t>
      </w:r>
      <w:r>
        <w:rPr>
          <w:rFonts w:ascii="Arial" w:cs="Arial" w:eastAsia="Arial" w:hAnsi="Arial"/>
          <w:sz w:val="20"/>
          <w:szCs w:val="20"/>
          <w:color w:val="auto"/>
        </w:rPr>
        <w:t>leader – aiming to deliver 20% of revenues from digital channels by 2030 – while advancing future-forward commercial growth capabilities and a customer-centric supply chain.</w:t>
      </w:r>
    </w:p>
    <w:p>
      <w:pPr>
        <w:spacing w:after="0" w:line="63" w:lineRule="exact"/>
        <w:rPr>
          <w:rFonts w:ascii="Arial" w:cs="Arial" w:eastAsia="Arial" w:hAnsi="Arial"/>
          <w:sz w:val="40"/>
          <w:szCs w:val="40"/>
          <w:color w:val="582C83"/>
          <w:vertAlign w:val="subscript"/>
        </w:rPr>
      </w:pPr>
    </w:p>
    <w:p>
      <w:pPr>
        <w:ind w:left="166" w:right="700" w:hanging="166"/>
        <w:spacing w:after="0" w:line="185" w:lineRule="auto"/>
        <w:tabs>
          <w:tab w:leader="none" w:pos="166" w:val="left"/>
        </w:tabs>
        <w:numPr>
          <w:ilvl w:val="0"/>
          <w:numId w:val="1"/>
        </w:numPr>
        <w:rPr>
          <w:rFonts w:ascii="Arial" w:cs="Arial" w:eastAsia="Arial" w:hAnsi="Arial"/>
          <w:sz w:val="40"/>
          <w:szCs w:val="40"/>
          <w:color w:val="582C83"/>
          <w:vertAlign w:val="subscript"/>
        </w:rPr>
      </w:pPr>
      <w:r>
        <w:rPr>
          <w:rFonts w:ascii="Arial" w:cs="Arial" w:eastAsia="Arial" w:hAnsi="Arial"/>
          <w:sz w:val="20"/>
          <w:szCs w:val="20"/>
          <w:i w:val="1"/>
          <w:iCs w:val="1"/>
          <w:color w:val="auto"/>
        </w:rPr>
        <w:t xml:space="preserve">Culture: </w:t>
      </w:r>
      <w:r>
        <w:rPr>
          <w:rFonts w:ascii="Arial" w:cs="Arial" w:eastAsia="Arial" w:hAnsi="Arial"/>
          <w:sz w:val="20"/>
          <w:szCs w:val="20"/>
          <w:color w:val="auto"/>
        </w:rPr>
        <w:t>Strengthening our local-first operating model to further</w:t>
      </w:r>
      <w:r>
        <w:rPr>
          <w:rFonts w:ascii="Arial" w:cs="Arial" w:eastAsia="Arial" w:hAnsi="Arial"/>
          <w:sz w:val="20"/>
          <w:szCs w:val="20"/>
          <w:i w:val="1"/>
          <w:iCs w:val="1"/>
          <w:color w:val="auto"/>
        </w:rPr>
        <w:t xml:space="preserve"> </w:t>
      </w:r>
      <w:r>
        <w:rPr>
          <w:rFonts w:ascii="Arial" w:cs="Arial" w:eastAsia="Arial" w:hAnsi="Arial"/>
          <w:sz w:val="20"/>
          <w:szCs w:val="20"/>
          <w:color w:val="auto"/>
        </w:rPr>
        <w:t>empower employees, promote a growth culture, and continue to build a team of deep and diverse talent.</w:t>
      </w:r>
    </w:p>
    <w:p>
      <w:pPr>
        <w:spacing w:after="0" w:line="60" w:lineRule="exact"/>
        <w:rPr>
          <w:rFonts w:ascii="Arial" w:cs="Arial" w:eastAsia="Arial" w:hAnsi="Arial"/>
          <w:sz w:val="40"/>
          <w:szCs w:val="40"/>
          <w:color w:val="582C83"/>
          <w:vertAlign w:val="subscript"/>
        </w:rPr>
      </w:pPr>
    </w:p>
    <w:p>
      <w:pPr>
        <w:ind w:left="166" w:right="760" w:hanging="166"/>
        <w:spacing w:after="0" w:line="181" w:lineRule="auto"/>
        <w:tabs>
          <w:tab w:leader="none" w:pos="166" w:val="left"/>
        </w:tabs>
        <w:numPr>
          <w:ilvl w:val="0"/>
          <w:numId w:val="1"/>
        </w:numPr>
        <w:rPr>
          <w:rFonts w:ascii="Arial" w:cs="Arial" w:eastAsia="Arial" w:hAnsi="Arial"/>
          <w:sz w:val="37"/>
          <w:szCs w:val="37"/>
          <w:color w:val="582C83"/>
          <w:vertAlign w:val="subscript"/>
        </w:rPr>
      </w:pPr>
      <w:r>
        <w:rPr>
          <w:rFonts w:ascii="Arial" w:cs="Arial" w:eastAsia="Arial" w:hAnsi="Arial"/>
          <w:sz w:val="19"/>
          <w:szCs w:val="19"/>
          <w:i w:val="1"/>
          <w:iCs w:val="1"/>
          <w:color w:val="auto"/>
        </w:rPr>
        <w:t xml:space="preserve">Sustainability: </w:t>
      </w:r>
      <w:r>
        <w:rPr>
          <w:rFonts w:ascii="Arial" w:cs="Arial" w:eastAsia="Arial" w:hAnsi="Arial"/>
          <w:sz w:val="19"/>
          <w:szCs w:val="19"/>
          <w:color w:val="auto"/>
        </w:rPr>
        <w:t>Helping to drive positive change at scale across our key</w:t>
      </w:r>
      <w:r>
        <w:rPr>
          <w:rFonts w:ascii="Arial" w:cs="Arial" w:eastAsia="Arial" w:hAnsi="Arial"/>
          <w:sz w:val="19"/>
          <w:szCs w:val="19"/>
          <w:i w:val="1"/>
          <w:iCs w:val="1"/>
          <w:color w:val="auto"/>
        </w:rPr>
        <w:t xml:space="preserve"> </w:t>
      </w:r>
      <w:r>
        <w:rPr>
          <w:rFonts w:ascii="Arial" w:cs="Arial" w:eastAsia="Arial" w:hAnsi="Arial"/>
          <w:sz w:val="19"/>
          <w:szCs w:val="19"/>
          <w:color w:val="auto"/>
        </w:rPr>
        <w:t>environmental, social and governance priorities.</w:t>
      </w:r>
    </w:p>
    <w:p>
      <w:pPr>
        <w:spacing w:after="0" w:line="200" w:lineRule="exact"/>
        <w:rPr>
          <w:sz w:val="20"/>
          <w:szCs w:val="20"/>
          <w:color w:val="auto"/>
        </w:rPr>
      </w:pPr>
    </w:p>
    <w:p>
      <w:pPr>
        <w:sectPr>
          <w:pgSz w:w="11900" w:h="16838" w:orient="portrait"/>
          <w:cols w:equalWidth="0" w:num="2">
            <w:col w:w="3568" w:space="554"/>
            <w:col w:w="7106"/>
          </w:cols>
          <w:pgMar w:left="332" w:top="559" w:right="339" w:bottom="1440" w:gutter="0" w:footer="0" w:header="0"/>
          <w:type w:val="continuous"/>
        </w:sectPr>
      </w:pPr>
    </w:p>
    <w:p>
      <w:pPr>
        <w:spacing w:after="0" w:line="1" w:lineRule="exact"/>
        <w:rPr>
          <w:sz w:val="20"/>
          <w:szCs w:val="20"/>
          <w:color w:val="auto"/>
        </w:rPr>
      </w:pPr>
    </w:p>
    <w:p>
      <w:pPr>
        <w:ind w:left="328" w:right="320" w:hanging="328"/>
        <w:spacing w:after="0" w:line="272" w:lineRule="auto"/>
        <w:tabs>
          <w:tab w:leader="none" w:pos="328" w:val="left"/>
        </w:tabs>
        <w:numPr>
          <w:ilvl w:val="0"/>
          <w:numId w:val="2"/>
        </w:numPr>
        <w:rPr>
          <w:rFonts w:ascii="Arial" w:cs="Arial" w:eastAsia="Arial" w:hAnsi="Arial"/>
          <w:sz w:val="15"/>
          <w:szCs w:val="15"/>
          <w:i w:val="1"/>
          <w:iCs w:val="1"/>
          <w:color w:val="auto"/>
        </w:rPr>
      </w:pPr>
      <w:r>
        <w:rPr>
          <w:rFonts w:ascii="Arial" w:cs="Arial" w:eastAsia="Arial" w:hAnsi="Arial"/>
          <w:sz w:val="15"/>
          <w:szCs w:val="15"/>
          <w:i w:val="1"/>
          <w:iCs w:val="1"/>
          <w:color w:val="auto"/>
        </w:rPr>
        <w:t>Source: FactSet as of December 31, 2022 for the 2022 Proxy Performance Peer Group. See page 87 for additional details on our performance peer group. Note: TSR defined as the compound total return to shareholders with normal-course dividends reinvested. Peer average excludes Mondelēz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4311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4311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-100965</wp:posOffset>
            </wp:positionV>
            <wp:extent cx="906780" cy="220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28"/>
          </w:cols>
          <w:pgMar w:left="332" w:top="559" w:right="339" w:bottom="1440" w:gutter="0" w:footer="0" w:header="0"/>
          <w:type w:val="continuous"/>
        </w:sectPr>
      </w:pPr>
    </w:p>
    <w:bookmarkStart w:id="4" w:name="page5"/>
    <w:bookmarkEnd w:id="4"/>
    <w:p>
      <w:pPr>
        <w:ind w:left="1"/>
        <w:spacing w:after="0"/>
        <w:rPr>
          <w:sz w:val="20"/>
          <w:szCs w:val="20"/>
          <w:color w:val="auto"/>
        </w:rPr>
      </w:pPr>
      <w:r>
        <w:rPr>
          <w:rFonts w:ascii="Arial" w:cs="Arial" w:eastAsia="Arial" w:hAnsi="Arial"/>
          <w:sz w:val="19"/>
          <w:szCs w:val="19"/>
          <w:color w:val="auto"/>
        </w:rPr>
        <w:t xml:space="preserve">We’re confident that we have the right strategy, because we’re confident in our consumers. Our annual </w:t>
      </w:r>
      <w:r>
        <w:rPr>
          <w:rFonts w:ascii="Arial" w:cs="Arial" w:eastAsia="Arial" w:hAnsi="Arial"/>
          <w:sz w:val="19"/>
          <w:szCs w:val="19"/>
          <w:i w:val="1"/>
          <w:iCs w:val="1"/>
          <w:color w:val="auto"/>
        </w:rPr>
        <w:t>State of Snacking</w:t>
      </w:r>
      <w:r>
        <w:rPr>
          <w:rFonts w:ascii="Arial" w:cs="Arial" w:eastAsia="Arial" w:hAnsi="Arial"/>
          <w:sz w:val="19"/>
          <w:szCs w:val="19"/>
          <w:color w:val="auto"/>
        </w:rPr>
        <w:t xml:space="preserve"> report</w:t>
      </w:r>
    </w:p>
    <w:p>
      <w:pPr>
        <w:spacing w:after="0" w:line="25" w:lineRule="exact"/>
        <w:rPr>
          <w:sz w:val="20"/>
          <w:szCs w:val="20"/>
          <w:color w:val="auto"/>
        </w:rPr>
      </w:pPr>
    </w:p>
    <w:p>
      <w:pPr>
        <w:ind w:left="1" w:right="120"/>
        <w:spacing w:after="0" w:line="238" w:lineRule="auto"/>
        <w:rPr>
          <w:sz w:val="20"/>
          <w:szCs w:val="20"/>
          <w:color w:val="auto"/>
        </w:rPr>
      </w:pPr>
      <w:r>
        <w:rPr>
          <w:rFonts w:ascii="Arial" w:cs="Arial" w:eastAsia="Arial" w:hAnsi="Arial"/>
          <w:sz w:val="20"/>
          <w:szCs w:val="20"/>
          <w:color w:val="auto"/>
        </w:rPr>
        <w:t>– conducted in partnership with the Harris Poll – finds that approximately 75% of people always make room for snacks in their grocery budgets, even as prices rise. In a separate study, more than half of people expect to spend the same amount, or more, on cookies and chocolate in 2023 as they spent in 2022. These consumer findings confirm that we’re playing in the right categories and that we’re well positioned to win.</w:t>
      </w:r>
    </w:p>
    <w:p>
      <w:pPr>
        <w:spacing w:after="0" w:line="136" w:lineRule="exact"/>
        <w:rPr>
          <w:sz w:val="20"/>
          <w:szCs w:val="20"/>
          <w:color w:val="auto"/>
        </w:rPr>
      </w:pPr>
    </w:p>
    <w:p>
      <w:pPr>
        <w:ind w:left="1" w:right="180"/>
        <w:spacing w:after="0" w:line="241" w:lineRule="auto"/>
        <w:rPr>
          <w:sz w:val="20"/>
          <w:szCs w:val="20"/>
          <w:color w:val="auto"/>
        </w:rPr>
      </w:pPr>
      <w:r>
        <w:rPr>
          <w:rFonts w:ascii="Arial" w:cs="Arial" w:eastAsia="Arial" w:hAnsi="Arial"/>
          <w:sz w:val="20"/>
          <w:szCs w:val="20"/>
          <w:color w:val="auto"/>
        </w:rPr>
        <w:t>I’m proud of our progress as we advance toward Vision 2030. We hit an exciting milestone in the biscuit category in 2022, as Oreo surpassed $4 billion in global net revenue – further solidifying its position as the world’s favorite cookie. Additionally, our strategic acquisitions have enabled us to enter exciting adjacent spaces, including well-being and premium, as well as strengthening our presence in key geographies. Together, acquisitions since 2018 have added nearly $3 billion in revenues. In 2022, we closed three acquisitions that add exciting new segments and flavors to the Mondelēz International portfolio:</w:t>
      </w:r>
    </w:p>
    <w:p>
      <w:pPr>
        <w:spacing w:after="0" w:line="137" w:lineRule="exact"/>
        <w:rPr>
          <w:sz w:val="20"/>
          <w:szCs w:val="20"/>
          <w:color w:val="auto"/>
        </w:rPr>
      </w:pPr>
    </w:p>
    <w:p>
      <w:pPr>
        <w:ind w:left="161" w:right="100" w:hanging="161"/>
        <w:spacing w:after="0" w:line="181" w:lineRule="auto"/>
        <w:tabs>
          <w:tab w:leader="none" w:pos="161" w:val="left"/>
        </w:tabs>
        <w:numPr>
          <w:ilvl w:val="0"/>
          <w:numId w:val="4"/>
        </w:numPr>
        <w:rPr>
          <w:rFonts w:ascii="Arial" w:cs="Arial" w:eastAsia="Arial" w:hAnsi="Arial"/>
          <w:sz w:val="37"/>
          <w:szCs w:val="37"/>
          <w:color w:val="582C83"/>
          <w:vertAlign w:val="subscript"/>
        </w:rPr>
      </w:pPr>
      <w:r>
        <w:rPr>
          <w:rFonts w:ascii="Arial" w:cs="Arial" w:eastAsia="Arial" w:hAnsi="Arial"/>
          <w:sz w:val="19"/>
          <w:szCs w:val="19"/>
          <w:color w:val="auto"/>
        </w:rPr>
        <w:t>Chipita provides an important platform to further accelerate growth in biscuits and baked snacks, including new choco-bakery innovations.</w:t>
      </w:r>
    </w:p>
    <w:p>
      <w:pPr>
        <w:spacing w:after="0" w:line="1" w:lineRule="exact"/>
        <w:rPr>
          <w:rFonts w:ascii="Arial" w:cs="Arial" w:eastAsia="Arial" w:hAnsi="Arial"/>
          <w:sz w:val="37"/>
          <w:szCs w:val="37"/>
          <w:color w:val="582C83"/>
          <w:vertAlign w:val="subscript"/>
        </w:rPr>
      </w:pPr>
    </w:p>
    <w:p>
      <w:pPr>
        <w:ind w:left="161" w:hanging="161"/>
        <w:spacing w:after="0" w:line="182" w:lineRule="auto"/>
        <w:tabs>
          <w:tab w:leader="none" w:pos="161" w:val="left"/>
        </w:tabs>
        <w:numPr>
          <w:ilvl w:val="0"/>
          <w:numId w:val="4"/>
        </w:numPr>
        <w:rPr>
          <w:rFonts w:ascii="Arial" w:cs="Arial" w:eastAsia="Arial" w:hAnsi="Arial"/>
          <w:sz w:val="37"/>
          <w:szCs w:val="37"/>
          <w:color w:val="582C83"/>
          <w:vertAlign w:val="subscript"/>
        </w:rPr>
      </w:pPr>
      <w:r>
        <w:rPr>
          <w:rFonts w:ascii="Arial" w:cs="Arial" w:eastAsia="Arial" w:hAnsi="Arial"/>
          <w:sz w:val="19"/>
          <w:szCs w:val="19"/>
          <w:color w:val="auto"/>
        </w:rPr>
        <w:t>Clif Bar &amp; Company expands our global snack bar business to more than $1 billion.</w:t>
      </w:r>
    </w:p>
    <w:p>
      <w:pPr>
        <w:spacing w:after="0" w:line="59" w:lineRule="exact"/>
        <w:rPr>
          <w:rFonts w:ascii="Arial" w:cs="Arial" w:eastAsia="Arial" w:hAnsi="Arial"/>
          <w:sz w:val="37"/>
          <w:szCs w:val="37"/>
          <w:color w:val="582C83"/>
          <w:vertAlign w:val="subscript"/>
        </w:rPr>
      </w:pPr>
    </w:p>
    <w:p>
      <w:pPr>
        <w:ind w:left="161" w:right="100" w:hanging="161"/>
        <w:spacing w:after="0" w:line="181" w:lineRule="auto"/>
        <w:tabs>
          <w:tab w:leader="none" w:pos="161" w:val="left"/>
        </w:tabs>
        <w:numPr>
          <w:ilvl w:val="0"/>
          <w:numId w:val="4"/>
        </w:numPr>
        <w:rPr>
          <w:rFonts w:ascii="Arial" w:cs="Arial" w:eastAsia="Arial" w:hAnsi="Arial"/>
          <w:sz w:val="37"/>
          <w:szCs w:val="37"/>
          <w:color w:val="582C83"/>
          <w:vertAlign w:val="subscript"/>
        </w:rPr>
      </w:pPr>
      <w:r>
        <w:rPr>
          <w:rFonts w:ascii="Arial" w:cs="Arial" w:eastAsia="Arial" w:hAnsi="Arial"/>
          <w:sz w:val="19"/>
          <w:szCs w:val="19"/>
          <w:color w:val="auto"/>
        </w:rPr>
        <w:t>Ricolino, Mexico’s leading confectionary company, doubles the size of our Mexican business and more than triples our routes to market in the priority growth market of Mexico.</w:t>
      </w:r>
    </w:p>
    <w:p>
      <w:pPr>
        <w:spacing w:after="0" w:line="61" w:lineRule="exact"/>
        <w:rPr>
          <w:sz w:val="20"/>
          <w:szCs w:val="20"/>
          <w:color w:val="auto"/>
        </w:rPr>
      </w:pPr>
    </w:p>
    <w:p>
      <w:pPr>
        <w:ind w:left="1" w:right="140"/>
        <w:spacing w:after="0" w:line="250" w:lineRule="auto"/>
        <w:rPr>
          <w:sz w:val="20"/>
          <w:szCs w:val="20"/>
          <w:color w:val="auto"/>
        </w:rPr>
      </w:pPr>
      <w:r>
        <w:rPr>
          <w:rFonts w:ascii="Arial" w:cs="Arial" w:eastAsia="Arial" w:hAnsi="Arial"/>
          <w:sz w:val="20"/>
          <w:szCs w:val="20"/>
          <w:color w:val="auto"/>
        </w:rPr>
        <w:t>In addition to successfully acquiring these three businesses, we announced in late 2022 the sale of our developed market gum business to Perfetti Van Melle, which is expected to close in late 2023, upon the completion of regulatory approvals. This divestiture will help fund these recent acquisitions and continue to advance the evolution of our portfolio.</w:t>
      </w:r>
    </w:p>
    <w:p>
      <w:pPr>
        <w:spacing w:after="0" w:line="126" w:lineRule="exact"/>
        <w:rPr>
          <w:sz w:val="20"/>
          <w:szCs w:val="20"/>
          <w:color w:val="auto"/>
        </w:rPr>
      </w:pPr>
    </w:p>
    <w:p>
      <w:pPr>
        <w:ind w:left="1" w:right="40"/>
        <w:spacing w:after="0" w:line="237" w:lineRule="auto"/>
        <w:rPr>
          <w:sz w:val="20"/>
          <w:szCs w:val="20"/>
          <w:color w:val="auto"/>
        </w:rPr>
      </w:pPr>
      <w:r>
        <w:rPr>
          <w:rFonts w:ascii="Arial" w:cs="Arial" w:eastAsia="Arial" w:hAnsi="Arial"/>
          <w:sz w:val="20"/>
          <w:szCs w:val="20"/>
          <w:color w:val="auto"/>
        </w:rPr>
        <w:t xml:space="preserve">While I’m proud of our progress in </w:t>
      </w:r>
      <w:r>
        <w:rPr>
          <w:rFonts w:ascii="Arial" w:cs="Arial" w:eastAsia="Arial" w:hAnsi="Arial"/>
          <w:sz w:val="20"/>
          <w:szCs w:val="20"/>
          <w:i w:val="1"/>
          <w:iCs w:val="1"/>
          <w:color w:val="auto"/>
        </w:rPr>
        <w:t>Growth</w:t>
      </w:r>
      <w:r>
        <w:rPr>
          <w:rFonts w:ascii="Arial" w:cs="Arial" w:eastAsia="Arial" w:hAnsi="Arial"/>
          <w:sz w:val="20"/>
          <w:szCs w:val="20"/>
          <w:color w:val="auto"/>
        </w:rPr>
        <w:t xml:space="preserve">, </w:t>
      </w:r>
      <w:r>
        <w:rPr>
          <w:rFonts w:ascii="Arial" w:cs="Arial" w:eastAsia="Arial" w:hAnsi="Arial"/>
          <w:sz w:val="20"/>
          <w:szCs w:val="20"/>
          <w:i w:val="1"/>
          <w:iCs w:val="1"/>
          <w:color w:val="auto"/>
        </w:rPr>
        <w:t>Execution</w:t>
      </w:r>
      <w:r>
        <w:rPr>
          <w:rFonts w:ascii="Arial" w:cs="Arial" w:eastAsia="Arial" w:hAnsi="Arial"/>
          <w:sz w:val="20"/>
          <w:szCs w:val="20"/>
          <w:color w:val="auto"/>
        </w:rPr>
        <w:t xml:space="preserve"> and </w:t>
      </w:r>
      <w:r>
        <w:rPr>
          <w:rFonts w:ascii="Arial" w:cs="Arial" w:eastAsia="Arial" w:hAnsi="Arial"/>
          <w:sz w:val="20"/>
          <w:szCs w:val="20"/>
          <w:i w:val="1"/>
          <w:iCs w:val="1"/>
          <w:color w:val="auto"/>
        </w:rPr>
        <w:t>Culture</w:t>
      </w:r>
      <w:r>
        <w:rPr>
          <w:rFonts w:ascii="Arial" w:cs="Arial" w:eastAsia="Arial" w:hAnsi="Arial"/>
          <w:sz w:val="20"/>
          <w:szCs w:val="20"/>
          <w:color w:val="auto"/>
        </w:rPr>
        <w:t xml:space="preserve">, I’m especially proud of our team for living our Purpose and recognizing the urgent challenges facing our planet. That’s why we have added </w:t>
      </w:r>
      <w:r>
        <w:rPr>
          <w:rFonts w:ascii="Arial" w:cs="Arial" w:eastAsia="Arial" w:hAnsi="Arial"/>
          <w:sz w:val="20"/>
          <w:szCs w:val="20"/>
          <w:i w:val="1"/>
          <w:iCs w:val="1"/>
          <w:color w:val="auto"/>
        </w:rPr>
        <w:t>Sustainability</w:t>
      </w:r>
      <w:r>
        <w:rPr>
          <w:rFonts w:ascii="Arial" w:cs="Arial" w:eastAsia="Arial" w:hAnsi="Arial"/>
          <w:sz w:val="20"/>
          <w:szCs w:val="20"/>
          <w:color w:val="auto"/>
        </w:rPr>
        <w:t xml:space="preserve"> as the new fourth strategic pillar within Vision 2030. Our approach to sustainability is simple: We aim to lead in the areas where we matter most, like sourcing key ingredients and promoting human rights across our value chain, and to help drive change where the world needs it most, like reducing carbon emissions and packaging waste. In October, we launched the next chapter of Cocoa Life, our signature program designed to source cocoa more sustainably, with an additional $600 million investment through 2030, bringing our total investments to $1 billion. As part of this program, we’re investing in expanding Child Labor Monitoring &amp; Remediation Systems in cocoa-growing communities, as well as helping to improve farm productivity and support farmers, while working to combat deforestation. We also continue to make progress on our goals to help address climate change – with continued reductions in our carbon footprint and water usage. Additionally, we’re advancing our Light &amp; Right Packaging strategy – with approximately 95% of our packaging designed to be recyclable.</w:t>
      </w:r>
    </w:p>
    <w:p>
      <w:pPr>
        <w:spacing w:after="0" w:line="134" w:lineRule="exact"/>
        <w:rPr>
          <w:sz w:val="20"/>
          <w:szCs w:val="20"/>
          <w:color w:val="auto"/>
        </w:rPr>
      </w:pPr>
    </w:p>
    <w:p>
      <w:pPr>
        <w:ind w:left="1" w:right="180"/>
        <w:spacing w:after="0" w:line="256" w:lineRule="auto"/>
        <w:rPr>
          <w:sz w:val="20"/>
          <w:szCs w:val="20"/>
          <w:color w:val="auto"/>
        </w:rPr>
      </w:pPr>
      <w:r>
        <w:rPr>
          <w:rFonts w:ascii="Arial" w:cs="Arial" w:eastAsia="Arial" w:hAnsi="Arial"/>
          <w:sz w:val="19"/>
          <w:szCs w:val="19"/>
          <w:color w:val="auto"/>
        </w:rPr>
        <w:t>All of this good progress is a result of the passion of our amazing people. We remain focused on building our pool of deep and diverse talent, making strong progress in our global diversity, equity and inclusion ambitions for our colleagues, culture and community. At the end of 2022, women held nearly 40% of executive leadership roles (defined as the Mondelēz Leadership</w:t>
      </w:r>
    </w:p>
    <w:p>
      <w:pPr>
        <w:spacing w:after="0" w:line="3" w:lineRule="exact"/>
        <w:rPr>
          <w:sz w:val="20"/>
          <w:szCs w:val="20"/>
          <w:color w:val="auto"/>
        </w:rPr>
      </w:pPr>
    </w:p>
    <w:p>
      <w:pPr>
        <w:ind w:left="1" w:right="380"/>
        <w:spacing w:after="0" w:line="190" w:lineRule="auto"/>
        <w:rPr>
          <w:sz w:val="20"/>
          <w:szCs w:val="20"/>
          <w:color w:val="auto"/>
        </w:rPr>
      </w:pPr>
      <w:r>
        <w:rPr>
          <w:rFonts w:ascii="Arial" w:cs="Arial" w:eastAsia="Arial" w:hAnsi="Arial"/>
          <w:sz w:val="20"/>
          <w:szCs w:val="20"/>
          <w:color w:val="auto"/>
        </w:rPr>
        <w:t>Team plus one level below), continuing to close the gap to the balance of the organization.</w:t>
      </w:r>
      <w:r>
        <w:rPr>
          <w:rFonts w:ascii="Arial" w:cs="Arial" w:eastAsia="Arial" w:hAnsi="Arial"/>
          <w:sz w:val="37"/>
          <w:szCs w:val="37"/>
          <w:color w:val="auto"/>
          <w:vertAlign w:val="superscript"/>
        </w:rPr>
        <w:t>(2)</w:t>
      </w:r>
      <w:r>
        <w:rPr>
          <w:rFonts w:ascii="Arial" w:cs="Arial" w:eastAsia="Arial" w:hAnsi="Arial"/>
          <w:sz w:val="20"/>
          <w:szCs w:val="20"/>
          <w:color w:val="auto"/>
        </w:rPr>
        <w:t xml:space="preserve"> For our U.S. leadership, Black employees held approximately 5.5% of management roles (defined as Director and above) at the end of 2022 and</w:t>
      </w:r>
    </w:p>
    <w:p>
      <w:pPr>
        <w:spacing w:after="0" w:line="3" w:lineRule="exact"/>
        <w:rPr>
          <w:sz w:val="20"/>
          <w:szCs w:val="20"/>
          <w:color w:val="auto"/>
        </w:rPr>
      </w:pPr>
    </w:p>
    <w:p>
      <w:pPr>
        <w:ind w:left="1"/>
        <w:spacing w:after="0" w:line="204" w:lineRule="auto"/>
        <w:rPr>
          <w:sz w:val="20"/>
          <w:szCs w:val="20"/>
          <w:color w:val="auto"/>
        </w:rPr>
      </w:pPr>
      <w:r>
        <w:rPr>
          <w:rFonts w:ascii="Arial" w:cs="Arial" w:eastAsia="Arial" w:hAnsi="Arial"/>
          <w:sz w:val="20"/>
          <w:szCs w:val="20"/>
          <w:color w:val="auto"/>
        </w:rPr>
        <w:t>approximately 5.1% at the end of 2021.</w:t>
      </w:r>
      <w:r>
        <w:rPr>
          <w:rFonts w:ascii="Arial" w:cs="Arial" w:eastAsia="Arial" w:hAnsi="Arial"/>
          <w:sz w:val="37"/>
          <w:szCs w:val="37"/>
          <w:color w:val="auto"/>
          <w:vertAlign w:val="superscript"/>
        </w:rPr>
        <w:t>(3)</w:t>
      </w:r>
      <w:r>
        <w:rPr>
          <w:rFonts w:ascii="Arial" w:cs="Arial" w:eastAsia="Arial" w:hAnsi="Arial"/>
          <w:sz w:val="20"/>
          <w:szCs w:val="20"/>
          <w:color w:val="auto"/>
        </w:rPr>
        <w:t xml:space="preserve"> To further improve our performance and become a destination for the best talent in the consumer packaged goods industry, we’re continuing to invest in mentorship programs and diverse talent recruitment, with a particular emphasis on early careers.</w:t>
      </w:r>
    </w:p>
    <w:p>
      <w:pPr>
        <w:spacing w:after="0" w:line="275" w:lineRule="exact"/>
        <w:rPr>
          <w:sz w:val="20"/>
          <w:szCs w:val="20"/>
          <w:color w:val="auto"/>
        </w:rPr>
      </w:pPr>
    </w:p>
    <w:p>
      <w:pPr>
        <w:ind w:left="341" w:right="400" w:hanging="328"/>
        <w:spacing w:after="0" w:line="272" w:lineRule="auto"/>
        <w:tabs>
          <w:tab w:leader="none" w:pos="341" w:val="left"/>
        </w:tabs>
        <w:numPr>
          <w:ilvl w:val="0"/>
          <w:numId w:val="5"/>
        </w:numPr>
        <w:rPr>
          <w:rFonts w:ascii="Arial" w:cs="Arial" w:eastAsia="Arial" w:hAnsi="Arial"/>
          <w:sz w:val="15"/>
          <w:szCs w:val="15"/>
          <w:i w:val="1"/>
          <w:iCs w:val="1"/>
          <w:color w:val="auto"/>
        </w:rPr>
      </w:pPr>
      <w:r>
        <w:rPr>
          <w:rFonts w:ascii="Arial" w:cs="Arial" w:eastAsia="Arial" w:hAnsi="Arial"/>
          <w:sz w:val="15"/>
          <w:szCs w:val="15"/>
          <w:i w:val="1"/>
          <w:iCs w:val="1"/>
          <w:color w:val="auto"/>
        </w:rPr>
        <w:t>Reported performance against our women in leadership goal covers the period from January 1, 2020 to December 31, 2022, and includes acquisitions/ventures globally announced in 2021 or earlier.</w:t>
      </w:r>
    </w:p>
    <w:p>
      <w:pPr>
        <w:spacing w:after="0" w:line="43" w:lineRule="exact"/>
        <w:rPr>
          <w:rFonts w:ascii="Arial" w:cs="Arial" w:eastAsia="Arial" w:hAnsi="Arial"/>
          <w:sz w:val="15"/>
          <w:szCs w:val="15"/>
          <w:i w:val="1"/>
          <w:iCs w:val="1"/>
          <w:color w:val="auto"/>
        </w:rPr>
      </w:pPr>
    </w:p>
    <w:p>
      <w:pPr>
        <w:ind w:left="341" w:right="160" w:hanging="328"/>
        <w:spacing w:after="0" w:line="272" w:lineRule="auto"/>
        <w:tabs>
          <w:tab w:leader="none" w:pos="341" w:val="left"/>
        </w:tabs>
        <w:numPr>
          <w:ilvl w:val="0"/>
          <w:numId w:val="5"/>
        </w:numPr>
        <w:rPr>
          <w:rFonts w:ascii="Arial" w:cs="Arial" w:eastAsia="Arial" w:hAnsi="Arial"/>
          <w:sz w:val="15"/>
          <w:szCs w:val="15"/>
          <w:i w:val="1"/>
          <w:iCs w:val="1"/>
          <w:color w:val="auto"/>
        </w:rPr>
      </w:pPr>
      <w:r>
        <w:rPr>
          <w:rFonts w:ascii="Arial" w:cs="Arial" w:eastAsia="Arial" w:hAnsi="Arial"/>
          <w:sz w:val="15"/>
          <w:szCs w:val="15"/>
          <w:i w:val="1"/>
          <w:iCs w:val="1"/>
          <w:color w:val="auto"/>
        </w:rPr>
        <w:t>Reported performance against our Black management representation goal in the U.S. covers the period from January 1, 2020, to December 31, 2022, and includes acquisitions/ventures in the U.S. announced in 2021 or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714311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14" w:right="339" w:bottom="1440" w:gutter="0" w:footer="0" w:header="0"/>
        </w:sectPr>
      </w:pPr>
    </w:p>
    <w:bookmarkStart w:id="5" w:name="page6"/>
    <w:bookmarkEnd w:id="5"/>
    <w:p>
      <w:pPr>
        <w:ind w:right="200"/>
        <w:spacing w:after="0" w:line="250" w:lineRule="auto"/>
        <w:rPr>
          <w:sz w:val="20"/>
          <w:szCs w:val="20"/>
          <w:color w:val="auto"/>
        </w:rPr>
      </w:pPr>
      <w:r>
        <w:rPr>
          <w:rFonts w:ascii="Arial" w:cs="Arial" w:eastAsia="Arial" w:hAnsi="Arial"/>
          <w:sz w:val="20"/>
          <w:szCs w:val="20"/>
          <w:color w:val="auto"/>
        </w:rPr>
        <w:t>These are just a few highlights of our performance in 2022 – and they represent only the beginning of what we believe we can achieve as we accelerate growth toward Vision 2030. Our focus and portfolio reshaping strategy is working – and we’re well-positioned to continue driving attractive growth in 2023 and beyond.</w:t>
      </w:r>
    </w:p>
    <w:p>
      <w:pPr>
        <w:spacing w:after="0" w:line="126"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 xml:space="preserve">By continuing to double down on the attractive chocolate, biscuits and baked snacks categories; investing in our widely loved brands; focusing on operational execution and cost discipline; empowering our great people and driving our </w:t>
      </w:r>
      <w:r>
        <w:rPr>
          <w:rFonts w:ascii="Arial" w:cs="Arial" w:eastAsia="Arial" w:hAnsi="Arial"/>
          <w:sz w:val="20"/>
          <w:szCs w:val="20"/>
          <w:i w:val="1"/>
          <w:iCs w:val="1"/>
          <w:color w:val="auto"/>
        </w:rPr>
        <w:t>Sustainability</w:t>
      </w:r>
      <w:r>
        <w:rPr>
          <w:rFonts w:ascii="Arial" w:cs="Arial" w:eastAsia="Arial" w:hAnsi="Arial"/>
          <w:sz w:val="20"/>
          <w:szCs w:val="20"/>
          <w:color w:val="auto"/>
        </w:rPr>
        <w:t xml:space="preserve"> strategy, I am confident that we can deliver strong performance for years to come.</w:t>
      </w:r>
    </w:p>
    <w:p>
      <w:pPr>
        <w:spacing w:after="0" w:line="126"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On behalf of Mondelēz International’s 91,000 Makers and Bakers around the world, thank you for your investment in our Company. We look forward to continuing engagement with you as we advance our sustainable, Purpose-driven global snacking leadership and strive to bring Vision 2030 to life.</w:t>
      </w:r>
    </w:p>
    <w:p>
      <w:pPr>
        <w:spacing w:after="0" w:line="126" w:lineRule="exact"/>
        <w:rPr>
          <w:sz w:val="20"/>
          <w:szCs w:val="20"/>
          <w:color w:val="auto"/>
        </w:rPr>
      </w:pPr>
    </w:p>
    <w:p>
      <w:pPr>
        <w:ind w:left="10140"/>
        <w:spacing w:after="0"/>
        <w:rPr>
          <w:sz w:val="20"/>
          <w:szCs w:val="20"/>
          <w:color w:val="auto"/>
        </w:rPr>
      </w:pPr>
      <w:r>
        <w:rPr>
          <w:rFonts w:ascii="Arial" w:cs="Arial" w:eastAsia="Arial" w:hAnsi="Arial"/>
          <w:sz w:val="19"/>
          <w:szCs w:val="19"/>
          <w:color w:val="auto"/>
        </w:rPr>
        <w:t>Best wishes,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5849620</wp:posOffset>
            </wp:positionH>
            <wp:positionV relativeFrom="paragraph">
              <wp:posOffset>146050</wp:posOffset>
            </wp:positionV>
            <wp:extent cx="1292860" cy="236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2860" cy="23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Dirk Van de Put</w:t>
      </w:r>
    </w:p>
    <w:p>
      <w:pPr>
        <w:spacing w:after="0" w:line="7"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Chairman and Chief Executive Officer</w:t>
      </w:r>
    </w:p>
    <w:p>
      <w:pPr>
        <w:jc w:val="right"/>
        <w:spacing w:after="0"/>
        <w:rPr>
          <w:sz w:val="20"/>
          <w:szCs w:val="20"/>
          <w:color w:val="auto"/>
        </w:rPr>
      </w:pPr>
      <w:r>
        <w:rPr>
          <w:rFonts w:ascii="Arial" w:cs="Arial" w:eastAsia="Arial" w:hAnsi="Arial"/>
          <w:sz w:val="20"/>
          <w:szCs w:val="20"/>
          <w:color w:val="auto"/>
        </w:rPr>
        <w:t>Mondelēz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14311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ind w:left="340"/>
        <w:spacing w:after="0"/>
        <w:rPr>
          <w:sz w:val="20"/>
          <w:szCs w:val="20"/>
          <w:color w:val="auto"/>
        </w:rPr>
      </w:pPr>
      <w:r>
        <w:rPr>
          <w:rFonts w:ascii="Arial" w:cs="Arial" w:eastAsia="Arial" w:hAnsi="Arial"/>
          <w:sz w:val="43"/>
          <w:szCs w:val="43"/>
          <w:b w:val="1"/>
          <w:bCs w:val="1"/>
          <w:color w:val="582C83"/>
        </w:rPr>
        <w:drawing>
          <wp:anchor simplePos="0" relativeHeight="251657728" behindDoc="1" locked="0" layoutInCell="0" allowOverlap="1">
            <wp:simplePos x="0" y="0"/>
            <wp:positionH relativeFrom="page">
              <wp:posOffset>628650</wp:posOffset>
            </wp:positionH>
            <wp:positionV relativeFrom="page">
              <wp:posOffset>96520</wp:posOffset>
            </wp:positionV>
            <wp:extent cx="6307455" cy="1545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t>LETTER FROM OUR LEAD DIRECTOR</w:t>
      </w:r>
    </w:p>
    <w:p>
      <w:pPr>
        <w:sectPr>
          <w:pgSz w:w="11900" w:h="16838" w:orient="portrait"/>
          <w:cols w:equalWidth="0" w:num="1">
            <w:col w:w="10580"/>
          </w:cols>
          <w:pgMar w:left="980" w:top="5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582C83"/>
        </w:rPr>
        <w:t>April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52070</wp:posOffset>
            </wp:positionV>
            <wp:extent cx="2010410" cy="1663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10410"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Patrick T. Siewert</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20"/>
          <w:szCs w:val="20"/>
          <w:i w:val="1"/>
          <w:iCs w:val="1"/>
          <w:color w:val="auto"/>
        </w:rPr>
        <w: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677545</wp:posOffset>
            </wp:positionV>
            <wp:extent cx="2010410" cy="1576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10410" cy="157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0"/>
        <w:spacing w:after="0" w:line="237" w:lineRule="auto"/>
        <w:rPr>
          <w:sz w:val="20"/>
          <w:szCs w:val="20"/>
          <w:color w:val="auto"/>
        </w:rPr>
      </w:pPr>
      <w:r>
        <w:rPr>
          <w:rFonts w:ascii="Arial" w:cs="Arial" w:eastAsia="Arial" w:hAnsi="Arial"/>
          <w:sz w:val="19"/>
          <w:szCs w:val="19"/>
          <w:b w:val="1"/>
          <w:bCs w:val="1"/>
          <w:color w:val="582C83"/>
        </w:rPr>
        <w:t>“We remain committed to providing thoughtful, independent oversight and counsel on the Company’s strategy and operations – while continuing to promote our strong governance culture...”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Dear Fellow Shareholders,</w:t>
      </w:r>
    </w:p>
    <w:p>
      <w:pPr>
        <w:spacing w:after="0" w:line="167" w:lineRule="exact"/>
        <w:rPr>
          <w:sz w:val="20"/>
          <w:szCs w:val="20"/>
          <w:color w:val="auto"/>
        </w:rPr>
      </w:pPr>
    </w:p>
    <w:p>
      <w:pPr>
        <w:ind w:right="660"/>
        <w:spacing w:after="0" w:line="252" w:lineRule="auto"/>
        <w:rPr>
          <w:sz w:val="20"/>
          <w:szCs w:val="20"/>
          <w:color w:val="auto"/>
        </w:rPr>
      </w:pPr>
      <w:r>
        <w:rPr>
          <w:rFonts w:ascii="Arial" w:cs="Arial" w:eastAsia="Arial" w:hAnsi="Arial"/>
          <w:sz w:val="19"/>
          <w:szCs w:val="19"/>
          <w:color w:val="auto"/>
        </w:rPr>
        <w:t>I am pleased to report that Mondelēz International delivered strong results in 2022, and on behalf of the Board of Directors, to reinforce our confidence that our Company has the right strategy, the right products and the right people to drive robust results in the years ahead. We remain committed to providing thoughtful, independent oversight and counsel on the Company’s strategy and operations – while continuing to promote our strong governance culture as well as our focus on making a positive impact on the consumers, customers and communities we serve.</w:t>
      </w:r>
    </w:p>
    <w:p>
      <w:pPr>
        <w:spacing w:after="0" w:line="127" w:lineRule="exact"/>
        <w:rPr>
          <w:sz w:val="20"/>
          <w:szCs w:val="20"/>
          <w:color w:val="auto"/>
        </w:rPr>
      </w:pPr>
    </w:p>
    <w:p>
      <w:pPr>
        <w:ind w:right="680"/>
        <w:spacing w:after="0"/>
        <w:rPr>
          <w:sz w:val="20"/>
          <w:szCs w:val="20"/>
          <w:color w:val="auto"/>
        </w:rPr>
      </w:pPr>
      <w:r>
        <w:rPr>
          <w:rFonts w:ascii="Arial" w:cs="Arial" w:eastAsia="Arial" w:hAnsi="Arial"/>
          <w:sz w:val="20"/>
          <w:szCs w:val="20"/>
          <w:color w:val="auto"/>
        </w:rPr>
        <w:t xml:space="preserve">In 2022, Mondelēz International announced Vision 2030 – a refined long-term strategy to advance our global snacking leadership as the Company enters its second decade. Building upon its enduring strategic pillars of </w:t>
      </w:r>
      <w:r>
        <w:rPr>
          <w:rFonts w:ascii="Arial" w:cs="Arial" w:eastAsia="Arial" w:hAnsi="Arial"/>
          <w:sz w:val="20"/>
          <w:szCs w:val="20"/>
          <w:i w:val="1"/>
          <w:iCs w:val="1"/>
          <w:color w:val="auto"/>
        </w:rPr>
        <w:t>Growth</w:t>
      </w:r>
      <w:r>
        <w:rPr>
          <w:rFonts w:ascii="Arial" w:cs="Arial" w:eastAsia="Arial" w:hAnsi="Arial"/>
          <w:sz w:val="20"/>
          <w:szCs w:val="20"/>
          <w:color w:val="auto"/>
        </w:rPr>
        <w:t>,</w:t>
      </w:r>
      <w:r>
        <w:rPr>
          <w:rFonts w:ascii="Arial" w:cs="Arial" w:eastAsia="Arial" w:hAnsi="Arial"/>
          <w:sz w:val="20"/>
          <w:szCs w:val="20"/>
          <w:i w:val="1"/>
          <w:iCs w:val="1"/>
          <w:color w:val="auto"/>
        </w:rPr>
        <w:t xml:space="preserve"> Execution </w:t>
      </w:r>
      <w:r>
        <w:rPr>
          <w:rFonts w:ascii="Arial" w:cs="Arial" w:eastAsia="Arial" w:hAnsi="Arial"/>
          <w:sz w:val="20"/>
          <w:szCs w:val="20"/>
          <w:color w:val="auto"/>
        </w:rPr>
        <w:t>and</w:t>
      </w:r>
      <w:r>
        <w:rPr>
          <w:rFonts w:ascii="Arial" w:cs="Arial" w:eastAsia="Arial" w:hAnsi="Arial"/>
          <w:sz w:val="20"/>
          <w:szCs w:val="20"/>
          <w:i w:val="1"/>
          <w:iCs w:val="1"/>
          <w:color w:val="auto"/>
        </w:rPr>
        <w:t xml:space="preserve"> Culture</w:t>
      </w:r>
      <w:r>
        <w:rPr>
          <w:rFonts w:ascii="Arial" w:cs="Arial" w:eastAsia="Arial" w:hAnsi="Arial"/>
          <w:sz w:val="20"/>
          <w:szCs w:val="20"/>
          <w:color w:val="auto"/>
        </w:rPr>
        <w:t>, the Company elevated</w:t>
      </w:r>
      <w:r>
        <w:rPr>
          <w:rFonts w:ascii="Arial" w:cs="Arial" w:eastAsia="Arial" w:hAnsi="Arial"/>
          <w:sz w:val="20"/>
          <w:szCs w:val="20"/>
          <w:i w:val="1"/>
          <w:iCs w:val="1"/>
          <w:color w:val="auto"/>
        </w:rPr>
        <w:t xml:space="preserve"> Sustainability </w:t>
      </w:r>
      <w:r>
        <w:rPr>
          <w:rFonts w:ascii="Arial" w:cs="Arial" w:eastAsia="Arial" w:hAnsi="Arial"/>
          <w:sz w:val="20"/>
          <w:szCs w:val="20"/>
          <w:color w:val="auto"/>
        </w:rPr>
        <w:t>to</w:t>
      </w:r>
      <w:r>
        <w:rPr>
          <w:rFonts w:ascii="Arial" w:cs="Arial" w:eastAsia="Arial" w:hAnsi="Arial"/>
          <w:sz w:val="20"/>
          <w:szCs w:val="20"/>
          <w:i w:val="1"/>
          <w:iCs w:val="1"/>
          <w:color w:val="auto"/>
        </w:rPr>
        <w:t xml:space="preserve"> </w:t>
      </w:r>
      <w:r>
        <w:rPr>
          <w:rFonts w:ascii="Arial" w:cs="Arial" w:eastAsia="Arial" w:hAnsi="Arial"/>
          <w:sz w:val="20"/>
          <w:szCs w:val="20"/>
          <w:color w:val="auto"/>
        </w:rPr>
        <w:t>become its fourth strategic pillar and rolled out an exciting evolution to enhance its focus and accelerate growth.</w:t>
      </w:r>
    </w:p>
    <w:p>
      <w:pPr>
        <w:spacing w:after="0" w:line="135" w:lineRule="exact"/>
        <w:rPr>
          <w:sz w:val="20"/>
          <w:szCs w:val="20"/>
          <w:color w:val="auto"/>
        </w:rPr>
      </w:pPr>
    </w:p>
    <w:p>
      <w:pPr>
        <w:ind w:right="660"/>
        <w:spacing w:after="0" w:line="237" w:lineRule="auto"/>
        <w:rPr>
          <w:sz w:val="20"/>
          <w:szCs w:val="20"/>
          <w:color w:val="auto"/>
        </w:rPr>
      </w:pPr>
      <w:r>
        <w:rPr>
          <w:rFonts w:ascii="Arial" w:cs="Arial" w:eastAsia="Arial" w:hAnsi="Arial"/>
          <w:sz w:val="20"/>
          <w:szCs w:val="20"/>
          <w:color w:val="auto"/>
        </w:rPr>
        <w:t>In announcing Vision 2030, the Company reaffirmed its portfolio reshaping strategy – with the goal of achieving 90% of revenue from its core categories of chocolate, biscuits and baked snacks. As a Board, we believe that focusing on these attractive, resilient categories will enable the Company to extend its leadership in key snacking occasions, while growing household penetration and consumption around the world. We look forward to continuing to partner closely with Chairman and CEO Dirk Van de Put and the broader executive team to satisfy consumers’ rising preference for snacking and to capitalize on new and emerging opportunities in baked snacks, including snack bars, cakes and pastries.</w:t>
      </w:r>
    </w:p>
    <w:p>
      <w:pPr>
        <w:spacing w:after="0" w:line="138" w:lineRule="exact"/>
        <w:rPr>
          <w:sz w:val="20"/>
          <w:szCs w:val="20"/>
          <w:color w:val="auto"/>
        </w:rPr>
      </w:pPr>
    </w:p>
    <w:p>
      <w:pPr>
        <w:ind w:right="680"/>
        <w:spacing w:after="0" w:line="236" w:lineRule="auto"/>
        <w:rPr>
          <w:sz w:val="20"/>
          <w:szCs w:val="20"/>
          <w:color w:val="auto"/>
        </w:rPr>
      </w:pPr>
      <w:r>
        <w:rPr>
          <w:rFonts w:ascii="Arial" w:cs="Arial" w:eastAsia="Arial" w:hAnsi="Arial"/>
          <w:sz w:val="20"/>
          <w:szCs w:val="20"/>
          <w:color w:val="auto"/>
        </w:rPr>
        <w:t xml:space="preserve">In elevating </w:t>
      </w:r>
      <w:r>
        <w:rPr>
          <w:rFonts w:ascii="Arial" w:cs="Arial" w:eastAsia="Arial" w:hAnsi="Arial"/>
          <w:sz w:val="20"/>
          <w:szCs w:val="20"/>
          <w:i w:val="1"/>
          <w:iCs w:val="1"/>
          <w:color w:val="auto"/>
        </w:rPr>
        <w:t>Sustainability</w:t>
      </w:r>
      <w:r>
        <w:rPr>
          <w:rFonts w:ascii="Arial" w:cs="Arial" w:eastAsia="Arial" w:hAnsi="Arial"/>
          <w:sz w:val="20"/>
          <w:szCs w:val="20"/>
          <w:color w:val="auto"/>
        </w:rPr>
        <w:t xml:space="preserve"> to the fourth pillar of our long-term strategy, the Company and the Board affirmed our belief that helping to drive positive change at scale is an integral part of value creation – with positive returns for all our stakeholders – and we are pleased with the progress that Team MDLZ already has delivered. For example, in late 2022, the Company launched the next chapter of Cocoa Life – its program designed to help lift up the people and restore the landscapes where cocoa grows – with an incremental investment of $600 million, bringing its total investments to $1 billion by 2030. Additionally, Mondelēz International continued to expand its use of renewable energy to reduce Scope 1 and 2 greenhouse gas emissions, while advancing its Light &amp; Right Packaging strategy, with ~95% of packaging designed for recyclability.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104775</wp:posOffset>
            </wp:positionV>
            <wp:extent cx="714311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580"/>
            <w:col w:w="7100"/>
          </w:cols>
          <w:pgMar w:left="980" w:top="559" w:right="339" w:bottom="1440" w:gutter="0" w:footer="0" w:header="0"/>
          <w:type w:val="continuous"/>
        </w:sectPr>
      </w:pPr>
    </w:p>
    <w:p>
      <w:pPr>
        <w:spacing w:after="0" w:line="40" w:lineRule="exact"/>
        <w:rPr>
          <w:sz w:val="20"/>
          <w:szCs w:val="20"/>
          <w:color w:val="auto"/>
        </w:rPr>
      </w:pPr>
    </w:p>
    <w:p>
      <w:pPr>
        <w:ind w:left="8480"/>
        <w:spacing w:after="0"/>
        <w:rPr>
          <w:sz w:val="20"/>
          <w:szCs w:val="20"/>
          <w:color w:val="auto"/>
        </w:rPr>
      </w:pPr>
      <w:r>
        <w:rPr>
          <w:rFonts w:ascii="Arial" w:cs="Arial" w:eastAsia="Arial" w:hAnsi="Arial"/>
          <w:sz w:val="15"/>
          <w:szCs w:val="15"/>
          <w:b w:val="1"/>
          <w:bCs w:val="1"/>
          <w:color w:val="58358F"/>
        </w:rPr>
        <w:t>2023 PROXY STATEMENT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182245</wp:posOffset>
            </wp:positionV>
            <wp:extent cx="714311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-100965</wp:posOffset>
            </wp:positionV>
            <wp:extent cx="906780" cy="220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0580"/>
          </w:cols>
          <w:pgMar w:left="980" w:top="559" w:right="339" w:bottom="1440" w:gutter="0" w:footer="0" w:header="0"/>
          <w:type w:val="continuous"/>
        </w:sectPr>
      </w:pPr>
    </w:p>
    <w:bookmarkStart w:id="7" w:name="page8"/>
    <w:bookmarkEnd w:id="7"/>
    <w:p>
      <w:pPr>
        <w:ind w:right="120"/>
        <w:spacing w:after="0" w:line="242" w:lineRule="auto"/>
        <w:rPr>
          <w:sz w:val="20"/>
          <w:szCs w:val="20"/>
          <w:color w:val="auto"/>
        </w:rPr>
      </w:pPr>
      <w:r>
        <w:rPr>
          <w:rFonts w:ascii="Arial" w:cs="Arial" w:eastAsia="Arial" w:hAnsi="Arial"/>
          <w:sz w:val="20"/>
          <w:szCs w:val="20"/>
          <w:color w:val="auto"/>
        </w:rPr>
        <w:t>As Mondelēz International’s strategy evolves, our approach to executive compensation remains closely aligned with financial and strategic performance, with plan metrics designed to drive high quality results against each of our strategic pillars. This helps ensure that executives are appropriately incentivized to drive growth and that compensation is aligned with the shareholder experience. The Board and the People and Compensation Committee remain committed to maintaining our strong pay-for-performance philosophy.</w:t>
      </w:r>
    </w:p>
    <w:p>
      <w:pPr>
        <w:spacing w:after="0" w:line="132"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As I near the completion of my first year as Lead Director, I am pleased to report that the Board and Company remain focused on advancing diversity, equity and inclusion (“DEI”), because we understand the importance of keeping Mondelēz International’s brands locally and culturally relevant, and we know our operations should reflect the consumers we serve. Accordingly, the Company is currently participating in a voluntary, independent, third-party racial equity audit in the United States and Canada. We believe this audit will be an important next step on the Company’s DEI journey, helping us better assess the progress of our ongoing DEI efforts to drive innovation and growth, while fostering productive stakeholder dialogue. We expect to share findings from the audit later this year.</w:t>
      </w:r>
    </w:p>
    <w:p>
      <w:pPr>
        <w:spacing w:after="0" w:line="135"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auto"/>
        </w:rPr>
        <w:t>Earlier this year, we appointed Anindita Mukherjee, Chairwoman &amp; CEO of Pernod Ricard North America, to the Board. Her expertise in consumer insights, commercial execution and brand innovation provides important perspective as we continue to offer the management team critical decision-making support and oversight. After many years of valuable service, Lois D. Juliber and Christina S. Shi will not stand for re-election this year. The Board joins me in thanking them both for their many contributions to Mondelēz International. As part of our commitment to committee rotation and succession, following the Annual Meeting and provided they are re-elected, the Board anticipates that Michael A. Todman will assume leadership of the People and Compensation Committee and Jane Hamilton Nielsen will assume leadership of the Finance Committee.</w:t>
      </w:r>
    </w:p>
    <w:p>
      <w:pPr>
        <w:spacing w:after="0" w:line="135"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Overall, our nine director nominees include three women, represent several national origins, range in age from 57 to 74, and collectively bring a myriad of professional and life experiences to the Board. One director nominee self-identifies as Asian, two director nominees self-identify as Black and six self-identify as white. As Mondelēz International continues to execute its strategy, the Board is well-equipped to create long-term value for our shareholders.</w:t>
      </w:r>
    </w:p>
    <w:p>
      <w:pPr>
        <w:spacing w:after="0" w:line="133" w:lineRule="exact"/>
        <w:rPr>
          <w:sz w:val="20"/>
          <w:szCs w:val="20"/>
          <w:color w:val="auto"/>
        </w:rPr>
      </w:pPr>
    </w:p>
    <w:p>
      <w:pPr>
        <w:ind w:right="520"/>
        <w:spacing w:after="0" w:line="250" w:lineRule="auto"/>
        <w:rPr>
          <w:sz w:val="20"/>
          <w:szCs w:val="20"/>
          <w:color w:val="auto"/>
        </w:rPr>
      </w:pPr>
      <w:r>
        <w:rPr>
          <w:rFonts w:ascii="Arial" w:cs="Arial" w:eastAsia="Arial" w:hAnsi="Arial"/>
          <w:sz w:val="20"/>
          <w:szCs w:val="20"/>
          <w:color w:val="auto"/>
        </w:rPr>
        <w:t>We recognize that when you buy shares in Mondelēz International, you are placing your trust in the Board of Directors, the management team and the Company. We value your investment, and we are committed to meeting your expectations of delivering long-term, sustainable value.</w:t>
      </w:r>
    </w:p>
    <w:p>
      <w:pPr>
        <w:spacing w:after="0" w:line="126"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 xml:space="preserve">On behalf of the Board of Directors, thank you for your investment in Mondelēz International as we continue striving to become the global snacking leader. To learn more about the Board, as well as our governance approach, policies and oversight role, please consult this proxy statement and visit our website at </w:t>
      </w:r>
      <w:r>
        <w:rPr>
          <w:rFonts w:ascii="Arial" w:cs="Arial" w:eastAsia="Arial" w:hAnsi="Arial"/>
          <w:sz w:val="20"/>
          <w:szCs w:val="20"/>
          <w:i w:val="1"/>
          <w:iCs w:val="1"/>
          <w:color w:val="582C83"/>
        </w:rPr>
        <w:t>www.mondelezinternational.com</w:t>
      </w:r>
      <w:r>
        <w:rPr>
          <w:rFonts w:ascii="Arial" w:cs="Arial" w:eastAsia="Arial" w:hAnsi="Arial"/>
          <w:sz w:val="20"/>
          <w:szCs w:val="20"/>
          <w:color w:val="auto"/>
        </w:rPr>
        <w:t>.</w:t>
      </w:r>
    </w:p>
    <w:p>
      <w:pPr>
        <w:spacing w:after="0" w:line="126" w:lineRule="exact"/>
        <w:rPr>
          <w:sz w:val="20"/>
          <w:szCs w:val="20"/>
          <w:color w:val="auto"/>
        </w:rPr>
      </w:pPr>
    </w:p>
    <w:p>
      <w:pPr>
        <w:ind w:right="1320"/>
        <w:spacing w:after="0" w:line="268" w:lineRule="auto"/>
        <w:rPr>
          <w:sz w:val="20"/>
          <w:szCs w:val="20"/>
          <w:color w:val="auto"/>
        </w:rPr>
      </w:pPr>
      <w:r>
        <w:rPr>
          <w:rFonts w:ascii="Arial" w:cs="Arial" w:eastAsia="Arial" w:hAnsi="Arial"/>
          <w:sz w:val="20"/>
          <w:szCs w:val="20"/>
          <w:color w:val="auto"/>
        </w:rPr>
        <w:t>Please review the proxy statement and annual report in full. We recommend that you vote in accordance with our recommendations to advance the Company’s long-term growth and success.</w:t>
      </w:r>
    </w:p>
    <w:p>
      <w:pPr>
        <w:spacing w:after="0" w:line="107" w:lineRule="exact"/>
        <w:rPr>
          <w:sz w:val="20"/>
          <w:szCs w:val="20"/>
          <w:color w:val="auto"/>
        </w:rPr>
      </w:pPr>
    </w:p>
    <w:p>
      <w:pPr>
        <w:ind w:left="10400"/>
        <w:spacing w:after="0"/>
        <w:rPr>
          <w:sz w:val="20"/>
          <w:szCs w:val="20"/>
          <w:color w:val="auto"/>
        </w:rPr>
      </w:pPr>
      <w:r>
        <w:rPr>
          <w:rFonts w:ascii="Arial" w:cs="Arial" w:eastAsia="Arial" w:hAnsi="Arial"/>
          <w:sz w:val="19"/>
          <w:szCs w:val="19"/>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5652770</wp:posOffset>
            </wp:positionH>
            <wp:positionV relativeFrom="paragraph">
              <wp:posOffset>146050</wp:posOffset>
            </wp:positionV>
            <wp:extent cx="1490345" cy="417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90345" cy="41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Lead Director</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Mondelēz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14311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ind w:left="340" w:right="2000"/>
        <w:spacing w:after="0" w:line="291" w:lineRule="auto"/>
        <w:rPr>
          <w:sz w:val="20"/>
          <w:szCs w:val="20"/>
          <w:color w:val="auto"/>
        </w:rPr>
      </w:pPr>
      <w:r>
        <w:rPr>
          <w:rFonts w:ascii="Arial" w:cs="Arial" w:eastAsia="Arial" w:hAnsi="Arial"/>
          <w:sz w:val="43"/>
          <w:szCs w:val="43"/>
          <w:b w:val="1"/>
          <w:bCs w:val="1"/>
          <w:color w:val="582C83"/>
        </w:rPr>
        <w:drawing>
          <wp:anchor simplePos="0" relativeHeight="251657728" behindDoc="1" locked="0" layoutInCell="0" allowOverlap="1">
            <wp:simplePos x="0" y="0"/>
            <wp:positionH relativeFrom="page">
              <wp:posOffset>628650</wp:posOffset>
            </wp:positionH>
            <wp:positionV relativeFrom="page">
              <wp:posOffset>96520</wp:posOffset>
            </wp:positionV>
            <wp:extent cx="6307455" cy="1545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t>NOTICE OF 2023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TIME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-143510</wp:posOffset>
            </wp:positionV>
            <wp:extent cx="906780" cy="2444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06780" cy="24447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9:00 a.m. CDT on May 17, 2023</w:t>
      </w:r>
    </w:p>
    <w:p>
      <w:pPr>
        <w:ind w:left="6660"/>
        <w:spacing w:after="0"/>
        <w:rPr>
          <w:sz w:val="20"/>
          <w:szCs w:val="20"/>
          <w:color w:val="auto"/>
        </w:rPr>
      </w:pPr>
      <w:r>
        <w:rPr>
          <w:rFonts w:ascii="Arial" w:cs="Arial" w:eastAsia="Arial" w:hAnsi="Arial"/>
          <w:sz w:val="17"/>
          <w:szCs w:val="17"/>
          <w:b w:val="1"/>
          <w:bCs w:val="1"/>
          <w:color w:val="auto"/>
        </w:rPr>
        <w:t>905 West Fulton Market, Suite 200</w:t>
      </w:r>
    </w:p>
    <w:p>
      <w:pPr>
        <w:spacing w:after="0" w:line="180" w:lineRule="auto"/>
        <w:tabs>
          <w:tab w:leader="none" w:pos="7320" w:val="left"/>
        </w:tabs>
        <w:rPr>
          <w:sz w:val="20"/>
          <w:szCs w:val="20"/>
          <w:color w:val="auto"/>
        </w:rPr>
      </w:pPr>
      <w:r>
        <w:rPr>
          <w:rFonts w:ascii="Arial" w:cs="Arial" w:eastAsia="Arial" w:hAnsi="Arial"/>
          <w:sz w:val="26"/>
          <w:szCs w:val="26"/>
          <w:b w:val="1"/>
          <w:bCs w:val="1"/>
          <w:color w:val="auto"/>
          <w:vertAlign w:val="subscript"/>
        </w:rPr>
        <w:t>Venue</w:t>
      </w:r>
      <w:r>
        <w:rPr>
          <w:sz w:val="20"/>
          <w:szCs w:val="20"/>
          <w:color w:val="auto"/>
        </w:rPr>
        <w:tab/>
      </w:r>
      <w:r>
        <w:rPr>
          <w:rFonts w:ascii="Arial" w:cs="Arial" w:eastAsia="Arial" w:hAnsi="Arial"/>
          <w:sz w:val="14"/>
          <w:szCs w:val="14"/>
          <w:b w:val="1"/>
          <w:bCs w:val="1"/>
          <w:color w:val="auto"/>
        </w:rPr>
        <w:t>Chicago, IL 60607</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Virtual Annual Meeting</w:t>
      </w:r>
    </w:p>
    <w:p>
      <w:pPr>
        <w:spacing w:after="0"/>
        <w:rPr>
          <w:sz w:val="20"/>
          <w:szCs w:val="20"/>
          <w:color w:val="auto"/>
        </w:rPr>
      </w:pPr>
      <w:r>
        <w:rPr>
          <w:rFonts w:ascii="Arial" w:cs="Arial" w:eastAsia="Arial" w:hAnsi="Arial"/>
          <w:sz w:val="20"/>
          <w:szCs w:val="20"/>
          <w:i w:val="1"/>
          <w:iCs w:val="1"/>
          <w:color w:val="582C83"/>
        </w:rPr>
        <w:t>www.virtualshareholdermeeting.com/MDLZ2023</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Record Date</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March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102235</wp:posOffset>
            </wp:positionV>
            <wp:extent cx="6307455" cy="27673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7455" cy="276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582C83"/>
        </w:rPr>
        <w:t>ITEMS OF BUSINESS:</w:t>
      </w:r>
    </w:p>
    <w:p>
      <w:pPr>
        <w:spacing w:after="0" w:line="156" w:lineRule="exact"/>
        <w:rPr>
          <w:sz w:val="20"/>
          <w:szCs w:val="20"/>
          <w:color w:val="auto"/>
        </w:rPr>
      </w:pPr>
    </w:p>
    <w:p>
      <w:pPr>
        <w:ind w:left="1040" w:right="1980" w:hanging="289"/>
        <w:spacing w:after="0" w:line="268" w:lineRule="auto"/>
        <w:tabs>
          <w:tab w:leader="none" w:pos="1014" w:val="left"/>
        </w:tabs>
        <w:numPr>
          <w:ilvl w:val="0"/>
          <w:numId w:val="6"/>
        </w:numPr>
        <w:rPr>
          <w:rFonts w:ascii="Arial" w:cs="Arial" w:eastAsia="Arial" w:hAnsi="Arial"/>
          <w:sz w:val="20"/>
          <w:szCs w:val="20"/>
          <w:b w:val="1"/>
          <w:bCs w:val="1"/>
          <w:color w:val="572C83"/>
        </w:rPr>
      </w:pPr>
      <w:r>
        <w:rPr>
          <w:rFonts w:ascii="Arial" w:cs="Arial" w:eastAsia="Arial" w:hAnsi="Arial"/>
          <w:sz w:val="20"/>
          <w:szCs w:val="20"/>
          <w:color w:val="auto"/>
        </w:rPr>
        <w:t>To elect as directors the nine director nominees named in the Proxy Statement (“Proxy Statement”);</w:t>
      </w:r>
    </w:p>
    <w:p>
      <w:pPr>
        <w:spacing w:after="0" w:line="82" w:lineRule="exact"/>
        <w:rPr>
          <w:rFonts w:ascii="Arial" w:cs="Arial" w:eastAsia="Arial" w:hAnsi="Arial"/>
          <w:sz w:val="20"/>
          <w:szCs w:val="20"/>
          <w:b w:val="1"/>
          <w:bCs w:val="1"/>
          <w:color w:val="572C83"/>
        </w:rPr>
      </w:pPr>
    </w:p>
    <w:p>
      <w:pPr>
        <w:ind w:left="1020" w:hanging="269"/>
        <w:spacing w:after="0"/>
        <w:tabs>
          <w:tab w:leader="none" w:pos="1020" w:val="left"/>
        </w:tabs>
        <w:numPr>
          <w:ilvl w:val="0"/>
          <w:numId w:val="6"/>
        </w:numPr>
        <w:rPr>
          <w:rFonts w:ascii="Arial" w:cs="Arial" w:eastAsia="Arial" w:hAnsi="Arial"/>
          <w:sz w:val="20"/>
          <w:szCs w:val="20"/>
          <w:b w:val="1"/>
          <w:bCs w:val="1"/>
          <w:color w:val="572C83"/>
        </w:rPr>
      </w:pPr>
      <w:r>
        <w:rPr>
          <w:rFonts w:ascii="Arial" w:cs="Arial" w:eastAsia="Arial" w:hAnsi="Arial"/>
          <w:sz w:val="20"/>
          <w:szCs w:val="20"/>
          <w:color w:val="auto"/>
        </w:rPr>
        <w:t>To approve, on an advisory basis, the Company’s executive compensation;</w:t>
      </w:r>
    </w:p>
    <w:p>
      <w:pPr>
        <w:spacing w:after="0" w:line="142" w:lineRule="exact"/>
        <w:rPr>
          <w:rFonts w:ascii="Arial" w:cs="Arial" w:eastAsia="Arial" w:hAnsi="Arial"/>
          <w:sz w:val="20"/>
          <w:szCs w:val="20"/>
          <w:b w:val="1"/>
          <w:bCs w:val="1"/>
          <w:color w:val="572C83"/>
        </w:rPr>
      </w:pPr>
    </w:p>
    <w:p>
      <w:pPr>
        <w:ind w:left="1040" w:right="1880" w:hanging="289"/>
        <w:spacing w:after="0" w:line="268" w:lineRule="auto"/>
        <w:tabs>
          <w:tab w:leader="none" w:pos="1014" w:val="left"/>
        </w:tabs>
        <w:numPr>
          <w:ilvl w:val="0"/>
          <w:numId w:val="6"/>
        </w:numPr>
        <w:rPr>
          <w:rFonts w:ascii="Arial" w:cs="Arial" w:eastAsia="Arial" w:hAnsi="Arial"/>
          <w:sz w:val="20"/>
          <w:szCs w:val="20"/>
          <w:b w:val="1"/>
          <w:bCs w:val="1"/>
          <w:color w:val="572C83"/>
        </w:rPr>
      </w:pPr>
      <w:r>
        <w:rPr>
          <w:rFonts w:ascii="Arial" w:cs="Arial" w:eastAsia="Arial" w:hAnsi="Arial"/>
          <w:sz w:val="20"/>
          <w:szCs w:val="20"/>
          <w:color w:val="auto"/>
        </w:rPr>
        <w:t>To hold an advisory vote on the frequency of future advisory votes to approve executive compensation;</w:t>
      </w:r>
    </w:p>
    <w:p>
      <w:pPr>
        <w:spacing w:after="0" w:line="82" w:lineRule="exact"/>
        <w:rPr>
          <w:rFonts w:ascii="Arial" w:cs="Arial" w:eastAsia="Arial" w:hAnsi="Arial"/>
          <w:sz w:val="20"/>
          <w:szCs w:val="20"/>
          <w:b w:val="1"/>
          <w:bCs w:val="1"/>
          <w:color w:val="572C83"/>
        </w:rPr>
      </w:pPr>
    </w:p>
    <w:p>
      <w:pPr>
        <w:ind w:left="1040" w:right="1520" w:hanging="289"/>
        <w:spacing w:after="0" w:line="268" w:lineRule="auto"/>
        <w:tabs>
          <w:tab w:leader="none" w:pos="1014" w:val="left"/>
        </w:tabs>
        <w:numPr>
          <w:ilvl w:val="0"/>
          <w:numId w:val="6"/>
        </w:numPr>
        <w:rPr>
          <w:rFonts w:ascii="Arial" w:cs="Arial" w:eastAsia="Arial" w:hAnsi="Arial"/>
          <w:sz w:val="20"/>
          <w:szCs w:val="20"/>
          <w:b w:val="1"/>
          <w:bCs w:val="1"/>
          <w:color w:val="572C83"/>
        </w:rPr>
      </w:pPr>
      <w:r>
        <w:rPr>
          <w:rFonts w:ascii="Arial" w:cs="Arial" w:eastAsia="Arial" w:hAnsi="Arial"/>
          <w:sz w:val="20"/>
          <w:szCs w:val="20"/>
          <w:color w:val="auto"/>
        </w:rPr>
        <w:t>To ratify the selection of PricewaterhouseCoopers LLP as the independent registered public accountants for the fiscal year ending December 31, 2023;</w:t>
      </w:r>
    </w:p>
    <w:p>
      <w:pPr>
        <w:spacing w:after="0" w:line="82" w:lineRule="exact"/>
        <w:rPr>
          <w:rFonts w:ascii="Arial" w:cs="Arial" w:eastAsia="Arial" w:hAnsi="Arial"/>
          <w:sz w:val="20"/>
          <w:szCs w:val="20"/>
          <w:b w:val="1"/>
          <w:bCs w:val="1"/>
          <w:color w:val="572C83"/>
        </w:rPr>
      </w:pPr>
    </w:p>
    <w:p>
      <w:pPr>
        <w:ind w:left="1020" w:hanging="269"/>
        <w:spacing w:after="0"/>
        <w:tabs>
          <w:tab w:leader="none" w:pos="1020" w:val="left"/>
        </w:tabs>
        <w:numPr>
          <w:ilvl w:val="0"/>
          <w:numId w:val="6"/>
        </w:numPr>
        <w:rPr>
          <w:rFonts w:ascii="Arial" w:cs="Arial" w:eastAsia="Arial" w:hAnsi="Arial"/>
          <w:sz w:val="20"/>
          <w:szCs w:val="20"/>
          <w:b w:val="1"/>
          <w:bCs w:val="1"/>
          <w:color w:val="572C83"/>
        </w:rPr>
      </w:pPr>
      <w:r>
        <w:rPr>
          <w:rFonts w:ascii="Arial" w:cs="Arial" w:eastAsia="Arial" w:hAnsi="Arial"/>
          <w:sz w:val="20"/>
          <w:szCs w:val="20"/>
          <w:color w:val="auto"/>
        </w:rPr>
        <w:t>To vote on three shareholder proposals if properly presented at the meeting; and</w:t>
      </w:r>
    </w:p>
    <w:p>
      <w:pPr>
        <w:spacing w:after="0" w:line="142" w:lineRule="exact"/>
        <w:rPr>
          <w:rFonts w:ascii="Arial" w:cs="Arial" w:eastAsia="Arial" w:hAnsi="Arial"/>
          <w:sz w:val="20"/>
          <w:szCs w:val="20"/>
          <w:b w:val="1"/>
          <w:bCs w:val="1"/>
          <w:color w:val="572C83"/>
        </w:rPr>
      </w:pPr>
    </w:p>
    <w:p>
      <w:pPr>
        <w:ind w:left="1020" w:hanging="269"/>
        <w:spacing w:after="0"/>
        <w:tabs>
          <w:tab w:leader="none" w:pos="1020" w:val="left"/>
        </w:tabs>
        <w:numPr>
          <w:ilvl w:val="0"/>
          <w:numId w:val="6"/>
        </w:numPr>
        <w:rPr>
          <w:rFonts w:ascii="Arial" w:cs="Arial" w:eastAsia="Arial" w:hAnsi="Arial"/>
          <w:sz w:val="20"/>
          <w:szCs w:val="20"/>
          <w:b w:val="1"/>
          <w:bCs w:val="1"/>
          <w:color w:val="572C83"/>
        </w:rPr>
      </w:pPr>
      <w:r>
        <w:rPr>
          <w:rFonts w:ascii="Arial" w:cs="Arial" w:eastAsia="Arial" w:hAnsi="Arial"/>
          <w:sz w:val="20"/>
          <w:szCs w:val="20"/>
          <w:color w:val="auto"/>
        </w:rPr>
        <w:t>To transact any other business properly presented at the meeting.</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MAY VOTE:</w:t>
      </w:r>
    </w:p>
    <w:p>
      <w:pPr>
        <w:spacing w:after="0" w:line="56" w:lineRule="exact"/>
        <w:rPr>
          <w:sz w:val="20"/>
          <w:szCs w:val="20"/>
          <w:color w:val="auto"/>
        </w:rPr>
      </w:pPr>
    </w:p>
    <w:p>
      <w:pPr>
        <w:ind w:right="860"/>
        <w:spacing w:after="0" w:line="278" w:lineRule="auto"/>
        <w:rPr>
          <w:sz w:val="20"/>
          <w:szCs w:val="20"/>
          <w:color w:val="auto"/>
        </w:rPr>
      </w:pPr>
      <w:r>
        <w:rPr>
          <w:rFonts w:ascii="Arial" w:cs="Arial" w:eastAsia="Arial" w:hAnsi="Arial"/>
          <w:sz w:val="20"/>
          <w:szCs w:val="20"/>
          <w:color w:val="auto"/>
        </w:rPr>
        <w:t xml:space="preserve">Shareholders of record of Mondelēz International Class A Common Stock at the close of business on </w:t>
      </w:r>
      <w:r>
        <w:rPr>
          <w:rFonts w:ascii="Arial" w:cs="Arial" w:eastAsia="Arial" w:hAnsi="Arial"/>
          <w:sz w:val="20"/>
          <w:szCs w:val="20"/>
          <w:b w:val="1"/>
          <w:bCs w:val="1"/>
          <w:color w:val="auto"/>
        </w:rPr>
        <w:t>March 8,</w:t>
      </w:r>
      <w:r>
        <w:rPr>
          <w:rFonts w:ascii="Arial" w:cs="Arial" w:eastAsia="Arial" w:hAnsi="Arial"/>
          <w:sz w:val="20"/>
          <w:szCs w:val="20"/>
          <w:color w:val="auto"/>
        </w:rPr>
        <w:t xml:space="preserve"> </w:t>
      </w:r>
      <w:r>
        <w:rPr>
          <w:rFonts w:ascii="Arial" w:cs="Arial" w:eastAsia="Arial" w:hAnsi="Arial"/>
          <w:sz w:val="20"/>
          <w:szCs w:val="20"/>
          <w:b w:val="1"/>
          <w:bCs w:val="1"/>
          <w:color w:val="auto"/>
        </w:rPr>
        <w:t>2023</w:t>
      </w:r>
      <w:r>
        <w:rPr>
          <w:rFonts w:ascii="Arial" w:cs="Arial" w:eastAsia="Arial" w:hAnsi="Arial"/>
          <w:sz w:val="20"/>
          <w:szCs w:val="20"/>
          <w:color w:val="auto"/>
        </w:rPr>
        <w:t>, are entitled to vote at the Annual Meeting.</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 OF DISTRIBUTION:</w:t>
      </w:r>
    </w:p>
    <w:p>
      <w:pPr>
        <w:spacing w:after="0" w:line="56" w:lineRule="exact"/>
        <w:rPr>
          <w:sz w:val="20"/>
          <w:szCs w:val="20"/>
          <w:color w:val="auto"/>
        </w:rPr>
      </w:pPr>
    </w:p>
    <w:p>
      <w:pPr>
        <w:ind w:right="720"/>
        <w:spacing w:after="0" w:line="250" w:lineRule="auto"/>
        <w:rPr>
          <w:sz w:val="20"/>
          <w:szCs w:val="20"/>
          <w:color w:val="auto"/>
        </w:rPr>
      </w:pPr>
      <w:r>
        <w:rPr>
          <w:rFonts w:ascii="Arial" w:cs="Arial" w:eastAsia="Arial" w:hAnsi="Arial"/>
          <w:sz w:val="20"/>
          <w:szCs w:val="20"/>
          <w:color w:val="auto"/>
        </w:rPr>
        <w:t xml:space="preserve">On or about April 6, 2023, we distributed the Notice of Internet Availability of Proxy Materials and made available electronically the Proxy Statement, Proxy Card and Annual Report on Form 10-K for the year ended December 31, 2022, online at </w:t>
      </w:r>
      <w:r>
        <w:rPr>
          <w:rFonts w:ascii="Arial" w:cs="Arial" w:eastAsia="Arial" w:hAnsi="Arial"/>
          <w:sz w:val="20"/>
          <w:szCs w:val="20"/>
          <w:i w:val="1"/>
          <w:iCs w:val="1"/>
          <w:color w:val="582C83"/>
        </w:rPr>
        <w:t>http://materials.proxyvote.com/609207</w:t>
      </w:r>
      <w:r>
        <w:rPr>
          <w:rFonts w:ascii="Arial" w:cs="Arial" w:eastAsia="Arial" w:hAnsi="Arial"/>
          <w:sz w:val="20"/>
          <w:szCs w:val="20"/>
          <w:color w:val="auto"/>
        </w:rPr>
        <w:t>.</w:t>
      </w:r>
    </w:p>
    <w:p>
      <w:pPr>
        <w:spacing w:after="0" w:line="126" w:lineRule="exact"/>
        <w:rPr>
          <w:sz w:val="20"/>
          <w:szCs w:val="20"/>
          <w:color w:val="auto"/>
        </w:rPr>
      </w:pPr>
    </w:p>
    <w:p>
      <w:pPr>
        <w:ind w:right="700"/>
        <w:spacing w:after="0" w:line="250" w:lineRule="auto"/>
        <w:rPr>
          <w:sz w:val="20"/>
          <w:szCs w:val="20"/>
          <w:color w:val="auto"/>
        </w:rPr>
      </w:pPr>
      <w:r>
        <w:rPr>
          <w:rFonts w:ascii="Arial" w:cs="Arial" w:eastAsia="Arial" w:hAnsi="Arial"/>
          <w:sz w:val="20"/>
          <w:szCs w:val="20"/>
          <w:color w:val="auto"/>
        </w:rPr>
        <w:t>On or about April</w:t>
      </w:r>
      <w:r>
        <w:rPr>
          <w:rFonts w:ascii="Times New Roman" w:cs="Times New Roman" w:eastAsia="Times New Roman" w:hAnsi="Times New Roman"/>
          <w:sz w:val="20"/>
          <w:szCs w:val="20"/>
          <w:color w:val="auto"/>
        </w:rPr>
        <w:t> </w:t>
      </w:r>
      <w:r>
        <w:rPr>
          <w:rFonts w:ascii="Arial" w:cs="Arial" w:eastAsia="Arial" w:hAnsi="Arial"/>
          <w:sz w:val="20"/>
          <w:szCs w:val="20"/>
          <w:color w:val="auto"/>
        </w:rPr>
        <w:t>10, 2023, we expect to mail the Proxy Statement, Proxy Card and Annual Report on Form 10-K for the year ended December 31, 2022, to shareholders who previously elected to receive a paper copy of the Proxy Materials.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FORMAT OF THE ANNUAL MEETING OF SHAREHOLDERS:</w:t>
      </w:r>
    </w:p>
    <w:p>
      <w:pPr>
        <w:spacing w:after="0" w:line="94" w:lineRule="exact"/>
        <w:rPr>
          <w:sz w:val="20"/>
          <w:szCs w:val="20"/>
          <w:color w:val="auto"/>
        </w:rPr>
      </w:pPr>
    </w:p>
    <w:p>
      <w:pPr>
        <w:ind w:right="940"/>
        <w:spacing w:after="0" w:line="244" w:lineRule="auto"/>
        <w:rPr>
          <w:sz w:val="20"/>
          <w:szCs w:val="20"/>
          <w:color w:val="auto"/>
        </w:rPr>
      </w:pPr>
      <w:r>
        <w:rPr>
          <w:rFonts w:ascii="Arial" w:cs="Arial" w:eastAsia="Arial" w:hAnsi="Arial"/>
          <w:sz w:val="20"/>
          <w:szCs w:val="20"/>
          <w:color w:val="auto"/>
        </w:rPr>
        <w:t>The Board of Directors (the “Board”) has determined that we will hold a virtual 2023 Annual Meeting of Shareholders (the “Annual Meeting”) via webcast. We have designed the format of the Annual Meeting so that shareholders have the same rights and opportunities as they would have at a physical meeting for meaningful engagement with the Company.</w:t>
      </w:r>
    </w:p>
    <w:p>
      <w:pPr>
        <w:spacing w:after="0" w:line="133" w:lineRule="exact"/>
        <w:rPr>
          <w:sz w:val="20"/>
          <w:szCs w:val="20"/>
          <w:color w:val="auto"/>
        </w:rPr>
      </w:pPr>
    </w:p>
    <w:p>
      <w:pPr>
        <w:ind w:right="680"/>
        <w:spacing w:after="0" w:line="241" w:lineRule="auto"/>
        <w:rPr>
          <w:sz w:val="20"/>
          <w:szCs w:val="20"/>
          <w:color w:val="auto"/>
        </w:rPr>
      </w:pPr>
      <w:r>
        <w:rPr>
          <w:rFonts w:ascii="Arial" w:cs="Arial" w:eastAsia="Arial" w:hAnsi="Arial"/>
          <w:sz w:val="20"/>
          <w:szCs w:val="20"/>
          <w:b w:val="1"/>
          <w:bCs w:val="1"/>
          <w:color w:val="582C83"/>
        </w:rPr>
        <w:t xml:space="preserve">Access to the Webcast of the Annual Meeting: </w:t>
      </w:r>
      <w:r>
        <w:rPr>
          <w:rFonts w:ascii="Arial" w:cs="Arial" w:eastAsia="Arial" w:hAnsi="Arial"/>
          <w:sz w:val="20"/>
          <w:szCs w:val="20"/>
          <w:color w:val="000000"/>
        </w:rPr>
        <w:t>The webcast of the Annual Meeting will begin at 9:00 a.m.</w:t>
      </w:r>
      <w:r>
        <w:rPr>
          <w:rFonts w:ascii="Arial" w:cs="Arial" w:eastAsia="Arial" w:hAnsi="Arial"/>
          <w:sz w:val="20"/>
          <w:szCs w:val="20"/>
          <w:b w:val="1"/>
          <w:bCs w:val="1"/>
          <w:color w:val="582C83"/>
        </w:rPr>
        <w:t xml:space="preserve"> </w:t>
      </w:r>
      <w:r>
        <w:rPr>
          <w:rFonts w:ascii="Arial" w:cs="Arial" w:eastAsia="Arial" w:hAnsi="Arial"/>
          <w:sz w:val="20"/>
          <w:szCs w:val="20"/>
          <w:color w:val="000000"/>
        </w:rPr>
        <w:t>CDT on May</w:t>
      </w:r>
      <w:r>
        <w:rPr>
          <w:rFonts w:ascii="Times New Roman" w:cs="Times New Roman" w:eastAsia="Times New Roman" w:hAnsi="Times New Roman"/>
          <w:sz w:val="20"/>
          <w:szCs w:val="20"/>
          <w:color w:val="000000"/>
        </w:rPr>
        <w:t> </w:t>
      </w:r>
      <w:r>
        <w:rPr>
          <w:rFonts w:ascii="Arial" w:cs="Arial" w:eastAsia="Arial" w:hAnsi="Arial"/>
          <w:sz w:val="20"/>
          <w:szCs w:val="20"/>
          <w:color w:val="000000"/>
        </w:rPr>
        <w:t xml:space="preserve">17, 2023. Online access to the webcast will open 15 minutes prior to the start of the Annual Meeting to allow time for shareholders to log in and test their device’s system. A recording of the Annual Meeting will be available following the meeting in the investor relations section of our website at </w:t>
      </w:r>
      <w:r>
        <w:rPr>
          <w:rFonts w:ascii="Arial" w:cs="Arial" w:eastAsia="Arial" w:hAnsi="Arial"/>
          <w:sz w:val="20"/>
          <w:szCs w:val="20"/>
          <w:i w:val="1"/>
          <w:iCs w:val="1"/>
          <w:color w:val="582C83"/>
        </w:rPr>
        <w:t>www.mondelezinternational.com</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213360</wp:posOffset>
            </wp:positionV>
            <wp:extent cx="714311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182245</wp:posOffset>
            </wp:positionV>
            <wp:extent cx="714311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-100965</wp:posOffset>
            </wp:positionV>
            <wp:extent cx="906780" cy="220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0580"/>
          </w:cols>
          <w:pgMar w:left="980" w:top="559" w:right="339" w:bottom="627" w:gutter="0" w:footer="0" w:header="0"/>
        </w:sectPr>
      </w:pPr>
    </w:p>
    <w:bookmarkStart w:id="9" w:name="page10"/>
    <w:bookmarkEnd w:id="9"/>
    <w:p>
      <w:pPr>
        <w:ind w:right="180"/>
        <w:spacing w:after="0" w:line="250" w:lineRule="auto"/>
        <w:rPr>
          <w:sz w:val="20"/>
          <w:szCs w:val="20"/>
          <w:color w:val="auto"/>
        </w:rPr>
      </w:pPr>
      <w:r>
        <w:rPr>
          <w:rFonts w:ascii="Arial" w:cs="Arial" w:eastAsia="Arial" w:hAnsi="Arial"/>
          <w:sz w:val="20"/>
          <w:szCs w:val="20"/>
          <w:b w:val="1"/>
          <w:bCs w:val="1"/>
          <w:color w:val="582C83"/>
        </w:rPr>
        <w:t xml:space="preserve">Log-In Instructions: </w:t>
      </w:r>
      <w:r>
        <w:rPr>
          <w:rFonts w:ascii="Arial" w:cs="Arial" w:eastAsia="Arial" w:hAnsi="Arial"/>
          <w:sz w:val="20"/>
          <w:szCs w:val="20"/>
          <w:color w:val="000000"/>
        </w:rPr>
        <w:t>To attend the Annual Meeting, shareholders will need to log in to</w:t>
      </w:r>
      <w:r>
        <w:rPr>
          <w:rFonts w:ascii="Arial" w:cs="Arial" w:eastAsia="Arial" w:hAnsi="Arial"/>
          <w:sz w:val="20"/>
          <w:szCs w:val="20"/>
          <w:b w:val="1"/>
          <w:bCs w:val="1"/>
          <w:color w:val="582C83"/>
        </w:rPr>
        <w:t xml:space="preserve"> </w:t>
      </w:r>
      <w:r>
        <w:rPr>
          <w:rFonts w:ascii="Arial" w:cs="Arial" w:eastAsia="Arial" w:hAnsi="Arial"/>
          <w:sz w:val="20"/>
          <w:szCs w:val="20"/>
          <w:i w:val="1"/>
          <w:iCs w:val="1"/>
          <w:color w:val="582C83"/>
        </w:rPr>
        <w:t xml:space="preserve">www.virtualshareholdermeeting.com/MDLZ2023 </w:t>
      </w:r>
      <w:r>
        <w:rPr>
          <w:rFonts w:ascii="Arial" w:cs="Arial" w:eastAsia="Arial" w:hAnsi="Arial"/>
          <w:sz w:val="20"/>
          <w:szCs w:val="20"/>
          <w:color w:val="000000"/>
        </w:rPr>
        <w:t>using the 16-digit control number shown on their Notice of Internet Availability</w:t>
      </w:r>
      <w:r>
        <w:rPr>
          <w:rFonts w:ascii="Arial" w:cs="Arial" w:eastAsia="Arial" w:hAnsi="Arial"/>
          <w:sz w:val="20"/>
          <w:szCs w:val="20"/>
          <w:i w:val="1"/>
          <w:iCs w:val="1"/>
          <w:color w:val="582C83"/>
        </w:rPr>
        <w:t xml:space="preserve"> </w:t>
      </w:r>
      <w:r>
        <w:rPr>
          <w:rFonts w:ascii="Arial" w:cs="Arial" w:eastAsia="Arial" w:hAnsi="Arial"/>
          <w:sz w:val="20"/>
          <w:szCs w:val="20"/>
          <w:color w:val="000000"/>
        </w:rPr>
        <w:t>of Proxy Materials, Proxy Card or voting instruction form (“VIF”).</w:t>
      </w:r>
    </w:p>
    <w:p>
      <w:pPr>
        <w:spacing w:after="0" w:line="126"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b w:val="1"/>
          <w:bCs w:val="1"/>
          <w:color w:val="582C83"/>
        </w:rPr>
        <w:t xml:space="preserve">Submitting Questions at the Annual Meeting: </w:t>
      </w:r>
      <w:r>
        <w:rPr>
          <w:rFonts w:ascii="Arial" w:cs="Arial" w:eastAsia="Arial" w:hAnsi="Arial"/>
          <w:sz w:val="19"/>
          <w:szCs w:val="19"/>
          <w:color w:val="000000"/>
        </w:rPr>
        <w:t>An online portal is available to shareholders at</w:t>
      </w:r>
      <w:r>
        <w:rPr>
          <w:rFonts w:ascii="Arial" w:cs="Arial" w:eastAsia="Arial" w:hAnsi="Arial"/>
          <w:sz w:val="19"/>
          <w:szCs w:val="19"/>
          <w:b w:val="1"/>
          <w:bCs w:val="1"/>
          <w:color w:val="582C83"/>
        </w:rPr>
        <w:t xml:space="preserve"> </w:t>
      </w:r>
      <w:r>
        <w:rPr>
          <w:rFonts w:ascii="Arial" w:cs="Arial" w:eastAsia="Arial" w:hAnsi="Arial"/>
          <w:sz w:val="19"/>
          <w:szCs w:val="19"/>
          <w:i w:val="1"/>
          <w:iCs w:val="1"/>
          <w:color w:val="582C83"/>
        </w:rPr>
        <w:t>www.proxyvote.com</w:t>
      </w:r>
      <w:r>
        <w:rPr>
          <w:rFonts w:ascii="Arial" w:cs="Arial" w:eastAsia="Arial" w:hAnsi="Arial"/>
          <w:sz w:val="19"/>
          <w:szCs w:val="19"/>
          <w:color w:val="000000"/>
        </w:rPr>
        <w:t>, where</w:t>
      </w:r>
      <w:r>
        <w:rPr>
          <w:rFonts w:ascii="Arial" w:cs="Arial" w:eastAsia="Arial" w:hAnsi="Arial"/>
          <w:sz w:val="19"/>
          <w:szCs w:val="19"/>
          <w:b w:val="1"/>
          <w:bCs w:val="1"/>
          <w:color w:val="582C83"/>
        </w:rPr>
        <w:t xml:space="preserve"> </w:t>
      </w:r>
      <w:r>
        <w:rPr>
          <w:rFonts w:ascii="Arial" w:cs="Arial" w:eastAsia="Arial" w:hAnsi="Arial"/>
          <w:sz w:val="19"/>
          <w:szCs w:val="19"/>
          <w:color w:val="000000"/>
        </w:rPr>
        <w:t xml:space="preserve">they can view and download our Proxy Materials and our Annual Report on Form 10-K for the year ended December 31, 2022. On the day of, and during, the Annual Meeting, shareholders can view our agenda and meeting procedures and submit questions on </w:t>
      </w:r>
      <w:r>
        <w:rPr>
          <w:rFonts w:ascii="Arial" w:cs="Arial" w:eastAsia="Arial" w:hAnsi="Arial"/>
          <w:sz w:val="19"/>
          <w:szCs w:val="19"/>
          <w:i w:val="1"/>
          <w:iCs w:val="1"/>
          <w:color w:val="582C83"/>
        </w:rPr>
        <w:t>www.virtualshareholdermeeting.com/MDLZ2023</w:t>
      </w:r>
      <w:r>
        <w:rPr>
          <w:rFonts w:ascii="Arial" w:cs="Arial" w:eastAsia="Arial" w:hAnsi="Arial"/>
          <w:sz w:val="19"/>
          <w:szCs w:val="19"/>
          <w:color w:val="000000"/>
        </w:rPr>
        <w:t>. Shareholders must have their 16-digit control number to submit questions. Shareholders can raise questions about the items of business for the meeting, and, after the business portion of the Annual Meeting concludes and the meeting is adjourned, shareholders will have another opportunity to raise general questions.</w:t>
      </w:r>
    </w:p>
    <w:p>
      <w:pPr>
        <w:spacing w:after="0" w:line="35" w:lineRule="exact"/>
        <w:rPr>
          <w:sz w:val="20"/>
          <w:szCs w:val="20"/>
          <w:color w:val="auto"/>
        </w:rPr>
      </w:pPr>
    </w:p>
    <w:p>
      <w:pPr>
        <w:ind w:right="200"/>
        <w:spacing w:after="0"/>
        <w:rPr>
          <w:sz w:val="20"/>
          <w:szCs w:val="20"/>
          <w:color w:val="auto"/>
        </w:rPr>
      </w:pPr>
      <w:r>
        <w:rPr>
          <w:rFonts w:ascii="Arial" w:cs="Arial" w:eastAsia="Arial" w:hAnsi="Arial"/>
          <w:sz w:val="20"/>
          <w:szCs w:val="20"/>
          <w:color w:val="auto"/>
        </w:rPr>
        <w:t>We intend to answer all questions submitted during the Annual Meeting that are pertinent to the Company and the items being voted on by shareholders, as time permits and in accordance with our meeting procedures. Answers to questions that we are unable to address during the Annual Meeting will be posted following the meeting on the investor relations section of our website. Questions and answers will be grouped by topic, and substantially similar questions will be answered only once. To promote fairness, efficiently use the meeting time and address a variety of shareholder questions, we will respond to no more than three questions from any single shareholder.</w:t>
      </w:r>
    </w:p>
    <w:p>
      <w:pPr>
        <w:spacing w:after="0" w:line="135" w:lineRule="exact"/>
        <w:rPr>
          <w:sz w:val="20"/>
          <w:szCs w:val="20"/>
          <w:color w:val="auto"/>
        </w:rPr>
      </w:pPr>
    </w:p>
    <w:p>
      <w:pPr>
        <w:ind w:right="920"/>
        <w:spacing w:after="0" w:line="250" w:lineRule="auto"/>
        <w:rPr>
          <w:sz w:val="20"/>
          <w:szCs w:val="20"/>
          <w:color w:val="auto"/>
        </w:rPr>
      </w:pPr>
      <w:r>
        <w:rPr>
          <w:rFonts w:ascii="Arial" w:cs="Arial" w:eastAsia="Arial" w:hAnsi="Arial"/>
          <w:sz w:val="20"/>
          <w:szCs w:val="20"/>
          <w:b w:val="1"/>
          <w:bCs w:val="1"/>
          <w:color w:val="582C83"/>
        </w:rPr>
        <w:t xml:space="preserve">Technical Assistance: </w:t>
      </w:r>
      <w:r>
        <w:rPr>
          <w:rFonts w:ascii="Arial" w:cs="Arial" w:eastAsia="Arial" w:hAnsi="Arial"/>
          <w:sz w:val="20"/>
          <w:szCs w:val="20"/>
          <w:color w:val="000000"/>
        </w:rPr>
        <w:t>We encourage shareholders to access the meeting before the start time. If you encounter any</w:t>
      </w:r>
      <w:r>
        <w:rPr>
          <w:rFonts w:ascii="Arial" w:cs="Arial" w:eastAsia="Arial" w:hAnsi="Arial"/>
          <w:sz w:val="20"/>
          <w:szCs w:val="20"/>
          <w:b w:val="1"/>
          <w:bCs w:val="1"/>
          <w:color w:val="582C83"/>
        </w:rPr>
        <w:t xml:space="preserve"> </w:t>
      </w:r>
      <w:r>
        <w:rPr>
          <w:rFonts w:ascii="Arial" w:cs="Arial" w:eastAsia="Arial" w:hAnsi="Arial"/>
          <w:sz w:val="20"/>
          <w:szCs w:val="20"/>
          <w:color w:val="000000"/>
        </w:rPr>
        <w:t>difficulties accessing the meeting or during the meeting time, please call 1-844-986-0822 (U.S.) or 1-303-562-9302 (International).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On behalf of our Board of Directors, management and employees, thank you for your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993140" cy="276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93140" cy="27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Ellen M. Smith</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Senior Vice President &amp; Chief Counsel, Chief Compliance Officer &amp; Corporate Secretary</w:t>
      </w:r>
    </w:p>
    <w:p>
      <w:pPr>
        <w:spacing w:after="0"/>
        <w:rPr>
          <w:sz w:val="20"/>
          <w:szCs w:val="20"/>
          <w:color w:val="auto"/>
        </w:rPr>
      </w:pPr>
      <w:r>
        <w:rPr>
          <w:rFonts w:ascii="Arial" w:cs="Arial" w:eastAsia="Arial" w:hAnsi="Arial"/>
          <w:sz w:val="20"/>
          <w:szCs w:val="20"/>
          <w:color w:val="auto"/>
        </w:rPr>
        <w:t>April 6, 2023</w:t>
      </w:r>
    </w:p>
    <w:p>
      <w:pPr>
        <w:spacing w:after="0" w:line="396" w:lineRule="exact"/>
        <w:rPr>
          <w:sz w:val="20"/>
          <w:szCs w:val="20"/>
          <w:color w:val="auto"/>
        </w:rPr>
      </w:pPr>
    </w:p>
    <w:p>
      <w:pPr>
        <w:ind w:right="940"/>
        <w:spacing w:after="0" w:line="288" w:lineRule="auto"/>
        <w:rPr>
          <w:sz w:val="20"/>
          <w:szCs w:val="20"/>
          <w:color w:val="auto"/>
        </w:rPr>
      </w:pPr>
      <w:r>
        <w:rPr>
          <w:rFonts w:ascii="Arial" w:cs="Arial" w:eastAsia="Arial" w:hAnsi="Arial"/>
          <w:sz w:val="22"/>
          <w:szCs w:val="22"/>
          <w:b w:val="1"/>
          <w:bCs w:val="1"/>
          <w:color w:val="582C83"/>
        </w:rPr>
        <w:t>IMPORTANT NOTICE REGARDING THE AVAILABILITY OF PROXY MATERIALS FOR THE ANNUAL MEETING OF SHAREHOLDERS TO BE HELD ON MAY 17, 2023</w:t>
      </w:r>
    </w:p>
    <w:p>
      <w:pPr>
        <w:spacing w:after="0" w:line="1" w:lineRule="exact"/>
        <w:rPr>
          <w:sz w:val="20"/>
          <w:szCs w:val="20"/>
          <w:color w:val="auto"/>
        </w:rPr>
      </w:pPr>
    </w:p>
    <w:p>
      <w:pPr>
        <w:ind w:right="300"/>
        <w:spacing w:after="0" w:line="268" w:lineRule="auto"/>
        <w:rPr>
          <w:sz w:val="20"/>
          <w:szCs w:val="20"/>
          <w:color w:val="auto"/>
        </w:rPr>
      </w:pPr>
      <w:r>
        <w:rPr>
          <w:rFonts w:ascii="Arial" w:cs="Arial" w:eastAsia="Arial" w:hAnsi="Arial"/>
          <w:sz w:val="20"/>
          <w:szCs w:val="20"/>
          <w:color w:val="auto"/>
        </w:rPr>
        <w:t xml:space="preserve">Mondelēz International, Inc.’s Proxy Statement and Annual Report on Form 10-K for the year ended December 31, 2022, are available at </w:t>
      </w:r>
      <w:r>
        <w:rPr>
          <w:rFonts w:ascii="Arial" w:cs="Arial" w:eastAsia="Arial" w:hAnsi="Arial"/>
          <w:sz w:val="20"/>
          <w:szCs w:val="20"/>
          <w:i w:val="1"/>
          <w:iCs w:val="1"/>
          <w:color w:val="582C83"/>
        </w:rPr>
        <w:t>http://materials.proxyvote.com/609207</w:t>
      </w:r>
      <w:r>
        <w:rPr>
          <w:rFonts w:ascii="Arial" w:cs="Arial" w:eastAsia="Arial" w:hAnsi="Arial"/>
          <w:sz w:val="20"/>
          <w:szCs w:val="20"/>
          <w:color w:val="auto"/>
        </w:rPr>
        <w:t>.</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339"/>
        </w:trPr>
        <w:tc>
          <w:tcPr>
            <w:tcW w:w="3440" w:type="dxa"/>
            <w:vAlign w:val="bottom"/>
            <w:tcBorders>
              <w:top w:val="single" w:sz="8" w:color="582C83"/>
              <w:left w:val="single" w:sz="8" w:color="582C83"/>
            </w:tcBorders>
          </w:tcPr>
          <w:p>
            <w:pPr>
              <w:ind w:left="140"/>
              <w:spacing w:after="0"/>
              <w:rPr>
                <w:sz w:val="20"/>
                <w:szCs w:val="20"/>
                <w:color w:val="auto"/>
              </w:rPr>
            </w:pPr>
            <w:r>
              <w:rPr>
                <w:rFonts w:ascii="Arial" w:cs="Arial" w:eastAsia="Arial" w:hAnsi="Arial"/>
                <w:sz w:val="20"/>
                <w:szCs w:val="20"/>
                <w:b w:val="1"/>
                <w:bCs w:val="1"/>
                <w:color w:val="582C83"/>
              </w:rPr>
              <w:t>HOW TO VOTE</w:t>
            </w:r>
          </w:p>
        </w:tc>
        <w:tc>
          <w:tcPr>
            <w:tcW w:w="1960" w:type="dxa"/>
            <w:vAlign w:val="bottom"/>
            <w:tcBorders>
              <w:top w:val="single" w:sz="8" w:color="582C83"/>
            </w:tcBorders>
          </w:tcPr>
          <w:p>
            <w:pPr>
              <w:spacing w:after="0"/>
              <w:rPr>
                <w:sz w:val="24"/>
                <w:szCs w:val="24"/>
                <w:color w:val="auto"/>
              </w:rPr>
            </w:pPr>
          </w:p>
        </w:tc>
        <w:tc>
          <w:tcPr>
            <w:tcW w:w="1940" w:type="dxa"/>
            <w:vAlign w:val="bottom"/>
            <w:tcBorders>
              <w:top w:val="single" w:sz="8" w:color="582C83"/>
            </w:tcBorders>
          </w:tcPr>
          <w:p>
            <w:pPr>
              <w:spacing w:after="0"/>
              <w:rPr>
                <w:sz w:val="24"/>
                <w:szCs w:val="24"/>
                <w:color w:val="auto"/>
              </w:rPr>
            </w:pPr>
          </w:p>
        </w:tc>
        <w:tc>
          <w:tcPr>
            <w:tcW w:w="1920" w:type="dxa"/>
            <w:vAlign w:val="bottom"/>
            <w:tcBorders>
              <w:top w:val="single" w:sz="8" w:color="582C83"/>
            </w:tcBorders>
          </w:tcPr>
          <w:p>
            <w:pPr>
              <w:spacing w:after="0"/>
              <w:rPr>
                <w:sz w:val="24"/>
                <w:szCs w:val="24"/>
                <w:color w:val="auto"/>
              </w:rPr>
            </w:pPr>
          </w:p>
        </w:tc>
        <w:tc>
          <w:tcPr>
            <w:tcW w:w="2000" w:type="dxa"/>
            <w:vAlign w:val="bottom"/>
            <w:tcBorders>
              <w:top w:val="single" w:sz="8" w:color="582C83"/>
              <w:right w:val="single" w:sz="8" w:color="582C83"/>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40" w:type="dxa"/>
            <w:vAlign w:val="bottom"/>
            <w:tcBorders>
              <w:left w:val="single" w:sz="8" w:color="582C83"/>
            </w:tcBorders>
          </w:tcPr>
          <w:p>
            <w:pPr>
              <w:ind w:left="140"/>
              <w:spacing w:after="0"/>
              <w:rPr>
                <w:sz w:val="20"/>
                <w:szCs w:val="20"/>
                <w:color w:val="auto"/>
              </w:rPr>
            </w:pPr>
            <w:r>
              <w:rPr>
                <w:rFonts w:ascii="Arial" w:cs="Arial" w:eastAsia="Arial" w:hAnsi="Arial"/>
                <w:sz w:val="17"/>
                <w:szCs w:val="17"/>
                <w:b w:val="1"/>
                <w:bCs w:val="1"/>
                <w:color w:val="auto"/>
              </w:rPr>
              <w:t>Even if you plan to attend the Annual</w:t>
            </w:r>
          </w:p>
        </w:tc>
        <w:tc>
          <w:tcPr>
            <w:tcW w:w="19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0" w:type="dxa"/>
            <w:vAlign w:val="bottom"/>
            <w:tcBorders>
              <w:right w:val="single" w:sz="8" w:color="582C83"/>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440" w:type="dxa"/>
            <w:vAlign w:val="bottom"/>
            <w:tcBorders>
              <w:left w:val="single" w:sz="8" w:color="582C83"/>
            </w:tcBorders>
          </w:tcPr>
          <w:p>
            <w:pPr>
              <w:ind w:left="140"/>
              <w:spacing w:after="0"/>
              <w:rPr>
                <w:sz w:val="20"/>
                <w:szCs w:val="20"/>
                <w:color w:val="auto"/>
              </w:rPr>
            </w:pPr>
            <w:r>
              <w:rPr>
                <w:rFonts w:ascii="Arial" w:cs="Arial" w:eastAsia="Arial" w:hAnsi="Arial"/>
                <w:sz w:val="17"/>
                <w:szCs w:val="17"/>
                <w:b w:val="1"/>
                <w:bCs w:val="1"/>
                <w:color w:val="auto"/>
              </w:rPr>
              <w:t>Meeting online, please vote in</w:t>
            </w:r>
          </w:p>
        </w:tc>
        <w:tc>
          <w:tcPr>
            <w:tcW w:w="19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8"/>
              </w:rPr>
              <w:t>VIA THE</w:t>
            </w:r>
          </w:p>
        </w:tc>
        <w:tc>
          <w:tcPr>
            <w:tcW w:w="19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WITH YOUR</w:t>
            </w:r>
          </w:p>
        </w:tc>
        <w:tc>
          <w:tcPr>
            <w:tcW w:w="192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8"/>
              </w:rPr>
              <w:t>BY TELEPHONE</w:t>
            </w:r>
          </w:p>
        </w:tc>
        <w:tc>
          <w:tcPr>
            <w:tcW w:w="200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b w:val="1"/>
                <w:bCs w:val="1"/>
                <w:color w:val="auto"/>
                <w:w w:val="97"/>
              </w:rPr>
              <w:t>BY MAIL</w:t>
            </w:r>
          </w:p>
        </w:tc>
        <w:tc>
          <w:tcPr>
            <w:tcW w:w="0" w:type="dxa"/>
            <w:vAlign w:val="bottom"/>
          </w:tcPr>
          <w:p>
            <w:pPr>
              <w:spacing w:after="0"/>
              <w:rPr>
                <w:sz w:val="1"/>
                <w:szCs w:val="1"/>
                <w:color w:val="auto"/>
              </w:rPr>
            </w:pPr>
          </w:p>
        </w:tc>
      </w:tr>
      <w:tr>
        <w:trPr>
          <w:trHeight w:val="112"/>
        </w:trPr>
        <w:tc>
          <w:tcPr>
            <w:tcW w:w="3440" w:type="dxa"/>
            <w:vAlign w:val="bottom"/>
            <w:tcBorders>
              <w:left w:val="single" w:sz="8" w:color="582C83"/>
            </w:tcBorders>
            <w:vMerge w:val="restart"/>
          </w:tcPr>
          <w:p>
            <w:pPr>
              <w:ind w:left="140"/>
              <w:spacing w:after="0"/>
              <w:rPr>
                <w:sz w:val="20"/>
                <w:szCs w:val="20"/>
                <w:color w:val="auto"/>
              </w:rPr>
            </w:pPr>
            <w:r>
              <w:rPr>
                <w:rFonts w:ascii="Arial" w:cs="Arial" w:eastAsia="Arial" w:hAnsi="Arial"/>
                <w:sz w:val="17"/>
                <w:szCs w:val="17"/>
                <w:b w:val="1"/>
                <w:bCs w:val="1"/>
                <w:color w:val="auto"/>
              </w:rPr>
              <w:t>advance. If you are voting via the</w:t>
            </w:r>
          </w:p>
        </w:tc>
        <w:tc>
          <w:tcPr>
            <w:tcW w:w="1960" w:type="dxa"/>
            <w:vAlign w:val="bottom"/>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2000" w:type="dxa"/>
            <w:vAlign w:val="bottom"/>
            <w:tcBorders>
              <w:right w:val="single" w:sz="8" w:color="582C8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440" w:type="dxa"/>
            <w:vAlign w:val="bottom"/>
            <w:tcBorders>
              <w:left w:val="single" w:sz="8" w:color="582C83"/>
            </w:tcBorders>
            <w:vMerge w:val="continue"/>
          </w:tcPr>
          <w:p>
            <w:pPr>
              <w:spacing w:after="0"/>
              <w:rPr>
                <w:sz w:val="7"/>
                <w:szCs w:val="7"/>
                <w:color w:val="auto"/>
              </w:rPr>
            </w:pPr>
          </w:p>
        </w:tc>
        <w:tc>
          <w:tcPr>
            <w:tcW w:w="19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INTERNET</w:t>
            </w:r>
          </w:p>
        </w:tc>
        <w:tc>
          <w:tcPr>
            <w:tcW w:w="19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8"/>
              </w:rPr>
              <w:t>MOBILE DEVICE</w:t>
            </w:r>
          </w:p>
        </w:tc>
        <w:tc>
          <w:tcPr>
            <w:tcW w:w="1920" w:type="dxa"/>
            <w:vAlign w:val="bottom"/>
            <w:vMerge w:val="restart"/>
          </w:tcPr>
          <w:p>
            <w:pPr>
              <w:jc w:val="center"/>
              <w:spacing w:after="0"/>
              <w:rPr>
                <w:sz w:val="20"/>
                <w:szCs w:val="20"/>
                <w:color w:val="auto"/>
              </w:rPr>
            </w:pPr>
            <w:r>
              <w:rPr>
                <w:rFonts w:ascii="Arial" w:cs="Arial" w:eastAsia="Arial" w:hAnsi="Arial"/>
                <w:sz w:val="20"/>
                <w:szCs w:val="20"/>
                <w:color w:val="auto"/>
                <w:w w:val="99"/>
              </w:rPr>
              <w:t>Call the telephone</w:t>
            </w:r>
          </w:p>
        </w:tc>
        <w:tc>
          <w:tcPr>
            <w:tcW w:w="200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color w:val="auto"/>
                <w:w w:val="98"/>
              </w:rPr>
              <w:t>If you received</w:t>
            </w:r>
          </w:p>
        </w:tc>
        <w:tc>
          <w:tcPr>
            <w:tcW w:w="0" w:type="dxa"/>
            <w:vAlign w:val="bottom"/>
          </w:tcPr>
          <w:p>
            <w:pPr>
              <w:spacing w:after="0"/>
              <w:rPr>
                <w:sz w:val="1"/>
                <w:szCs w:val="1"/>
                <w:color w:val="auto"/>
              </w:rPr>
            </w:pPr>
          </w:p>
        </w:tc>
      </w:tr>
      <w:tr>
        <w:trPr>
          <w:trHeight w:val="175"/>
        </w:trPr>
        <w:tc>
          <w:tcPr>
            <w:tcW w:w="3440" w:type="dxa"/>
            <w:vAlign w:val="bottom"/>
            <w:tcBorders>
              <w:left w:val="single" w:sz="8" w:color="582C83"/>
            </w:tcBorders>
          </w:tcPr>
          <w:p>
            <w:pPr>
              <w:ind w:left="140"/>
              <w:spacing w:after="0" w:line="176" w:lineRule="exact"/>
              <w:rPr>
                <w:sz w:val="20"/>
                <w:szCs w:val="20"/>
                <w:color w:val="auto"/>
              </w:rPr>
            </w:pPr>
            <w:r>
              <w:rPr>
                <w:rFonts w:ascii="Arial" w:cs="Arial" w:eastAsia="Arial" w:hAnsi="Arial"/>
                <w:sz w:val="17"/>
                <w:szCs w:val="17"/>
                <w:b w:val="1"/>
                <w:bCs w:val="1"/>
                <w:color w:val="auto"/>
              </w:rPr>
              <w:t>Internet, with your mobile phone or by</w:t>
            </w:r>
          </w:p>
        </w:tc>
        <w:tc>
          <w:tcPr>
            <w:tcW w:w="196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2000" w:type="dxa"/>
            <w:vAlign w:val="bottom"/>
            <w:tcBorders>
              <w:right w:val="single" w:sz="8" w:color="582C83"/>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440" w:type="dxa"/>
            <w:vAlign w:val="bottom"/>
            <w:tcBorders>
              <w:left w:val="single" w:sz="8" w:color="582C83"/>
            </w:tcBorders>
          </w:tcPr>
          <w:p>
            <w:pPr>
              <w:ind w:left="140"/>
              <w:spacing w:after="0"/>
              <w:rPr>
                <w:sz w:val="20"/>
                <w:szCs w:val="20"/>
                <w:color w:val="auto"/>
              </w:rPr>
            </w:pPr>
            <w:r>
              <w:rPr>
                <w:rFonts w:ascii="Arial" w:cs="Arial" w:eastAsia="Arial" w:hAnsi="Arial"/>
                <w:sz w:val="17"/>
                <w:szCs w:val="17"/>
                <w:b w:val="1"/>
                <w:bCs w:val="1"/>
                <w:color w:val="auto"/>
              </w:rPr>
              <w:t>telephone, be sure to have your Proxy</w:t>
            </w:r>
          </w:p>
        </w:tc>
        <w:tc>
          <w:tcPr>
            <w:tcW w:w="1960" w:type="dxa"/>
            <w:vAlign w:val="bottom"/>
          </w:tcPr>
          <w:p>
            <w:pPr>
              <w:jc w:val="center"/>
              <w:spacing w:after="0" w:line="222" w:lineRule="exact"/>
              <w:rPr>
                <w:sz w:val="20"/>
                <w:szCs w:val="20"/>
                <w:color w:val="auto"/>
              </w:rPr>
            </w:pPr>
            <w:r>
              <w:rPr>
                <w:rFonts w:ascii="Arial" w:cs="Arial" w:eastAsia="Arial" w:hAnsi="Arial"/>
                <w:sz w:val="20"/>
                <w:szCs w:val="20"/>
                <w:color w:val="auto"/>
                <w:w w:val="99"/>
              </w:rPr>
              <w:t>Visit the website</w:t>
            </w:r>
          </w:p>
        </w:tc>
        <w:tc>
          <w:tcPr>
            <w:tcW w:w="1940" w:type="dxa"/>
            <w:vAlign w:val="bottom"/>
          </w:tcPr>
          <w:p>
            <w:pPr>
              <w:jc w:val="center"/>
              <w:spacing w:after="0" w:line="222" w:lineRule="exact"/>
              <w:rPr>
                <w:sz w:val="20"/>
                <w:szCs w:val="20"/>
                <w:color w:val="auto"/>
              </w:rPr>
            </w:pPr>
            <w:r>
              <w:rPr>
                <w:rFonts w:ascii="Arial" w:cs="Arial" w:eastAsia="Arial" w:hAnsi="Arial"/>
                <w:sz w:val="20"/>
                <w:szCs w:val="20"/>
                <w:color w:val="auto"/>
                <w:w w:val="99"/>
              </w:rPr>
              <w:t>Scan the QR</w:t>
            </w:r>
          </w:p>
        </w:tc>
        <w:tc>
          <w:tcPr>
            <w:tcW w:w="1920" w:type="dxa"/>
            <w:vAlign w:val="bottom"/>
          </w:tcPr>
          <w:p>
            <w:pPr>
              <w:jc w:val="center"/>
              <w:spacing w:after="0" w:line="222" w:lineRule="exact"/>
              <w:rPr>
                <w:sz w:val="20"/>
                <w:szCs w:val="20"/>
                <w:color w:val="auto"/>
              </w:rPr>
            </w:pPr>
            <w:r>
              <w:rPr>
                <w:rFonts w:ascii="Arial" w:cs="Arial" w:eastAsia="Arial" w:hAnsi="Arial"/>
                <w:sz w:val="20"/>
                <w:szCs w:val="20"/>
                <w:color w:val="auto"/>
                <w:w w:val="98"/>
              </w:rPr>
              <w:t>number on your</w:t>
            </w:r>
          </w:p>
        </w:tc>
        <w:tc>
          <w:tcPr>
            <w:tcW w:w="2000" w:type="dxa"/>
            <w:vAlign w:val="bottom"/>
            <w:tcBorders>
              <w:right w:val="single" w:sz="8" w:color="582C83"/>
            </w:tcBorders>
          </w:tcPr>
          <w:p>
            <w:pPr>
              <w:jc w:val="center"/>
              <w:spacing w:after="0" w:line="222" w:lineRule="exact"/>
              <w:rPr>
                <w:sz w:val="20"/>
                <w:szCs w:val="20"/>
                <w:color w:val="auto"/>
              </w:rPr>
            </w:pPr>
            <w:r>
              <w:rPr>
                <w:rFonts w:ascii="Arial" w:cs="Arial" w:eastAsia="Arial" w:hAnsi="Arial"/>
                <w:sz w:val="20"/>
                <w:szCs w:val="20"/>
                <w:color w:val="auto"/>
                <w:w w:val="99"/>
              </w:rPr>
              <w:t>paper copies of your</w:t>
            </w:r>
          </w:p>
        </w:tc>
        <w:tc>
          <w:tcPr>
            <w:tcW w:w="0" w:type="dxa"/>
            <w:vAlign w:val="bottom"/>
          </w:tcPr>
          <w:p>
            <w:pPr>
              <w:spacing w:after="0"/>
              <w:rPr>
                <w:sz w:val="1"/>
                <w:szCs w:val="1"/>
                <w:color w:val="auto"/>
              </w:rPr>
            </w:pPr>
          </w:p>
        </w:tc>
      </w:tr>
      <w:tr>
        <w:trPr>
          <w:trHeight w:val="200"/>
        </w:trPr>
        <w:tc>
          <w:tcPr>
            <w:tcW w:w="3440" w:type="dxa"/>
            <w:vAlign w:val="bottom"/>
            <w:tcBorders>
              <w:left w:val="single" w:sz="8" w:color="582C83"/>
            </w:tcBorders>
          </w:tcPr>
          <w:p>
            <w:pPr>
              <w:ind w:left="140"/>
              <w:spacing w:after="0"/>
              <w:rPr>
                <w:sz w:val="20"/>
                <w:szCs w:val="20"/>
                <w:color w:val="auto"/>
              </w:rPr>
            </w:pPr>
            <w:r>
              <w:rPr>
                <w:rFonts w:ascii="Arial" w:cs="Arial" w:eastAsia="Arial" w:hAnsi="Arial"/>
                <w:sz w:val="17"/>
                <w:szCs w:val="17"/>
                <w:b w:val="1"/>
                <w:bCs w:val="1"/>
                <w:color w:val="auto"/>
              </w:rPr>
              <w:t>Card or VIF in hand and follow the</w:t>
            </w:r>
          </w:p>
        </w:tc>
        <w:tc>
          <w:tcPr>
            <w:tcW w:w="1960" w:type="dxa"/>
            <w:vAlign w:val="bottom"/>
          </w:tcPr>
          <w:p>
            <w:pPr>
              <w:jc w:val="center"/>
              <w:spacing w:after="0" w:line="200" w:lineRule="exact"/>
              <w:rPr>
                <w:sz w:val="20"/>
                <w:szCs w:val="20"/>
                <w:color w:val="auto"/>
              </w:rPr>
            </w:pPr>
            <w:r>
              <w:rPr>
                <w:rFonts w:ascii="Arial" w:cs="Arial" w:eastAsia="Arial" w:hAnsi="Arial"/>
                <w:sz w:val="20"/>
                <w:szCs w:val="20"/>
                <w:color w:val="auto"/>
              </w:rPr>
              <w:t>listed on your</w:t>
            </w:r>
          </w:p>
        </w:tc>
        <w:tc>
          <w:tcPr>
            <w:tcW w:w="1940" w:type="dxa"/>
            <w:vAlign w:val="bottom"/>
          </w:tcPr>
          <w:p>
            <w:pPr>
              <w:jc w:val="center"/>
              <w:spacing w:after="0" w:line="200" w:lineRule="exact"/>
              <w:rPr>
                <w:sz w:val="20"/>
                <w:szCs w:val="20"/>
                <w:color w:val="auto"/>
              </w:rPr>
            </w:pPr>
            <w:r>
              <w:rPr>
                <w:rFonts w:ascii="Arial" w:cs="Arial" w:eastAsia="Arial" w:hAnsi="Arial"/>
                <w:sz w:val="20"/>
                <w:szCs w:val="20"/>
                <w:color w:val="auto"/>
                <w:w w:val="99"/>
              </w:rPr>
              <w:t>barcode on your</w:t>
            </w:r>
          </w:p>
        </w:tc>
        <w:tc>
          <w:tcPr>
            <w:tcW w:w="1920" w:type="dxa"/>
            <w:vAlign w:val="bottom"/>
          </w:tcPr>
          <w:p>
            <w:pPr>
              <w:jc w:val="center"/>
              <w:spacing w:after="0" w:line="200" w:lineRule="exact"/>
              <w:rPr>
                <w:sz w:val="20"/>
                <w:szCs w:val="20"/>
                <w:color w:val="auto"/>
              </w:rPr>
            </w:pPr>
            <w:r>
              <w:rPr>
                <w:rFonts w:ascii="Arial" w:cs="Arial" w:eastAsia="Arial" w:hAnsi="Arial"/>
                <w:sz w:val="20"/>
                <w:szCs w:val="20"/>
                <w:color w:val="auto"/>
                <w:w w:val="98"/>
              </w:rPr>
              <w:t>Notice of Internet</w:t>
            </w:r>
          </w:p>
        </w:tc>
        <w:tc>
          <w:tcPr>
            <w:tcW w:w="2000" w:type="dxa"/>
            <w:vAlign w:val="bottom"/>
            <w:tcBorders>
              <w:right w:val="single" w:sz="8" w:color="582C83"/>
            </w:tcBorders>
          </w:tcPr>
          <w:p>
            <w:pPr>
              <w:jc w:val="center"/>
              <w:spacing w:after="0" w:line="200" w:lineRule="exact"/>
              <w:rPr>
                <w:sz w:val="20"/>
                <w:szCs w:val="20"/>
                <w:color w:val="auto"/>
              </w:rPr>
            </w:pPr>
            <w:r>
              <w:rPr>
                <w:rFonts w:ascii="Arial" w:cs="Arial" w:eastAsia="Arial" w:hAnsi="Arial"/>
                <w:sz w:val="20"/>
                <w:szCs w:val="20"/>
                <w:color w:val="auto"/>
              </w:rPr>
              <w:t>Proxy</w:t>
            </w:r>
          </w:p>
        </w:tc>
        <w:tc>
          <w:tcPr>
            <w:tcW w:w="0" w:type="dxa"/>
            <w:vAlign w:val="bottom"/>
          </w:tcPr>
          <w:p>
            <w:pPr>
              <w:spacing w:after="0"/>
              <w:rPr>
                <w:sz w:val="1"/>
                <w:szCs w:val="1"/>
                <w:color w:val="auto"/>
              </w:rPr>
            </w:pPr>
          </w:p>
        </w:tc>
      </w:tr>
      <w:tr>
        <w:trPr>
          <w:trHeight w:val="223"/>
        </w:trPr>
        <w:tc>
          <w:tcPr>
            <w:tcW w:w="3440" w:type="dxa"/>
            <w:vAlign w:val="bottom"/>
            <w:tcBorders>
              <w:left w:val="single" w:sz="8" w:color="582C83"/>
            </w:tcBorders>
          </w:tcPr>
          <w:p>
            <w:pPr>
              <w:ind w:left="140"/>
              <w:spacing w:after="0"/>
              <w:rPr>
                <w:sz w:val="20"/>
                <w:szCs w:val="20"/>
                <w:color w:val="auto"/>
              </w:rPr>
            </w:pPr>
            <w:r>
              <w:rPr>
                <w:rFonts w:ascii="Arial" w:cs="Arial" w:eastAsia="Arial" w:hAnsi="Arial"/>
                <w:sz w:val="17"/>
                <w:szCs w:val="17"/>
                <w:b w:val="1"/>
                <w:bCs w:val="1"/>
                <w:color w:val="auto"/>
              </w:rPr>
              <w:t>instructions. You can vote any of four</w:t>
            </w:r>
          </w:p>
        </w:tc>
        <w:tc>
          <w:tcPr>
            <w:tcW w:w="1960" w:type="dxa"/>
            <w:vAlign w:val="bottom"/>
          </w:tcPr>
          <w:p>
            <w:pPr>
              <w:jc w:val="center"/>
              <w:spacing w:after="0" w:line="224" w:lineRule="exact"/>
              <w:rPr>
                <w:sz w:val="20"/>
                <w:szCs w:val="20"/>
                <w:color w:val="auto"/>
              </w:rPr>
            </w:pPr>
            <w:r>
              <w:rPr>
                <w:rFonts w:ascii="Arial" w:cs="Arial" w:eastAsia="Arial" w:hAnsi="Arial"/>
                <w:sz w:val="20"/>
                <w:szCs w:val="20"/>
                <w:color w:val="auto"/>
                <w:w w:val="99"/>
              </w:rPr>
              <w:t>Notice of Internet</w:t>
            </w:r>
          </w:p>
        </w:tc>
        <w:tc>
          <w:tcPr>
            <w:tcW w:w="1940" w:type="dxa"/>
            <w:vAlign w:val="bottom"/>
          </w:tcPr>
          <w:p>
            <w:pPr>
              <w:jc w:val="center"/>
              <w:spacing w:after="0" w:line="224" w:lineRule="exact"/>
              <w:rPr>
                <w:sz w:val="20"/>
                <w:szCs w:val="20"/>
                <w:color w:val="auto"/>
              </w:rPr>
            </w:pPr>
            <w:r>
              <w:rPr>
                <w:rFonts w:ascii="Arial" w:cs="Arial" w:eastAsia="Arial" w:hAnsi="Arial"/>
                <w:sz w:val="20"/>
                <w:szCs w:val="20"/>
                <w:color w:val="auto"/>
                <w:w w:val="99"/>
              </w:rPr>
              <w:t>Notice of Internet</w:t>
            </w:r>
          </w:p>
        </w:tc>
        <w:tc>
          <w:tcPr>
            <w:tcW w:w="1920" w:type="dxa"/>
            <w:vAlign w:val="bottom"/>
          </w:tcPr>
          <w:p>
            <w:pPr>
              <w:jc w:val="center"/>
              <w:spacing w:after="0" w:line="224" w:lineRule="exact"/>
              <w:rPr>
                <w:sz w:val="20"/>
                <w:szCs w:val="20"/>
                <w:color w:val="auto"/>
              </w:rPr>
            </w:pPr>
            <w:r>
              <w:rPr>
                <w:rFonts w:ascii="Arial" w:cs="Arial" w:eastAsia="Arial" w:hAnsi="Arial"/>
                <w:sz w:val="20"/>
                <w:szCs w:val="20"/>
                <w:color w:val="auto"/>
                <w:w w:val="99"/>
              </w:rPr>
              <w:t>Availability of Proxy</w:t>
            </w:r>
          </w:p>
        </w:tc>
        <w:tc>
          <w:tcPr>
            <w:tcW w:w="2000" w:type="dxa"/>
            <w:vAlign w:val="bottom"/>
            <w:tcBorders>
              <w:right w:val="single" w:sz="8" w:color="582C83"/>
            </w:tcBorders>
          </w:tcPr>
          <w:p>
            <w:pPr>
              <w:jc w:val="center"/>
              <w:spacing w:after="0" w:line="224" w:lineRule="exact"/>
              <w:rPr>
                <w:sz w:val="20"/>
                <w:szCs w:val="20"/>
                <w:color w:val="auto"/>
              </w:rPr>
            </w:pPr>
            <w:r>
              <w:rPr>
                <w:rFonts w:ascii="Arial" w:cs="Arial" w:eastAsia="Arial" w:hAnsi="Arial"/>
                <w:sz w:val="20"/>
                <w:szCs w:val="20"/>
                <w:color w:val="auto"/>
                <w:w w:val="98"/>
              </w:rPr>
              <w:t>Materials, mark,</w:t>
            </w:r>
          </w:p>
        </w:tc>
        <w:tc>
          <w:tcPr>
            <w:tcW w:w="0" w:type="dxa"/>
            <w:vAlign w:val="bottom"/>
          </w:tcPr>
          <w:p>
            <w:pPr>
              <w:spacing w:after="0"/>
              <w:rPr>
                <w:sz w:val="1"/>
                <w:szCs w:val="1"/>
                <w:color w:val="auto"/>
              </w:rPr>
            </w:pPr>
          </w:p>
        </w:tc>
      </w:tr>
      <w:tr>
        <w:trPr>
          <w:trHeight w:val="247"/>
        </w:trPr>
        <w:tc>
          <w:tcPr>
            <w:tcW w:w="3440" w:type="dxa"/>
            <w:vAlign w:val="bottom"/>
            <w:tcBorders>
              <w:left w:val="single" w:sz="8" w:color="582C83"/>
            </w:tcBorders>
          </w:tcPr>
          <w:p>
            <w:pPr>
              <w:ind w:left="140"/>
              <w:spacing w:after="0"/>
              <w:rPr>
                <w:sz w:val="20"/>
                <w:szCs w:val="20"/>
                <w:color w:val="auto"/>
              </w:rPr>
            </w:pPr>
            <w:r>
              <w:rPr>
                <w:rFonts w:ascii="Arial" w:cs="Arial" w:eastAsia="Arial" w:hAnsi="Arial"/>
                <w:sz w:val="17"/>
                <w:szCs w:val="17"/>
                <w:b w:val="1"/>
                <w:bCs w:val="1"/>
                <w:color w:val="auto"/>
              </w:rPr>
              <w:t>ways:</w:t>
            </w:r>
          </w:p>
        </w:tc>
        <w:tc>
          <w:tcPr>
            <w:tcW w:w="1960" w:type="dxa"/>
            <w:vAlign w:val="bottom"/>
          </w:tcPr>
          <w:p>
            <w:pPr>
              <w:jc w:val="center"/>
              <w:spacing w:after="0"/>
              <w:rPr>
                <w:sz w:val="20"/>
                <w:szCs w:val="20"/>
                <w:color w:val="auto"/>
              </w:rPr>
            </w:pPr>
            <w:r>
              <w:rPr>
                <w:rFonts w:ascii="Arial" w:cs="Arial" w:eastAsia="Arial" w:hAnsi="Arial"/>
                <w:sz w:val="20"/>
                <w:szCs w:val="20"/>
                <w:color w:val="auto"/>
                <w:w w:val="99"/>
              </w:rPr>
              <w:t>Availability of Proxy</w:t>
            </w:r>
          </w:p>
        </w:tc>
        <w:tc>
          <w:tcPr>
            <w:tcW w:w="1940" w:type="dxa"/>
            <w:vAlign w:val="bottom"/>
          </w:tcPr>
          <w:p>
            <w:pPr>
              <w:jc w:val="center"/>
              <w:spacing w:after="0"/>
              <w:rPr>
                <w:sz w:val="20"/>
                <w:szCs w:val="20"/>
                <w:color w:val="auto"/>
              </w:rPr>
            </w:pPr>
            <w:r>
              <w:rPr>
                <w:rFonts w:ascii="Arial" w:cs="Arial" w:eastAsia="Arial" w:hAnsi="Arial"/>
                <w:sz w:val="20"/>
                <w:szCs w:val="20"/>
                <w:color w:val="auto"/>
                <w:w w:val="99"/>
              </w:rPr>
              <w:t>Availability of Proxy</w:t>
            </w:r>
          </w:p>
        </w:tc>
        <w:tc>
          <w:tcPr>
            <w:tcW w:w="1920" w:type="dxa"/>
            <w:vAlign w:val="bottom"/>
          </w:tcPr>
          <w:p>
            <w:pPr>
              <w:jc w:val="center"/>
              <w:spacing w:after="0"/>
              <w:rPr>
                <w:sz w:val="20"/>
                <w:szCs w:val="20"/>
                <w:color w:val="auto"/>
              </w:rPr>
            </w:pPr>
            <w:r>
              <w:rPr>
                <w:rFonts w:ascii="Arial" w:cs="Arial" w:eastAsia="Arial" w:hAnsi="Arial"/>
                <w:sz w:val="20"/>
                <w:szCs w:val="20"/>
                <w:color w:val="auto"/>
                <w:w w:val="99"/>
              </w:rPr>
              <w:t>Materials, Proxy</w:t>
            </w:r>
          </w:p>
        </w:tc>
        <w:tc>
          <w:tcPr>
            <w:tcW w:w="2000" w:type="dxa"/>
            <w:vAlign w:val="bottom"/>
            <w:tcBorders>
              <w:right w:val="single" w:sz="8" w:color="582C83"/>
            </w:tcBorders>
          </w:tcPr>
          <w:p>
            <w:pPr>
              <w:jc w:val="center"/>
              <w:spacing w:after="0"/>
              <w:rPr>
                <w:sz w:val="20"/>
                <w:szCs w:val="20"/>
                <w:color w:val="auto"/>
              </w:rPr>
            </w:pPr>
            <w:r>
              <w:rPr>
                <w:rFonts w:ascii="Arial" w:cs="Arial" w:eastAsia="Arial" w:hAnsi="Arial"/>
                <w:sz w:val="20"/>
                <w:szCs w:val="20"/>
                <w:color w:val="auto"/>
                <w:w w:val="98"/>
              </w:rPr>
              <w:t>sign, date and</w:t>
            </w:r>
          </w:p>
        </w:tc>
        <w:tc>
          <w:tcPr>
            <w:tcW w:w="0" w:type="dxa"/>
            <w:vAlign w:val="bottom"/>
          </w:tcPr>
          <w:p>
            <w:pPr>
              <w:spacing w:after="0"/>
              <w:rPr>
                <w:sz w:val="1"/>
                <w:szCs w:val="1"/>
                <w:color w:val="auto"/>
              </w:rPr>
            </w:pPr>
          </w:p>
        </w:tc>
      </w:tr>
      <w:tr>
        <w:trPr>
          <w:trHeight w:val="223"/>
        </w:trPr>
        <w:tc>
          <w:tcPr>
            <w:tcW w:w="3440" w:type="dxa"/>
            <w:vAlign w:val="bottom"/>
            <w:tcBorders>
              <w:left w:val="single" w:sz="8" w:color="582C83"/>
            </w:tcBorders>
          </w:tcPr>
          <w:p>
            <w:pPr>
              <w:spacing w:after="0"/>
              <w:rPr>
                <w:sz w:val="19"/>
                <w:szCs w:val="19"/>
                <w:color w:val="auto"/>
              </w:rPr>
            </w:pPr>
          </w:p>
        </w:tc>
        <w:tc>
          <w:tcPr>
            <w:tcW w:w="1960" w:type="dxa"/>
            <w:vAlign w:val="bottom"/>
          </w:tcPr>
          <w:p>
            <w:pPr>
              <w:jc w:val="center"/>
              <w:spacing w:after="0" w:line="224" w:lineRule="exact"/>
              <w:rPr>
                <w:sz w:val="20"/>
                <w:szCs w:val="20"/>
                <w:color w:val="auto"/>
              </w:rPr>
            </w:pPr>
            <w:r>
              <w:rPr>
                <w:rFonts w:ascii="Arial" w:cs="Arial" w:eastAsia="Arial" w:hAnsi="Arial"/>
                <w:sz w:val="20"/>
                <w:szCs w:val="20"/>
                <w:color w:val="auto"/>
              </w:rPr>
              <w:t>Materials, Proxy</w:t>
            </w:r>
          </w:p>
        </w:tc>
        <w:tc>
          <w:tcPr>
            <w:tcW w:w="1940" w:type="dxa"/>
            <w:vAlign w:val="bottom"/>
          </w:tcPr>
          <w:p>
            <w:pPr>
              <w:jc w:val="center"/>
              <w:spacing w:after="0" w:line="224" w:lineRule="exact"/>
              <w:rPr>
                <w:sz w:val="20"/>
                <w:szCs w:val="20"/>
                <w:color w:val="auto"/>
              </w:rPr>
            </w:pPr>
            <w:r>
              <w:rPr>
                <w:rFonts w:ascii="Arial" w:cs="Arial" w:eastAsia="Arial" w:hAnsi="Arial"/>
                <w:sz w:val="20"/>
                <w:szCs w:val="20"/>
                <w:color w:val="auto"/>
                <w:w w:val="99"/>
              </w:rPr>
              <w:t>Materials, Proxy</w:t>
            </w:r>
          </w:p>
        </w:tc>
        <w:tc>
          <w:tcPr>
            <w:tcW w:w="1920" w:type="dxa"/>
            <w:vAlign w:val="bottom"/>
          </w:tcPr>
          <w:p>
            <w:pPr>
              <w:jc w:val="center"/>
              <w:spacing w:after="0" w:line="224" w:lineRule="exact"/>
              <w:rPr>
                <w:sz w:val="20"/>
                <w:szCs w:val="20"/>
                <w:color w:val="auto"/>
              </w:rPr>
            </w:pPr>
            <w:r>
              <w:rPr>
                <w:rFonts w:ascii="Arial" w:cs="Arial" w:eastAsia="Arial" w:hAnsi="Arial"/>
                <w:sz w:val="20"/>
                <w:szCs w:val="20"/>
                <w:color w:val="auto"/>
                <w:w w:val="97"/>
              </w:rPr>
              <w:t>Card or VIF.</w:t>
            </w:r>
          </w:p>
        </w:tc>
        <w:tc>
          <w:tcPr>
            <w:tcW w:w="2000" w:type="dxa"/>
            <w:vAlign w:val="bottom"/>
            <w:tcBorders>
              <w:right w:val="single" w:sz="8" w:color="582C83"/>
            </w:tcBorders>
          </w:tcPr>
          <w:p>
            <w:pPr>
              <w:jc w:val="center"/>
              <w:spacing w:after="0" w:line="224" w:lineRule="exact"/>
              <w:rPr>
                <w:sz w:val="20"/>
                <w:szCs w:val="20"/>
                <w:color w:val="auto"/>
              </w:rPr>
            </w:pPr>
            <w:r>
              <w:rPr>
                <w:rFonts w:ascii="Arial" w:cs="Arial" w:eastAsia="Arial" w:hAnsi="Arial"/>
                <w:sz w:val="20"/>
                <w:szCs w:val="20"/>
                <w:color w:val="auto"/>
                <w:w w:val="98"/>
              </w:rPr>
              <w:t>return the Proxy</w:t>
            </w:r>
          </w:p>
        </w:tc>
        <w:tc>
          <w:tcPr>
            <w:tcW w:w="0" w:type="dxa"/>
            <w:vAlign w:val="bottom"/>
          </w:tcPr>
          <w:p>
            <w:pPr>
              <w:spacing w:after="0"/>
              <w:rPr>
                <w:sz w:val="1"/>
                <w:szCs w:val="1"/>
                <w:color w:val="auto"/>
              </w:rPr>
            </w:pPr>
          </w:p>
        </w:tc>
      </w:tr>
      <w:tr>
        <w:trPr>
          <w:trHeight w:val="223"/>
        </w:trPr>
        <w:tc>
          <w:tcPr>
            <w:tcW w:w="3440" w:type="dxa"/>
            <w:vAlign w:val="bottom"/>
            <w:tcBorders>
              <w:left w:val="single" w:sz="8" w:color="582C83"/>
            </w:tcBorders>
          </w:tcPr>
          <w:p>
            <w:pPr>
              <w:spacing w:after="0"/>
              <w:rPr>
                <w:sz w:val="19"/>
                <w:szCs w:val="19"/>
                <w:color w:val="auto"/>
              </w:rPr>
            </w:pPr>
          </w:p>
        </w:tc>
        <w:tc>
          <w:tcPr>
            <w:tcW w:w="1960" w:type="dxa"/>
            <w:vAlign w:val="bottom"/>
          </w:tcPr>
          <w:p>
            <w:pPr>
              <w:jc w:val="center"/>
              <w:spacing w:after="0" w:line="224" w:lineRule="exact"/>
              <w:rPr>
                <w:sz w:val="20"/>
                <w:szCs w:val="20"/>
                <w:color w:val="auto"/>
              </w:rPr>
            </w:pPr>
            <w:r>
              <w:rPr>
                <w:rFonts w:ascii="Arial" w:cs="Arial" w:eastAsia="Arial" w:hAnsi="Arial"/>
                <w:sz w:val="20"/>
                <w:szCs w:val="20"/>
                <w:color w:val="auto"/>
                <w:w w:val="97"/>
              </w:rPr>
              <w:t>Card or VIF.</w:t>
            </w:r>
          </w:p>
        </w:tc>
        <w:tc>
          <w:tcPr>
            <w:tcW w:w="1940" w:type="dxa"/>
            <w:vAlign w:val="bottom"/>
          </w:tcPr>
          <w:p>
            <w:pPr>
              <w:jc w:val="center"/>
              <w:spacing w:after="0" w:line="224" w:lineRule="exact"/>
              <w:rPr>
                <w:sz w:val="20"/>
                <w:szCs w:val="20"/>
                <w:color w:val="auto"/>
              </w:rPr>
            </w:pPr>
            <w:r>
              <w:rPr>
                <w:rFonts w:ascii="Arial" w:cs="Arial" w:eastAsia="Arial" w:hAnsi="Arial"/>
                <w:sz w:val="20"/>
                <w:szCs w:val="20"/>
                <w:color w:val="auto"/>
                <w:w w:val="97"/>
              </w:rPr>
              <w:t>Card or VIF.</w:t>
            </w:r>
          </w:p>
        </w:tc>
        <w:tc>
          <w:tcPr>
            <w:tcW w:w="1920" w:type="dxa"/>
            <w:vAlign w:val="bottom"/>
          </w:tcPr>
          <w:p>
            <w:pPr>
              <w:spacing w:after="0"/>
              <w:rPr>
                <w:sz w:val="19"/>
                <w:szCs w:val="19"/>
                <w:color w:val="auto"/>
              </w:rPr>
            </w:pPr>
          </w:p>
        </w:tc>
        <w:tc>
          <w:tcPr>
            <w:tcW w:w="2000" w:type="dxa"/>
            <w:vAlign w:val="bottom"/>
            <w:tcBorders>
              <w:right w:val="single" w:sz="8" w:color="582C83"/>
            </w:tcBorders>
          </w:tcPr>
          <w:p>
            <w:pPr>
              <w:jc w:val="center"/>
              <w:spacing w:after="0" w:line="224" w:lineRule="exact"/>
              <w:rPr>
                <w:sz w:val="20"/>
                <w:szCs w:val="20"/>
                <w:color w:val="auto"/>
              </w:rPr>
            </w:pPr>
            <w:r>
              <w:rPr>
                <w:rFonts w:ascii="Arial" w:cs="Arial" w:eastAsia="Arial" w:hAnsi="Arial"/>
                <w:sz w:val="20"/>
                <w:szCs w:val="20"/>
                <w:color w:val="auto"/>
                <w:w w:val="98"/>
              </w:rPr>
              <w:t>Card in the</w:t>
            </w:r>
          </w:p>
        </w:tc>
        <w:tc>
          <w:tcPr>
            <w:tcW w:w="0" w:type="dxa"/>
            <w:vAlign w:val="bottom"/>
          </w:tcPr>
          <w:p>
            <w:pPr>
              <w:spacing w:after="0"/>
              <w:rPr>
                <w:sz w:val="1"/>
                <w:szCs w:val="1"/>
                <w:color w:val="auto"/>
              </w:rPr>
            </w:pPr>
          </w:p>
        </w:tc>
      </w:tr>
      <w:tr>
        <w:trPr>
          <w:trHeight w:val="264"/>
        </w:trPr>
        <w:tc>
          <w:tcPr>
            <w:tcW w:w="3440" w:type="dxa"/>
            <w:vAlign w:val="bottom"/>
            <w:tcBorders>
              <w:left w:val="single" w:sz="8" w:color="582C83"/>
            </w:tcBorders>
          </w:tcPr>
          <w:p>
            <w:pPr>
              <w:spacing w:after="0"/>
              <w:rPr>
                <w:sz w:val="22"/>
                <w:szCs w:val="22"/>
                <w:color w:val="auto"/>
              </w:rPr>
            </w:pPr>
          </w:p>
        </w:tc>
        <w:tc>
          <w:tcPr>
            <w:tcW w:w="19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00" w:type="dxa"/>
            <w:vAlign w:val="bottom"/>
            <w:tcBorders>
              <w:right w:val="single" w:sz="8" w:color="582C83"/>
            </w:tcBorders>
          </w:tcPr>
          <w:p>
            <w:pPr>
              <w:jc w:val="center"/>
              <w:spacing w:after="0"/>
              <w:rPr>
                <w:sz w:val="20"/>
                <w:szCs w:val="20"/>
                <w:color w:val="auto"/>
              </w:rPr>
            </w:pPr>
            <w:r>
              <w:rPr>
                <w:rFonts w:ascii="Arial" w:cs="Arial" w:eastAsia="Arial" w:hAnsi="Arial"/>
                <w:sz w:val="20"/>
                <w:szCs w:val="20"/>
                <w:color w:val="auto"/>
                <w:w w:val="99"/>
              </w:rPr>
              <w:t>envelope provided.</w:t>
            </w:r>
          </w:p>
        </w:tc>
        <w:tc>
          <w:tcPr>
            <w:tcW w:w="0" w:type="dxa"/>
            <w:vAlign w:val="bottom"/>
          </w:tcPr>
          <w:p>
            <w:pPr>
              <w:spacing w:after="0"/>
              <w:rPr>
                <w:sz w:val="1"/>
                <w:szCs w:val="1"/>
                <w:color w:val="auto"/>
              </w:rPr>
            </w:pPr>
          </w:p>
        </w:tc>
      </w:tr>
      <w:tr>
        <w:trPr>
          <w:trHeight w:val="94"/>
        </w:trPr>
        <w:tc>
          <w:tcPr>
            <w:tcW w:w="3440" w:type="dxa"/>
            <w:vAlign w:val="bottom"/>
            <w:tcBorders>
              <w:left w:val="single" w:sz="8" w:color="582C83"/>
              <w:bottom w:val="single" w:sz="8" w:color="582C83"/>
            </w:tcBorders>
          </w:tcPr>
          <w:p>
            <w:pPr>
              <w:spacing w:after="0"/>
              <w:rPr>
                <w:sz w:val="8"/>
                <w:szCs w:val="8"/>
                <w:color w:val="auto"/>
              </w:rPr>
            </w:pPr>
          </w:p>
        </w:tc>
        <w:tc>
          <w:tcPr>
            <w:tcW w:w="1960" w:type="dxa"/>
            <w:vAlign w:val="bottom"/>
            <w:tcBorders>
              <w:bottom w:val="single" w:sz="8" w:color="582C83"/>
            </w:tcBorders>
          </w:tcPr>
          <w:p>
            <w:pPr>
              <w:spacing w:after="0"/>
              <w:rPr>
                <w:sz w:val="8"/>
                <w:szCs w:val="8"/>
                <w:color w:val="auto"/>
              </w:rPr>
            </w:pPr>
          </w:p>
        </w:tc>
        <w:tc>
          <w:tcPr>
            <w:tcW w:w="1940" w:type="dxa"/>
            <w:vAlign w:val="bottom"/>
            <w:tcBorders>
              <w:bottom w:val="single" w:sz="8" w:color="582C83"/>
            </w:tcBorders>
          </w:tcPr>
          <w:p>
            <w:pPr>
              <w:spacing w:after="0"/>
              <w:rPr>
                <w:sz w:val="8"/>
                <w:szCs w:val="8"/>
                <w:color w:val="auto"/>
              </w:rPr>
            </w:pPr>
          </w:p>
        </w:tc>
        <w:tc>
          <w:tcPr>
            <w:tcW w:w="3920" w:type="dxa"/>
            <w:vAlign w:val="bottom"/>
            <w:tcBorders>
              <w:bottom w:val="single" w:sz="8" w:color="582C83"/>
              <w:right w:val="single" w:sz="8" w:color="582C83"/>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440" w:type="dxa"/>
            <w:vAlign w:val="bottom"/>
            <w:tcBorders>
              <w:bottom w:val="single" w:sz="8" w:color="58358F"/>
            </w:tcBorders>
          </w:tcPr>
          <w:p>
            <w:pPr>
              <w:spacing w:after="0"/>
              <w:rPr>
                <w:sz w:val="19"/>
                <w:szCs w:val="19"/>
                <w:color w:val="auto"/>
              </w:rPr>
            </w:pPr>
          </w:p>
        </w:tc>
        <w:tc>
          <w:tcPr>
            <w:tcW w:w="1960" w:type="dxa"/>
            <w:vAlign w:val="bottom"/>
            <w:tcBorders>
              <w:bottom w:val="single" w:sz="8" w:color="58358F"/>
            </w:tcBorders>
          </w:tcPr>
          <w:p>
            <w:pPr>
              <w:spacing w:after="0"/>
              <w:rPr>
                <w:sz w:val="19"/>
                <w:szCs w:val="19"/>
                <w:color w:val="auto"/>
              </w:rPr>
            </w:pPr>
          </w:p>
        </w:tc>
        <w:tc>
          <w:tcPr>
            <w:tcW w:w="1940" w:type="dxa"/>
            <w:vAlign w:val="bottom"/>
            <w:tcBorders>
              <w:bottom w:val="single" w:sz="8" w:color="58358F"/>
            </w:tcBorders>
          </w:tcPr>
          <w:p>
            <w:pPr>
              <w:spacing w:after="0"/>
              <w:rPr>
                <w:sz w:val="19"/>
                <w:szCs w:val="19"/>
                <w:color w:val="auto"/>
              </w:rPr>
            </w:pPr>
          </w:p>
        </w:tc>
        <w:tc>
          <w:tcPr>
            <w:tcW w:w="3920" w:type="dxa"/>
            <w:vAlign w:val="bottom"/>
            <w:tcBorders>
              <w:bottom w:val="single" w:sz="8" w:color="58358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920" w:type="dxa"/>
            <w:vAlign w:val="bottom"/>
            <w:gridSpan w:val="2"/>
          </w:tcPr>
          <w:p>
            <w:pPr>
              <w:ind w:left="1800"/>
              <w:spacing w:after="0"/>
              <w:rPr>
                <w:sz w:val="20"/>
                <w:szCs w:val="20"/>
                <w:color w:val="auto"/>
              </w:rPr>
            </w:pPr>
            <w:r>
              <w:rPr>
                <w:rFonts w:ascii="Arial" w:cs="Arial" w:eastAsia="Arial" w:hAnsi="Arial"/>
                <w:sz w:val="15"/>
                <w:szCs w:val="15"/>
                <w:b w:val="1"/>
                <w:bCs w:val="1"/>
                <w:color w:val="58358F"/>
              </w:rPr>
              <w:t>2023 PROXY STATEMENT | 7</w:t>
            </w:r>
          </w:p>
        </w:tc>
        <w:tc>
          <w:tcPr>
            <w:tcW w:w="0" w:type="dxa"/>
            <w:vAlign w:val="bottom"/>
          </w:tcPr>
          <w:p>
            <w:pPr>
              <w:spacing w:after="0"/>
              <w:rPr>
                <w:sz w:val="1"/>
                <w:szCs w:val="1"/>
                <w:color w:val="auto"/>
              </w:rPr>
            </w:pPr>
          </w:p>
        </w:tc>
      </w:tr>
      <w:tr>
        <w:trPr>
          <w:trHeight w:val="261"/>
        </w:trPr>
        <w:tc>
          <w:tcPr>
            <w:tcW w:w="3440" w:type="dxa"/>
            <w:vAlign w:val="bottom"/>
            <w:tcBorders>
              <w:bottom w:val="single" w:sz="8" w:color="E5E5E5"/>
            </w:tcBorders>
          </w:tcPr>
          <w:p>
            <w:pPr>
              <w:spacing w:after="0"/>
              <w:rPr>
                <w:sz w:val="22"/>
                <w:szCs w:val="22"/>
                <w:color w:val="auto"/>
              </w:rPr>
            </w:pPr>
          </w:p>
        </w:tc>
        <w:tc>
          <w:tcPr>
            <w:tcW w:w="1960" w:type="dxa"/>
            <w:vAlign w:val="bottom"/>
            <w:tcBorders>
              <w:bottom w:val="single" w:sz="8" w:color="E5E5E5"/>
            </w:tcBorders>
          </w:tcPr>
          <w:p>
            <w:pPr>
              <w:spacing w:after="0"/>
              <w:rPr>
                <w:sz w:val="22"/>
                <w:szCs w:val="22"/>
                <w:color w:val="auto"/>
              </w:rPr>
            </w:pPr>
          </w:p>
        </w:tc>
        <w:tc>
          <w:tcPr>
            <w:tcW w:w="1940" w:type="dxa"/>
            <w:vAlign w:val="bottom"/>
            <w:tcBorders>
              <w:bottom w:val="single" w:sz="8" w:color="E5E5E5"/>
            </w:tcBorders>
          </w:tcPr>
          <w:p>
            <w:pPr>
              <w:spacing w:after="0"/>
              <w:rPr>
                <w:sz w:val="22"/>
                <w:szCs w:val="22"/>
                <w:color w:val="auto"/>
              </w:rPr>
            </w:pPr>
          </w:p>
        </w:tc>
        <w:tc>
          <w:tcPr>
            <w:tcW w:w="1920" w:type="dxa"/>
            <w:vAlign w:val="bottom"/>
            <w:tcBorders>
              <w:bottom w:val="single" w:sz="8" w:color="E5E5E5"/>
            </w:tcBorders>
          </w:tcPr>
          <w:p>
            <w:pPr>
              <w:spacing w:after="0"/>
              <w:rPr>
                <w:sz w:val="22"/>
                <w:szCs w:val="22"/>
                <w:color w:val="auto"/>
              </w:rPr>
            </w:pPr>
          </w:p>
        </w:tc>
        <w:tc>
          <w:tcPr>
            <w:tcW w:w="2000" w:type="dxa"/>
            <w:vAlign w:val="bottom"/>
            <w:tcBorders>
              <w:bottom w:val="single" w:sz="8" w:color="E5E5E5"/>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2640965</wp:posOffset>
            </wp:positionH>
            <wp:positionV relativeFrom="paragraph">
              <wp:posOffset>-2246630</wp:posOffset>
            </wp:positionV>
            <wp:extent cx="330835" cy="3308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835" cy="330835"/>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-2246630</wp:posOffset>
            </wp:positionV>
            <wp:extent cx="330835" cy="3308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835" cy="33083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-2246630</wp:posOffset>
            </wp:positionV>
            <wp:extent cx="330835" cy="3308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835" cy="330835"/>
                    </a:xfrm>
                    <a:prstGeom prst="rect">
                      <a:avLst/>
                    </a:prstGeom>
                    <a:noFill/>
                  </pic:spPr>
                </pic:pic>
              </a:graphicData>
            </a:graphic>
          </wp:anchor>
        </w:drawing>
        <w:drawing>
          <wp:anchor simplePos="0" relativeHeight="251657728" behindDoc="1" locked="0" layoutInCell="0" allowOverlap="1">
            <wp:simplePos x="0" y="0"/>
            <wp:positionH relativeFrom="column">
              <wp:posOffset>6354445</wp:posOffset>
            </wp:positionH>
            <wp:positionV relativeFrom="paragraph">
              <wp:posOffset>-2246630</wp:posOffset>
            </wp:positionV>
            <wp:extent cx="330835" cy="3308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835" cy="3308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906780" cy="220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0" w:name="page11"/>
    <w:bookmarkEnd w:id="10"/>
    <w:p>
      <w:pPr>
        <w:jc w:val="both"/>
        <w:ind w:right="40"/>
        <w:spacing w:after="0" w:line="250" w:lineRule="auto"/>
        <w:rPr>
          <w:sz w:val="20"/>
          <w:szCs w:val="20"/>
          <w:color w:val="auto"/>
        </w:rPr>
      </w:pPr>
      <w:r>
        <w:rPr>
          <w:rFonts w:ascii="Arial" w:cs="Arial" w:eastAsia="Arial" w:hAnsi="Arial"/>
          <w:sz w:val="20"/>
          <w:szCs w:val="20"/>
          <w:color w:val="auto"/>
        </w:rPr>
        <w:t>Website references throughout this document are provided for convenience only, and the content on the referenced websites is not incorporated by reference into this document. We assume no liability for any third-party content contained on the referenced websites.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FORWARD-LOOKING STATEMENTS</w:t>
      </w:r>
    </w:p>
    <w:p>
      <w:pPr>
        <w:spacing w:after="0" w:line="94"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This proxy statement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including any projections of earnings, revenue or other financial items; any statements of the plans, strategies and objectives of management; any statements regarding our environmental, social and governance and sustainability strategies, goals and initiatives; any statements regarding future economic conditions or performance; any statements of belief or expectation; and any statements of assumptions underlying any of the foregoing or other future events. Forward-looking statements may include, among others, the words, and variations of words, “will,” “may,” “expect,” “would,” “could,” “might,” “intend,” “plan,” “believe,” “likely,” “estimate,” “anticipate,” “objective,” “predict,” “project,” “drive,” “seek,” “aim,” “target,” “potential,” “commitment,” “outlook,” “continue” or any other similar words.</w:t>
      </w:r>
    </w:p>
    <w:p>
      <w:pPr>
        <w:spacing w:after="0" w:line="138"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Please see our risk factors, as they may be amended from time to time, set forth in our filings with the U.S. Securities and Exchange Commission (“SEC”), including our most recently filed Annual Report on Form 10-K and subsequent Quarterly Reports on Form 10-Q. 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w:t>
      </w:r>
    </w:p>
    <w:p>
      <w:pPr>
        <w:spacing w:after="0" w:line="141" w:lineRule="exact"/>
        <w:rPr>
          <w:sz w:val="20"/>
          <w:szCs w:val="20"/>
          <w:color w:val="auto"/>
        </w:rPr>
      </w:pPr>
    </w:p>
    <w:p>
      <w:pPr>
        <w:ind w:right="200"/>
        <w:spacing w:after="0" w:line="242" w:lineRule="auto"/>
        <w:rPr>
          <w:sz w:val="20"/>
          <w:szCs w:val="20"/>
          <w:color w:val="auto"/>
        </w:rPr>
      </w:pPr>
      <w:r>
        <w:rPr>
          <w:rFonts w:ascii="Arial" w:cs="Arial" w:eastAsia="Arial" w:hAnsi="Arial"/>
          <w:sz w:val="20"/>
          <w:szCs w:val="20"/>
          <w:color w:val="auto"/>
        </w:rPr>
        <w:t>The information included in, and any issues identified as material for purposes of, this document may not be considered material for SEC reporting purposes. In the context of this disclosure, the term “material” is distinct from, and should not be confused with, such term as defined for SEC reporting purposes.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4311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628650</wp:posOffset>
            </wp:positionH>
            <wp:positionV relativeFrom="page">
              <wp:posOffset>96520</wp:posOffset>
            </wp:positionV>
            <wp:extent cx="6307455" cy="1545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43"/>
          <w:szCs w:val="43"/>
          <w:b w:val="1"/>
          <w:bCs w:val="1"/>
          <w:color w:val="582C8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80" w:type="dxa"/>
            <w:vAlign w:val="bottom"/>
          </w:tcPr>
          <w:p>
            <w:pPr>
              <w:spacing w:after="0"/>
              <w:rPr>
                <w:sz w:val="20"/>
                <w:szCs w:val="20"/>
                <w:color w:val="auto"/>
              </w:rPr>
            </w:pPr>
            <w:r>
              <w:rPr>
                <w:rFonts w:ascii="Arial" w:cs="Arial" w:eastAsia="Arial" w:hAnsi="Arial"/>
                <w:sz w:val="17"/>
                <w:szCs w:val="17"/>
                <w:b w:val="1"/>
                <w:bCs w:val="1"/>
                <w:color w:val="582C83"/>
              </w:rPr>
              <w:t>LETTER FROM OUR CHAIRMAN AND CHIEF EXECUTIVE OFFICER</w:t>
            </w:r>
          </w:p>
        </w:tc>
        <w:tc>
          <w:tcPr>
            <w:tcW w:w="1940" w:type="dxa"/>
            <w:vAlign w:val="bottom"/>
          </w:tcPr>
          <w:p>
            <w:pPr>
              <w:jc w:val="right"/>
              <w:spacing w:after="0"/>
              <w:rPr>
                <w:sz w:val="20"/>
                <w:szCs w:val="20"/>
                <w:color w:val="auto"/>
              </w:rPr>
            </w:pPr>
            <w:r>
              <w:rPr>
                <w:rFonts w:ascii="Arial" w:cs="Arial" w:eastAsia="Arial" w:hAnsi="Arial"/>
                <w:sz w:val="17"/>
                <w:szCs w:val="17"/>
                <w:b w:val="1"/>
                <w:bCs w:val="1"/>
                <w:color w:val="582C83"/>
              </w:rPr>
              <w:t>1</w:t>
            </w:r>
          </w:p>
        </w:tc>
      </w:tr>
      <w:tr>
        <w:trPr>
          <w:trHeight w:val="372"/>
        </w:trPr>
        <w:tc>
          <w:tcPr>
            <w:tcW w:w="7980" w:type="dxa"/>
            <w:vAlign w:val="bottom"/>
          </w:tcPr>
          <w:p>
            <w:pPr>
              <w:spacing w:after="0"/>
              <w:rPr>
                <w:sz w:val="20"/>
                <w:szCs w:val="20"/>
                <w:color w:val="auto"/>
              </w:rPr>
            </w:pPr>
            <w:r>
              <w:rPr>
                <w:rFonts w:ascii="Arial" w:cs="Arial" w:eastAsia="Arial" w:hAnsi="Arial"/>
                <w:sz w:val="17"/>
                <w:szCs w:val="17"/>
                <w:b w:val="1"/>
                <w:bCs w:val="1"/>
                <w:color w:val="582C83"/>
              </w:rPr>
              <w:t>LETTER FROM OUR LEAD DIRECTOR</w:t>
            </w:r>
          </w:p>
        </w:tc>
        <w:tc>
          <w:tcPr>
            <w:tcW w:w="1940" w:type="dxa"/>
            <w:vAlign w:val="bottom"/>
          </w:tcPr>
          <w:p>
            <w:pPr>
              <w:jc w:val="right"/>
              <w:spacing w:after="0"/>
              <w:rPr>
                <w:sz w:val="20"/>
                <w:szCs w:val="20"/>
                <w:color w:val="auto"/>
              </w:rPr>
            </w:pPr>
            <w:r>
              <w:rPr>
                <w:rFonts w:ascii="Arial" w:cs="Arial" w:eastAsia="Arial" w:hAnsi="Arial"/>
                <w:sz w:val="17"/>
                <w:szCs w:val="17"/>
                <w:b w:val="1"/>
                <w:bCs w:val="1"/>
                <w:color w:val="582C83"/>
              </w:rPr>
              <w:t>4</w:t>
            </w:r>
          </w:p>
        </w:tc>
      </w:tr>
      <w:tr>
        <w:trPr>
          <w:trHeight w:val="372"/>
        </w:trPr>
        <w:tc>
          <w:tcPr>
            <w:tcW w:w="7980" w:type="dxa"/>
            <w:vAlign w:val="bottom"/>
          </w:tcPr>
          <w:p>
            <w:pPr>
              <w:spacing w:after="0"/>
              <w:rPr>
                <w:sz w:val="20"/>
                <w:szCs w:val="20"/>
                <w:color w:val="auto"/>
              </w:rPr>
            </w:pPr>
            <w:r>
              <w:rPr>
                <w:rFonts w:ascii="Arial" w:cs="Arial" w:eastAsia="Arial" w:hAnsi="Arial"/>
                <w:sz w:val="17"/>
                <w:szCs w:val="17"/>
                <w:b w:val="1"/>
                <w:bCs w:val="1"/>
                <w:color w:val="582C83"/>
              </w:rPr>
              <w:t>NOTICE OF 2023 ANNUAL MEETING OF SHAREHOLDERS</w:t>
            </w:r>
          </w:p>
        </w:tc>
        <w:tc>
          <w:tcPr>
            <w:tcW w:w="1940" w:type="dxa"/>
            <w:vAlign w:val="bottom"/>
          </w:tcPr>
          <w:p>
            <w:pPr>
              <w:jc w:val="right"/>
              <w:spacing w:after="0"/>
              <w:rPr>
                <w:sz w:val="20"/>
                <w:szCs w:val="20"/>
                <w:color w:val="auto"/>
              </w:rPr>
            </w:pPr>
            <w:r>
              <w:rPr>
                <w:rFonts w:ascii="Arial" w:cs="Arial" w:eastAsia="Arial" w:hAnsi="Arial"/>
                <w:sz w:val="17"/>
                <w:szCs w:val="17"/>
                <w:b w:val="1"/>
                <w:bCs w:val="1"/>
                <w:color w:val="582C83"/>
              </w:rPr>
              <w:t>6</w:t>
            </w:r>
          </w:p>
        </w:tc>
      </w:tr>
      <w:tr>
        <w:trPr>
          <w:trHeight w:val="372"/>
        </w:trPr>
        <w:tc>
          <w:tcPr>
            <w:tcW w:w="7980" w:type="dxa"/>
            <w:vAlign w:val="bottom"/>
          </w:tcPr>
          <w:p>
            <w:pPr>
              <w:spacing w:after="0"/>
              <w:rPr>
                <w:sz w:val="20"/>
                <w:szCs w:val="20"/>
                <w:color w:val="auto"/>
              </w:rPr>
            </w:pPr>
            <w:r>
              <w:rPr>
                <w:rFonts w:ascii="Arial" w:cs="Arial" w:eastAsia="Arial" w:hAnsi="Arial"/>
                <w:sz w:val="17"/>
                <w:szCs w:val="17"/>
                <w:b w:val="1"/>
                <w:bCs w:val="1"/>
                <w:color w:val="582C83"/>
              </w:rPr>
              <w:t>PROXY STATEMENT SUMMARY</w:t>
            </w:r>
          </w:p>
        </w:tc>
        <w:tc>
          <w:tcPr>
            <w:tcW w:w="1940" w:type="dxa"/>
            <w:vAlign w:val="bottom"/>
          </w:tcPr>
          <w:p>
            <w:pPr>
              <w:jc w:val="right"/>
              <w:spacing w:after="0"/>
              <w:rPr>
                <w:sz w:val="20"/>
                <w:szCs w:val="20"/>
                <w:color w:val="auto"/>
              </w:rPr>
            </w:pPr>
            <w:r>
              <w:rPr>
                <w:rFonts w:ascii="Arial" w:cs="Arial" w:eastAsia="Arial" w:hAnsi="Arial"/>
                <w:sz w:val="17"/>
                <w:szCs w:val="17"/>
                <w:b w:val="1"/>
                <w:bCs w:val="1"/>
                <w:color w:val="582C83"/>
              </w:rPr>
              <w:t>10</w:t>
            </w:r>
          </w:p>
        </w:tc>
      </w:tr>
      <w:tr>
        <w:trPr>
          <w:trHeight w:val="236"/>
        </w:trPr>
        <w:tc>
          <w:tcPr>
            <w:tcW w:w="7980" w:type="dxa"/>
            <w:vAlign w:val="bottom"/>
          </w:tcPr>
          <w:p>
            <w:pPr>
              <w:spacing w:after="0"/>
              <w:rPr>
                <w:sz w:val="20"/>
                <w:szCs w:val="20"/>
                <w:color w:val="auto"/>
              </w:rPr>
            </w:pPr>
            <w:r>
              <w:rPr>
                <w:rFonts w:ascii="Arial" w:cs="Arial" w:eastAsia="Arial" w:hAnsi="Arial"/>
                <w:sz w:val="16"/>
                <w:szCs w:val="16"/>
                <w:color w:val="auto"/>
              </w:rPr>
              <w:t>2023 Annual Meeting of Shareholders</w:t>
            </w:r>
          </w:p>
        </w:tc>
        <w:tc>
          <w:tcPr>
            <w:tcW w:w="19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How to Vote in Advance of the Meeting</w:t>
            </w:r>
          </w:p>
        </w:tc>
        <w:tc>
          <w:tcPr>
            <w:tcW w:w="19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Items of Business</w:t>
            </w:r>
          </w:p>
        </w:tc>
        <w:tc>
          <w:tcPr>
            <w:tcW w:w="19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About Mondelēz International</w:t>
            </w:r>
          </w:p>
        </w:tc>
        <w:tc>
          <w:tcPr>
            <w:tcW w:w="1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Director Nominees</w:t>
            </w:r>
          </w:p>
        </w:tc>
        <w:tc>
          <w:tcPr>
            <w:tcW w:w="1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Our Governance Framework</w:t>
            </w:r>
          </w:p>
        </w:tc>
        <w:tc>
          <w:tcPr>
            <w:tcW w:w="19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Executive Compensation</w:t>
            </w:r>
          </w:p>
        </w:tc>
        <w:tc>
          <w:tcPr>
            <w:tcW w:w="19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84"/>
        </w:trPr>
        <w:tc>
          <w:tcPr>
            <w:tcW w:w="7980" w:type="dxa"/>
            <w:vAlign w:val="bottom"/>
          </w:tcPr>
          <w:p>
            <w:pPr>
              <w:spacing w:after="0"/>
              <w:rPr>
                <w:sz w:val="20"/>
                <w:szCs w:val="20"/>
                <w:color w:val="auto"/>
              </w:rPr>
            </w:pPr>
            <w:r>
              <w:rPr>
                <w:rFonts w:ascii="Arial" w:cs="Arial" w:eastAsia="Arial" w:hAnsi="Arial"/>
                <w:sz w:val="17"/>
                <w:szCs w:val="17"/>
                <w:b w:val="1"/>
                <w:bCs w:val="1"/>
                <w:color w:val="582C83"/>
              </w:rPr>
              <w:t>ITEM 1. ELECTION OF DIRECTORS</w:t>
            </w:r>
          </w:p>
        </w:tc>
        <w:tc>
          <w:tcPr>
            <w:tcW w:w="1940" w:type="dxa"/>
            <w:vAlign w:val="bottom"/>
          </w:tcPr>
          <w:p>
            <w:pPr>
              <w:jc w:val="right"/>
              <w:spacing w:after="0"/>
              <w:rPr>
                <w:sz w:val="20"/>
                <w:szCs w:val="20"/>
                <w:color w:val="auto"/>
              </w:rPr>
            </w:pPr>
            <w:r>
              <w:rPr>
                <w:rFonts w:ascii="Arial" w:cs="Arial" w:eastAsia="Arial" w:hAnsi="Arial"/>
                <w:sz w:val="17"/>
                <w:szCs w:val="17"/>
                <w:b w:val="1"/>
                <w:bCs w:val="1"/>
                <w:color w:val="582C83"/>
              </w:rPr>
              <w:t>18</w:t>
            </w:r>
          </w:p>
        </w:tc>
      </w:tr>
      <w:tr>
        <w:trPr>
          <w:trHeight w:val="236"/>
        </w:trPr>
        <w:tc>
          <w:tcPr>
            <w:tcW w:w="7980" w:type="dxa"/>
            <w:vAlign w:val="bottom"/>
          </w:tcPr>
          <w:p>
            <w:pPr>
              <w:spacing w:after="0"/>
              <w:rPr>
                <w:sz w:val="20"/>
                <w:szCs w:val="20"/>
                <w:color w:val="auto"/>
              </w:rPr>
            </w:pPr>
            <w:r>
              <w:rPr>
                <w:rFonts w:ascii="Arial" w:cs="Arial" w:eastAsia="Arial" w:hAnsi="Arial"/>
                <w:sz w:val="16"/>
                <w:szCs w:val="16"/>
                <w:color w:val="auto"/>
              </w:rPr>
              <w:t>How We Build an Experienced and Qualified Board</w:t>
            </w:r>
          </w:p>
        </w:tc>
        <w:tc>
          <w:tcPr>
            <w:tcW w:w="19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Director Skills</w:t>
            </w:r>
          </w:p>
        </w:tc>
        <w:tc>
          <w:tcPr>
            <w:tcW w:w="19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Shareholder Recommendations for Director Candidates</w:t>
            </w:r>
          </w:p>
        </w:tc>
        <w:tc>
          <w:tcPr>
            <w:tcW w:w="19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Shareholders Elect Directors Annually</w:t>
            </w:r>
          </w:p>
        </w:tc>
        <w:tc>
          <w:tcPr>
            <w:tcW w:w="19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Director Nominees for Election at the Annual Meeting</w:t>
            </w:r>
          </w:p>
        </w:tc>
        <w:tc>
          <w:tcPr>
            <w:tcW w:w="19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84"/>
        </w:trPr>
        <w:tc>
          <w:tcPr>
            <w:tcW w:w="7980" w:type="dxa"/>
            <w:vAlign w:val="bottom"/>
          </w:tcPr>
          <w:p>
            <w:pPr>
              <w:spacing w:after="0"/>
              <w:rPr>
                <w:sz w:val="20"/>
                <w:szCs w:val="20"/>
                <w:color w:val="auto"/>
              </w:rPr>
            </w:pPr>
            <w:r>
              <w:rPr>
                <w:rFonts w:ascii="Arial" w:cs="Arial" w:eastAsia="Arial" w:hAnsi="Arial"/>
                <w:sz w:val="17"/>
                <w:szCs w:val="17"/>
                <w:b w:val="1"/>
                <w:bCs w:val="1"/>
                <w:color w:val="582C83"/>
              </w:rPr>
              <w:t>CORPORATE GOVERNANCE</w:t>
            </w:r>
          </w:p>
        </w:tc>
        <w:tc>
          <w:tcPr>
            <w:tcW w:w="1940" w:type="dxa"/>
            <w:vAlign w:val="bottom"/>
          </w:tcPr>
          <w:p>
            <w:pPr>
              <w:jc w:val="right"/>
              <w:spacing w:after="0"/>
              <w:rPr>
                <w:sz w:val="20"/>
                <w:szCs w:val="20"/>
                <w:color w:val="auto"/>
              </w:rPr>
            </w:pPr>
            <w:r>
              <w:rPr>
                <w:rFonts w:ascii="Arial" w:cs="Arial" w:eastAsia="Arial" w:hAnsi="Arial"/>
                <w:sz w:val="17"/>
                <w:szCs w:val="17"/>
                <w:b w:val="1"/>
                <w:bCs w:val="1"/>
                <w:color w:val="582C83"/>
              </w:rPr>
              <w:t>33</w:t>
            </w:r>
          </w:p>
        </w:tc>
      </w:tr>
      <w:tr>
        <w:trPr>
          <w:trHeight w:val="236"/>
        </w:trPr>
        <w:tc>
          <w:tcPr>
            <w:tcW w:w="7980" w:type="dxa"/>
            <w:vAlign w:val="bottom"/>
          </w:tcPr>
          <w:p>
            <w:pPr>
              <w:spacing w:after="0"/>
              <w:rPr>
                <w:sz w:val="20"/>
                <w:szCs w:val="20"/>
                <w:color w:val="auto"/>
              </w:rPr>
            </w:pPr>
            <w:r>
              <w:rPr>
                <w:rFonts w:ascii="Arial" w:cs="Arial" w:eastAsia="Arial" w:hAnsi="Arial"/>
                <w:sz w:val="16"/>
                <w:szCs w:val="16"/>
                <w:color w:val="auto"/>
              </w:rPr>
              <w:t>Governance Guidelines</w:t>
            </w:r>
          </w:p>
        </w:tc>
        <w:tc>
          <w:tcPr>
            <w:tcW w:w="19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Director Onboarding and Education</w:t>
            </w:r>
          </w:p>
        </w:tc>
        <w:tc>
          <w:tcPr>
            <w:tcW w:w="19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Board Leadership Structure</w:t>
            </w:r>
          </w:p>
        </w:tc>
        <w:tc>
          <w:tcPr>
            <w:tcW w:w="19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Director Independence</w:t>
            </w:r>
          </w:p>
        </w:tc>
        <w:tc>
          <w:tcPr>
            <w:tcW w:w="19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Board Oversight of Strategy</w:t>
            </w:r>
          </w:p>
        </w:tc>
        <w:tc>
          <w:tcPr>
            <w:tcW w:w="19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Board Oversight of Risk Management</w:t>
            </w:r>
          </w:p>
        </w:tc>
        <w:tc>
          <w:tcPr>
            <w:tcW w:w="19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Board Oversight of Human Capital Management and Corporate Culture</w:t>
            </w:r>
          </w:p>
        </w:tc>
        <w:tc>
          <w:tcPr>
            <w:tcW w:w="19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Meeting Attendance</w:t>
            </w:r>
          </w:p>
        </w:tc>
        <w:tc>
          <w:tcPr>
            <w:tcW w:w="19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Codes of Conduct</w:t>
            </w:r>
          </w:p>
        </w:tc>
        <w:tc>
          <w:tcPr>
            <w:tcW w:w="19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Where to Find More Information</w:t>
            </w:r>
          </w:p>
        </w:tc>
        <w:tc>
          <w:tcPr>
            <w:tcW w:w="19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Review of Transactions with Related Persons</w:t>
            </w:r>
          </w:p>
        </w:tc>
        <w:tc>
          <w:tcPr>
            <w:tcW w:w="19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Shareholder Outreach and Communication with the Board</w:t>
            </w:r>
          </w:p>
        </w:tc>
        <w:tc>
          <w:tcPr>
            <w:tcW w:w="19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384"/>
        </w:trPr>
        <w:tc>
          <w:tcPr>
            <w:tcW w:w="7980" w:type="dxa"/>
            <w:vAlign w:val="bottom"/>
          </w:tcPr>
          <w:p>
            <w:pPr>
              <w:spacing w:after="0"/>
              <w:rPr>
                <w:sz w:val="20"/>
                <w:szCs w:val="20"/>
                <w:color w:val="auto"/>
              </w:rPr>
            </w:pPr>
            <w:r>
              <w:rPr>
                <w:rFonts w:ascii="Arial" w:cs="Arial" w:eastAsia="Arial" w:hAnsi="Arial"/>
                <w:sz w:val="17"/>
                <w:szCs w:val="17"/>
                <w:b w:val="1"/>
                <w:bCs w:val="1"/>
                <w:color w:val="582C83"/>
              </w:rPr>
              <w:t>BOARD COMMITTEES AND MEMBERSHIP</w:t>
            </w:r>
          </w:p>
        </w:tc>
        <w:tc>
          <w:tcPr>
            <w:tcW w:w="1940" w:type="dxa"/>
            <w:vAlign w:val="bottom"/>
          </w:tcPr>
          <w:p>
            <w:pPr>
              <w:jc w:val="right"/>
              <w:spacing w:after="0"/>
              <w:rPr>
                <w:sz w:val="20"/>
                <w:szCs w:val="20"/>
                <w:color w:val="auto"/>
              </w:rPr>
            </w:pPr>
            <w:r>
              <w:rPr>
                <w:rFonts w:ascii="Arial" w:cs="Arial" w:eastAsia="Arial" w:hAnsi="Arial"/>
                <w:sz w:val="17"/>
                <w:szCs w:val="17"/>
                <w:b w:val="1"/>
                <w:bCs w:val="1"/>
                <w:color w:val="582C83"/>
              </w:rPr>
              <w:t>47</w:t>
            </w:r>
          </w:p>
        </w:tc>
      </w:tr>
      <w:tr>
        <w:trPr>
          <w:trHeight w:val="236"/>
        </w:trPr>
        <w:tc>
          <w:tcPr>
            <w:tcW w:w="7980" w:type="dxa"/>
            <w:vAlign w:val="bottom"/>
          </w:tcPr>
          <w:p>
            <w:pPr>
              <w:spacing w:after="0"/>
              <w:rPr>
                <w:sz w:val="20"/>
                <w:szCs w:val="20"/>
                <w:color w:val="auto"/>
              </w:rPr>
            </w:pPr>
            <w:r>
              <w:rPr>
                <w:rFonts w:ascii="Arial" w:cs="Arial" w:eastAsia="Arial" w:hAnsi="Arial"/>
                <w:sz w:val="16"/>
                <w:szCs w:val="16"/>
                <w:color w:val="auto"/>
              </w:rPr>
              <w:t>Committee Membership</w:t>
            </w:r>
          </w:p>
        </w:tc>
        <w:tc>
          <w:tcPr>
            <w:tcW w:w="19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Audit Committee</w:t>
            </w:r>
          </w:p>
        </w:tc>
        <w:tc>
          <w:tcPr>
            <w:tcW w:w="19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Finance Committee</w:t>
            </w:r>
          </w:p>
        </w:tc>
        <w:tc>
          <w:tcPr>
            <w:tcW w:w="19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Governance, Membership and Sustainability Committee</w:t>
            </w:r>
          </w:p>
        </w:tc>
        <w:tc>
          <w:tcPr>
            <w:tcW w:w="19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People and Compensation Committee</w:t>
            </w:r>
          </w:p>
        </w:tc>
        <w:tc>
          <w:tcPr>
            <w:tcW w:w="19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384"/>
        </w:trPr>
        <w:tc>
          <w:tcPr>
            <w:tcW w:w="7980" w:type="dxa"/>
            <w:vAlign w:val="bottom"/>
          </w:tcPr>
          <w:p>
            <w:pPr>
              <w:spacing w:after="0"/>
              <w:rPr>
                <w:sz w:val="20"/>
                <w:szCs w:val="20"/>
                <w:color w:val="auto"/>
              </w:rPr>
            </w:pPr>
            <w:r>
              <w:rPr>
                <w:rFonts w:ascii="Arial" w:cs="Arial" w:eastAsia="Arial" w:hAnsi="Arial"/>
                <w:sz w:val="17"/>
                <w:szCs w:val="17"/>
                <w:b w:val="1"/>
                <w:bCs w:val="1"/>
                <w:color w:val="582C83"/>
              </w:rPr>
              <w:t>OUR DISTINCTIVE APPROACH TO ENVIRONMENTAL AND SOCIAL ISSUES</w:t>
            </w:r>
          </w:p>
        </w:tc>
        <w:tc>
          <w:tcPr>
            <w:tcW w:w="1940" w:type="dxa"/>
            <w:vAlign w:val="bottom"/>
          </w:tcPr>
          <w:p>
            <w:pPr>
              <w:jc w:val="right"/>
              <w:spacing w:after="0"/>
              <w:rPr>
                <w:sz w:val="20"/>
                <w:szCs w:val="20"/>
                <w:color w:val="auto"/>
              </w:rPr>
            </w:pPr>
            <w:r>
              <w:rPr>
                <w:rFonts w:ascii="Arial" w:cs="Arial" w:eastAsia="Arial" w:hAnsi="Arial"/>
                <w:sz w:val="17"/>
                <w:szCs w:val="17"/>
                <w:b w:val="1"/>
                <w:bCs w:val="1"/>
                <w:color w:val="582C83"/>
              </w:rPr>
              <w:t>58</w:t>
            </w:r>
          </w:p>
        </w:tc>
      </w:tr>
      <w:tr>
        <w:trPr>
          <w:trHeight w:val="236"/>
        </w:trPr>
        <w:tc>
          <w:tcPr>
            <w:tcW w:w="7980" w:type="dxa"/>
            <w:vAlign w:val="bottom"/>
          </w:tcPr>
          <w:p>
            <w:pPr>
              <w:spacing w:after="0"/>
              <w:rPr>
                <w:sz w:val="20"/>
                <w:szCs w:val="20"/>
                <w:color w:val="auto"/>
              </w:rPr>
            </w:pPr>
            <w:r>
              <w:rPr>
                <w:rFonts w:ascii="Arial" w:cs="Arial" w:eastAsia="Arial" w:hAnsi="Arial"/>
                <w:sz w:val="16"/>
                <w:szCs w:val="16"/>
                <w:color w:val="auto"/>
              </w:rPr>
              <w:t>Our Strategic Focus Areas</w:t>
            </w:r>
          </w:p>
        </w:tc>
        <w:tc>
          <w:tcPr>
            <w:tcW w:w="19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Board Oversight and Governance of ESG</w:t>
            </w:r>
          </w:p>
        </w:tc>
        <w:tc>
          <w:tcPr>
            <w:tcW w:w="19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Our Goals</w:t>
            </w:r>
          </w:p>
        </w:tc>
        <w:tc>
          <w:tcPr>
            <w:tcW w:w="19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United Nations Sustainable Development Goals</w:t>
            </w:r>
          </w:p>
        </w:tc>
        <w:tc>
          <w:tcPr>
            <w:tcW w:w="19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ESG Reporting</w:t>
            </w:r>
          </w:p>
        </w:tc>
        <w:tc>
          <w:tcPr>
            <w:tcW w:w="19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84"/>
        </w:trPr>
        <w:tc>
          <w:tcPr>
            <w:tcW w:w="7980" w:type="dxa"/>
            <w:vAlign w:val="bottom"/>
          </w:tcPr>
          <w:p>
            <w:pPr>
              <w:spacing w:after="0"/>
              <w:rPr>
                <w:sz w:val="20"/>
                <w:szCs w:val="20"/>
                <w:color w:val="auto"/>
              </w:rPr>
            </w:pPr>
            <w:r>
              <w:rPr>
                <w:rFonts w:ascii="Arial" w:cs="Arial" w:eastAsia="Arial" w:hAnsi="Arial"/>
                <w:sz w:val="17"/>
                <w:szCs w:val="17"/>
                <w:b w:val="1"/>
                <w:bCs w:val="1"/>
                <w:color w:val="582C83"/>
              </w:rPr>
              <w:t>COMPENSATION OF NON-EMPLOYEE DIRECTORS</w:t>
            </w:r>
          </w:p>
        </w:tc>
        <w:tc>
          <w:tcPr>
            <w:tcW w:w="1940" w:type="dxa"/>
            <w:vAlign w:val="bottom"/>
          </w:tcPr>
          <w:p>
            <w:pPr>
              <w:jc w:val="right"/>
              <w:spacing w:after="0"/>
              <w:rPr>
                <w:sz w:val="20"/>
                <w:szCs w:val="20"/>
                <w:color w:val="auto"/>
              </w:rPr>
            </w:pPr>
            <w:r>
              <w:rPr>
                <w:rFonts w:ascii="Arial" w:cs="Arial" w:eastAsia="Arial" w:hAnsi="Arial"/>
                <w:sz w:val="17"/>
                <w:szCs w:val="17"/>
                <w:b w:val="1"/>
                <w:bCs w:val="1"/>
                <w:color w:val="582C83"/>
              </w:rPr>
              <w:t>61</w:t>
            </w:r>
          </w:p>
        </w:tc>
      </w:tr>
      <w:tr>
        <w:trPr>
          <w:trHeight w:val="372"/>
        </w:trPr>
        <w:tc>
          <w:tcPr>
            <w:tcW w:w="7980" w:type="dxa"/>
            <w:vAlign w:val="bottom"/>
          </w:tcPr>
          <w:p>
            <w:pPr>
              <w:spacing w:after="0"/>
              <w:rPr>
                <w:sz w:val="20"/>
                <w:szCs w:val="20"/>
                <w:color w:val="auto"/>
              </w:rPr>
            </w:pPr>
            <w:r>
              <w:rPr>
                <w:rFonts w:ascii="Arial" w:cs="Arial" w:eastAsia="Arial" w:hAnsi="Arial"/>
                <w:sz w:val="17"/>
                <w:szCs w:val="17"/>
                <w:b w:val="1"/>
                <w:bCs w:val="1"/>
                <w:color w:val="582C83"/>
              </w:rPr>
              <w:t>COMPENSATION DISCUSSION AND ANALYSIS</w:t>
            </w:r>
          </w:p>
        </w:tc>
        <w:tc>
          <w:tcPr>
            <w:tcW w:w="1940" w:type="dxa"/>
            <w:vAlign w:val="bottom"/>
          </w:tcPr>
          <w:p>
            <w:pPr>
              <w:jc w:val="right"/>
              <w:spacing w:after="0"/>
              <w:rPr>
                <w:sz w:val="20"/>
                <w:szCs w:val="20"/>
                <w:color w:val="auto"/>
              </w:rPr>
            </w:pPr>
            <w:r>
              <w:rPr>
                <w:rFonts w:ascii="Arial" w:cs="Arial" w:eastAsia="Arial" w:hAnsi="Arial"/>
                <w:sz w:val="17"/>
                <w:szCs w:val="17"/>
                <w:b w:val="1"/>
                <w:bCs w:val="1"/>
                <w:color w:val="582C83"/>
              </w:rPr>
              <w:t>65</w:t>
            </w:r>
          </w:p>
        </w:tc>
      </w:tr>
      <w:tr>
        <w:trPr>
          <w:trHeight w:val="236"/>
        </w:trPr>
        <w:tc>
          <w:tcPr>
            <w:tcW w:w="7980" w:type="dxa"/>
            <w:vAlign w:val="bottom"/>
          </w:tcPr>
          <w:p>
            <w:pPr>
              <w:spacing w:after="0"/>
              <w:rPr>
                <w:sz w:val="20"/>
                <w:szCs w:val="20"/>
                <w:color w:val="auto"/>
              </w:rPr>
            </w:pPr>
            <w:r>
              <w:rPr>
                <w:rFonts w:ascii="Arial" w:cs="Arial" w:eastAsia="Arial" w:hAnsi="Arial"/>
                <w:sz w:val="16"/>
                <w:szCs w:val="16"/>
                <w:color w:val="auto"/>
              </w:rPr>
              <w:t>Executive Summary</w:t>
            </w:r>
          </w:p>
        </w:tc>
        <w:tc>
          <w:tcPr>
            <w:tcW w:w="19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Detailed Program Discussion</w:t>
            </w:r>
          </w:p>
        </w:tc>
        <w:tc>
          <w:tcPr>
            <w:tcW w:w="19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Compensation Governance</w:t>
            </w:r>
          </w:p>
        </w:tc>
        <w:tc>
          <w:tcPr>
            <w:tcW w:w="1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84"/>
        </w:trPr>
        <w:tc>
          <w:tcPr>
            <w:tcW w:w="7980" w:type="dxa"/>
            <w:vAlign w:val="bottom"/>
          </w:tcPr>
          <w:p>
            <w:pPr>
              <w:spacing w:after="0"/>
              <w:rPr>
                <w:sz w:val="20"/>
                <w:szCs w:val="20"/>
                <w:color w:val="auto"/>
              </w:rPr>
            </w:pPr>
            <w:r>
              <w:rPr>
                <w:rFonts w:ascii="Arial" w:cs="Arial" w:eastAsia="Arial" w:hAnsi="Arial"/>
                <w:sz w:val="17"/>
                <w:szCs w:val="17"/>
                <w:b w:val="1"/>
                <w:bCs w:val="1"/>
                <w:color w:val="582C83"/>
              </w:rPr>
              <w:t>EXECUTIVE COMPENSATION TABLES</w:t>
            </w:r>
          </w:p>
        </w:tc>
        <w:tc>
          <w:tcPr>
            <w:tcW w:w="1940" w:type="dxa"/>
            <w:vAlign w:val="bottom"/>
          </w:tcPr>
          <w:p>
            <w:pPr>
              <w:jc w:val="right"/>
              <w:spacing w:after="0"/>
              <w:rPr>
                <w:sz w:val="20"/>
                <w:szCs w:val="20"/>
                <w:color w:val="auto"/>
              </w:rPr>
            </w:pPr>
            <w:r>
              <w:rPr>
                <w:rFonts w:ascii="Arial" w:cs="Arial" w:eastAsia="Arial" w:hAnsi="Arial"/>
                <w:sz w:val="17"/>
                <w:szCs w:val="17"/>
                <w:b w:val="1"/>
                <w:bCs w:val="1"/>
                <w:color w:val="582C83"/>
              </w:rPr>
              <w:t>94</w:t>
            </w:r>
          </w:p>
        </w:tc>
      </w:tr>
      <w:tr>
        <w:trPr>
          <w:trHeight w:val="236"/>
        </w:trPr>
        <w:tc>
          <w:tcPr>
            <w:tcW w:w="7980" w:type="dxa"/>
            <w:vAlign w:val="bottom"/>
          </w:tcPr>
          <w:p>
            <w:pPr>
              <w:spacing w:after="0"/>
              <w:rPr>
                <w:sz w:val="20"/>
                <w:szCs w:val="20"/>
                <w:color w:val="auto"/>
              </w:rPr>
            </w:pPr>
            <w:r>
              <w:rPr>
                <w:rFonts w:ascii="Arial" w:cs="Arial" w:eastAsia="Arial" w:hAnsi="Arial"/>
                <w:sz w:val="16"/>
                <w:szCs w:val="16"/>
                <w:color w:val="auto"/>
              </w:rPr>
              <w:t>2022 Summary Compensation Table</w:t>
            </w:r>
          </w:p>
        </w:tc>
        <w:tc>
          <w:tcPr>
            <w:tcW w:w="19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2022 Grants of Plan-Based Awards</w:t>
            </w:r>
          </w:p>
        </w:tc>
        <w:tc>
          <w:tcPr>
            <w:tcW w:w="19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48"/>
        </w:trPr>
        <w:tc>
          <w:tcPr>
            <w:tcW w:w="7980" w:type="dxa"/>
            <w:vAlign w:val="bottom"/>
          </w:tcPr>
          <w:p>
            <w:pPr>
              <w:spacing w:after="0"/>
              <w:rPr>
                <w:sz w:val="20"/>
                <w:szCs w:val="20"/>
                <w:color w:val="auto"/>
              </w:rPr>
            </w:pPr>
            <w:r>
              <w:rPr>
                <w:rFonts w:ascii="Arial" w:cs="Arial" w:eastAsia="Arial" w:hAnsi="Arial"/>
                <w:sz w:val="16"/>
                <w:szCs w:val="16"/>
                <w:color w:val="auto"/>
              </w:rPr>
              <w:t>2022 Outstanding Equity Awards at Fiscal Year-End</w:t>
            </w:r>
          </w:p>
        </w:tc>
        <w:tc>
          <w:tcPr>
            <w:tcW w:w="1940" w:type="dxa"/>
            <w:vAlign w:val="bottom"/>
          </w:tcPr>
          <w:p>
            <w:pPr>
              <w:jc w:val="right"/>
              <w:spacing w:after="0"/>
              <w:rPr>
                <w:sz w:val="20"/>
                <w:szCs w:val="20"/>
                <w:color w:val="auto"/>
              </w:rPr>
            </w:pPr>
            <w:r>
              <w:rPr>
                <w:rFonts w:ascii="Arial" w:cs="Arial" w:eastAsia="Arial" w:hAnsi="Arial"/>
                <w:sz w:val="16"/>
                <w:szCs w:val="16"/>
                <w:color w:val="auto"/>
              </w:rPr>
              <w:t>97</w:t>
            </w:r>
          </w:p>
        </w:tc>
      </w:tr>
    </w:tbl>
    <w:p>
      <w:pPr>
        <w:sectPr>
          <w:pgSz w:w="11900" w:h="16869" w:orient="portrait"/>
          <w:cols w:equalWidth="0" w:num="1">
            <w:col w:w="9920"/>
          </w:cols>
          <w:pgMar w:left="980" w:top="559" w:right="99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 w:type="dxa"/>
            <w:vAlign w:val="bottom"/>
          </w:tcPr>
          <w:p>
            <w:pPr>
              <w:spacing w:after="0"/>
              <w:rPr>
                <w:sz w:val="20"/>
                <w:szCs w:val="20"/>
                <w:color w:val="auto"/>
              </w:rPr>
            </w:pPr>
            <w:r>
              <w:rPr>
                <w:rFonts w:ascii="Arial" w:cs="Arial" w:eastAsia="Arial" w:hAnsi="Arial"/>
                <w:sz w:val="16"/>
                <w:szCs w:val="16"/>
                <w:color w:val="auto"/>
              </w:rPr>
              <w:t>2022</w:t>
            </w:r>
          </w:p>
        </w:tc>
        <w:tc>
          <w:tcPr>
            <w:tcW w:w="6540" w:type="dxa"/>
            <w:vAlign w:val="bottom"/>
          </w:tcPr>
          <w:p>
            <w:pPr>
              <w:ind w:left="20"/>
              <w:spacing w:after="0"/>
              <w:rPr>
                <w:sz w:val="20"/>
                <w:szCs w:val="20"/>
                <w:color w:val="auto"/>
              </w:rPr>
            </w:pPr>
            <w:r>
              <w:rPr>
                <w:rFonts w:ascii="Arial" w:cs="Arial" w:eastAsia="Arial" w:hAnsi="Arial"/>
                <w:sz w:val="16"/>
                <w:szCs w:val="16"/>
                <w:color w:val="auto"/>
              </w:rPr>
              <w:t>Options Exercised and Stock Vested</w:t>
            </w:r>
          </w:p>
        </w:tc>
        <w:tc>
          <w:tcPr>
            <w:tcW w:w="298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48"/>
        </w:trPr>
        <w:tc>
          <w:tcPr>
            <w:tcW w:w="400" w:type="dxa"/>
            <w:vAlign w:val="bottom"/>
          </w:tcPr>
          <w:p>
            <w:pPr>
              <w:spacing w:after="0"/>
              <w:rPr>
                <w:sz w:val="20"/>
                <w:szCs w:val="20"/>
                <w:color w:val="auto"/>
              </w:rPr>
            </w:pPr>
            <w:r>
              <w:rPr>
                <w:rFonts w:ascii="Arial" w:cs="Arial" w:eastAsia="Arial" w:hAnsi="Arial"/>
                <w:sz w:val="16"/>
                <w:szCs w:val="16"/>
                <w:color w:val="auto"/>
              </w:rPr>
              <w:t>2022</w:t>
            </w:r>
          </w:p>
        </w:tc>
        <w:tc>
          <w:tcPr>
            <w:tcW w:w="6540" w:type="dxa"/>
            <w:vAlign w:val="bottom"/>
          </w:tcPr>
          <w:p>
            <w:pPr>
              <w:ind w:left="20"/>
              <w:spacing w:after="0"/>
              <w:rPr>
                <w:sz w:val="20"/>
                <w:szCs w:val="20"/>
                <w:color w:val="auto"/>
              </w:rPr>
            </w:pPr>
            <w:r>
              <w:rPr>
                <w:rFonts w:ascii="Arial" w:cs="Arial" w:eastAsia="Arial" w:hAnsi="Arial"/>
                <w:sz w:val="16"/>
                <w:szCs w:val="16"/>
                <w:color w:val="auto"/>
              </w:rPr>
              <w:t>Pension Benefits</w:t>
            </w:r>
          </w:p>
        </w:tc>
        <w:tc>
          <w:tcPr>
            <w:tcW w:w="298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48"/>
        </w:trPr>
        <w:tc>
          <w:tcPr>
            <w:tcW w:w="6940" w:type="dxa"/>
            <w:vAlign w:val="bottom"/>
            <w:gridSpan w:val="2"/>
          </w:tcPr>
          <w:p>
            <w:pPr>
              <w:spacing w:after="0"/>
              <w:rPr>
                <w:sz w:val="20"/>
                <w:szCs w:val="20"/>
                <w:color w:val="auto"/>
              </w:rPr>
            </w:pPr>
            <w:r>
              <w:rPr>
                <w:rFonts w:ascii="Arial" w:cs="Arial" w:eastAsia="Arial" w:hAnsi="Arial"/>
                <w:sz w:val="16"/>
                <w:szCs w:val="16"/>
                <w:color w:val="auto"/>
              </w:rPr>
              <w:t>Retirement Benefit Plan Description</w:t>
            </w:r>
          </w:p>
        </w:tc>
        <w:tc>
          <w:tcPr>
            <w:tcW w:w="29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48"/>
        </w:trPr>
        <w:tc>
          <w:tcPr>
            <w:tcW w:w="400" w:type="dxa"/>
            <w:vAlign w:val="bottom"/>
          </w:tcPr>
          <w:p>
            <w:pPr>
              <w:spacing w:after="0"/>
              <w:rPr>
                <w:sz w:val="20"/>
                <w:szCs w:val="20"/>
                <w:color w:val="auto"/>
              </w:rPr>
            </w:pPr>
            <w:r>
              <w:rPr>
                <w:rFonts w:ascii="Arial" w:cs="Arial" w:eastAsia="Arial" w:hAnsi="Arial"/>
                <w:sz w:val="16"/>
                <w:szCs w:val="16"/>
                <w:color w:val="auto"/>
              </w:rPr>
              <w:t>2022</w:t>
            </w:r>
          </w:p>
        </w:tc>
        <w:tc>
          <w:tcPr>
            <w:tcW w:w="6540" w:type="dxa"/>
            <w:vAlign w:val="bottom"/>
          </w:tcPr>
          <w:p>
            <w:pPr>
              <w:ind w:left="20"/>
              <w:spacing w:after="0"/>
              <w:rPr>
                <w:sz w:val="20"/>
                <w:szCs w:val="20"/>
                <w:color w:val="auto"/>
              </w:rPr>
            </w:pPr>
            <w:r>
              <w:rPr>
                <w:rFonts w:ascii="Arial" w:cs="Arial" w:eastAsia="Arial" w:hAnsi="Arial"/>
                <w:sz w:val="16"/>
                <w:szCs w:val="16"/>
                <w:color w:val="auto"/>
              </w:rPr>
              <w:t>Non-Qualified Deferred Compensation Benefits</w:t>
            </w:r>
          </w:p>
        </w:tc>
        <w:tc>
          <w:tcPr>
            <w:tcW w:w="29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48"/>
        </w:trPr>
        <w:tc>
          <w:tcPr>
            <w:tcW w:w="6940" w:type="dxa"/>
            <w:vAlign w:val="bottom"/>
            <w:gridSpan w:val="2"/>
          </w:tcPr>
          <w:p>
            <w:pPr>
              <w:spacing w:after="0"/>
              <w:rPr>
                <w:sz w:val="20"/>
                <w:szCs w:val="20"/>
                <w:color w:val="auto"/>
              </w:rPr>
            </w:pPr>
            <w:r>
              <w:rPr>
                <w:rFonts w:ascii="Arial" w:cs="Arial" w:eastAsia="Arial" w:hAnsi="Arial"/>
                <w:sz w:val="16"/>
                <w:szCs w:val="16"/>
                <w:color w:val="auto"/>
              </w:rPr>
              <w:t>Potential Payments Upon Termination or Change in Control</w:t>
            </w:r>
          </w:p>
        </w:tc>
        <w:tc>
          <w:tcPr>
            <w:tcW w:w="2980" w:type="dxa"/>
            <w:vAlign w:val="bottom"/>
          </w:tcPr>
          <w:p>
            <w:pPr>
              <w:jc w:val="right"/>
              <w:spacing w:after="0"/>
              <w:rPr>
                <w:sz w:val="20"/>
                <w:szCs w:val="20"/>
                <w:color w:val="auto"/>
              </w:rPr>
            </w:pPr>
            <w:r>
              <w:rPr>
                <w:rFonts w:ascii="Arial" w:cs="Arial" w:eastAsia="Arial" w:hAnsi="Arial"/>
                <w:sz w:val="16"/>
                <w:szCs w:val="16"/>
                <w:color w:val="auto"/>
              </w:rPr>
              <w:t>102</w:t>
            </w:r>
          </w:p>
        </w:tc>
      </w:tr>
    </w:tbl>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40" w:type="dxa"/>
            <w:vAlign w:val="bottom"/>
          </w:tcPr>
          <w:p>
            <w:pPr>
              <w:spacing w:after="0"/>
              <w:rPr>
                <w:sz w:val="20"/>
                <w:szCs w:val="20"/>
                <w:color w:val="auto"/>
              </w:rPr>
            </w:pPr>
            <w:r>
              <w:rPr>
                <w:rFonts w:ascii="Arial" w:cs="Arial" w:eastAsia="Arial" w:hAnsi="Arial"/>
                <w:sz w:val="17"/>
                <w:szCs w:val="17"/>
                <w:b w:val="1"/>
                <w:bCs w:val="1"/>
                <w:color w:val="582C83"/>
              </w:rPr>
              <w:t>PEOPLE AND COMPENSATION COMMITTEE REPORT FOR THE YEAR ENDED DECEMBER 31, 2022</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582C83"/>
              </w:rPr>
              <w:t>108</w:t>
            </w:r>
          </w:p>
        </w:tc>
      </w:tr>
      <w:tr>
        <w:trPr>
          <w:trHeight w:val="372"/>
        </w:trPr>
        <w:tc>
          <w:tcPr>
            <w:tcW w:w="9240" w:type="dxa"/>
            <w:vAlign w:val="bottom"/>
          </w:tcPr>
          <w:p>
            <w:pPr>
              <w:spacing w:after="0"/>
              <w:rPr>
                <w:sz w:val="20"/>
                <w:szCs w:val="20"/>
                <w:color w:val="auto"/>
              </w:rPr>
            </w:pPr>
            <w:r>
              <w:rPr>
                <w:rFonts w:ascii="Arial" w:cs="Arial" w:eastAsia="Arial" w:hAnsi="Arial"/>
                <w:sz w:val="17"/>
                <w:szCs w:val="17"/>
                <w:b w:val="1"/>
                <w:bCs w:val="1"/>
                <w:color w:val="582C83"/>
              </w:rPr>
              <w:t>CEO PAY RATIO</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582C83"/>
              </w:rPr>
              <w:t>109</w:t>
            </w:r>
          </w:p>
        </w:tc>
      </w:tr>
      <w:tr>
        <w:trPr>
          <w:trHeight w:val="372"/>
        </w:trPr>
        <w:tc>
          <w:tcPr>
            <w:tcW w:w="9240" w:type="dxa"/>
            <w:vAlign w:val="bottom"/>
          </w:tcPr>
          <w:p>
            <w:pPr>
              <w:spacing w:after="0"/>
              <w:rPr>
                <w:sz w:val="20"/>
                <w:szCs w:val="20"/>
                <w:color w:val="auto"/>
              </w:rPr>
            </w:pPr>
            <w:r>
              <w:rPr>
                <w:rFonts w:ascii="Arial" w:cs="Arial" w:eastAsia="Arial" w:hAnsi="Arial"/>
                <w:sz w:val="17"/>
                <w:szCs w:val="17"/>
                <w:b w:val="1"/>
                <w:bCs w:val="1"/>
                <w:color w:val="582C83"/>
              </w:rPr>
              <w:t>PAY VERSUS PERFORMANCE</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582C83"/>
              </w:rPr>
              <w:t>110</w:t>
            </w:r>
          </w:p>
        </w:tc>
      </w:tr>
      <w:tr>
        <w:trPr>
          <w:trHeight w:val="372"/>
        </w:trPr>
        <w:tc>
          <w:tcPr>
            <w:tcW w:w="9240" w:type="dxa"/>
            <w:vAlign w:val="bottom"/>
          </w:tcPr>
          <w:p>
            <w:pPr>
              <w:spacing w:after="0"/>
              <w:rPr>
                <w:sz w:val="20"/>
                <w:szCs w:val="20"/>
                <w:color w:val="auto"/>
              </w:rPr>
            </w:pPr>
            <w:r>
              <w:rPr>
                <w:rFonts w:ascii="Arial" w:cs="Arial" w:eastAsia="Arial" w:hAnsi="Arial"/>
                <w:sz w:val="17"/>
                <w:szCs w:val="17"/>
                <w:b w:val="1"/>
                <w:bCs w:val="1"/>
                <w:color w:val="582C83"/>
              </w:rPr>
              <w:t>OWNERSHIP OF EQUITY SECURITIES</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582C83"/>
              </w:rPr>
              <w:t>114</w:t>
            </w:r>
          </w:p>
        </w:tc>
      </w:tr>
      <w:tr>
        <w:trPr>
          <w:trHeight w:val="236"/>
        </w:trPr>
        <w:tc>
          <w:tcPr>
            <w:tcW w:w="9240" w:type="dxa"/>
            <w:vAlign w:val="bottom"/>
          </w:tcPr>
          <w:p>
            <w:pPr>
              <w:spacing w:after="0"/>
              <w:rPr>
                <w:sz w:val="20"/>
                <w:szCs w:val="20"/>
                <w:color w:val="auto"/>
              </w:rPr>
            </w:pPr>
            <w:r>
              <w:rPr>
                <w:rFonts w:ascii="Arial" w:cs="Arial" w:eastAsia="Arial" w:hAnsi="Arial"/>
                <w:sz w:val="16"/>
                <w:szCs w:val="16"/>
                <w:color w:val="auto"/>
              </w:rPr>
              <w:t>Delinquent Section 16(a) Reports</w:t>
            </w:r>
          </w:p>
        </w:tc>
        <w:tc>
          <w:tcPr>
            <w:tcW w:w="68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384"/>
        </w:trPr>
        <w:tc>
          <w:tcPr>
            <w:tcW w:w="9240" w:type="dxa"/>
            <w:vAlign w:val="bottom"/>
          </w:tcPr>
          <w:p>
            <w:pPr>
              <w:spacing w:after="0"/>
              <w:rPr>
                <w:sz w:val="20"/>
                <w:szCs w:val="20"/>
                <w:color w:val="auto"/>
              </w:rPr>
            </w:pPr>
            <w:r>
              <w:rPr>
                <w:rFonts w:ascii="Arial" w:cs="Arial" w:eastAsia="Arial" w:hAnsi="Arial"/>
                <w:sz w:val="17"/>
                <w:szCs w:val="17"/>
                <w:b w:val="1"/>
                <w:bCs w:val="1"/>
                <w:color w:val="582C83"/>
              </w:rPr>
              <w:t>ITEM 2. ADVISORY VOTE TO APPROVE EXECUTIVE COMPENSATION</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582C83"/>
              </w:rPr>
              <w:t>116</w:t>
            </w:r>
          </w:p>
        </w:tc>
      </w:tr>
      <w:tr>
        <w:trPr>
          <w:trHeight w:val="332"/>
        </w:trPr>
        <w:tc>
          <w:tcPr>
            <w:tcW w:w="9240" w:type="dxa"/>
            <w:vAlign w:val="bottom"/>
          </w:tcPr>
          <w:p>
            <w:pPr>
              <w:spacing w:after="0"/>
              <w:rPr>
                <w:sz w:val="20"/>
                <w:szCs w:val="20"/>
                <w:color w:val="auto"/>
              </w:rPr>
            </w:pPr>
            <w:r>
              <w:rPr>
                <w:rFonts w:ascii="Arial" w:cs="Arial" w:eastAsia="Arial" w:hAnsi="Arial"/>
                <w:sz w:val="17"/>
                <w:szCs w:val="17"/>
                <w:b w:val="1"/>
                <w:bCs w:val="1"/>
                <w:color w:val="582C83"/>
              </w:rPr>
              <w:t>ITEM 3. ADVISORY VOTE ON THE FREQUENCY OF FUTURE ADVISORY VOTES TO APPROVE EXECUTIVE</w:t>
            </w:r>
          </w:p>
        </w:tc>
        <w:tc>
          <w:tcPr>
            <w:tcW w:w="680" w:type="dxa"/>
            <w:vAlign w:val="bottom"/>
          </w:tcPr>
          <w:p>
            <w:pPr>
              <w:spacing w:after="0"/>
              <w:rPr>
                <w:sz w:val="24"/>
                <w:szCs w:val="24"/>
                <w:color w:val="auto"/>
              </w:rPr>
            </w:pPr>
          </w:p>
        </w:tc>
      </w:tr>
      <w:tr>
        <w:trPr>
          <w:trHeight w:val="239"/>
        </w:trPr>
        <w:tc>
          <w:tcPr>
            <w:tcW w:w="9240" w:type="dxa"/>
            <w:vAlign w:val="bottom"/>
          </w:tcPr>
          <w:p>
            <w:pPr>
              <w:spacing w:after="0"/>
              <w:rPr>
                <w:sz w:val="20"/>
                <w:szCs w:val="20"/>
                <w:color w:val="auto"/>
              </w:rPr>
            </w:pPr>
            <w:r>
              <w:rPr>
                <w:rFonts w:ascii="Arial" w:cs="Arial" w:eastAsia="Arial" w:hAnsi="Arial"/>
                <w:sz w:val="17"/>
                <w:szCs w:val="17"/>
                <w:b w:val="1"/>
                <w:bCs w:val="1"/>
                <w:color w:val="582C83"/>
              </w:rPr>
              <w:t>COMPENSATION</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582C83"/>
              </w:rPr>
              <w:t>117</w:t>
            </w:r>
          </w:p>
        </w:tc>
      </w:tr>
      <w:tr>
        <w:trPr>
          <w:trHeight w:val="332"/>
        </w:trPr>
        <w:tc>
          <w:tcPr>
            <w:tcW w:w="9240" w:type="dxa"/>
            <w:vAlign w:val="bottom"/>
          </w:tcPr>
          <w:p>
            <w:pPr>
              <w:spacing w:after="0"/>
              <w:rPr>
                <w:sz w:val="20"/>
                <w:szCs w:val="20"/>
                <w:color w:val="auto"/>
              </w:rPr>
            </w:pPr>
            <w:r>
              <w:rPr>
                <w:rFonts w:ascii="Arial" w:cs="Arial" w:eastAsia="Arial" w:hAnsi="Arial"/>
                <w:sz w:val="17"/>
                <w:szCs w:val="17"/>
                <w:b w:val="1"/>
                <w:bCs w:val="1"/>
                <w:color w:val="582C83"/>
              </w:rPr>
              <w:t>ITEM 4. RATIFICATION OF THE SELECTION OF INDEPENDENT REGISTERED PUBLIC ACCOUNTANTS FOR</w:t>
            </w:r>
          </w:p>
        </w:tc>
        <w:tc>
          <w:tcPr>
            <w:tcW w:w="680" w:type="dxa"/>
            <w:vAlign w:val="bottom"/>
          </w:tcPr>
          <w:p>
            <w:pPr>
              <w:spacing w:after="0"/>
              <w:rPr>
                <w:sz w:val="24"/>
                <w:szCs w:val="24"/>
                <w:color w:val="auto"/>
              </w:rPr>
            </w:pPr>
          </w:p>
        </w:tc>
      </w:tr>
      <w:tr>
        <w:trPr>
          <w:trHeight w:val="239"/>
        </w:trPr>
        <w:tc>
          <w:tcPr>
            <w:tcW w:w="9240" w:type="dxa"/>
            <w:vAlign w:val="bottom"/>
          </w:tcPr>
          <w:p>
            <w:pPr>
              <w:spacing w:after="0"/>
              <w:rPr>
                <w:sz w:val="20"/>
                <w:szCs w:val="20"/>
                <w:color w:val="auto"/>
              </w:rPr>
            </w:pPr>
            <w:r>
              <w:rPr>
                <w:rFonts w:ascii="Arial" w:cs="Arial" w:eastAsia="Arial" w:hAnsi="Arial"/>
                <w:sz w:val="17"/>
                <w:szCs w:val="17"/>
                <w:b w:val="1"/>
                <w:bCs w:val="1"/>
                <w:color w:val="582C83"/>
              </w:rPr>
              <w:t>FISCAL YEAR 2023</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582C83"/>
              </w:rPr>
              <w:t>118</w:t>
            </w:r>
          </w:p>
        </w:tc>
      </w:tr>
      <w:tr>
        <w:trPr>
          <w:trHeight w:val="236"/>
        </w:trPr>
        <w:tc>
          <w:tcPr>
            <w:tcW w:w="9240" w:type="dxa"/>
            <w:vAlign w:val="bottom"/>
          </w:tcPr>
          <w:p>
            <w:pPr>
              <w:spacing w:after="0"/>
              <w:rPr>
                <w:sz w:val="20"/>
                <w:szCs w:val="20"/>
                <w:color w:val="auto"/>
              </w:rPr>
            </w:pPr>
            <w:r>
              <w:rPr>
                <w:rFonts w:ascii="Arial" w:cs="Arial" w:eastAsia="Arial" w:hAnsi="Arial"/>
                <w:sz w:val="16"/>
                <w:szCs w:val="16"/>
                <w:color w:val="auto"/>
              </w:rPr>
              <w:t>Review of Independent Registered Public Accountants</w:t>
            </w:r>
          </w:p>
        </w:tc>
        <w:tc>
          <w:tcPr>
            <w:tcW w:w="68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48"/>
        </w:trPr>
        <w:tc>
          <w:tcPr>
            <w:tcW w:w="9240" w:type="dxa"/>
            <w:vAlign w:val="bottom"/>
          </w:tcPr>
          <w:p>
            <w:pPr>
              <w:spacing w:after="0"/>
              <w:rPr>
                <w:sz w:val="20"/>
                <w:szCs w:val="20"/>
                <w:color w:val="auto"/>
              </w:rPr>
            </w:pPr>
            <w:r>
              <w:rPr>
                <w:rFonts w:ascii="Arial" w:cs="Arial" w:eastAsia="Arial" w:hAnsi="Arial"/>
                <w:sz w:val="16"/>
                <w:szCs w:val="16"/>
                <w:color w:val="auto"/>
              </w:rPr>
              <w:t>Selection of Independent Registered Public Accountants</w:t>
            </w:r>
          </w:p>
        </w:tc>
        <w:tc>
          <w:tcPr>
            <w:tcW w:w="68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384"/>
        </w:trPr>
        <w:tc>
          <w:tcPr>
            <w:tcW w:w="9240" w:type="dxa"/>
            <w:vAlign w:val="bottom"/>
          </w:tcPr>
          <w:p>
            <w:pPr>
              <w:spacing w:after="0"/>
              <w:rPr>
                <w:sz w:val="20"/>
                <w:szCs w:val="20"/>
                <w:color w:val="auto"/>
              </w:rPr>
            </w:pPr>
            <w:r>
              <w:rPr>
                <w:rFonts w:ascii="Arial" w:cs="Arial" w:eastAsia="Arial" w:hAnsi="Arial"/>
                <w:sz w:val="17"/>
                <w:szCs w:val="17"/>
                <w:b w:val="1"/>
                <w:bCs w:val="1"/>
                <w:color w:val="582C83"/>
              </w:rPr>
              <w:t>SHAREHOLDER PROPOSALS</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582C83"/>
              </w:rPr>
              <w:t>120</w:t>
            </w:r>
          </w:p>
        </w:tc>
      </w:tr>
      <w:tr>
        <w:trPr>
          <w:trHeight w:val="372"/>
        </w:trPr>
        <w:tc>
          <w:tcPr>
            <w:tcW w:w="9240" w:type="dxa"/>
            <w:vAlign w:val="bottom"/>
          </w:tcPr>
          <w:p>
            <w:pPr>
              <w:spacing w:after="0"/>
              <w:rPr>
                <w:sz w:val="20"/>
                <w:szCs w:val="20"/>
                <w:color w:val="auto"/>
              </w:rPr>
            </w:pPr>
            <w:r>
              <w:rPr>
                <w:rFonts w:ascii="Arial" w:cs="Arial" w:eastAsia="Arial" w:hAnsi="Arial"/>
                <w:sz w:val="17"/>
                <w:szCs w:val="17"/>
                <w:b w:val="1"/>
                <w:bCs w:val="1"/>
                <w:color w:val="582C83"/>
              </w:rPr>
              <w:t>ITEM 5. SHAREHOLDER PROPOSAL</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582C83"/>
              </w:rPr>
              <w:t>121</w:t>
            </w:r>
          </w:p>
        </w:tc>
      </w:tr>
      <w:tr>
        <w:trPr>
          <w:trHeight w:val="236"/>
        </w:trPr>
        <w:tc>
          <w:tcPr>
            <w:tcW w:w="9240" w:type="dxa"/>
            <w:vAlign w:val="bottom"/>
          </w:tcPr>
          <w:p>
            <w:pPr>
              <w:spacing w:after="0"/>
              <w:rPr>
                <w:sz w:val="20"/>
                <w:szCs w:val="20"/>
                <w:color w:val="auto"/>
              </w:rPr>
            </w:pPr>
            <w:r>
              <w:rPr>
                <w:rFonts w:ascii="Arial" w:cs="Arial" w:eastAsia="Arial" w:hAnsi="Arial"/>
                <w:sz w:val="16"/>
                <w:szCs w:val="16"/>
                <w:color w:val="auto"/>
              </w:rPr>
              <w:t>Require Independent Chair of the Board</w:t>
            </w:r>
          </w:p>
        </w:tc>
        <w:tc>
          <w:tcPr>
            <w:tcW w:w="68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384"/>
        </w:trPr>
        <w:tc>
          <w:tcPr>
            <w:tcW w:w="9240" w:type="dxa"/>
            <w:vAlign w:val="bottom"/>
          </w:tcPr>
          <w:p>
            <w:pPr>
              <w:spacing w:after="0"/>
              <w:rPr>
                <w:sz w:val="20"/>
                <w:szCs w:val="20"/>
                <w:color w:val="auto"/>
              </w:rPr>
            </w:pPr>
            <w:r>
              <w:rPr>
                <w:rFonts w:ascii="Arial" w:cs="Arial" w:eastAsia="Arial" w:hAnsi="Arial"/>
                <w:sz w:val="17"/>
                <w:szCs w:val="17"/>
                <w:b w:val="1"/>
                <w:bCs w:val="1"/>
                <w:color w:val="582C83"/>
              </w:rPr>
              <w:t>ITEM 6. SHAREHOLDER PROPOSAL</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582C83"/>
              </w:rPr>
              <w:t>124</w:t>
            </w:r>
          </w:p>
        </w:tc>
      </w:tr>
      <w:tr>
        <w:trPr>
          <w:trHeight w:val="236"/>
        </w:trPr>
        <w:tc>
          <w:tcPr>
            <w:tcW w:w="9240" w:type="dxa"/>
            <w:vAlign w:val="bottom"/>
          </w:tcPr>
          <w:p>
            <w:pPr>
              <w:spacing w:after="0"/>
              <w:rPr>
                <w:sz w:val="20"/>
                <w:szCs w:val="20"/>
                <w:color w:val="auto"/>
              </w:rPr>
            </w:pPr>
            <w:r>
              <w:rPr>
                <w:rFonts w:ascii="Arial" w:cs="Arial" w:eastAsia="Arial" w:hAnsi="Arial"/>
                <w:sz w:val="16"/>
                <w:szCs w:val="16"/>
                <w:color w:val="auto"/>
              </w:rPr>
              <w:t>Publish Annual Benchmarks for Achieving Company’s 2025 Cage-Free Egg Goal</w:t>
            </w:r>
          </w:p>
        </w:tc>
        <w:tc>
          <w:tcPr>
            <w:tcW w:w="68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384"/>
        </w:trPr>
        <w:tc>
          <w:tcPr>
            <w:tcW w:w="9240" w:type="dxa"/>
            <w:vAlign w:val="bottom"/>
          </w:tcPr>
          <w:p>
            <w:pPr>
              <w:spacing w:after="0"/>
              <w:rPr>
                <w:sz w:val="20"/>
                <w:szCs w:val="20"/>
                <w:color w:val="auto"/>
              </w:rPr>
            </w:pPr>
            <w:r>
              <w:rPr>
                <w:rFonts w:ascii="Arial" w:cs="Arial" w:eastAsia="Arial" w:hAnsi="Arial"/>
                <w:sz w:val="17"/>
                <w:szCs w:val="17"/>
                <w:b w:val="1"/>
                <w:bCs w:val="1"/>
                <w:color w:val="582C83"/>
              </w:rPr>
              <w:t>ITEM 7. SHAREHOLDER PROPOSAL</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582C83"/>
              </w:rPr>
              <w:t>127</w:t>
            </w:r>
          </w:p>
        </w:tc>
      </w:tr>
      <w:tr>
        <w:trPr>
          <w:trHeight w:val="236"/>
        </w:trPr>
        <w:tc>
          <w:tcPr>
            <w:tcW w:w="9240" w:type="dxa"/>
            <w:vAlign w:val="bottom"/>
          </w:tcPr>
          <w:p>
            <w:pPr>
              <w:spacing w:after="0"/>
              <w:rPr>
                <w:sz w:val="20"/>
                <w:szCs w:val="20"/>
                <w:color w:val="auto"/>
              </w:rPr>
            </w:pPr>
            <w:r>
              <w:rPr>
                <w:rFonts w:ascii="Arial" w:cs="Arial" w:eastAsia="Arial" w:hAnsi="Arial"/>
                <w:sz w:val="16"/>
                <w:szCs w:val="16"/>
                <w:color w:val="auto"/>
              </w:rPr>
              <w:t>Adopt Public Targets to Eradicate Child Labor in Cocoa Supply Chain</w:t>
            </w:r>
          </w:p>
        </w:tc>
        <w:tc>
          <w:tcPr>
            <w:tcW w:w="68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384"/>
        </w:trPr>
        <w:tc>
          <w:tcPr>
            <w:tcW w:w="9240" w:type="dxa"/>
            <w:vAlign w:val="bottom"/>
          </w:tcPr>
          <w:p>
            <w:pPr>
              <w:spacing w:after="0"/>
              <w:rPr>
                <w:sz w:val="20"/>
                <w:szCs w:val="20"/>
                <w:color w:val="auto"/>
              </w:rPr>
            </w:pPr>
            <w:r>
              <w:rPr>
                <w:rFonts w:ascii="Arial" w:cs="Arial" w:eastAsia="Arial" w:hAnsi="Arial"/>
                <w:sz w:val="17"/>
                <w:szCs w:val="17"/>
                <w:b w:val="1"/>
                <w:bCs w:val="1"/>
                <w:color w:val="582C83"/>
              </w:rPr>
              <w:t>OTHER MATTERS THAT MAY BE PRESENTED AT THE ANNUAL MEETING</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582C83"/>
              </w:rPr>
              <w:t>130</w:t>
            </w:r>
          </w:p>
        </w:tc>
      </w:tr>
      <w:tr>
        <w:trPr>
          <w:trHeight w:val="372"/>
        </w:trPr>
        <w:tc>
          <w:tcPr>
            <w:tcW w:w="9240" w:type="dxa"/>
            <w:vAlign w:val="bottom"/>
          </w:tcPr>
          <w:p>
            <w:pPr>
              <w:spacing w:after="0"/>
              <w:rPr>
                <w:sz w:val="20"/>
                <w:szCs w:val="20"/>
                <w:color w:val="auto"/>
              </w:rPr>
            </w:pPr>
            <w:r>
              <w:rPr>
                <w:rFonts w:ascii="Arial" w:cs="Arial" w:eastAsia="Arial" w:hAnsi="Arial"/>
                <w:sz w:val="17"/>
                <w:szCs w:val="17"/>
                <w:b w:val="1"/>
                <w:bCs w:val="1"/>
                <w:color w:val="582C83"/>
              </w:rPr>
              <w:t>FREQUENTLY ASKED QUESTIONS ABOUT THE ANNUAL MEETING AND VOTING</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582C83"/>
              </w:rPr>
              <w:t>131</w:t>
            </w:r>
          </w:p>
        </w:tc>
      </w:tr>
      <w:tr>
        <w:trPr>
          <w:trHeight w:val="236"/>
        </w:trPr>
        <w:tc>
          <w:tcPr>
            <w:tcW w:w="9240" w:type="dxa"/>
            <w:vAlign w:val="bottom"/>
          </w:tcPr>
          <w:p>
            <w:pPr>
              <w:spacing w:after="0"/>
              <w:rPr>
                <w:sz w:val="20"/>
                <w:szCs w:val="20"/>
                <w:color w:val="auto"/>
              </w:rPr>
            </w:pPr>
            <w:r>
              <w:rPr>
                <w:rFonts w:ascii="Arial" w:cs="Arial" w:eastAsia="Arial" w:hAnsi="Arial"/>
                <w:sz w:val="16"/>
                <w:szCs w:val="16"/>
                <w:color w:val="auto"/>
              </w:rPr>
              <w:t>Voting Instructions to Proxies</w:t>
            </w:r>
          </w:p>
        </w:tc>
        <w:tc>
          <w:tcPr>
            <w:tcW w:w="6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48"/>
        </w:trPr>
        <w:tc>
          <w:tcPr>
            <w:tcW w:w="9240" w:type="dxa"/>
            <w:vAlign w:val="bottom"/>
          </w:tcPr>
          <w:p>
            <w:pPr>
              <w:spacing w:after="0"/>
              <w:rPr>
                <w:sz w:val="20"/>
                <w:szCs w:val="20"/>
                <w:color w:val="auto"/>
              </w:rPr>
            </w:pPr>
            <w:r>
              <w:rPr>
                <w:rFonts w:ascii="Arial" w:cs="Arial" w:eastAsia="Arial" w:hAnsi="Arial"/>
                <w:sz w:val="16"/>
                <w:szCs w:val="16"/>
                <w:color w:val="auto"/>
              </w:rPr>
              <w:t>Attending and Voting at the Annual Meeting</w:t>
            </w:r>
          </w:p>
        </w:tc>
        <w:tc>
          <w:tcPr>
            <w:tcW w:w="6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48"/>
        </w:trPr>
        <w:tc>
          <w:tcPr>
            <w:tcW w:w="9240" w:type="dxa"/>
            <w:vAlign w:val="bottom"/>
          </w:tcPr>
          <w:p>
            <w:pPr>
              <w:spacing w:after="0"/>
              <w:rPr>
                <w:sz w:val="20"/>
                <w:szCs w:val="20"/>
                <w:color w:val="auto"/>
              </w:rPr>
            </w:pPr>
            <w:r>
              <w:rPr>
                <w:rFonts w:ascii="Arial" w:cs="Arial" w:eastAsia="Arial" w:hAnsi="Arial"/>
                <w:sz w:val="16"/>
                <w:szCs w:val="16"/>
                <w:color w:val="auto"/>
              </w:rPr>
              <w:t>Getting Information and Asking Questions Before and During the Annual Meeting</w:t>
            </w:r>
          </w:p>
        </w:tc>
        <w:tc>
          <w:tcPr>
            <w:tcW w:w="6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48"/>
        </w:trPr>
        <w:tc>
          <w:tcPr>
            <w:tcW w:w="9240" w:type="dxa"/>
            <w:vAlign w:val="bottom"/>
          </w:tcPr>
          <w:p>
            <w:pPr>
              <w:spacing w:after="0"/>
              <w:rPr>
                <w:sz w:val="20"/>
                <w:szCs w:val="20"/>
                <w:color w:val="auto"/>
              </w:rPr>
            </w:pPr>
            <w:r>
              <w:rPr>
                <w:rFonts w:ascii="Arial" w:cs="Arial" w:eastAsia="Arial" w:hAnsi="Arial"/>
                <w:sz w:val="16"/>
                <w:szCs w:val="16"/>
                <w:color w:val="auto"/>
              </w:rPr>
              <w:t>Frequently Asked Questions About the Annual Meeting and Voting</w:t>
            </w:r>
          </w:p>
        </w:tc>
        <w:tc>
          <w:tcPr>
            <w:tcW w:w="68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384"/>
        </w:trPr>
        <w:tc>
          <w:tcPr>
            <w:tcW w:w="9240" w:type="dxa"/>
            <w:vAlign w:val="bottom"/>
          </w:tcPr>
          <w:p>
            <w:pPr>
              <w:spacing w:after="0"/>
              <w:rPr>
                <w:sz w:val="20"/>
                <w:szCs w:val="20"/>
                <w:color w:val="auto"/>
              </w:rPr>
            </w:pPr>
            <w:r>
              <w:rPr>
                <w:rFonts w:ascii="Arial" w:cs="Arial" w:eastAsia="Arial" w:hAnsi="Arial"/>
                <w:sz w:val="17"/>
                <w:szCs w:val="17"/>
                <w:b w:val="1"/>
                <w:bCs w:val="1"/>
                <w:color w:val="582C83"/>
              </w:rPr>
              <w:t>2024 ANNUAL MEETING OF SHAREHOLDERS</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582C83"/>
              </w:rPr>
              <w:t>138</w:t>
            </w:r>
          </w:p>
        </w:tc>
      </w:tr>
      <w:tr>
        <w:trPr>
          <w:trHeight w:val="236"/>
        </w:trPr>
        <w:tc>
          <w:tcPr>
            <w:tcW w:w="9240" w:type="dxa"/>
            <w:vAlign w:val="bottom"/>
          </w:tcPr>
          <w:p>
            <w:pPr>
              <w:spacing w:after="0"/>
              <w:rPr>
                <w:sz w:val="20"/>
                <w:szCs w:val="20"/>
                <w:color w:val="auto"/>
              </w:rPr>
            </w:pPr>
            <w:r>
              <w:rPr>
                <w:rFonts w:ascii="Arial" w:cs="Arial" w:eastAsia="Arial" w:hAnsi="Arial"/>
                <w:sz w:val="16"/>
                <w:szCs w:val="16"/>
                <w:color w:val="auto"/>
              </w:rPr>
              <w:t>Shareholder Nominations and Proposals for the 2024 Annual Meeting</w:t>
            </w:r>
          </w:p>
        </w:tc>
        <w:tc>
          <w:tcPr>
            <w:tcW w:w="68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384"/>
        </w:trPr>
        <w:tc>
          <w:tcPr>
            <w:tcW w:w="9240" w:type="dxa"/>
            <w:vAlign w:val="bottom"/>
          </w:tcPr>
          <w:p>
            <w:pPr>
              <w:spacing w:after="0"/>
              <w:rPr>
                <w:sz w:val="20"/>
                <w:szCs w:val="20"/>
                <w:color w:val="auto"/>
              </w:rPr>
            </w:pPr>
            <w:r>
              <w:rPr>
                <w:rFonts w:ascii="Arial" w:cs="Arial" w:eastAsia="Arial" w:hAnsi="Arial"/>
                <w:sz w:val="17"/>
                <w:szCs w:val="17"/>
                <w:b w:val="1"/>
                <w:bCs w:val="1"/>
                <w:color w:val="582C83"/>
              </w:rPr>
              <w:t>ANNEX A: FINANCIAL MEASURES DEFINITIONS</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582C83"/>
              </w:rPr>
              <w:t>A-1</w:t>
            </w:r>
          </w:p>
        </w:tc>
      </w:tr>
      <w:tr>
        <w:trPr>
          <w:trHeight w:val="236"/>
        </w:trPr>
        <w:tc>
          <w:tcPr>
            <w:tcW w:w="9240" w:type="dxa"/>
            <w:vAlign w:val="bottom"/>
          </w:tcPr>
          <w:p>
            <w:pPr>
              <w:spacing w:after="0"/>
              <w:rPr>
                <w:sz w:val="20"/>
                <w:szCs w:val="20"/>
                <w:color w:val="auto"/>
              </w:rPr>
            </w:pPr>
            <w:r>
              <w:rPr>
                <w:rFonts w:ascii="Arial" w:cs="Arial" w:eastAsia="Arial" w:hAnsi="Arial"/>
                <w:sz w:val="16"/>
                <w:szCs w:val="16"/>
                <w:color w:val="auto"/>
              </w:rPr>
              <w:t>GAAP to Non-GAAP Reconciliations</w:t>
            </w:r>
          </w:p>
        </w:tc>
        <w:tc>
          <w:tcPr>
            <w:tcW w:w="680" w:type="dxa"/>
            <w:vAlign w:val="bottom"/>
          </w:tcPr>
          <w:p>
            <w:pPr>
              <w:jc w:val="right"/>
              <w:spacing w:after="0"/>
              <w:rPr>
                <w:sz w:val="20"/>
                <w:szCs w:val="20"/>
                <w:color w:val="auto"/>
              </w:rPr>
            </w:pPr>
            <w:r>
              <w:rPr>
                <w:rFonts w:ascii="Arial" w:cs="Arial" w:eastAsia="Arial" w:hAnsi="Arial"/>
                <w:sz w:val="16"/>
                <w:szCs w:val="16"/>
                <w:color w:val="auto"/>
              </w:rPr>
              <w:t>A-5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132715</wp:posOffset>
            </wp:positionV>
            <wp:extent cx="714311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182245</wp:posOffset>
            </wp:positionV>
            <wp:extent cx="714311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-100965</wp:posOffset>
            </wp:positionV>
            <wp:extent cx="906780" cy="220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320040</wp:posOffset>
            </wp:positionV>
            <wp:extent cx="6307455" cy="1545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0"/>
        <w:spacing w:after="0"/>
        <w:rPr>
          <w:sz w:val="20"/>
          <w:szCs w:val="20"/>
          <w:color w:val="auto"/>
        </w:rPr>
      </w:pPr>
      <w:r>
        <w:rPr>
          <w:rFonts w:ascii="Arial" w:cs="Arial" w:eastAsia="Arial" w:hAnsi="Arial"/>
          <w:sz w:val="43"/>
          <w:szCs w:val="43"/>
          <w:b w:val="1"/>
          <w:bCs w:val="1"/>
          <w:color w:val="582C83"/>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980"/>
        <w:spacing w:after="0" w:line="243" w:lineRule="auto"/>
        <w:rPr>
          <w:sz w:val="20"/>
          <w:szCs w:val="20"/>
          <w:color w:val="auto"/>
        </w:rPr>
      </w:pPr>
      <w:r>
        <w:rPr>
          <w:rFonts w:ascii="Arial" w:cs="Arial" w:eastAsia="Arial" w:hAnsi="Arial"/>
          <w:sz w:val="20"/>
          <w:szCs w:val="20"/>
          <w:i w:val="1"/>
          <w:iCs w:val="1"/>
          <w:color w:val="auto"/>
        </w:rPr>
        <w:t>This summary highlights select information contained elsewhere in this Proxy Statement. You should read the entire Proxy Statement carefully and consider all available information before voting. For more complete information regarding the Company’s 2022 performance, please see our Annual Report on Form 10-K for the year ended December 31, 2022 (the “2022 Form</w:t>
      </w:r>
      <w:r>
        <w:rPr>
          <w:rFonts w:ascii="Times New Roman" w:cs="Times New Roman" w:eastAsia="Times New Roman" w:hAnsi="Times New Roman"/>
          <w:sz w:val="20"/>
          <w:szCs w:val="20"/>
          <w:i w:val="1"/>
          <w:iCs w:val="1"/>
          <w:color w:val="auto"/>
        </w:rPr>
        <w:t> </w:t>
      </w:r>
      <w:r>
        <w:rPr>
          <w:rFonts w:ascii="Arial" w:cs="Arial" w:eastAsia="Arial" w:hAnsi="Arial"/>
          <w:sz w:val="20"/>
          <w:szCs w:val="20"/>
          <w:i w:val="1"/>
          <w:iCs w:val="1"/>
          <w:color w:val="auto"/>
        </w:rPr>
        <w:t>10-K”).</w:t>
      </w:r>
    </w:p>
    <w:p>
      <w:pPr>
        <w:spacing w:after="0" w:line="72" w:lineRule="exact"/>
        <w:rPr>
          <w:sz w:val="20"/>
          <w:szCs w:val="20"/>
          <w:color w:val="auto"/>
        </w:rPr>
      </w:pPr>
    </w:p>
    <w:p>
      <w:pPr>
        <w:ind w:left="660"/>
        <w:spacing w:after="0"/>
        <w:rPr>
          <w:sz w:val="20"/>
          <w:szCs w:val="20"/>
          <w:color w:val="auto"/>
        </w:rPr>
      </w:pPr>
      <w:r>
        <w:rPr>
          <w:sz w:val="1"/>
          <w:szCs w:val="1"/>
          <w:color w:val="auto"/>
        </w:rPr>
        <w:drawing>
          <wp:inline distT="0" distB="0" distL="0" distR="0">
            <wp:extent cx="157480" cy="15748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2023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795655</wp:posOffset>
            </wp:positionH>
            <wp:positionV relativeFrom="paragraph">
              <wp:posOffset>111760</wp:posOffset>
            </wp:positionV>
            <wp:extent cx="181610" cy="181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1610" cy="181610"/>
                    </a:xfrm>
                    <a:prstGeom prst="rect">
                      <a:avLst/>
                    </a:prstGeom>
                    <a:noFill/>
                  </pic:spPr>
                </pic:pic>
              </a:graphicData>
            </a:graphic>
          </wp:anchor>
        </w:drawing>
        <w:drawing>
          <wp:anchor simplePos="0" relativeHeight="251657728" behindDoc="1" locked="0" layoutInCell="0" allowOverlap="1">
            <wp:simplePos x="0" y="0"/>
            <wp:positionH relativeFrom="column">
              <wp:posOffset>1923415</wp:posOffset>
            </wp:positionH>
            <wp:positionV relativeFrom="paragraph">
              <wp:posOffset>111760</wp:posOffset>
            </wp:positionV>
            <wp:extent cx="181610" cy="181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1610" cy="181610"/>
                    </a:xfrm>
                    <a:prstGeom prst="rect">
                      <a:avLst/>
                    </a:prstGeom>
                    <a:noFill/>
                  </pic:spPr>
                </pic:pic>
              </a:graphicData>
            </a:graphic>
          </wp:anchor>
        </w:drawing>
        <w:drawing>
          <wp:anchor simplePos="0" relativeHeight="251657728" behindDoc="1" locked="0" layoutInCell="0" allowOverlap="1">
            <wp:simplePos x="0" y="0"/>
            <wp:positionH relativeFrom="column">
              <wp:posOffset>3042920</wp:posOffset>
            </wp:positionH>
            <wp:positionV relativeFrom="paragraph">
              <wp:posOffset>111760</wp:posOffset>
            </wp:positionV>
            <wp:extent cx="181610" cy="181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1610" cy="18161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111760</wp:posOffset>
            </wp:positionV>
            <wp:extent cx="181610" cy="181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1610" cy="181610"/>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111760</wp:posOffset>
            </wp:positionV>
            <wp:extent cx="181610" cy="181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1610" cy="18161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1480" w:type="dxa"/>
            <w:vAlign w:val="bottom"/>
          </w:tcPr>
          <w:p>
            <w:pPr>
              <w:jc w:val="center"/>
              <w:ind w:right="1"/>
              <w:spacing w:after="0"/>
              <w:rPr>
                <w:sz w:val="20"/>
                <w:szCs w:val="20"/>
                <w:color w:val="auto"/>
              </w:rPr>
            </w:pPr>
            <w:r>
              <w:rPr>
                <w:rFonts w:ascii="Arial" w:cs="Arial" w:eastAsia="Arial" w:hAnsi="Arial"/>
                <w:sz w:val="20"/>
                <w:szCs w:val="20"/>
                <w:color w:val="auto"/>
                <w:w w:val="99"/>
              </w:rPr>
              <w:t>9:00 a.m. CDT</w:t>
            </w:r>
          </w:p>
        </w:tc>
        <w:tc>
          <w:tcPr>
            <w:tcW w:w="1980" w:type="dxa"/>
            <w:vAlign w:val="bottom"/>
          </w:tcPr>
          <w:p>
            <w:pPr>
              <w:jc w:val="center"/>
              <w:spacing w:after="0"/>
              <w:rPr>
                <w:sz w:val="20"/>
                <w:szCs w:val="20"/>
                <w:color w:val="auto"/>
              </w:rPr>
            </w:pPr>
            <w:r>
              <w:rPr>
                <w:rFonts w:ascii="Arial" w:cs="Arial" w:eastAsia="Arial" w:hAnsi="Arial"/>
                <w:sz w:val="20"/>
                <w:szCs w:val="20"/>
                <w:color w:val="auto"/>
                <w:w w:val="99"/>
              </w:rPr>
              <w:t>The Annual Meeting</w:t>
            </w:r>
          </w:p>
        </w:tc>
        <w:tc>
          <w:tcPr>
            <w:tcW w:w="1480" w:type="dxa"/>
            <w:vAlign w:val="bottom"/>
          </w:tcPr>
          <w:p>
            <w:pPr>
              <w:jc w:val="center"/>
              <w:spacing w:after="0"/>
              <w:rPr>
                <w:sz w:val="20"/>
                <w:szCs w:val="20"/>
                <w:color w:val="auto"/>
              </w:rPr>
            </w:pPr>
            <w:r>
              <w:rPr>
                <w:rFonts w:ascii="Arial" w:cs="Arial" w:eastAsia="Arial" w:hAnsi="Arial"/>
                <w:sz w:val="20"/>
                <w:szCs w:val="20"/>
                <w:color w:val="auto"/>
                <w:w w:val="99"/>
              </w:rPr>
              <w:t>Record Date</w:t>
            </w:r>
          </w:p>
        </w:tc>
        <w:tc>
          <w:tcPr>
            <w:tcW w:w="1580" w:type="dxa"/>
            <w:vAlign w:val="bottom"/>
          </w:tcPr>
          <w:p>
            <w:pPr>
              <w:jc w:val="center"/>
              <w:spacing w:after="0"/>
              <w:rPr>
                <w:sz w:val="20"/>
                <w:szCs w:val="20"/>
                <w:color w:val="auto"/>
              </w:rPr>
            </w:pPr>
            <w:r>
              <w:rPr>
                <w:rFonts w:ascii="Arial" w:cs="Arial" w:eastAsia="Arial" w:hAnsi="Arial"/>
                <w:sz w:val="20"/>
                <w:szCs w:val="20"/>
                <w:color w:val="auto"/>
              </w:rPr>
              <w:t>Each</w:t>
            </w:r>
          </w:p>
        </w:tc>
        <w:tc>
          <w:tcPr>
            <w:tcW w:w="3300" w:type="dxa"/>
            <w:vAlign w:val="bottom"/>
          </w:tcPr>
          <w:p>
            <w:pPr>
              <w:jc w:val="center"/>
              <w:spacing w:after="0"/>
              <w:rPr>
                <w:sz w:val="20"/>
                <w:szCs w:val="20"/>
                <w:color w:val="auto"/>
              </w:rPr>
            </w:pPr>
            <w:r>
              <w:rPr>
                <w:rFonts w:ascii="Arial" w:cs="Arial" w:eastAsia="Arial" w:hAnsi="Arial"/>
                <w:sz w:val="20"/>
                <w:szCs w:val="20"/>
                <w:color w:val="auto"/>
                <w:w w:val="99"/>
              </w:rPr>
              <w:t>Shareholders may pre-register to</w:t>
            </w:r>
          </w:p>
        </w:tc>
      </w:tr>
      <w:tr>
        <w:trPr>
          <w:trHeight w:val="223"/>
        </w:trPr>
        <w:tc>
          <w:tcPr>
            <w:tcW w:w="1480" w:type="dxa"/>
            <w:vAlign w:val="bottom"/>
          </w:tcPr>
          <w:p>
            <w:pPr>
              <w:jc w:val="center"/>
              <w:ind w:right="1"/>
              <w:spacing w:after="0" w:line="224" w:lineRule="exact"/>
              <w:rPr>
                <w:sz w:val="20"/>
                <w:szCs w:val="20"/>
                <w:color w:val="auto"/>
              </w:rPr>
            </w:pPr>
            <w:r>
              <w:rPr>
                <w:rFonts w:ascii="Arial" w:cs="Arial" w:eastAsia="Arial" w:hAnsi="Arial"/>
                <w:sz w:val="20"/>
                <w:szCs w:val="20"/>
                <w:color w:val="auto"/>
                <w:w w:val="99"/>
              </w:rPr>
              <w:t>on Wednesday,</w:t>
            </w:r>
          </w:p>
        </w:tc>
        <w:tc>
          <w:tcPr>
            <w:tcW w:w="1980" w:type="dxa"/>
            <w:vAlign w:val="bottom"/>
          </w:tcPr>
          <w:p>
            <w:pPr>
              <w:jc w:val="center"/>
              <w:spacing w:after="0" w:line="224" w:lineRule="exact"/>
              <w:rPr>
                <w:sz w:val="20"/>
                <w:szCs w:val="20"/>
                <w:color w:val="auto"/>
              </w:rPr>
            </w:pPr>
            <w:r>
              <w:rPr>
                <w:rFonts w:ascii="Arial" w:cs="Arial" w:eastAsia="Arial" w:hAnsi="Arial"/>
                <w:sz w:val="20"/>
                <w:szCs w:val="20"/>
                <w:color w:val="auto"/>
                <w:w w:val="99"/>
              </w:rPr>
              <w:t>will be a virtual</w:t>
            </w:r>
          </w:p>
        </w:tc>
        <w:tc>
          <w:tcPr>
            <w:tcW w:w="1480" w:type="dxa"/>
            <w:vAlign w:val="bottom"/>
          </w:tcPr>
          <w:p>
            <w:pPr>
              <w:jc w:val="center"/>
              <w:spacing w:after="0" w:line="224" w:lineRule="exact"/>
              <w:rPr>
                <w:sz w:val="20"/>
                <w:szCs w:val="20"/>
                <w:color w:val="auto"/>
              </w:rPr>
            </w:pPr>
            <w:r>
              <w:rPr>
                <w:rFonts w:ascii="Arial" w:cs="Arial" w:eastAsia="Arial" w:hAnsi="Arial"/>
                <w:sz w:val="20"/>
                <w:szCs w:val="20"/>
                <w:color w:val="auto"/>
                <w:w w:val="98"/>
              </w:rPr>
              <w:t>March 8, 2023.</w:t>
            </w:r>
          </w:p>
        </w:tc>
        <w:tc>
          <w:tcPr>
            <w:tcW w:w="1580" w:type="dxa"/>
            <w:vAlign w:val="bottom"/>
          </w:tcPr>
          <w:p>
            <w:pPr>
              <w:jc w:val="center"/>
              <w:spacing w:after="0" w:line="224" w:lineRule="exact"/>
              <w:rPr>
                <w:sz w:val="20"/>
                <w:szCs w:val="20"/>
                <w:color w:val="auto"/>
              </w:rPr>
            </w:pPr>
            <w:r>
              <w:rPr>
                <w:rFonts w:ascii="Arial" w:cs="Arial" w:eastAsia="Arial" w:hAnsi="Arial"/>
                <w:sz w:val="20"/>
                <w:szCs w:val="20"/>
                <w:color w:val="auto"/>
                <w:w w:val="98"/>
              </w:rPr>
              <w:t>outstanding</w:t>
            </w:r>
          </w:p>
        </w:tc>
        <w:tc>
          <w:tcPr>
            <w:tcW w:w="3300" w:type="dxa"/>
            <w:vAlign w:val="bottom"/>
          </w:tcPr>
          <w:p>
            <w:pPr>
              <w:jc w:val="center"/>
              <w:spacing w:after="0" w:line="224" w:lineRule="exact"/>
              <w:rPr>
                <w:sz w:val="20"/>
                <w:szCs w:val="20"/>
                <w:color w:val="auto"/>
              </w:rPr>
            </w:pPr>
            <w:r>
              <w:rPr>
                <w:rFonts w:ascii="Arial" w:cs="Arial" w:eastAsia="Arial" w:hAnsi="Arial"/>
                <w:sz w:val="20"/>
                <w:szCs w:val="20"/>
                <w:color w:val="auto"/>
                <w:w w:val="99"/>
              </w:rPr>
              <w:t>attend the meeting, vote and submit</w:t>
            </w:r>
          </w:p>
        </w:tc>
      </w:tr>
      <w:tr>
        <w:trPr>
          <w:trHeight w:val="223"/>
        </w:trPr>
        <w:tc>
          <w:tcPr>
            <w:tcW w:w="1480" w:type="dxa"/>
            <w:vAlign w:val="bottom"/>
          </w:tcPr>
          <w:p>
            <w:pPr>
              <w:jc w:val="center"/>
              <w:ind w:right="1"/>
              <w:spacing w:after="0" w:line="224" w:lineRule="exact"/>
              <w:rPr>
                <w:sz w:val="20"/>
                <w:szCs w:val="20"/>
                <w:color w:val="auto"/>
              </w:rPr>
            </w:pPr>
            <w:r>
              <w:rPr>
                <w:rFonts w:ascii="Arial" w:cs="Arial" w:eastAsia="Arial" w:hAnsi="Arial"/>
                <w:sz w:val="20"/>
                <w:szCs w:val="20"/>
                <w:color w:val="auto"/>
                <w:w w:val="99"/>
              </w:rPr>
              <w:t>May 17, 2023.</w:t>
            </w:r>
          </w:p>
        </w:tc>
        <w:tc>
          <w:tcPr>
            <w:tcW w:w="1980" w:type="dxa"/>
            <w:vAlign w:val="bottom"/>
          </w:tcPr>
          <w:p>
            <w:pPr>
              <w:jc w:val="center"/>
              <w:spacing w:after="0" w:line="224" w:lineRule="exact"/>
              <w:rPr>
                <w:sz w:val="20"/>
                <w:szCs w:val="20"/>
                <w:color w:val="auto"/>
              </w:rPr>
            </w:pPr>
            <w:r>
              <w:rPr>
                <w:rFonts w:ascii="Arial" w:cs="Arial" w:eastAsia="Arial" w:hAnsi="Arial"/>
                <w:sz w:val="20"/>
                <w:szCs w:val="20"/>
                <w:color w:val="auto"/>
              </w:rPr>
              <w:t>meeting of</w:t>
            </w:r>
          </w:p>
        </w:tc>
        <w:tc>
          <w:tcPr>
            <w:tcW w:w="1480" w:type="dxa"/>
            <w:vAlign w:val="bottom"/>
          </w:tcPr>
          <w:p>
            <w:pPr>
              <w:spacing w:after="0"/>
              <w:rPr>
                <w:sz w:val="19"/>
                <w:szCs w:val="19"/>
                <w:color w:val="auto"/>
              </w:rPr>
            </w:pPr>
          </w:p>
        </w:tc>
        <w:tc>
          <w:tcPr>
            <w:tcW w:w="1580" w:type="dxa"/>
            <w:vAlign w:val="bottom"/>
          </w:tcPr>
          <w:p>
            <w:pPr>
              <w:jc w:val="center"/>
              <w:spacing w:after="0" w:line="224" w:lineRule="exact"/>
              <w:rPr>
                <w:sz w:val="20"/>
                <w:szCs w:val="20"/>
                <w:color w:val="auto"/>
              </w:rPr>
            </w:pPr>
            <w:r>
              <w:rPr>
                <w:rFonts w:ascii="Arial" w:cs="Arial" w:eastAsia="Arial" w:hAnsi="Arial"/>
                <w:sz w:val="20"/>
                <w:szCs w:val="20"/>
                <w:color w:val="auto"/>
                <w:w w:val="99"/>
              </w:rPr>
              <w:t>share of Class A</w:t>
            </w:r>
          </w:p>
        </w:tc>
        <w:tc>
          <w:tcPr>
            <w:tcW w:w="3300" w:type="dxa"/>
            <w:vAlign w:val="bottom"/>
          </w:tcPr>
          <w:p>
            <w:pPr>
              <w:jc w:val="center"/>
              <w:spacing w:after="0" w:line="224" w:lineRule="exact"/>
              <w:rPr>
                <w:sz w:val="20"/>
                <w:szCs w:val="20"/>
                <w:color w:val="auto"/>
              </w:rPr>
            </w:pPr>
            <w:r>
              <w:rPr>
                <w:rFonts w:ascii="Arial" w:cs="Arial" w:eastAsia="Arial" w:hAnsi="Arial"/>
                <w:sz w:val="20"/>
                <w:szCs w:val="20"/>
                <w:color w:val="auto"/>
                <w:w w:val="99"/>
              </w:rPr>
              <w:t>questions by visiting</w:t>
            </w:r>
          </w:p>
        </w:tc>
      </w:tr>
      <w:tr>
        <w:trPr>
          <w:trHeight w:val="223"/>
        </w:trPr>
        <w:tc>
          <w:tcPr>
            <w:tcW w:w="1480" w:type="dxa"/>
            <w:vAlign w:val="bottom"/>
          </w:tcPr>
          <w:p>
            <w:pPr>
              <w:spacing w:after="0"/>
              <w:rPr>
                <w:sz w:val="19"/>
                <w:szCs w:val="19"/>
                <w:color w:val="auto"/>
              </w:rPr>
            </w:pPr>
          </w:p>
        </w:tc>
        <w:tc>
          <w:tcPr>
            <w:tcW w:w="1980" w:type="dxa"/>
            <w:vAlign w:val="bottom"/>
          </w:tcPr>
          <w:p>
            <w:pPr>
              <w:jc w:val="center"/>
              <w:spacing w:after="0" w:line="224" w:lineRule="exact"/>
              <w:rPr>
                <w:sz w:val="20"/>
                <w:szCs w:val="20"/>
                <w:color w:val="auto"/>
              </w:rPr>
            </w:pPr>
            <w:r>
              <w:rPr>
                <w:rFonts w:ascii="Arial" w:cs="Arial" w:eastAsia="Arial" w:hAnsi="Arial"/>
                <w:sz w:val="20"/>
                <w:szCs w:val="20"/>
                <w:color w:val="auto"/>
                <w:w w:val="98"/>
              </w:rPr>
              <w:t>shareholders</w:t>
            </w:r>
          </w:p>
        </w:tc>
        <w:tc>
          <w:tcPr>
            <w:tcW w:w="1480" w:type="dxa"/>
            <w:vAlign w:val="bottom"/>
          </w:tcPr>
          <w:p>
            <w:pPr>
              <w:spacing w:after="0"/>
              <w:rPr>
                <w:sz w:val="19"/>
                <w:szCs w:val="19"/>
                <w:color w:val="auto"/>
              </w:rPr>
            </w:pPr>
          </w:p>
        </w:tc>
        <w:tc>
          <w:tcPr>
            <w:tcW w:w="1580" w:type="dxa"/>
            <w:vAlign w:val="bottom"/>
          </w:tcPr>
          <w:p>
            <w:pPr>
              <w:jc w:val="center"/>
              <w:spacing w:after="0" w:line="224" w:lineRule="exact"/>
              <w:rPr>
                <w:sz w:val="20"/>
                <w:szCs w:val="20"/>
                <w:color w:val="auto"/>
              </w:rPr>
            </w:pPr>
            <w:r>
              <w:rPr>
                <w:rFonts w:ascii="Arial" w:cs="Arial" w:eastAsia="Arial" w:hAnsi="Arial"/>
                <w:sz w:val="20"/>
                <w:szCs w:val="20"/>
                <w:color w:val="auto"/>
                <w:w w:val="99"/>
              </w:rPr>
              <w:t>Common Stock</w:t>
            </w:r>
          </w:p>
        </w:tc>
        <w:tc>
          <w:tcPr>
            <w:tcW w:w="3300" w:type="dxa"/>
            <w:vAlign w:val="bottom"/>
          </w:tcPr>
          <w:p>
            <w:pPr>
              <w:jc w:val="center"/>
              <w:spacing w:after="0" w:line="224" w:lineRule="exact"/>
              <w:rPr>
                <w:sz w:val="20"/>
                <w:szCs w:val="20"/>
                <w:color w:val="auto"/>
              </w:rPr>
            </w:pPr>
            <w:r>
              <w:rPr>
                <w:rFonts w:ascii="Arial" w:cs="Arial" w:eastAsia="Arial" w:hAnsi="Arial"/>
                <w:sz w:val="20"/>
                <w:szCs w:val="20"/>
                <w:i w:val="1"/>
                <w:iCs w:val="1"/>
                <w:color w:val="582C83"/>
                <w:w w:val="98"/>
              </w:rPr>
              <w:t>www.virtualshareholdermeeting.com/</w:t>
            </w:r>
          </w:p>
        </w:tc>
      </w:tr>
      <w:tr>
        <w:trPr>
          <w:trHeight w:val="223"/>
        </w:trPr>
        <w:tc>
          <w:tcPr>
            <w:tcW w:w="1480" w:type="dxa"/>
            <w:vAlign w:val="bottom"/>
          </w:tcPr>
          <w:p>
            <w:pPr>
              <w:spacing w:after="0"/>
              <w:rPr>
                <w:sz w:val="19"/>
                <w:szCs w:val="19"/>
                <w:color w:val="auto"/>
              </w:rPr>
            </w:pPr>
          </w:p>
        </w:tc>
        <w:tc>
          <w:tcPr>
            <w:tcW w:w="1980" w:type="dxa"/>
            <w:vAlign w:val="bottom"/>
          </w:tcPr>
          <w:p>
            <w:pPr>
              <w:jc w:val="center"/>
              <w:spacing w:after="0" w:line="224" w:lineRule="exact"/>
              <w:rPr>
                <w:sz w:val="20"/>
                <w:szCs w:val="20"/>
                <w:color w:val="auto"/>
              </w:rPr>
            </w:pPr>
            <w:r>
              <w:rPr>
                <w:rFonts w:ascii="Arial" w:cs="Arial" w:eastAsia="Arial" w:hAnsi="Arial"/>
                <w:sz w:val="20"/>
                <w:szCs w:val="20"/>
                <w:color w:val="auto"/>
                <w:w w:val="99"/>
              </w:rPr>
              <w:t>conducted</w:t>
            </w:r>
          </w:p>
        </w:tc>
        <w:tc>
          <w:tcPr>
            <w:tcW w:w="1480" w:type="dxa"/>
            <w:vAlign w:val="bottom"/>
          </w:tcPr>
          <w:p>
            <w:pPr>
              <w:spacing w:after="0"/>
              <w:rPr>
                <w:sz w:val="19"/>
                <w:szCs w:val="19"/>
                <w:color w:val="auto"/>
              </w:rPr>
            </w:pPr>
          </w:p>
        </w:tc>
        <w:tc>
          <w:tcPr>
            <w:tcW w:w="1580" w:type="dxa"/>
            <w:vAlign w:val="bottom"/>
          </w:tcPr>
          <w:p>
            <w:pPr>
              <w:jc w:val="center"/>
              <w:spacing w:after="0" w:line="224" w:lineRule="exact"/>
              <w:rPr>
                <w:sz w:val="20"/>
                <w:szCs w:val="20"/>
                <w:color w:val="auto"/>
              </w:rPr>
            </w:pPr>
            <w:r>
              <w:rPr>
                <w:rFonts w:ascii="Arial" w:cs="Arial" w:eastAsia="Arial" w:hAnsi="Arial"/>
                <w:sz w:val="20"/>
                <w:szCs w:val="20"/>
                <w:color w:val="auto"/>
                <w:w w:val="99"/>
              </w:rPr>
              <w:t>(“Common</w:t>
            </w:r>
          </w:p>
        </w:tc>
        <w:tc>
          <w:tcPr>
            <w:tcW w:w="3300" w:type="dxa"/>
            <w:vAlign w:val="bottom"/>
          </w:tcPr>
          <w:p>
            <w:pPr>
              <w:jc w:val="center"/>
              <w:spacing w:after="0" w:line="224" w:lineRule="exact"/>
              <w:rPr>
                <w:sz w:val="20"/>
                <w:szCs w:val="20"/>
                <w:color w:val="auto"/>
              </w:rPr>
            </w:pPr>
            <w:r>
              <w:rPr>
                <w:rFonts w:ascii="Arial" w:cs="Arial" w:eastAsia="Arial" w:hAnsi="Arial"/>
                <w:sz w:val="20"/>
                <w:szCs w:val="20"/>
                <w:i w:val="1"/>
                <w:iCs w:val="1"/>
                <w:color w:val="582C83"/>
                <w:w w:val="99"/>
              </w:rPr>
              <w:t xml:space="preserve">MDLZ2023 </w:t>
            </w:r>
            <w:r>
              <w:rPr>
                <w:rFonts w:ascii="Arial" w:cs="Arial" w:eastAsia="Arial" w:hAnsi="Arial"/>
                <w:sz w:val="20"/>
                <w:szCs w:val="20"/>
                <w:color w:val="000000"/>
                <w:w w:val="99"/>
              </w:rPr>
              <w:t>and using the 16-digit</w:t>
            </w:r>
          </w:p>
        </w:tc>
      </w:tr>
      <w:tr>
        <w:trPr>
          <w:trHeight w:val="223"/>
        </w:trPr>
        <w:tc>
          <w:tcPr>
            <w:tcW w:w="1480" w:type="dxa"/>
            <w:vAlign w:val="bottom"/>
          </w:tcPr>
          <w:p>
            <w:pPr>
              <w:spacing w:after="0"/>
              <w:rPr>
                <w:sz w:val="19"/>
                <w:szCs w:val="19"/>
                <w:color w:val="auto"/>
              </w:rPr>
            </w:pPr>
          </w:p>
        </w:tc>
        <w:tc>
          <w:tcPr>
            <w:tcW w:w="1980" w:type="dxa"/>
            <w:vAlign w:val="bottom"/>
          </w:tcPr>
          <w:p>
            <w:pPr>
              <w:jc w:val="center"/>
              <w:spacing w:after="0" w:line="224" w:lineRule="exact"/>
              <w:rPr>
                <w:sz w:val="20"/>
                <w:szCs w:val="20"/>
                <w:color w:val="auto"/>
              </w:rPr>
            </w:pPr>
            <w:r>
              <w:rPr>
                <w:rFonts w:ascii="Arial" w:cs="Arial" w:eastAsia="Arial" w:hAnsi="Arial"/>
                <w:sz w:val="20"/>
                <w:szCs w:val="20"/>
                <w:color w:val="auto"/>
                <w:w w:val="99"/>
              </w:rPr>
              <w:t>via webcast.</w:t>
            </w:r>
          </w:p>
        </w:tc>
        <w:tc>
          <w:tcPr>
            <w:tcW w:w="1480" w:type="dxa"/>
            <w:vAlign w:val="bottom"/>
          </w:tcPr>
          <w:p>
            <w:pPr>
              <w:spacing w:after="0"/>
              <w:rPr>
                <w:sz w:val="19"/>
                <w:szCs w:val="19"/>
                <w:color w:val="auto"/>
              </w:rPr>
            </w:pPr>
          </w:p>
        </w:tc>
        <w:tc>
          <w:tcPr>
            <w:tcW w:w="1580" w:type="dxa"/>
            <w:vAlign w:val="bottom"/>
          </w:tcPr>
          <w:p>
            <w:pPr>
              <w:jc w:val="center"/>
              <w:spacing w:after="0" w:line="224" w:lineRule="exact"/>
              <w:rPr>
                <w:sz w:val="20"/>
                <w:szCs w:val="20"/>
                <w:color w:val="auto"/>
              </w:rPr>
            </w:pPr>
            <w:r>
              <w:rPr>
                <w:rFonts w:ascii="Arial" w:cs="Arial" w:eastAsia="Arial" w:hAnsi="Arial"/>
                <w:sz w:val="20"/>
                <w:szCs w:val="20"/>
                <w:color w:val="auto"/>
                <w:w w:val="98"/>
              </w:rPr>
              <w:t>Stock”) is</w:t>
            </w:r>
          </w:p>
        </w:tc>
        <w:tc>
          <w:tcPr>
            <w:tcW w:w="3300" w:type="dxa"/>
            <w:vAlign w:val="bottom"/>
          </w:tcPr>
          <w:p>
            <w:pPr>
              <w:jc w:val="center"/>
              <w:spacing w:after="0" w:line="224" w:lineRule="exact"/>
              <w:rPr>
                <w:sz w:val="20"/>
                <w:szCs w:val="20"/>
                <w:color w:val="auto"/>
              </w:rPr>
            </w:pPr>
            <w:r>
              <w:rPr>
                <w:rFonts w:ascii="Arial" w:cs="Arial" w:eastAsia="Arial" w:hAnsi="Arial"/>
                <w:sz w:val="20"/>
                <w:szCs w:val="20"/>
                <w:color w:val="auto"/>
                <w:w w:val="99"/>
              </w:rPr>
              <w:t>control number shown on their</w:t>
            </w:r>
          </w:p>
        </w:tc>
      </w:tr>
      <w:tr>
        <w:trPr>
          <w:trHeight w:val="223"/>
        </w:trPr>
        <w:tc>
          <w:tcPr>
            <w:tcW w:w="1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80" w:type="dxa"/>
            <w:vAlign w:val="bottom"/>
          </w:tcPr>
          <w:p>
            <w:pPr>
              <w:jc w:val="center"/>
              <w:spacing w:after="0" w:line="224" w:lineRule="exact"/>
              <w:rPr>
                <w:sz w:val="20"/>
                <w:szCs w:val="20"/>
                <w:color w:val="auto"/>
              </w:rPr>
            </w:pPr>
            <w:r>
              <w:rPr>
                <w:rFonts w:ascii="Arial" w:cs="Arial" w:eastAsia="Arial" w:hAnsi="Arial"/>
                <w:sz w:val="20"/>
                <w:szCs w:val="20"/>
                <w:color w:val="auto"/>
              </w:rPr>
              <w:t>entitled to one</w:t>
            </w:r>
          </w:p>
        </w:tc>
        <w:tc>
          <w:tcPr>
            <w:tcW w:w="3300" w:type="dxa"/>
            <w:vAlign w:val="bottom"/>
          </w:tcPr>
          <w:p>
            <w:pPr>
              <w:jc w:val="center"/>
              <w:spacing w:after="0" w:line="224" w:lineRule="exact"/>
              <w:rPr>
                <w:sz w:val="20"/>
                <w:szCs w:val="20"/>
                <w:color w:val="auto"/>
              </w:rPr>
            </w:pPr>
            <w:r>
              <w:rPr>
                <w:rFonts w:ascii="Arial" w:cs="Arial" w:eastAsia="Arial" w:hAnsi="Arial"/>
                <w:sz w:val="20"/>
                <w:szCs w:val="20"/>
                <w:color w:val="auto"/>
                <w:w w:val="99"/>
              </w:rPr>
              <w:t>Notice of Internet Availability of</w:t>
            </w:r>
          </w:p>
        </w:tc>
      </w:tr>
      <w:tr>
        <w:trPr>
          <w:trHeight w:val="223"/>
        </w:trPr>
        <w:tc>
          <w:tcPr>
            <w:tcW w:w="1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80" w:type="dxa"/>
            <w:vAlign w:val="bottom"/>
          </w:tcPr>
          <w:p>
            <w:pPr>
              <w:jc w:val="center"/>
              <w:spacing w:after="0" w:line="224" w:lineRule="exact"/>
              <w:rPr>
                <w:sz w:val="20"/>
                <w:szCs w:val="20"/>
                <w:color w:val="auto"/>
              </w:rPr>
            </w:pPr>
            <w:r>
              <w:rPr>
                <w:rFonts w:ascii="Arial" w:cs="Arial" w:eastAsia="Arial" w:hAnsi="Arial"/>
                <w:sz w:val="20"/>
                <w:szCs w:val="20"/>
                <w:color w:val="auto"/>
                <w:w w:val="99"/>
              </w:rPr>
              <w:t>vote on each</w:t>
            </w:r>
          </w:p>
        </w:tc>
        <w:tc>
          <w:tcPr>
            <w:tcW w:w="3300" w:type="dxa"/>
            <w:vAlign w:val="bottom"/>
          </w:tcPr>
          <w:p>
            <w:pPr>
              <w:jc w:val="center"/>
              <w:spacing w:after="0" w:line="224" w:lineRule="exact"/>
              <w:rPr>
                <w:sz w:val="20"/>
                <w:szCs w:val="20"/>
                <w:color w:val="auto"/>
              </w:rPr>
            </w:pPr>
            <w:r>
              <w:rPr>
                <w:rFonts w:ascii="Arial" w:cs="Arial" w:eastAsia="Arial" w:hAnsi="Arial"/>
                <w:sz w:val="20"/>
                <w:szCs w:val="20"/>
                <w:color w:val="auto"/>
                <w:w w:val="98"/>
              </w:rPr>
              <w:t>Proxy Materials, Proxy Card or VIF.</w:t>
            </w:r>
          </w:p>
        </w:tc>
      </w:tr>
      <w:tr>
        <w:trPr>
          <w:trHeight w:val="223"/>
        </w:trPr>
        <w:tc>
          <w:tcPr>
            <w:tcW w:w="1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80" w:type="dxa"/>
            <w:vAlign w:val="bottom"/>
          </w:tcPr>
          <w:p>
            <w:pPr>
              <w:jc w:val="center"/>
              <w:spacing w:after="0" w:line="224" w:lineRule="exact"/>
              <w:rPr>
                <w:sz w:val="20"/>
                <w:szCs w:val="20"/>
                <w:color w:val="auto"/>
              </w:rPr>
            </w:pPr>
            <w:r>
              <w:rPr>
                <w:rFonts w:ascii="Arial" w:cs="Arial" w:eastAsia="Arial" w:hAnsi="Arial"/>
                <w:sz w:val="20"/>
                <w:szCs w:val="20"/>
                <w:color w:val="auto"/>
                <w:w w:val="99"/>
              </w:rPr>
              <w:t>matter to be</w:t>
            </w:r>
          </w:p>
        </w:tc>
        <w:tc>
          <w:tcPr>
            <w:tcW w:w="3300" w:type="dxa"/>
            <w:vAlign w:val="bottom"/>
          </w:tcPr>
          <w:p>
            <w:pPr>
              <w:spacing w:after="0"/>
              <w:rPr>
                <w:sz w:val="19"/>
                <w:szCs w:val="19"/>
                <w:color w:val="auto"/>
              </w:rPr>
            </w:pPr>
          </w:p>
        </w:tc>
      </w:tr>
      <w:tr>
        <w:trPr>
          <w:trHeight w:val="223"/>
        </w:trPr>
        <w:tc>
          <w:tcPr>
            <w:tcW w:w="1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80" w:type="dxa"/>
            <w:vAlign w:val="bottom"/>
          </w:tcPr>
          <w:p>
            <w:pPr>
              <w:jc w:val="center"/>
              <w:spacing w:after="0" w:line="224" w:lineRule="exact"/>
              <w:rPr>
                <w:sz w:val="20"/>
                <w:szCs w:val="20"/>
                <w:color w:val="auto"/>
              </w:rPr>
            </w:pPr>
            <w:r>
              <w:rPr>
                <w:rFonts w:ascii="Arial" w:cs="Arial" w:eastAsia="Arial" w:hAnsi="Arial"/>
                <w:sz w:val="20"/>
                <w:szCs w:val="20"/>
                <w:color w:val="auto"/>
              </w:rPr>
              <w:t>voted upon at</w:t>
            </w:r>
          </w:p>
        </w:tc>
        <w:tc>
          <w:tcPr>
            <w:tcW w:w="3300" w:type="dxa"/>
            <w:vAlign w:val="bottom"/>
          </w:tcPr>
          <w:p>
            <w:pPr>
              <w:spacing w:after="0"/>
              <w:rPr>
                <w:sz w:val="19"/>
                <w:szCs w:val="19"/>
                <w:color w:val="auto"/>
              </w:rPr>
            </w:pPr>
          </w:p>
        </w:tc>
      </w:tr>
      <w:tr>
        <w:trPr>
          <w:trHeight w:val="223"/>
        </w:trPr>
        <w:tc>
          <w:tcPr>
            <w:tcW w:w="1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80" w:type="dxa"/>
            <w:vAlign w:val="bottom"/>
          </w:tcPr>
          <w:p>
            <w:pPr>
              <w:jc w:val="center"/>
              <w:spacing w:after="0" w:line="224" w:lineRule="exact"/>
              <w:rPr>
                <w:sz w:val="20"/>
                <w:szCs w:val="20"/>
                <w:color w:val="auto"/>
              </w:rPr>
            </w:pPr>
            <w:r>
              <w:rPr>
                <w:rFonts w:ascii="Arial" w:cs="Arial" w:eastAsia="Arial" w:hAnsi="Arial"/>
                <w:sz w:val="20"/>
                <w:szCs w:val="20"/>
                <w:color w:val="auto"/>
                <w:w w:val="98"/>
              </w:rPr>
              <w:t>the Annual</w:t>
            </w:r>
          </w:p>
        </w:tc>
        <w:tc>
          <w:tcPr>
            <w:tcW w:w="3300" w:type="dxa"/>
            <w:vAlign w:val="bottom"/>
          </w:tcPr>
          <w:p>
            <w:pPr>
              <w:spacing w:after="0"/>
              <w:rPr>
                <w:sz w:val="19"/>
                <w:szCs w:val="19"/>
                <w:color w:val="auto"/>
              </w:rPr>
            </w:pPr>
          </w:p>
        </w:tc>
      </w:tr>
      <w:tr>
        <w:trPr>
          <w:trHeight w:val="264"/>
        </w:trPr>
        <w:tc>
          <w:tcPr>
            <w:tcW w:w="14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auto"/>
                <w:w w:val="99"/>
              </w:rPr>
              <w:t>Meeting.</w:t>
            </w:r>
          </w:p>
        </w:tc>
        <w:tc>
          <w:tcPr>
            <w:tcW w:w="3300" w:type="dxa"/>
            <w:vAlign w:val="bottom"/>
          </w:tcPr>
          <w:p>
            <w:pPr>
              <w:spacing w:after="0"/>
              <w:rPr>
                <w:sz w:val="22"/>
                <w:szCs w:val="22"/>
                <w:color w:val="auto"/>
              </w:rPr>
            </w:pPr>
          </w:p>
        </w:tc>
      </w:tr>
    </w:tbl>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sz w:val="1"/>
          <w:szCs w:val="1"/>
          <w:color w:val="auto"/>
        </w:rPr>
        <w:drawing>
          <wp:inline distT="0" distB="0" distL="0" distR="0">
            <wp:extent cx="157480" cy="15748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How to Vote in Advance of the Meeting</w:t>
      </w:r>
    </w:p>
    <w:p>
      <w:pPr>
        <w:spacing w:after="0" w:line="213" w:lineRule="exact"/>
        <w:rPr>
          <w:sz w:val="20"/>
          <w:szCs w:val="20"/>
          <w:color w:val="auto"/>
        </w:rPr>
      </w:pPr>
    </w:p>
    <w:p>
      <w:pPr>
        <w:ind w:left="660" w:right="840"/>
        <w:spacing w:after="0" w:line="250" w:lineRule="auto"/>
        <w:rPr>
          <w:sz w:val="20"/>
          <w:szCs w:val="20"/>
          <w:color w:val="auto"/>
        </w:rPr>
      </w:pPr>
      <w:r>
        <w:rPr>
          <w:rFonts w:ascii="Arial" w:cs="Arial" w:eastAsia="Arial" w:hAnsi="Arial"/>
          <w:sz w:val="20"/>
          <w:szCs w:val="20"/>
          <w:color w:val="auto"/>
        </w:rPr>
        <w:t>Even if you plan to attend the Annual Meeting, please vote in advance. If you are voting via the Internet, with your mobile device or by telephone, be sure to have your Proxy Card or VIF in hand and follow the instructions. You can vote in advance of the meeting any of four ways: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872"/>
        </w:trPr>
        <w:tc>
          <w:tcPr>
            <w:tcW w:w="680" w:type="dxa"/>
            <w:vAlign w:val="bottom"/>
            <w:tcBorders>
              <w:right w:val="single" w:sz="8" w:color="582C83"/>
            </w:tcBorders>
          </w:tcPr>
          <w:p>
            <w:pPr>
              <w:spacing w:after="0"/>
              <w:rPr>
                <w:sz w:val="24"/>
                <w:szCs w:val="24"/>
                <w:color w:val="auto"/>
              </w:rPr>
            </w:pPr>
          </w:p>
        </w:tc>
        <w:tc>
          <w:tcPr>
            <w:tcW w:w="2480" w:type="dxa"/>
            <w:vAlign w:val="bottom"/>
            <w:tcBorders>
              <w:top w:val="single" w:sz="8" w:color="582C83"/>
            </w:tcBorders>
          </w:tcPr>
          <w:p>
            <w:pPr>
              <w:jc w:val="center"/>
              <w:spacing w:after="0"/>
              <w:rPr>
                <w:sz w:val="20"/>
                <w:szCs w:val="20"/>
                <w:color w:val="auto"/>
              </w:rPr>
            </w:pPr>
            <w:r>
              <w:rPr>
                <w:rFonts w:ascii="Arial" w:cs="Arial" w:eastAsia="Arial" w:hAnsi="Arial"/>
                <w:sz w:val="20"/>
                <w:szCs w:val="20"/>
                <w:b w:val="1"/>
                <w:bCs w:val="1"/>
                <w:color w:val="auto"/>
                <w:w w:val="99"/>
              </w:rPr>
              <w:t>VIA THE INTERNET</w:t>
            </w:r>
          </w:p>
        </w:tc>
        <w:tc>
          <w:tcPr>
            <w:tcW w:w="2460" w:type="dxa"/>
            <w:vAlign w:val="bottom"/>
            <w:tcBorders>
              <w:top w:val="single" w:sz="8" w:color="582C83"/>
            </w:tcBorders>
          </w:tcPr>
          <w:p>
            <w:pPr>
              <w:jc w:val="center"/>
              <w:spacing w:after="0"/>
              <w:rPr>
                <w:sz w:val="20"/>
                <w:szCs w:val="20"/>
                <w:color w:val="auto"/>
              </w:rPr>
            </w:pPr>
            <w:r>
              <w:rPr>
                <w:rFonts w:ascii="Arial" w:cs="Arial" w:eastAsia="Arial" w:hAnsi="Arial"/>
                <w:sz w:val="20"/>
                <w:szCs w:val="20"/>
                <w:b w:val="1"/>
                <w:bCs w:val="1"/>
                <w:color w:val="auto"/>
                <w:w w:val="99"/>
              </w:rPr>
              <w:t>WITH YOUR MOBILE</w:t>
            </w:r>
          </w:p>
        </w:tc>
        <w:tc>
          <w:tcPr>
            <w:tcW w:w="2480" w:type="dxa"/>
            <w:vAlign w:val="bottom"/>
            <w:tcBorders>
              <w:top w:val="single" w:sz="8" w:color="582C83"/>
            </w:tcBorders>
          </w:tcPr>
          <w:p>
            <w:pPr>
              <w:jc w:val="center"/>
              <w:spacing w:after="0"/>
              <w:rPr>
                <w:sz w:val="20"/>
                <w:szCs w:val="20"/>
                <w:color w:val="auto"/>
              </w:rPr>
            </w:pPr>
            <w:r>
              <w:rPr>
                <w:rFonts w:ascii="Arial" w:cs="Arial" w:eastAsia="Arial" w:hAnsi="Arial"/>
                <w:sz w:val="20"/>
                <w:szCs w:val="20"/>
                <w:b w:val="1"/>
                <w:bCs w:val="1"/>
                <w:color w:val="auto"/>
                <w:w w:val="98"/>
              </w:rPr>
              <w:t>BY TELEPHONE</w:t>
            </w:r>
          </w:p>
        </w:tc>
        <w:tc>
          <w:tcPr>
            <w:tcW w:w="250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0"/>
                <w:szCs w:val="20"/>
                <w:b w:val="1"/>
                <w:bCs w:val="1"/>
                <w:color w:val="auto"/>
                <w:w w:val="99"/>
              </w:rPr>
              <w:t>BY MAIL</w:t>
            </w:r>
          </w:p>
        </w:tc>
        <w:tc>
          <w:tcPr>
            <w:tcW w:w="640" w:type="dxa"/>
            <w:vAlign w:val="bottom"/>
          </w:tcPr>
          <w:p>
            <w:pPr>
              <w:spacing w:after="0"/>
              <w:rPr>
                <w:sz w:val="24"/>
                <w:szCs w:val="24"/>
                <w:color w:val="auto"/>
              </w:rPr>
            </w:pPr>
          </w:p>
        </w:tc>
      </w:tr>
      <w:tr>
        <w:trPr>
          <w:trHeight w:val="223"/>
        </w:trPr>
        <w:tc>
          <w:tcPr>
            <w:tcW w:w="680" w:type="dxa"/>
            <w:vAlign w:val="bottom"/>
            <w:tcBorders>
              <w:right w:val="single" w:sz="8" w:color="582C83"/>
            </w:tcBorders>
          </w:tcPr>
          <w:p>
            <w:pPr>
              <w:spacing w:after="0"/>
              <w:rPr>
                <w:sz w:val="19"/>
                <w:szCs w:val="19"/>
                <w:color w:val="auto"/>
              </w:rPr>
            </w:pPr>
          </w:p>
        </w:tc>
        <w:tc>
          <w:tcPr>
            <w:tcW w:w="2480" w:type="dxa"/>
            <w:vAlign w:val="bottom"/>
          </w:tcPr>
          <w:p>
            <w:pPr>
              <w:jc w:val="center"/>
              <w:spacing w:after="0" w:line="224" w:lineRule="exact"/>
              <w:rPr>
                <w:sz w:val="20"/>
                <w:szCs w:val="20"/>
                <w:color w:val="auto"/>
              </w:rPr>
            </w:pPr>
            <w:r>
              <w:rPr>
                <w:rFonts w:ascii="Arial" w:cs="Arial" w:eastAsia="Arial" w:hAnsi="Arial"/>
                <w:sz w:val="20"/>
                <w:szCs w:val="20"/>
                <w:color w:val="auto"/>
                <w:w w:val="98"/>
              </w:rPr>
              <w:t>Visit the website listed on</w:t>
            </w:r>
          </w:p>
        </w:tc>
        <w:tc>
          <w:tcPr>
            <w:tcW w:w="2460" w:type="dxa"/>
            <w:vAlign w:val="bottom"/>
          </w:tcPr>
          <w:p>
            <w:pPr>
              <w:jc w:val="center"/>
              <w:spacing w:after="0" w:line="224" w:lineRule="exact"/>
              <w:rPr>
                <w:sz w:val="20"/>
                <w:szCs w:val="20"/>
                <w:color w:val="auto"/>
              </w:rPr>
            </w:pPr>
            <w:r>
              <w:rPr>
                <w:rFonts w:ascii="Arial" w:cs="Arial" w:eastAsia="Arial" w:hAnsi="Arial"/>
                <w:sz w:val="20"/>
                <w:szCs w:val="20"/>
                <w:b w:val="1"/>
                <w:bCs w:val="1"/>
                <w:color w:val="auto"/>
                <w:w w:val="99"/>
              </w:rPr>
              <w:t>DEVICE</w:t>
            </w:r>
          </w:p>
        </w:tc>
        <w:tc>
          <w:tcPr>
            <w:tcW w:w="2480" w:type="dxa"/>
            <w:vAlign w:val="bottom"/>
          </w:tcPr>
          <w:p>
            <w:pPr>
              <w:jc w:val="center"/>
              <w:spacing w:after="0" w:line="224" w:lineRule="exact"/>
              <w:rPr>
                <w:sz w:val="20"/>
                <w:szCs w:val="20"/>
                <w:color w:val="auto"/>
              </w:rPr>
            </w:pPr>
            <w:r>
              <w:rPr>
                <w:rFonts w:ascii="Arial" w:cs="Arial" w:eastAsia="Arial" w:hAnsi="Arial"/>
                <w:sz w:val="20"/>
                <w:szCs w:val="20"/>
                <w:color w:val="auto"/>
                <w:w w:val="99"/>
              </w:rPr>
              <w:t>Call the telephone</w:t>
            </w:r>
          </w:p>
        </w:tc>
        <w:tc>
          <w:tcPr>
            <w:tcW w:w="2500" w:type="dxa"/>
            <w:vAlign w:val="bottom"/>
            <w:tcBorders>
              <w:right w:val="single" w:sz="8" w:color="582C83"/>
            </w:tcBorders>
          </w:tcPr>
          <w:p>
            <w:pPr>
              <w:jc w:val="center"/>
              <w:spacing w:after="0" w:line="224" w:lineRule="exact"/>
              <w:rPr>
                <w:sz w:val="20"/>
                <w:szCs w:val="20"/>
                <w:color w:val="auto"/>
              </w:rPr>
            </w:pPr>
            <w:r>
              <w:rPr>
                <w:rFonts w:ascii="Arial" w:cs="Arial" w:eastAsia="Arial" w:hAnsi="Arial"/>
                <w:sz w:val="20"/>
                <w:szCs w:val="20"/>
                <w:color w:val="auto"/>
                <w:w w:val="99"/>
              </w:rPr>
              <w:t>If you received paper</w:t>
            </w:r>
          </w:p>
        </w:tc>
        <w:tc>
          <w:tcPr>
            <w:tcW w:w="640" w:type="dxa"/>
            <w:vAlign w:val="bottom"/>
          </w:tcPr>
          <w:p>
            <w:pPr>
              <w:spacing w:after="0"/>
              <w:rPr>
                <w:sz w:val="19"/>
                <w:szCs w:val="19"/>
                <w:color w:val="auto"/>
              </w:rPr>
            </w:pPr>
          </w:p>
        </w:tc>
      </w:tr>
      <w:tr>
        <w:trPr>
          <w:trHeight w:val="223"/>
        </w:trPr>
        <w:tc>
          <w:tcPr>
            <w:tcW w:w="680" w:type="dxa"/>
            <w:vAlign w:val="bottom"/>
            <w:tcBorders>
              <w:right w:val="single" w:sz="8" w:color="582C83"/>
            </w:tcBorders>
          </w:tcPr>
          <w:p>
            <w:pPr>
              <w:spacing w:after="0"/>
              <w:rPr>
                <w:sz w:val="19"/>
                <w:szCs w:val="19"/>
                <w:color w:val="auto"/>
              </w:rPr>
            </w:pPr>
          </w:p>
        </w:tc>
        <w:tc>
          <w:tcPr>
            <w:tcW w:w="2480" w:type="dxa"/>
            <w:vAlign w:val="bottom"/>
          </w:tcPr>
          <w:p>
            <w:pPr>
              <w:jc w:val="center"/>
              <w:spacing w:after="0" w:line="224" w:lineRule="exact"/>
              <w:rPr>
                <w:sz w:val="20"/>
                <w:szCs w:val="20"/>
                <w:color w:val="auto"/>
              </w:rPr>
            </w:pPr>
            <w:r>
              <w:rPr>
                <w:rFonts w:ascii="Arial" w:cs="Arial" w:eastAsia="Arial" w:hAnsi="Arial"/>
                <w:sz w:val="20"/>
                <w:szCs w:val="20"/>
                <w:color w:val="auto"/>
                <w:w w:val="98"/>
              </w:rPr>
              <w:t>your Notice of Internet</w:t>
            </w:r>
          </w:p>
        </w:tc>
        <w:tc>
          <w:tcPr>
            <w:tcW w:w="2460" w:type="dxa"/>
            <w:vAlign w:val="bottom"/>
          </w:tcPr>
          <w:p>
            <w:pPr>
              <w:jc w:val="center"/>
              <w:spacing w:after="0" w:line="224" w:lineRule="exact"/>
              <w:rPr>
                <w:sz w:val="20"/>
                <w:szCs w:val="20"/>
                <w:color w:val="auto"/>
              </w:rPr>
            </w:pPr>
            <w:r>
              <w:rPr>
                <w:rFonts w:ascii="Arial" w:cs="Arial" w:eastAsia="Arial" w:hAnsi="Arial"/>
                <w:sz w:val="20"/>
                <w:szCs w:val="20"/>
                <w:color w:val="auto"/>
                <w:w w:val="99"/>
              </w:rPr>
              <w:t>Scan the QR barcode on</w:t>
            </w:r>
          </w:p>
        </w:tc>
        <w:tc>
          <w:tcPr>
            <w:tcW w:w="2480" w:type="dxa"/>
            <w:vAlign w:val="bottom"/>
          </w:tcPr>
          <w:p>
            <w:pPr>
              <w:jc w:val="center"/>
              <w:spacing w:after="0" w:line="224" w:lineRule="exact"/>
              <w:rPr>
                <w:sz w:val="20"/>
                <w:szCs w:val="20"/>
                <w:color w:val="auto"/>
              </w:rPr>
            </w:pPr>
            <w:r>
              <w:rPr>
                <w:rFonts w:ascii="Arial" w:cs="Arial" w:eastAsia="Arial" w:hAnsi="Arial"/>
                <w:sz w:val="20"/>
                <w:szCs w:val="20"/>
                <w:color w:val="auto"/>
                <w:w w:val="98"/>
              </w:rPr>
              <w:t>number on your Notice of</w:t>
            </w:r>
          </w:p>
        </w:tc>
        <w:tc>
          <w:tcPr>
            <w:tcW w:w="2500" w:type="dxa"/>
            <w:vAlign w:val="bottom"/>
            <w:tcBorders>
              <w:right w:val="single" w:sz="8" w:color="582C83"/>
            </w:tcBorders>
          </w:tcPr>
          <w:p>
            <w:pPr>
              <w:jc w:val="center"/>
              <w:spacing w:after="0" w:line="224" w:lineRule="exact"/>
              <w:rPr>
                <w:sz w:val="20"/>
                <w:szCs w:val="20"/>
                <w:color w:val="auto"/>
              </w:rPr>
            </w:pPr>
            <w:r>
              <w:rPr>
                <w:rFonts w:ascii="Arial" w:cs="Arial" w:eastAsia="Arial" w:hAnsi="Arial"/>
                <w:sz w:val="20"/>
                <w:szCs w:val="20"/>
                <w:color w:val="auto"/>
                <w:w w:val="99"/>
              </w:rPr>
              <w:t>copies of your Proxy</w:t>
            </w:r>
          </w:p>
        </w:tc>
        <w:tc>
          <w:tcPr>
            <w:tcW w:w="640" w:type="dxa"/>
            <w:vAlign w:val="bottom"/>
          </w:tcPr>
          <w:p>
            <w:pPr>
              <w:spacing w:after="0"/>
              <w:rPr>
                <w:sz w:val="19"/>
                <w:szCs w:val="19"/>
                <w:color w:val="auto"/>
              </w:rPr>
            </w:pPr>
          </w:p>
        </w:tc>
      </w:tr>
      <w:tr>
        <w:trPr>
          <w:trHeight w:val="223"/>
        </w:trPr>
        <w:tc>
          <w:tcPr>
            <w:tcW w:w="680" w:type="dxa"/>
            <w:vAlign w:val="bottom"/>
            <w:tcBorders>
              <w:right w:val="single" w:sz="8" w:color="582C83"/>
            </w:tcBorders>
          </w:tcPr>
          <w:p>
            <w:pPr>
              <w:spacing w:after="0"/>
              <w:rPr>
                <w:sz w:val="19"/>
                <w:szCs w:val="19"/>
                <w:color w:val="auto"/>
              </w:rPr>
            </w:pPr>
          </w:p>
        </w:tc>
        <w:tc>
          <w:tcPr>
            <w:tcW w:w="2480" w:type="dxa"/>
            <w:vAlign w:val="bottom"/>
          </w:tcPr>
          <w:p>
            <w:pPr>
              <w:jc w:val="center"/>
              <w:spacing w:after="0" w:line="224" w:lineRule="exact"/>
              <w:rPr>
                <w:sz w:val="20"/>
                <w:szCs w:val="20"/>
                <w:color w:val="auto"/>
              </w:rPr>
            </w:pPr>
            <w:r>
              <w:rPr>
                <w:rFonts w:ascii="Arial" w:cs="Arial" w:eastAsia="Arial" w:hAnsi="Arial"/>
                <w:sz w:val="20"/>
                <w:szCs w:val="20"/>
                <w:color w:val="auto"/>
                <w:w w:val="99"/>
              </w:rPr>
              <w:t>Availability of Proxy</w:t>
            </w:r>
          </w:p>
        </w:tc>
        <w:tc>
          <w:tcPr>
            <w:tcW w:w="2460" w:type="dxa"/>
            <w:vAlign w:val="bottom"/>
          </w:tcPr>
          <w:p>
            <w:pPr>
              <w:jc w:val="center"/>
              <w:spacing w:after="0" w:line="224" w:lineRule="exact"/>
              <w:rPr>
                <w:sz w:val="20"/>
                <w:szCs w:val="20"/>
                <w:color w:val="auto"/>
              </w:rPr>
            </w:pPr>
            <w:r>
              <w:rPr>
                <w:rFonts w:ascii="Arial" w:cs="Arial" w:eastAsia="Arial" w:hAnsi="Arial"/>
                <w:sz w:val="20"/>
                <w:szCs w:val="20"/>
                <w:color w:val="auto"/>
                <w:w w:val="99"/>
              </w:rPr>
              <w:t>your Notice of Internet</w:t>
            </w:r>
          </w:p>
        </w:tc>
        <w:tc>
          <w:tcPr>
            <w:tcW w:w="2480" w:type="dxa"/>
            <w:vAlign w:val="bottom"/>
          </w:tcPr>
          <w:p>
            <w:pPr>
              <w:jc w:val="center"/>
              <w:spacing w:after="0" w:line="224" w:lineRule="exact"/>
              <w:rPr>
                <w:sz w:val="20"/>
                <w:szCs w:val="20"/>
                <w:color w:val="auto"/>
              </w:rPr>
            </w:pPr>
            <w:r>
              <w:rPr>
                <w:rFonts w:ascii="Arial" w:cs="Arial" w:eastAsia="Arial" w:hAnsi="Arial"/>
                <w:sz w:val="20"/>
                <w:szCs w:val="20"/>
                <w:color w:val="auto"/>
                <w:w w:val="99"/>
              </w:rPr>
              <w:t>Internet Availability of</w:t>
            </w:r>
          </w:p>
        </w:tc>
        <w:tc>
          <w:tcPr>
            <w:tcW w:w="2500" w:type="dxa"/>
            <w:vAlign w:val="bottom"/>
            <w:tcBorders>
              <w:right w:val="single" w:sz="8" w:color="582C83"/>
            </w:tcBorders>
          </w:tcPr>
          <w:p>
            <w:pPr>
              <w:jc w:val="center"/>
              <w:spacing w:after="0" w:line="224" w:lineRule="exact"/>
              <w:rPr>
                <w:sz w:val="20"/>
                <w:szCs w:val="20"/>
                <w:color w:val="auto"/>
              </w:rPr>
            </w:pPr>
            <w:r>
              <w:rPr>
                <w:rFonts w:ascii="Arial" w:cs="Arial" w:eastAsia="Arial" w:hAnsi="Arial"/>
                <w:sz w:val="20"/>
                <w:szCs w:val="20"/>
                <w:color w:val="auto"/>
                <w:w w:val="98"/>
              </w:rPr>
              <w:t>Materials, mark, sign,</w:t>
            </w:r>
          </w:p>
        </w:tc>
        <w:tc>
          <w:tcPr>
            <w:tcW w:w="640" w:type="dxa"/>
            <w:vAlign w:val="bottom"/>
          </w:tcPr>
          <w:p>
            <w:pPr>
              <w:spacing w:after="0"/>
              <w:rPr>
                <w:sz w:val="19"/>
                <w:szCs w:val="19"/>
                <w:color w:val="auto"/>
              </w:rPr>
            </w:pPr>
          </w:p>
        </w:tc>
      </w:tr>
      <w:tr>
        <w:trPr>
          <w:trHeight w:val="223"/>
        </w:trPr>
        <w:tc>
          <w:tcPr>
            <w:tcW w:w="680" w:type="dxa"/>
            <w:vAlign w:val="bottom"/>
            <w:tcBorders>
              <w:right w:val="single" w:sz="8" w:color="582C83"/>
            </w:tcBorders>
          </w:tcPr>
          <w:p>
            <w:pPr>
              <w:spacing w:after="0"/>
              <w:rPr>
                <w:sz w:val="19"/>
                <w:szCs w:val="19"/>
                <w:color w:val="auto"/>
              </w:rPr>
            </w:pPr>
          </w:p>
        </w:tc>
        <w:tc>
          <w:tcPr>
            <w:tcW w:w="2480" w:type="dxa"/>
            <w:vAlign w:val="bottom"/>
          </w:tcPr>
          <w:p>
            <w:pPr>
              <w:jc w:val="center"/>
              <w:spacing w:after="0" w:line="224" w:lineRule="exact"/>
              <w:rPr>
                <w:sz w:val="20"/>
                <w:szCs w:val="20"/>
                <w:color w:val="auto"/>
              </w:rPr>
            </w:pPr>
            <w:r>
              <w:rPr>
                <w:rFonts w:ascii="Arial" w:cs="Arial" w:eastAsia="Arial" w:hAnsi="Arial"/>
                <w:sz w:val="20"/>
                <w:szCs w:val="20"/>
                <w:color w:val="auto"/>
                <w:w w:val="98"/>
              </w:rPr>
              <w:t>Materials, Proxy Card</w:t>
            </w:r>
          </w:p>
        </w:tc>
        <w:tc>
          <w:tcPr>
            <w:tcW w:w="2460" w:type="dxa"/>
            <w:vAlign w:val="bottom"/>
          </w:tcPr>
          <w:p>
            <w:pPr>
              <w:jc w:val="center"/>
              <w:spacing w:after="0" w:line="224" w:lineRule="exact"/>
              <w:rPr>
                <w:sz w:val="20"/>
                <w:szCs w:val="20"/>
                <w:color w:val="auto"/>
              </w:rPr>
            </w:pPr>
            <w:r>
              <w:rPr>
                <w:rFonts w:ascii="Arial" w:cs="Arial" w:eastAsia="Arial" w:hAnsi="Arial"/>
                <w:sz w:val="20"/>
                <w:szCs w:val="20"/>
                <w:color w:val="auto"/>
                <w:w w:val="99"/>
              </w:rPr>
              <w:t>Availability of Proxy</w:t>
            </w:r>
          </w:p>
        </w:tc>
        <w:tc>
          <w:tcPr>
            <w:tcW w:w="2480" w:type="dxa"/>
            <w:vAlign w:val="bottom"/>
          </w:tcPr>
          <w:p>
            <w:pPr>
              <w:jc w:val="center"/>
              <w:spacing w:after="0" w:line="224" w:lineRule="exact"/>
              <w:rPr>
                <w:sz w:val="20"/>
                <w:szCs w:val="20"/>
                <w:color w:val="auto"/>
              </w:rPr>
            </w:pPr>
            <w:r>
              <w:rPr>
                <w:rFonts w:ascii="Arial" w:cs="Arial" w:eastAsia="Arial" w:hAnsi="Arial"/>
                <w:sz w:val="20"/>
                <w:szCs w:val="20"/>
                <w:color w:val="auto"/>
                <w:w w:val="98"/>
              </w:rPr>
              <w:t>Proxy Materials, Proxy</w:t>
            </w:r>
          </w:p>
        </w:tc>
        <w:tc>
          <w:tcPr>
            <w:tcW w:w="2500" w:type="dxa"/>
            <w:vAlign w:val="bottom"/>
            <w:tcBorders>
              <w:right w:val="single" w:sz="8" w:color="582C83"/>
            </w:tcBorders>
          </w:tcPr>
          <w:p>
            <w:pPr>
              <w:jc w:val="center"/>
              <w:spacing w:after="0" w:line="224" w:lineRule="exact"/>
              <w:rPr>
                <w:sz w:val="20"/>
                <w:szCs w:val="20"/>
                <w:color w:val="auto"/>
              </w:rPr>
            </w:pPr>
            <w:r>
              <w:rPr>
                <w:rFonts w:ascii="Arial" w:cs="Arial" w:eastAsia="Arial" w:hAnsi="Arial"/>
                <w:sz w:val="20"/>
                <w:szCs w:val="20"/>
                <w:color w:val="auto"/>
                <w:w w:val="99"/>
              </w:rPr>
              <w:t>date and return the Proxy</w:t>
            </w:r>
          </w:p>
        </w:tc>
        <w:tc>
          <w:tcPr>
            <w:tcW w:w="640" w:type="dxa"/>
            <w:vAlign w:val="bottom"/>
          </w:tcPr>
          <w:p>
            <w:pPr>
              <w:spacing w:after="0"/>
              <w:rPr>
                <w:sz w:val="19"/>
                <w:szCs w:val="19"/>
                <w:color w:val="auto"/>
              </w:rPr>
            </w:pPr>
          </w:p>
        </w:tc>
      </w:tr>
      <w:tr>
        <w:trPr>
          <w:trHeight w:val="223"/>
        </w:trPr>
        <w:tc>
          <w:tcPr>
            <w:tcW w:w="680" w:type="dxa"/>
            <w:vAlign w:val="bottom"/>
            <w:tcBorders>
              <w:right w:val="single" w:sz="8" w:color="582C83"/>
            </w:tcBorders>
          </w:tcPr>
          <w:p>
            <w:pPr>
              <w:spacing w:after="0"/>
              <w:rPr>
                <w:sz w:val="19"/>
                <w:szCs w:val="19"/>
                <w:color w:val="auto"/>
              </w:rPr>
            </w:pPr>
          </w:p>
        </w:tc>
        <w:tc>
          <w:tcPr>
            <w:tcW w:w="2480" w:type="dxa"/>
            <w:vAlign w:val="bottom"/>
          </w:tcPr>
          <w:p>
            <w:pPr>
              <w:jc w:val="center"/>
              <w:spacing w:after="0" w:line="224" w:lineRule="exact"/>
              <w:rPr>
                <w:sz w:val="20"/>
                <w:szCs w:val="20"/>
                <w:color w:val="auto"/>
              </w:rPr>
            </w:pPr>
            <w:r>
              <w:rPr>
                <w:rFonts w:ascii="Arial" w:cs="Arial" w:eastAsia="Arial" w:hAnsi="Arial"/>
                <w:sz w:val="20"/>
                <w:szCs w:val="20"/>
                <w:color w:val="auto"/>
                <w:w w:val="96"/>
              </w:rPr>
              <w:t>or VIF.</w:t>
            </w:r>
          </w:p>
        </w:tc>
        <w:tc>
          <w:tcPr>
            <w:tcW w:w="2460" w:type="dxa"/>
            <w:vAlign w:val="bottom"/>
          </w:tcPr>
          <w:p>
            <w:pPr>
              <w:jc w:val="center"/>
              <w:spacing w:after="0" w:line="224" w:lineRule="exact"/>
              <w:rPr>
                <w:sz w:val="20"/>
                <w:szCs w:val="20"/>
                <w:color w:val="auto"/>
              </w:rPr>
            </w:pPr>
            <w:r>
              <w:rPr>
                <w:rFonts w:ascii="Arial" w:cs="Arial" w:eastAsia="Arial" w:hAnsi="Arial"/>
                <w:sz w:val="20"/>
                <w:szCs w:val="20"/>
                <w:color w:val="auto"/>
                <w:w w:val="99"/>
              </w:rPr>
              <w:t>Materials, Proxy Card or</w:t>
            </w:r>
          </w:p>
        </w:tc>
        <w:tc>
          <w:tcPr>
            <w:tcW w:w="2480" w:type="dxa"/>
            <w:vAlign w:val="bottom"/>
          </w:tcPr>
          <w:p>
            <w:pPr>
              <w:jc w:val="center"/>
              <w:spacing w:after="0" w:line="224" w:lineRule="exact"/>
              <w:rPr>
                <w:sz w:val="20"/>
                <w:szCs w:val="20"/>
                <w:color w:val="auto"/>
              </w:rPr>
            </w:pPr>
            <w:r>
              <w:rPr>
                <w:rFonts w:ascii="Arial" w:cs="Arial" w:eastAsia="Arial" w:hAnsi="Arial"/>
                <w:sz w:val="20"/>
                <w:szCs w:val="20"/>
                <w:color w:val="auto"/>
                <w:w w:val="97"/>
              </w:rPr>
              <w:t>Card or VIF.</w:t>
            </w:r>
          </w:p>
        </w:tc>
        <w:tc>
          <w:tcPr>
            <w:tcW w:w="2500" w:type="dxa"/>
            <w:vAlign w:val="bottom"/>
            <w:tcBorders>
              <w:right w:val="single" w:sz="8" w:color="582C83"/>
            </w:tcBorders>
          </w:tcPr>
          <w:p>
            <w:pPr>
              <w:jc w:val="center"/>
              <w:spacing w:after="0" w:line="224" w:lineRule="exact"/>
              <w:rPr>
                <w:sz w:val="20"/>
                <w:szCs w:val="20"/>
                <w:color w:val="auto"/>
              </w:rPr>
            </w:pPr>
            <w:r>
              <w:rPr>
                <w:rFonts w:ascii="Arial" w:cs="Arial" w:eastAsia="Arial" w:hAnsi="Arial"/>
                <w:sz w:val="20"/>
                <w:szCs w:val="20"/>
                <w:color w:val="auto"/>
                <w:w w:val="99"/>
              </w:rPr>
              <w:t>Card in the envelope</w:t>
            </w:r>
          </w:p>
        </w:tc>
        <w:tc>
          <w:tcPr>
            <w:tcW w:w="640" w:type="dxa"/>
            <w:vAlign w:val="bottom"/>
          </w:tcPr>
          <w:p>
            <w:pPr>
              <w:spacing w:after="0"/>
              <w:rPr>
                <w:sz w:val="19"/>
                <w:szCs w:val="19"/>
                <w:color w:val="auto"/>
              </w:rPr>
            </w:pPr>
          </w:p>
        </w:tc>
      </w:tr>
      <w:tr>
        <w:trPr>
          <w:trHeight w:val="264"/>
        </w:trPr>
        <w:tc>
          <w:tcPr>
            <w:tcW w:w="680" w:type="dxa"/>
            <w:vAlign w:val="bottom"/>
            <w:tcBorders>
              <w:right w:val="single" w:sz="8" w:color="582C83"/>
            </w:tcBorders>
          </w:tcPr>
          <w:p>
            <w:pPr>
              <w:spacing w:after="0"/>
              <w:rPr>
                <w:sz w:val="22"/>
                <w:szCs w:val="22"/>
                <w:color w:val="auto"/>
              </w:rPr>
            </w:pPr>
          </w:p>
        </w:tc>
        <w:tc>
          <w:tcPr>
            <w:tcW w:w="2480" w:type="dxa"/>
            <w:vAlign w:val="bottom"/>
          </w:tcPr>
          <w:p>
            <w:pPr>
              <w:spacing w:after="0"/>
              <w:rPr>
                <w:sz w:val="22"/>
                <w:szCs w:val="22"/>
                <w:color w:val="auto"/>
              </w:rPr>
            </w:pPr>
          </w:p>
        </w:tc>
        <w:tc>
          <w:tcPr>
            <w:tcW w:w="2460" w:type="dxa"/>
            <w:vAlign w:val="bottom"/>
          </w:tcPr>
          <w:p>
            <w:pPr>
              <w:jc w:val="center"/>
              <w:spacing w:after="0"/>
              <w:rPr>
                <w:sz w:val="20"/>
                <w:szCs w:val="20"/>
                <w:color w:val="auto"/>
              </w:rPr>
            </w:pPr>
            <w:r>
              <w:rPr>
                <w:rFonts w:ascii="Arial" w:cs="Arial" w:eastAsia="Arial" w:hAnsi="Arial"/>
                <w:sz w:val="20"/>
                <w:szCs w:val="20"/>
                <w:color w:val="auto"/>
                <w:w w:val="92"/>
              </w:rPr>
              <w:t>VIF.</w:t>
            </w:r>
          </w:p>
        </w:tc>
        <w:tc>
          <w:tcPr>
            <w:tcW w:w="2480" w:type="dxa"/>
            <w:vAlign w:val="bottom"/>
          </w:tcPr>
          <w:p>
            <w:pPr>
              <w:spacing w:after="0"/>
              <w:rPr>
                <w:sz w:val="22"/>
                <w:szCs w:val="22"/>
                <w:color w:val="auto"/>
              </w:rPr>
            </w:pPr>
          </w:p>
        </w:tc>
        <w:tc>
          <w:tcPr>
            <w:tcW w:w="2500" w:type="dxa"/>
            <w:vAlign w:val="bottom"/>
            <w:tcBorders>
              <w:right w:val="single" w:sz="8" w:color="582C83"/>
            </w:tcBorders>
          </w:tcPr>
          <w:p>
            <w:pPr>
              <w:jc w:val="center"/>
              <w:spacing w:after="0"/>
              <w:rPr>
                <w:sz w:val="20"/>
                <w:szCs w:val="20"/>
                <w:color w:val="auto"/>
              </w:rPr>
            </w:pPr>
            <w:r>
              <w:rPr>
                <w:rFonts w:ascii="Arial" w:cs="Arial" w:eastAsia="Arial" w:hAnsi="Arial"/>
                <w:sz w:val="20"/>
                <w:szCs w:val="20"/>
                <w:color w:val="auto"/>
                <w:w w:val="99"/>
              </w:rPr>
              <w:t>provided.</w:t>
            </w:r>
          </w:p>
        </w:tc>
        <w:tc>
          <w:tcPr>
            <w:tcW w:w="640" w:type="dxa"/>
            <w:vAlign w:val="bottom"/>
          </w:tcPr>
          <w:p>
            <w:pPr>
              <w:spacing w:after="0"/>
              <w:rPr>
                <w:sz w:val="22"/>
                <w:szCs w:val="22"/>
                <w:color w:val="auto"/>
              </w:rPr>
            </w:pPr>
          </w:p>
        </w:tc>
      </w:tr>
      <w:tr>
        <w:trPr>
          <w:trHeight w:val="94"/>
        </w:trPr>
        <w:tc>
          <w:tcPr>
            <w:tcW w:w="680" w:type="dxa"/>
            <w:vAlign w:val="bottom"/>
            <w:tcBorders>
              <w:right w:val="single" w:sz="8" w:color="582C83"/>
            </w:tcBorders>
          </w:tcPr>
          <w:p>
            <w:pPr>
              <w:spacing w:after="0"/>
              <w:rPr>
                <w:sz w:val="8"/>
                <w:szCs w:val="8"/>
                <w:color w:val="auto"/>
              </w:rPr>
            </w:pPr>
          </w:p>
        </w:tc>
        <w:tc>
          <w:tcPr>
            <w:tcW w:w="2480" w:type="dxa"/>
            <w:vAlign w:val="bottom"/>
            <w:tcBorders>
              <w:bottom w:val="single" w:sz="8" w:color="582C83"/>
            </w:tcBorders>
          </w:tcPr>
          <w:p>
            <w:pPr>
              <w:spacing w:after="0"/>
              <w:rPr>
                <w:sz w:val="8"/>
                <w:szCs w:val="8"/>
                <w:color w:val="auto"/>
              </w:rPr>
            </w:pPr>
          </w:p>
        </w:tc>
        <w:tc>
          <w:tcPr>
            <w:tcW w:w="2460" w:type="dxa"/>
            <w:vAlign w:val="bottom"/>
            <w:tcBorders>
              <w:bottom w:val="single" w:sz="8" w:color="582C83"/>
            </w:tcBorders>
          </w:tcPr>
          <w:p>
            <w:pPr>
              <w:spacing w:after="0"/>
              <w:rPr>
                <w:sz w:val="8"/>
                <w:szCs w:val="8"/>
                <w:color w:val="auto"/>
              </w:rPr>
            </w:pPr>
          </w:p>
        </w:tc>
        <w:tc>
          <w:tcPr>
            <w:tcW w:w="2480" w:type="dxa"/>
            <w:vAlign w:val="bottom"/>
            <w:tcBorders>
              <w:bottom w:val="single" w:sz="8" w:color="582C83"/>
            </w:tcBorders>
          </w:tcPr>
          <w:p>
            <w:pPr>
              <w:spacing w:after="0"/>
              <w:rPr>
                <w:sz w:val="8"/>
                <w:szCs w:val="8"/>
                <w:color w:val="auto"/>
              </w:rPr>
            </w:pPr>
          </w:p>
        </w:tc>
        <w:tc>
          <w:tcPr>
            <w:tcW w:w="2500" w:type="dxa"/>
            <w:vAlign w:val="bottom"/>
            <w:tcBorders>
              <w:bottom w:val="single" w:sz="8" w:color="582C83"/>
              <w:right w:val="single" w:sz="8" w:color="582C83"/>
            </w:tcBorders>
          </w:tcPr>
          <w:p>
            <w:pPr>
              <w:spacing w:after="0"/>
              <w:rPr>
                <w:sz w:val="8"/>
                <w:szCs w:val="8"/>
                <w:color w:val="auto"/>
              </w:rPr>
            </w:pPr>
          </w:p>
        </w:tc>
        <w:tc>
          <w:tcPr>
            <w:tcW w:w="640" w:type="dxa"/>
            <w:vAlign w:val="bottom"/>
          </w:tcPr>
          <w:p>
            <w:pPr>
              <w:spacing w:after="0"/>
              <w:rPr>
                <w:sz w:val="8"/>
                <w:szCs w:val="8"/>
                <w:color w:val="auto"/>
              </w:rPr>
            </w:pPr>
          </w:p>
        </w:tc>
      </w:tr>
      <w:tr>
        <w:trPr>
          <w:trHeight w:val="220"/>
        </w:trPr>
        <w:tc>
          <w:tcPr>
            <w:tcW w:w="680" w:type="dxa"/>
            <w:vAlign w:val="bottom"/>
            <w:tcBorders>
              <w:bottom w:val="single" w:sz="8" w:color="58358F"/>
            </w:tcBorders>
          </w:tcPr>
          <w:p>
            <w:pPr>
              <w:spacing w:after="0"/>
              <w:rPr>
                <w:sz w:val="19"/>
                <w:szCs w:val="19"/>
                <w:color w:val="auto"/>
              </w:rPr>
            </w:pPr>
          </w:p>
        </w:tc>
        <w:tc>
          <w:tcPr>
            <w:tcW w:w="2480" w:type="dxa"/>
            <w:vAlign w:val="bottom"/>
            <w:tcBorders>
              <w:bottom w:val="single" w:sz="8" w:color="58358F"/>
            </w:tcBorders>
          </w:tcPr>
          <w:p>
            <w:pPr>
              <w:spacing w:after="0"/>
              <w:rPr>
                <w:sz w:val="19"/>
                <w:szCs w:val="19"/>
                <w:color w:val="auto"/>
              </w:rPr>
            </w:pPr>
          </w:p>
        </w:tc>
        <w:tc>
          <w:tcPr>
            <w:tcW w:w="2460" w:type="dxa"/>
            <w:vAlign w:val="bottom"/>
            <w:tcBorders>
              <w:bottom w:val="single" w:sz="8" w:color="58358F"/>
            </w:tcBorders>
          </w:tcPr>
          <w:p>
            <w:pPr>
              <w:spacing w:after="0"/>
              <w:rPr>
                <w:sz w:val="19"/>
                <w:szCs w:val="19"/>
                <w:color w:val="auto"/>
              </w:rPr>
            </w:pPr>
          </w:p>
        </w:tc>
        <w:tc>
          <w:tcPr>
            <w:tcW w:w="2480" w:type="dxa"/>
            <w:vAlign w:val="bottom"/>
            <w:tcBorders>
              <w:bottom w:val="single" w:sz="8" w:color="58358F"/>
            </w:tcBorders>
          </w:tcPr>
          <w:p>
            <w:pPr>
              <w:spacing w:after="0"/>
              <w:rPr>
                <w:sz w:val="19"/>
                <w:szCs w:val="19"/>
                <w:color w:val="auto"/>
              </w:rPr>
            </w:pPr>
          </w:p>
        </w:tc>
        <w:tc>
          <w:tcPr>
            <w:tcW w:w="3140" w:type="dxa"/>
            <w:vAlign w:val="bottom"/>
            <w:tcBorders>
              <w:bottom w:val="single" w:sz="8" w:color="58358F"/>
            </w:tcBorders>
            <w:gridSpan w:val="2"/>
          </w:tcPr>
          <w:p>
            <w:pPr>
              <w:spacing w:after="0"/>
              <w:rPr>
                <w:sz w:val="19"/>
                <w:szCs w:val="19"/>
                <w:color w:val="auto"/>
              </w:rPr>
            </w:pPr>
          </w:p>
        </w:tc>
      </w:tr>
      <w:tr>
        <w:trPr>
          <w:trHeight w:val="257"/>
        </w:trPr>
        <w:tc>
          <w:tcPr>
            <w:tcW w:w="6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3140" w:type="dxa"/>
            <w:vAlign w:val="bottom"/>
            <w:gridSpan w:val="2"/>
          </w:tcPr>
          <w:p>
            <w:pPr>
              <w:ind w:left="960"/>
              <w:spacing w:after="0"/>
              <w:rPr>
                <w:sz w:val="20"/>
                <w:szCs w:val="20"/>
                <w:color w:val="auto"/>
              </w:rPr>
            </w:pPr>
            <w:r>
              <w:rPr>
                <w:rFonts w:ascii="Arial" w:cs="Arial" w:eastAsia="Arial" w:hAnsi="Arial"/>
                <w:sz w:val="15"/>
                <w:szCs w:val="15"/>
                <w:b w:val="1"/>
                <w:bCs w:val="1"/>
                <w:color w:val="58358F"/>
              </w:rPr>
              <w:t>2023 PROXY STATEMENT | 10</w:t>
            </w:r>
          </w:p>
        </w:tc>
      </w:tr>
      <w:tr>
        <w:trPr>
          <w:trHeight w:val="261"/>
        </w:trPr>
        <w:tc>
          <w:tcPr>
            <w:tcW w:w="680" w:type="dxa"/>
            <w:vAlign w:val="bottom"/>
            <w:tcBorders>
              <w:bottom w:val="single" w:sz="8" w:color="808080"/>
            </w:tcBorders>
          </w:tcPr>
          <w:p>
            <w:pPr>
              <w:spacing w:after="0"/>
              <w:rPr>
                <w:sz w:val="22"/>
                <w:szCs w:val="22"/>
                <w:color w:val="auto"/>
              </w:rPr>
            </w:pPr>
          </w:p>
        </w:tc>
        <w:tc>
          <w:tcPr>
            <w:tcW w:w="2480" w:type="dxa"/>
            <w:vAlign w:val="bottom"/>
            <w:tcBorders>
              <w:bottom w:val="single" w:sz="8" w:color="808080"/>
            </w:tcBorders>
          </w:tcPr>
          <w:p>
            <w:pPr>
              <w:spacing w:after="0"/>
              <w:rPr>
                <w:sz w:val="22"/>
                <w:szCs w:val="22"/>
                <w:color w:val="auto"/>
              </w:rPr>
            </w:pPr>
          </w:p>
        </w:tc>
        <w:tc>
          <w:tcPr>
            <w:tcW w:w="2460" w:type="dxa"/>
            <w:vAlign w:val="bottom"/>
            <w:tcBorders>
              <w:bottom w:val="single" w:sz="8" w:color="808080"/>
            </w:tcBorders>
          </w:tcPr>
          <w:p>
            <w:pPr>
              <w:spacing w:after="0"/>
              <w:rPr>
                <w:sz w:val="22"/>
                <w:szCs w:val="22"/>
                <w:color w:val="auto"/>
              </w:rPr>
            </w:pPr>
          </w:p>
        </w:tc>
        <w:tc>
          <w:tcPr>
            <w:tcW w:w="2480" w:type="dxa"/>
            <w:vAlign w:val="bottom"/>
            <w:tcBorders>
              <w:bottom w:val="single" w:sz="8" w:color="808080"/>
            </w:tcBorders>
          </w:tcPr>
          <w:p>
            <w:pPr>
              <w:spacing w:after="0"/>
              <w:rPr>
                <w:sz w:val="22"/>
                <w:szCs w:val="22"/>
                <w:color w:val="auto"/>
              </w:rPr>
            </w:pPr>
          </w:p>
        </w:tc>
        <w:tc>
          <w:tcPr>
            <w:tcW w:w="250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-1938655</wp:posOffset>
            </wp:positionV>
            <wp:extent cx="330835" cy="3308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0835" cy="330835"/>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-1938655</wp:posOffset>
            </wp:positionV>
            <wp:extent cx="330835" cy="3308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0835" cy="330835"/>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-1938655</wp:posOffset>
            </wp:positionV>
            <wp:extent cx="330835" cy="3308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0835" cy="330835"/>
                    </a:xfrm>
                    <a:prstGeom prst="rect">
                      <a:avLst/>
                    </a:prstGeom>
                    <a:noFill/>
                  </pic:spPr>
                </pic:pic>
              </a:graphicData>
            </a:graphic>
          </wp:anchor>
        </w:drawing>
        <w:drawing>
          <wp:anchor simplePos="0" relativeHeight="251657728" behindDoc="1" locked="0" layoutInCell="0" allowOverlap="1">
            <wp:simplePos x="0" y="0"/>
            <wp:positionH relativeFrom="column">
              <wp:posOffset>5770880</wp:posOffset>
            </wp:positionH>
            <wp:positionV relativeFrom="paragraph">
              <wp:posOffset>-1938655</wp:posOffset>
            </wp:positionV>
            <wp:extent cx="330835" cy="3308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835" cy="3308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906780" cy="220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color w:val="0000FF"/>
        </w:rPr>
        <w:t>Back to Contents</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Items of Business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20"/>
                <w:szCs w:val="20"/>
                <w:b w:val="1"/>
                <w:bCs w:val="1"/>
                <w:color w:val="auto"/>
              </w:rPr>
              <w:t>Board’s Voting</w:t>
            </w:r>
          </w:p>
        </w:tc>
        <w:tc>
          <w:tcPr>
            <w:tcW w:w="1540" w:type="dxa"/>
            <w:vAlign w:val="bottom"/>
          </w:tcPr>
          <w:p>
            <w:pPr>
              <w:ind w:left="180"/>
              <w:spacing w:after="0"/>
              <w:rPr>
                <w:sz w:val="20"/>
                <w:szCs w:val="20"/>
                <w:color w:val="auto"/>
              </w:rPr>
            </w:pPr>
            <w:r>
              <w:rPr>
                <w:rFonts w:ascii="Arial" w:cs="Arial" w:eastAsia="Arial" w:hAnsi="Arial"/>
                <w:sz w:val="20"/>
                <w:szCs w:val="20"/>
                <w:b w:val="1"/>
                <w:bCs w:val="1"/>
                <w:color w:val="auto"/>
              </w:rPr>
              <w:t>More</w:t>
            </w:r>
          </w:p>
        </w:tc>
        <w:tc>
          <w:tcPr>
            <w:tcW w:w="0" w:type="dxa"/>
            <w:vAlign w:val="bottom"/>
          </w:tcPr>
          <w:p>
            <w:pPr>
              <w:spacing w:after="0"/>
              <w:rPr>
                <w:sz w:val="1"/>
                <w:szCs w:val="1"/>
                <w:color w:val="auto"/>
              </w:rPr>
            </w:pPr>
          </w:p>
        </w:tc>
      </w:tr>
      <w:tr>
        <w:trPr>
          <w:trHeight w:val="292"/>
        </w:trPr>
        <w:tc>
          <w:tcPr>
            <w:tcW w:w="5620" w:type="dxa"/>
            <w:vAlign w:val="bottom"/>
            <w:tcBorders>
              <w:bottom w:val="single" w:sz="8" w:color="582C83"/>
            </w:tcBorders>
          </w:tcPr>
          <w:p>
            <w:pPr>
              <w:ind w:left="80"/>
              <w:spacing w:after="0"/>
              <w:rPr>
                <w:sz w:val="20"/>
                <w:szCs w:val="20"/>
                <w:color w:val="auto"/>
              </w:rPr>
            </w:pPr>
            <w:r>
              <w:rPr>
                <w:rFonts w:ascii="Arial" w:cs="Arial" w:eastAsia="Arial" w:hAnsi="Arial"/>
                <w:sz w:val="20"/>
                <w:szCs w:val="20"/>
                <w:b w:val="1"/>
                <w:bCs w:val="1"/>
                <w:color w:val="auto"/>
              </w:rPr>
              <w:t>Item</w:t>
            </w:r>
          </w:p>
        </w:tc>
        <w:tc>
          <w:tcPr>
            <w:tcW w:w="2060" w:type="dxa"/>
            <w:vAlign w:val="bottom"/>
            <w:tcBorders>
              <w:bottom w:val="single" w:sz="8" w:color="582C83"/>
            </w:tcBorders>
          </w:tcPr>
          <w:p>
            <w:pPr>
              <w:ind w:left="100"/>
              <w:spacing w:after="0"/>
              <w:rPr>
                <w:sz w:val="20"/>
                <w:szCs w:val="20"/>
                <w:color w:val="auto"/>
              </w:rPr>
            </w:pPr>
            <w:r>
              <w:rPr>
                <w:rFonts w:ascii="Arial" w:cs="Arial" w:eastAsia="Arial" w:hAnsi="Arial"/>
                <w:sz w:val="20"/>
                <w:szCs w:val="20"/>
                <w:b w:val="1"/>
                <w:bCs w:val="1"/>
                <w:color w:val="auto"/>
              </w:rPr>
              <w:t>Voting Choices</w:t>
            </w:r>
          </w:p>
        </w:tc>
        <w:tc>
          <w:tcPr>
            <w:tcW w:w="2020" w:type="dxa"/>
            <w:vAlign w:val="bottom"/>
            <w:tcBorders>
              <w:bottom w:val="single" w:sz="8" w:color="582C83"/>
            </w:tcBorders>
          </w:tcPr>
          <w:p>
            <w:pPr>
              <w:ind w:left="160"/>
              <w:spacing w:after="0"/>
              <w:rPr>
                <w:sz w:val="20"/>
                <w:szCs w:val="20"/>
                <w:color w:val="auto"/>
              </w:rPr>
            </w:pPr>
            <w:r>
              <w:rPr>
                <w:rFonts w:ascii="Arial" w:cs="Arial" w:eastAsia="Arial" w:hAnsi="Arial"/>
                <w:sz w:val="20"/>
                <w:szCs w:val="20"/>
                <w:b w:val="1"/>
                <w:bCs w:val="1"/>
                <w:color w:val="auto"/>
              </w:rPr>
              <w:t>Recommendation</w:t>
            </w:r>
          </w:p>
        </w:tc>
        <w:tc>
          <w:tcPr>
            <w:tcW w:w="1540" w:type="dxa"/>
            <w:vAlign w:val="bottom"/>
            <w:tcBorders>
              <w:bottom w:val="single" w:sz="8" w:color="582C83"/>
            </w:tcBorders>
          </w:tcPr>
          <w:p>
            <w:pPr>
              <w:ind w:left="180"/>
              <w:spacing w:after="0"/>
              <w:rPr>
                <w:sz w:val="20"/>
                <w:szCs w:val="20"/>
                <w:color w:val="auto"/>
              </w:rPr>
            </w:pPr>
            <w:r>
              <w:rPr>
                <w:rFonts w:ascii="Arial" w:cs="Arial" w:eastAsia="Arial" w:hAnsi="Arial"/>
                <w:sz w:val="20"/>
                <w:szCs w:val="20"/>
                <w:b w:val="1"/>
                <w:bCs w:val="1"/>
                <w:color w:val="auto"/>
              </w:rPr>
              <w:t>Information</w:t>
            </w:r>
          </w:p>
        </w:tc>
        <w:tc>
          <w:tcPr>
            <w:tcW w:w="0" w:type="dxa"/>
            <w:vAlign w:val="bottom"/>
          </w:tcPr>
          <w:p>
            <w:pPr>
              <w:spacing w:after="0"/>
              <w:rPr>
                <w:sz w:val="1"/>
                <w:szCs w:val="1"/>
                <w:color w:val="auto"/>
              </w:rPr>
            </w:pPr>
          </w:p>
        </w:tc>
      </w:tr>
      <w:tr>
        <w:trPr>
          <w:trHeight w:val="297"/>
        </w:trPr>
        <w:tc>
          <w:tcPr>
            <w:tcW w:w="5620" w:type="dxa"/>
            <w:vAlign w:val="bottom"/>
          </w:tcPr>
          <w:p>
            <w:pPr>
              <w:ind w:left="80"/>
              <w:spacing w:after="0"/>
              <w:rPr>
                <w:sz w:val="20"/>
                <w:szCs w:val="20"/>
                <w:color w:val="auto"/>
              </w:rPr>
            </w:pPr>
            <w:r>
              <w:rPr>
                <w:rFonts w:ascii="Arial" w:cs="Arial" w:eastAsia="Arial" w:hAnsi="Arial"/>
                <w:sz w:val="20"/>
                <w:szCs w:val="20"/>
                <w:b w:val="1"/>
                <w:bCs w:val="1"/>
                <w:color w:val="auto"/>
              </w:rPr>
              <w:t>Company Proposals:</w:t>
            </w:r>
          </w:p>
        </w:tc>
        <w:tc>
          <w:tcPr>
            <w:tcW w:w="2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5620" w:type="dxa"/>
            <w:vAlign w:val="bottom"/>
            <w:shd w:val="clear" w:color="auto" w:fill="EBE6F0"/>
          </w:tcPr>
          <w:p>
            <w:pPr>
              <w:ind w:left="80"/>
              <w:spacing w:after="0"/>
              <w:rPr>
                <w:sz w:val="20"/>
                <w:szCs w:val="20"/>
                <w:color w:val="auto"/>
              </w:rPr>
            </w:pPr>
            <w:r>
              <w:rPr>
                <w:rFonts w:ascii="Arial" w:cs="Arial" w:eastAsia="Arial" w:hAnsi="Arial"/>
                <w:sz w:val="20"/>
                <w:szCs w:val="20"/>
                <w:color w:val="auto"/>
              </w:rPr>
              <w:t>Item 1. Election of nine director nominees named in the Proxy</w:t>
            </w:r>
          </w:p>
        </w:tc>
        <w:tc>
          <w:tcPr>
            <w:tcW w:w="2060" w:type="dxa"/>
            <w:vAlign w:val="bottom"/>
            <w:shd w:val="clear" w:color="auto" w:fill="EBE6F0"/>
          </w:tcPr>
          <w:p>
            <w:pPr>
              <w:ind w:left="100"/>
              <w:spacing w:after="0"/>
              <w:rPr>
                <w:sz w:val="20"/>
                <w:szCs w:val="20"/>
                <w:color w:val="auto"/>
              </w:rPr>
            </w:pPr>
            <w:r>
              <w:rPr>
                <w:rFonts w:ascii="Arial" w:cs="Arial" w:eastAsia="Arial" w:hAnsi="Arial"/>
                <w:sz w:val="20"/>
                <w:szCs w:val="20"/>
                <w:i w:val="1"/>
                <w:iCs w:val="1"/>
                <w:color w:val="auto"/>
              </w:rPr>
              <w:t>With respect to each</w:t>
            </w:r>
          </w:p>
        </w:tc>
        <w:tc>
          <w:tcPr>
            <w:tcW w:w="2020" w:type="dxa"/>
            <w:vAlign w:val="bottom"/>
            <w:shd w:val="clear" w:color="auto" w:fill="EBE6F0"/>
          </w:tcPr>
          <w:p>
            <w:pPr>
              <w:ind w:left="160"/>
              <w:spacing w:after="0"/>
              <w:rPr>
                <w:sz w:val="20"/>
                <w:szCs w:val="20"/>
                <w:color w:val="auto"/>
              </w:rPr>
            </w:pPr>
            <w:r>
              <w:rPr>
                <w:rFonts w:ascii="Arial" w:cs="Arial" w:eastAsia="Arial" w:hAnsi="Arial"/>
                <w:sz w:val="20"/>
                <w:szCs w:val="20"/>
                <w:b w:val="1"/>
                <w:bCs w:val="1"/>
                <w:color w:val="582C83"/>
              </w:rPr>
              <w:t>FOR</w:t>
            </w:r>
          </w:p>
        </w:tc>
        <w:tc>
          <w:tcPr>
            <w:tcW w:w="1540" w:type="dxa"/>
            <w:vAlign w:val="bottom"/>
            <w:shd w:val="clear" w:color="auto" w:fill="EBE6F0"/>
          </w:tcPr>
          <w:p>
            <w:pPr>
              <w:ind w:left="180"/>
              <w:spacing w:after="0"/>
              <w:rPr>
                <w:sz w:val="20"/>
                <w:szCs w:val="20"/>
                <w:color w:val="auto"/>
              </w:rPr>
            </w:pPr>
            <w:r>
              <w:rPr>
                <w:rFonts w:ascii="Arial" w:cs="Arial" w:eastAsia="Arial" w:hAnsi="Arial"/>
                <w:sz w:val="20"/>
                <w:szCs w:val="20"/>
                <w:color w:val="auto"/>
              </w:rPr>
              <w:t>Page 18</w:t>
            </w:r>
          </w:p>
        </w:tc>
        <w:tc>
          <w:tcPr>
            <w:tcW w:w="0" w:type="dxa"/>
            <w:vAlign w:val="bottom"/>
          </w:tcPr>
          <w:p>
            <w:pPr>
              <w:spacing w:after="0"/>
              <w:rPr>
                <w:sz w:val="1"/>
                <w:szCs w:val="1"/>
                <w:color w:val="auto"/>
              </w:rPr>
            </w:pPr>
          </w:p>
        </w:tc>
      </w:tr>
      <w:tr>
        <w:trPr>
          <w:trHeight w:val="261"/>
        </w:trPr>
        <w:tc>
          <w:tcPr>
            <w:tcW w:w="5620" w:type="dxa"/>
            <w:vAlign w:val="bottom"/>
            <w:shd w:val="clear" w:color="auto" w:fill="EBE6F0"/>
          </w:tcPr>
          <w:p>
            <w:pPr>
              <w:ind w:left="760"/>
              <w:spacing w:after="0"/>
              <w:rPr>
                <w:sz w:val="20"/>
                <w:szCs w:val="20"/>
                <w:color w:val="auto"/>
              </w:rPr>
            </w:pPr>
            <w:r>
              <w:rPr>
                <w:rFonts w:ascii="Arial" w:cs="Arial" w:eastAsia="Arial" w:hAnsi="Arial"/>
                <w:sz w:val="20"/>
                <w:szCs w:val="20"/>
                <w:color w:val="auto"/>
              </w:rPr>
              <w:t>Statement</w:t>
            </w:r>
          </w:p>
        </w:tc>
        <w:tc>
          <w:tcPr>
            <w:tcW w:w="2060" w:type="dxa"/>
            <w:vAlign w:val="bottom"/>
            <w:shd w:val="clear" w:color="auto" w:fill="EBE6F0"/>
          </w:tcPr>
          <w:p>
            <w:pPr>
              <w:ind w:left="100"/>
              <w:spacing w:after="0"/>
              <w:rPr>
                <w:sz w:val="20"/>
                <w:szCs w:val="20"/>
                <w:color w:val="auto"/>
              </w:rPr>
            </w:pPr>
            <w:r>
              <w:rPr>
                <w:rFonts w:ascii="Arial" w:cs="Arial" w:eastAsia="Arial" w:hAnsi="Arial"/>
                <w:sz w:val="20"/>
                <w:szCs w:val="20"/>
                <w:i w:val="1"/>
                <w:iCs w:val="1"/>
                <w:color w:val="auto"/>
              </w:rPr>
              <w:t>nominee:</w:t>
            </w:r>
          </w:p>
        </w:tc>
        <w:tc>
          <w:tcPr>
            <w:tcW w:w="2020" w:type="dxa"/>
            <w:vAlign w:val="bottom"/>
            <w:shd w:val="clear" w:color="auto" w:fill="EBE6F0"/>
          </w:tcPr>
          <w:p>
            <w:pPr>
              <w:ind w:left="160"/>
              <w:spacing w:after="0"/>
              <w:rPr>
                <w:sz w:val="20"/>
                <w:szCs w:val="20"/>
                <w:color w:val="auto"/>
              </w:rPr>
            </w:pPr>
            <w:r>
              <w:rPr>
                <w:rFonts w:ascii="Arial" w:cs="Arial" w:eastAsia="Arial" w:hAnsi="Arial"/>
                <w:sz w:val="20"/>
                <w:szCs w:val="20"/>
                <w:b w:val="1"/>
                <w:bCs w:val="1"/>
                <w:color w:val="582C83"/>
              </w:rPr>
              <w:t>All Nominees</w:t>
            </w:r>
          </w:p>
        </w:tc>
        <w:tc>
          <w:tcPr>
            <w:tcW w:w="154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5620" w:type="dxa"/>
            <w:vAlign w:val="bottom"/>
            <w:shd w:val="clear" w:color="auto" w:fill="EBE6F0"/>
          </w:tcPr>
          <w:p>
            <w:pPr>
              <w:spacing w:after="0"/>
              <w:rPr>
                <w:sz w:val="22"/>
                <w:szCs w:val="22"/>
                <w:color w:val="auto"/>
              </w:rPr>
            </w:pPr>
          </w:p>
        </w:tc>
        <w:tc>
          <w:tcPr>
            <w:tcW w:w="2060" w:type="dxa"/>
            <w:vAlign w:val="bottom"/>
            <w:shd w:val="clear" w:color="auto" w:fill="EBE6F0"/>
          </w:tcPr>
          <w:p>
            <w:pPr>
              <w:ind w:left="100"/>
              <w:spacing w:after="0"/>
              <w:rPr>
                <w:sz w:val="20"/>
                <w:szCs w:val="20"/>
                <w:color w:val="auto"/>
              </w:rPr>
            </w:pPr>
            <w:r>
              <w:rPr>
                <w:rFonts w:ascii="Arial" w:cs="Arial" w:eastAsia="Arial" w:hAnsi="Arial"/>
                <w:sz w:val="20"/>
                <w:szCs w:val="20"/>
                <w:color w:val="auto"/>
              </w:rPr>
              <w:t>For</w:t>
            </w:r>
          </w:p>
        </w:tc>
        <w:tc>
          <w:tcPr>
            <w:tcW w:w="2020" w:type="dxa"/>
            <w:vAlign w:val="bottom"/>
            <w:shd w:val="clear" w:color="auto" w:fill="EBE6F0"/>
          </w:tcPr>
          <w:p>
            <w:pPr>
              <w:spacing w:after="0"/>
              <w:rPr>
                <w:sz w:val="22"/>
                <w:szCs w:val="22"/>
                <w:color w:val="auto"/>
              </w:rPr>
            </w:pPr>
          </w:p>
        </w:tc>
        <w:tc>
          <w:tcPr>
            <w:tcW w:w="154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5620" w:type="dxa"/>
            <w:vAlign w:val="bottom"/>
            <w:shd w:val="clear" w:color="auto" w:fill="EBE6F0"/>
          </w:tcPr>
          <w:p>
            <w:pPr>
              <w:spacing w:after="0"/>
              <w:rPr>
                <w:sz w:val="22"/>
                <w:szCs w:val="22"/>
                <w:color w:val="auto"/>
              </w:rPr>
            </w:pPr>
          </w:p>
        </w:tc>
        <w:tc>
          <w:tcPr>
            <w:tcW w:w="2060" w:type="dxa"/>
            <w:vAlign w:val="bottom"/>
            <w:shd w:val="clear" w:color="auto" w:fill="EBE6F0"/>
          </w:tcPr>
          <w:p>
            <w:pPr>
              <w:ind w:left="100"/>
              <w:spacing w:after="0"/>
              <w:rPr>
                <w:sz w:val="20"/>
                <w:szCs w:val="20"/>
                <w:color w:val="auto"/>
              </w:rPr>
            </w:pPr>
            <w:r>
              <w:rPr>
                <w:rFonts w:ascii="Arial" w:cs="Arial" w:eastAsia="Arial" w:hAnsi="Arial"/>
                <w:sz w:val="20"/>
                <w:szCs w:val="20"/>
                <w:color w:val="auto"/>
              </w:rPr>
              <w:t>Against</w:t>
            </w:r>
          </w:p>
        </w:tc>
        <w:tc>
          <w:tcPr>
            <w:tcW w:w="2020" w:type="dxa"/>
            <w:vAlign w:val="bottom"/>
            <w:shd w:val="clear" w:color="auto" w:fill="EBE6F0"/>
          </w:tcPr>
          <w:p>
            <w:pPr>
              <w:spacing w:after="0"/>
              <w:rPr>
                <w:sz w:val="22"/>
                <w:szCs w:val="22"/>
                <w:color w:val="auto"/>
              </w:rPr>
            </w:pPr>
          </w:p>
        </w:tc>
        <w:tc>
          <w:tcPr>
            <w:tcW w:w="154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EBE6F0"/>
            </w:tcBorders>
            <w:shd w:val="clear" w:color="auto" w:fill="EBE6F0"/>
          </w:tcPr>
          <w:p>
            <w:pPr>
              <w:spacing w:after="0"/>
              <w:rPr>
                <w:sz w:val="24"/>
                <w:szCs w:val="24"/>
                <w:color w:val="auto"/>
              </w:rPr>
            </w:pPr>
          </w:p>
        </w:tc>
        <w:tc>
          <w:tcPr>
            <w:tcW w:w="2060" w:type="dxa"/>
            <w:vAlign w:val="bottom"/>
            <w:tcBorders>
              <w:bottom w:val="single" w:sz="8" w:color="EBE6F0"/>
            </w:tcBorders>
            <w:shd w:val="clear" w:color="auto" w:fill="EBE6F0"/>
          </w:tcPr>
          <w:p>
            <w:pPr>
              <w:ind w:left="100"/>
              <w:spacing w:after="0"/>
              <w:rPr>
                <w:sz w:val="20"/>
                <w:szCs w:val="20"/>
                <w:color w:val="auto"/>
              </w:rPr>
            </w:pPr>
            <w:r>
              <w:rPr>
                <w:rFonts w:ascii="Arial" w:cs="Arial" w:eastAsia="Arial" w:hAnsi="Arial"/>
                <w:sz w:val="20"/>
                <w:szCs w:val="20"/>
                <w:color w:val="auto"/>
              </w:rPr>
              <w:t>Abstain</w:t>
            </w:r>
          </w:p>
        </w:tc>
        <w:tc>
          <w:tcPr>
            <w:tcW w:w="2020" w:type="dxa"/>
            <w:vAlign w:val="bottom"/>
            <w:tcBorders>
              <w:bottom w:val="single" w:sz="8" w:color="EBE6F0"/>
            </w:tcBorders>
            <w:shd w:val="clear" w:color="auto" w:fill="EBE6F0"/>
          </w:tcPr>
          <w:p>
            <w:pPr>
              <w:spacing w:after="0"/>
              <w:rPr>
                <w:sz w:val="24"/>
                <w:szCs w:val="24"/>
                <w:color w:val="auto"/>
              </w:rPr>
            </w:pPr>
          </w:p>
        </w:tc>
        <w:tc>
          <w:tcPr>
            <w:tcW w:w="154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20" w:type="dxa"/>
            <w:vAlign w:val="bottom"/>
            <w:tcBorders>
              <w:top w:val="single" w:sz="8" w:color="431263"/>
            </w:tcBorders>
          </w:tcPr>
          <w:p>
            <w:pPr>
              <w:ind w:left="80"/>
              <w:spacing w:after="0"/>
              <w:rPr>
                <w:sz w:val="20"/>
                <w:szCs w:val="20"/>
                <w:color w:val="auto"/>
              </w:rPr>
            </w:pPr>
            <w:r>
              <w:rPr>
                <w:rFonts w:ascii="Arial" w:cs="Arial" w:eastAsia="Arial" w:hAnsi="Arial"/>
                <w:sz w:val="20"/>
                <w:szCs w:val="20"/>
                <w:color w:val="auto"/>
              </w:rPr>
              <w:t>Item 2. Advisory vote to approve executive compensation</w:t>
            </w:r>
          </w:p>
        </w:tc>
        <w:tc>
          <w:tcPr>
            <w:tcW w:w="2060" w:type="dxa"/>
            <w:vAlign w:val="bottom"/>
            <w:tcBorders>
              <w:top w:val="single" w:sz="8" w:color="431263"/>
            </w:tcBorders>
          </w:tcPr>
          <w:p>
            <w:pPr>
              <w:ind w:left="100"/>
              <w:spacing w:after="0"/>
              <w:rPr>
                <w:sz w:val="20"/>
                <w:szCs w:val="20"/>
                <w:color w:val="auto"/>
              </w:rPr>
            </w:pPr>
            <w:r>
              <w:rPr>
                <w:rFonts w:ascii="Arial" w:cs="Arial" w:eastAsia="Arial" w:hAnsi="Arial"/>
                <w:sz w:val="20"/>
                <w:szCs w:val="20"/>
                <w:color w:val="auto"/>
              </w:rPr>
              <w:t>For</w:t>
            </w:r>
          </w:p>
        </w:tc>
        <w:tc>
          <w:tcPr>
            <w:tcW w:w="2020" w:type="dxa"/>
            <w:vAlign w:val="bottom"/>
            <w:tcBorders>
              <w:top w:val="single" w:sz="8" w:color="431263"/>
            </w:tcBorders>
          </w:tcPr>
          <w:p>
            <w:pPr>
              <w:ind w:left="160"/>
              <w:spacing w:after="0"/>
              <w:rPr>
                <w:sz w:val="20"/>
                <w:szCs w:val="20"/>
                <w:color w:val="auto"/>
              </w:rPr>
            </w:pPr>
            <w:r>
              <w:rPr>
                <w:rFonts w:ascii="Arial" w:cs="Arial" w:eastAsia="Arial" w:hAnsi="Arial"/>
                <w:sz w:val="20"/>
                <w:szCs w:val="20"/>
                <w:b w:val="1"/>
                <w:bCs w:val="1"/>
                <w:color w:val="582C83"/>
              </w:rPr>
              <w:t>FOR</w:t>
            </w:r>
          </w:p>
        </w:tc>
        <w:tc>
          <w:tcPr>
            <w:tcW w:w="1540" w:type="dxa"/>
            <w:vAlign w:val="bottom"/>
            <w:tcBorders>
              <w:top w:val="single" w:sz="8" w:color="431263"/>
            </w:tcBorders>
          </w:tcPr>
          <w:p>
            <w:pPr>
              <w:ind w:left="180"/>
              <w:spacing w:after="0"/>
              <w:rPr>
                <w:sz w:val="20"/>
                <w:szCs w:val="20"/>
                <w:color w:val="auto"/>
              </w:rPr>
            </w:pPr>
            <w:r>
              <w:rPr>
                <w:rFonts w:ascii="Arial" w:cs="Arial" w:eastAsia="Arial" w:hAnsi="Arial"/>
                <w:sz w:val="20"/>
                <w:szCs w:val="20"/>
                <w:color w:val="auto"/>
              </w:rPr>
              <w:t>Page 116</w:t>
            </w:r>
          </w:p>
        </w:tc>
        <w:tc>
          <w:tcPr>
            <w:tcW w:w="0" w:type="dxa"/>
            <w:vAlign w:val="bottom"/>
          </w:tcPr>
          <w:p>
            <w:pPr>
              <w:spacing w:after="0"/>
              <w:rPr>
                <w:sz w:val="1"/>
                <w:szCs w:val="1"/>
                <w:color w:val="auto"/>
              </w:rPr>
            </w:pPr>
          </w:p>
        </w:tc>
      </w:tr>
      <w:tr>
        <w:trPr>
          <w:trHeight w:val="261"/>
        </w:trPr>
        <w:tc>
          <w:tcPr>
            <w:tcW w:w="5620" w:type="dxa"/>
            <w:vAlign w:val="bottom"/>
          </w:tcPr>
          <w:p>
            <w:pPr>
              <w:spacing w:after="0"/>
              <w:rPr>
                <w:sz w:val="22"/>
                <w:szCs w:val="22"/>
                <w:color w:val="auto"/>
              </w:rPr>
            </w:pPr>
          </w:p>
        </w:tc>
        <w:tc>
          <w:tcPr>
            <w:tcW w:w="2060" w:type="dxa"/>
            <w:vAlign w:val="bottom"/>
          </w:tcPr>
          <w:p>
            <w:pPr>
              <w:ind w:left="100"/>
              <w:spacing w:after="0"/>
              <w:rPr>
                <w:sz w:val="20"/>
                <w:szCs w:val="20"/>
                <w:color w:val="auto"/>
              </w:rPr>
            </w:pPr>
            <w:r>
              <w:rPr>
                <w:rFonts w:ascii="Arial" w:cs="Arial" w:eastAsia="Arial" w:hAnsi="Arial"/>
                <w:sz w:val="20"/>
                <w:szCs w:val="20"/>
                <w:color w:val="auto"/>
              </w:rPr>
              <w:t>Against</w:t>
            </w:r>
          </w:p>
        </w:tc>
        <w:tc>
          <w:tcPr>
            <w:tcW w:w="20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060" w:type="dxa"/>
            <w:vAlign w:val="bottom"/>
          </w:tcPr>
          <w:p>
            <w:pPr>
              <w:ind w:left="100"/>
              <w:spacing w:after="0"/>
              <w:rPr>
                <w:sz w:val="20"/>
                <w:szCs w:val="20"/>
                <w:color w:val="auto"/>
              </w:rPr>
            </w:pPr>
            <w:r>
              <w:rPr>
                <w:rFonts w:ascii="Arial" w:cs="Arial" w:eastAsia="Arial" w:hAnsi="Arial"/>
                <w:sz w:val="20"/>
                <w:szCs w:val="20"/>
                <w:color w:val="auto"/>
              </w:rPr>
              <w:t>Abstain</w:t>
            </w:r>
          </w:p>
        </w:tc>
        <w:tc>
          <w:tcPr>
            <w:tcW w:w="20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5620" w:type="dxa"/>
            <w:vAlign w:val="bottom"/>
            <w:tcBorders>
              <w:bottom w:val="single" w:sz="8" w:color="431263"/>
            </w:tcBorders>
          </w:tcPr>
          <w:p>
            <w:pPr>
              <w:spacing w:after="0"/>
              <w:rPr>
                <w:sz w:val="3"/>
                <w:szCs w:val="3"/>
                <w:color w:val="auto"/>
              </w:rPr>
            </w:pPr>
          </w:p>
        </w:tc>
        <w:tc>
          <w:tcPr>
            <w:tcW w:w="2060" w:type="dxa"/>
            <w:vAlign w:val="bottom"/>
            <w:tcBorders>
              <w:bottom w:val="single" w:sz="8" w:color="431263"/>
            </w:tcBorders>
          </w:tcPr>
          <w:p>
            <w:pPr>
              <w:spacing w:after="0"/>
              <w:rPr>
                <w:sz w:val="3"/>
                <w:szCs w:val="3"/>
                <w:color w:val="auto"/>
              </w:rPr>
            </w:pPr>
          </w:p>
        </w:tc>
        <w:tc>
          <w:tcPr>
            <w:tcW w:w="2020" w:type="dxa"/>
            <w:vAlign w:val="bottom"/>
            <w:tcBorders>
              <w:bottom w:val="single" w:sz="8" w:color="431263"/>
            </w:tcBorders>
          </w:tcPr>
          <w:p>
            <w:pPr>
              <w:spacing w:after="0"/>
              <w:rPr>
                <w:sz w:val="3"/>
                <w:szCs w:val="3"/>
                <w:color w:val="auto"/>
              </w:rPr>
            </w:pPr>
          </w:p>
        </w:tc>
        <w:tc>
          <w:tcPr>
            <w:tcW w:w="1540" w:type="dxa"/>
            <w:vAlign w:val="bottom"/>
            <w:tcBorders>
              <w:bottom w:val="single" w:sz="8" w:color="431263"/>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5620" w:type="dxa"/>
            <w:vAlign w:val="bottom"/>
            <w:shd w:val="clear" w:color="auto" w:fill="EBE6F0"/>
          </w:tcPr>
          <w:p>
            <w:pPr>
              <w:ind w:left="80"/>
              <w:spacing w:after="0"/>
              <w:rPr>
                <w:sz w:val="20"/>
                <w:szCs w:val="20"/>
                <w:color w:val="auto"/>
              </w:rPr>
            </w:pPr>
            <w:r>
              <w:rPr>
                <w:rFonts w:ascii="Arial" w:cs="Arial" w:eastAsia="Arial" w:hAnsi="Arial"/>
                <w:sz w:val="20"/>
                <w:szCs w:val="20"/>
                <w:color w:val="auto"/>
              </w:rPr>
              <w:t>Item 3. Advisory vote on the frequency of future advisory</w:t>
            </w:r>
          </w:p>
        </w:tc>
        <w:tc>
          <w:tcPr>
            <w:tcW w:w="2060" w:type="dxa"/>
            <w:vAlign w:val="bottom"/>
            <w:shd w:val="clear" w:color="auto" w:fill="EBE6F0"/>
          </w:tcPr>
          <w:p>
            <w:pPr>
              <w:ind w:left="100"/>
              <w:spacing w:after="0"/>
              <w:rPr>
                <w:sz w:val="20"/>
                <w:szCs w:val="20"/>
                <w:color w:val="auto"/>
              </w:rPr>
            </w:pPr>
            <w:r>
              <w:rPr>
                <w:rFonts w:ascii="Arial" w:cs="Arial" w:eastAsia="Arial" w:hAnsi="Arial"/>
                <w:sz w:val="20"/>
                <w:szCs w:val="20"/>
                <w:color w:val="auto"/>
              </w:rPr>
              <w:t>One Year</w:t>
            </w:r>
          </w:p>
        </w:tc>
        <w:tc>
          <w:tcPr>
            <w:tcW w:w="2020" w:type="dxa"/>
            <w:vAlign w:val="bottom"/>
            <w:shd w:val="clear" w:color="auto" w:fill="EBE6F0"/>
          </w:tcPr>
          <w:p>
            <w:pPr>
              <w:ind w:left="160"/>
              <w:spacing w:after="0"/>
              <w:rPr>
                <w:sz w:val="20"/>
                <w:szCs w:val="20"/>
                <w:color w:val="auto"/>
              </w:rPr>
            </w:pPr>
            <w:r>
              <w:rPr>
                <w:rFonts w:ascii="Arial" w:cs="Arial" w:eastAsia="Arial" w:hAnsi="Arial"/>
                <w:sz w:val="20"/>
                <w:szCs w:val="20"/>
                <w:b w:val="1"/>
                <w:bCs w:val="1"/>
                <w:color w:val="582C83"/>
              </w:rPr>
              <w:t>ONE YEAR</w:t>
            </w:r>
          </w:p>
        </w:tc>
        <w:tc>
          <w:tcPr>
            <w:tcW w:w="1540" w:type="dxa"/>
            <w:vAlign w:val="bottom"/>
            <w:shd w:val="clear" w:color="auto" w:fill="EBE6F0"/>
          </w:tcPr>
          <w:p>
            <w:pPr>
              <w:ind w:left="180"/>
              <w:spacing w:after="0"/>
              <w:rPr>
                <w:sz w:val="20"/>
                <w:szCs w:val="20"/>
                <w:color w:val="auto"/>
              </w:rPr>
            </w:pPr>
            <w:r>
              <w:rPr>
                <w:rFonts w:ascii="Arial" w:cs="Arial" w:eastAsia="Arial" w:hAnsi="Arial"/>
                <w:sz w:val="20"/>
                <w:szCs w:val="20"/>
                <w:color w:val="auto"/>
              </w:rPr>
              <w:t>Page 117</w:t>
            </w:r>
          </w:p>
        </w:tc>
        <w:tc>
          <w:tcPr>
            <w:tcW w:w="0" w:type="dxa"/>
            <w:vAlign w:val="bottom"/>
          </w:tcPr>
          <w:p>
            <w:pPr>
              <w:spacing w:after="0"/>
              <w:rPr>
                <w:sz w:val="1"/>
                <w:szCs w:val="1"/>
                <w:color w:val="auto"/>
              </w:rPr>
            </w:pPr>
          </w:p>
        </w:tc>
      </w:tr>
      <w:tr>
        <w:trPr>
          <w:trHeight w:val="298"/>
        </w:trPr>
        <w:tc>
          <w:tcPr>
            <w:tcW w:w="5620" w:type="dxa"/>
            <w:vAlign w:val="bottom"/>
            <w:shd w:val="clear" w:color="auto" w:fill="EBE6F0"/>
          </w:tcPr>
          <w:p>
            <w:pPr>
              <w:ind w:left="760"/>
              <w:spacing w:after="0"/>
              <w:rPr>
                <w:sz w:val="20"/>
                <w:szCs w:val="20"/>
                <w:color w:val="auto"/>
              </w:rPr>
            </w:pPr>
            <w:r>
              <w:rPr>
                <w:rFonts w:ascii="Arial" w:cs="Arial" w:eastAsia="Arial" w:hAnsi="Arial"/>
                <w:sz w:val="20"/>
                <w:szCs w:val="20"/>
                <w:color w:val="auto"/>
              </w:rPr>
              <w:t>votes to approve executive compensation</w:t>
            </w:r>
          </w:p>
        </w:tc>
        <w:tc>
          <w:tcPr>
            <w:tcW w:w="2060" w:type="dxa"/>
            <w:vAlign w:val="bottom"/>
            <w:shd w:val="clear" w:color="auto" w:fill="EBE6F0"/>
          </w:tcPr>
          <w:p>
            <w:pPr>
              <w:ind w:left="100"/>
              <w:spacing w:after="0"/>
              <w:rPr>
                <w:sz w:val="20"/>
                <w:szCs w:val="20"/>
                <w:color w:val="auto"/>
              </w:rPr>
            </w:pPr>
            <w:r>
              <w:rPr>
                <w:rFonts w:ascii="Arial" w:cs="Arial" w:eastAsia="Arial" w:hAnsi="Arial"/>
                <w:sz w:val="20"/>
                <w:szCs w:val="20"/>
                <w:color w:val="auto"/>
              </w:rPr>
              <w:t>Two Years</w:t>
            </w:r>
          </w:p>
        </w:tc>
        <w:tc>
          <w:tcPr>
            <w:tcW w:w="2020" w:type="dxa"/>
            <w:vAlign w:val="bottom"/>
            <w:shd w:val="clear" w:color="auto" w:fill="EBE6F0"/>
          </w:tcPr>
          <w:p>
            <w:pPr>
              <w:spacing w:after="0"/>
              <w:rPr>
                <w:sz w:val="24"/>
                <w:szCs w:val="24"/>
                <w:color w:val="auto"/>
              </w:rPr>
            </w:pPr>
          </w:p>
        </w:tc>
        <w:tc>
          <w:tcPr>
            <w:tcW w:w="154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620" w:type="dxa"/>
            <w:vAlign w:val="bottom"/>
            <w:shd w:val="clear" w:color="auto" w:fill="EBE6F0"/>
          </w:tcPr>
          <w:p>
            <w:pPr>
              <w:spacing w:after="0"/>
              <w:rPr>
                <w:sz w:val="22"/>
                <w:szCs w:val="22"/>
                <w:color w:val="auto"/>
              </w:rPr>
            </w:pPr>
          </w:p>
        </w:tc>
        <w:tc>
          <w:tcPr>
            <w:tcW w:w="2060" w:type="dxa"/>
            <w:vAlign w:val="bottom"/>
            <w:shd w:val="clear" w:color="auto" w:fill="EBE6F0"/>
          </w:tcPr>
          <w:p>
            <w:pPr>
              <w:ind w:left="100"/>
              <w:spacing w:after="0"/>
              <w:rPr>
                <w:sz w:val="20"/>
                <w:szCs w:val="20"/>
                <w:color w:val="auto"/>
              </w:rPr>
            </w:pPr>
            <w:r>
              <w:rPr>
                <w:rFonts w:ascii="Arial" w:cs="Arial" w:eastAsia="Arial" w:hAnsi="Arial"/>
                <w:sz w:val="20"/>
                <w:szCs w:val="20"/>
                <w:color w:val="auto"/>
              </w:rPr>
              <w:t>Three Years</w:t>
            </w:r>
          </w:p>
        </w:tc>
        <w:tc>
          <w:tcPr>
            <w:tcW w:w="2020" w:type="dxa"/>
            <w:vAlign w:val="bottom"/>
            <w:shd w:val="clear" w:color="auto" w:fill="EBE6F0"/>
          </w:tcPr>
          <w:p>
            <w:pPr>
              <w:spacing w:after="0"/>
              <w:rPr>
                <w:sz w:val="22"/>
                <w:szCs w:val="22"/>
                <w:color w:val="auto"/>
              </w:rPr>
            </w:pPr>
          </w:p>
        </w:tc>
        <w:tc>
          <w:tcPr>
            <w:tcW w:w="154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EBE6F0"/>
            </w:tcBorders>
            <w:shd w:val="clear" w:color="auto" w:fill="EBE6F0"/>
          </w:tcPr>
          <w:p>
            <w:pPr>
              <w:spacing w:after="0"/>
              <w:rPr>
                <w:sz w:val="24"/>
                <w:szCs w:val="24"/>
                <w:color w:val="auto"/>
              </w:rPr>
            </w:pPr>
          </w:p>
        </w:tc>
        <w:tc>
          <w:tcPr>
            <w:tcW w:w="2060" w:type="dxa"/>
            <w:vAlign w:val="bottom"/>
            <w:tcBorders>
              <w:bottom w:val="single" w:sz="8" w:color="EBE6F0"/>
            </w:tcBorders>
            <w:shd w:val="clear" w:color="auto" w:fill="EBE6F0"/>
          </w:tcPr>
          <w:p>
            <w:pPr>
              <w:ind w:left="100"/>
              <w:spacing w:after="0"/>
              <w:rPr>
                <w:sz w:val="20"/>
                <w:szCs w:val="20"/>
                <w:color w:val="auto"/>
              </w:rPr>
            </w:pPr>
            <w:r>
              <w:rPr>
                <w:rFonts w:ascii="Arial" w:cs="Arial" w:eastAsia="Arial" w:hAnsi="Arial"/>
                <w:sz w:val="20"/>
                <w:szCs w:val="20"/>
                <w:color w:val="auto"/>
              </w:rPr>
              <w:t>Abstain</w:t>
            </w:r>
          </w:p>
        </w:tc>
        <w:tc>
          <w:tcPr>
            <w:tcW w:w="2020" w:type="dxa"/>
            <w:vAlign w:val="bottom"/>
            <w:tcBorders>
              <w:bottom w:val="single" w:sz="8" w:color="EBE6F0"/>
            </w:tcBorders>
            <w:shd w:val="clear" w:color="auto" w:fill="EBE6F0"/>
          </w:tcPr>
          <w:p>
            <w:pPr>
              <w:spacing w:after="0"/>
              <w:rPr>
                <w:sz w:val="24"/>
                <w:szCs w:val="24"/>
                <w:color w:val="auto"/>
              </w:rPr>
            </w:pPr>
          </w:p>
        </w:tc>
        <w:tc>
          <w:tcPr>
            <w:tcW w:w="154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620" w:type="dxa"/>
            <w:vAlign w:val="bottom"/>
            <w:tcBorders>
              <w:top w:val="single" w:sz="8" w:color="431263"/>
            </w:tcBorders>
          </w:tcPr>
          <w:p>
            <w:pPr>
              <w:ind w:left="80"/>
              <w:spacing w:after="0"/>
              <w:rPr>
                <w:sz w:val="20"/>
                <w:szCs w:val="20"/>
                <w:color w:val="auto"/>
              </w:rPr>
            </w:pPr>
            <w:r>
              <w:rPr>
                <w:rFonts w:ascii="Arial" w:cs="Arial" w:eastAsia="Arial" w:hAnsi="Arial"/>
                <w:sz w:val="20"/>
                <w:szCs w:val="20"/>
                <w:color w:val="auto"/>
              </w:rPr>
              <w:t>Item 4. Ratification of the selection of</w:t>
            </w:r>
          </w:p>
        </w:tc>
        <w:tc>
          <w:tcPr>
            <w:tcW w:w="2060" w:type="dxa"/>
            <w:vAlign w:val="bottom"/>
            <w:tcBorders>
              <w:top w:val="single" w:sz="8" w:color="431263"/>
            </w:tcBorders>
          </w:tcPr>
          <w:p>
            <w:pPr>
              <w:ind w:left="100"/>
              <w:spacing w:after="0"/>
              <w:rPr>
                <w:sz w:val="20"/>
                <w:szCs w:val="20"/>
                <w:color w:val="auto"/>
              </w:rPr>
            </w:pPr>
            <w:r>
              <w:rPr>
                <w:rFonts w:ascii="Arial" w:cs="Arial" w:eastAsia="Arial" w:hAnsi="Arial"/>
                <w:sz w:val="20"/>
                <w:szCs w:val="20"/>
                <w:color w:val="auto"/>
              </w:rPr>
              <w:t>For</w:t>
            </w:r>
          </w:p>
        </w:tc>
        <w:tc>
          <w:tcPr>
            <w:tcW w:w="2020" w:type="dxa"/>
            <w:vAlign w:val="bottom"/>
            <w:tcBorders>
              <w:top w:val="single" w:sz="8" w:color="431263"/>
            </w:tcBorders>
          </w:tcPr>
          <w:p>
            <w:pPr>
              <w:ind w:left="160"/>
              <w:spacing w:after="0"/>
              <w:rPr>
                <w:sz w:val="20"/>
                <w:szCs w:val="20"/>
                <w:color w:val="auto"/>
              </w:rPr>
            </w:pPr>
            <w:r>
              <w:rPr>
                <w:rFonts w:ascii="Arial" w:cs="Arial" w:eastAsia="Arial" w:hAnsi="Arial"/>
                <w:sz w:val="20"/>
                <w:szCs w:val="20"/>
                <w:b w:val="1"/>
                <w:bCs w:val="1"/>
                <w:color w:val="582C83"/>
              </w:rPr>
              <w:t>FOR</w:t>
            </w:r>
          </w:p>
        </w:tc>
        <w:tc>
          <w:tcPr>
            <w:tcW w:w="1540" w:type="dxa"/>
            <w:vAlign w:val="bottom"/>
            <w:tcBorders>
              <w:top w:val="single" w:sz="8" w:color="431263"/>
            </w:tcBorders>
          </w:tcPr>
          <w:p>
            <w:pPr>
              <w:ind w:left="180"/>
              <w:spacing w:after="0"/>
              <w:rPr>
                <w:sz w:val="20"/>
                <w:szCs w:val="20"/>
                <w:color w:val="auto"/>
              </w:rPr>
            </w:pPr>
            <w:r>
              <w:rPr>
                <w:rFonts w:ascii="Arial" w:cs="Arial" w:eastAsia="Arial" w:hAnsi="Arial"/>
                <w:sz w:val="20"/>
                <w:szCs w:val="20"/>
                <w:color w:val="auto"/>
              </w:rPr>
              <w:t>Page 118</w:t>
            </w:r>
          </w:p>
        </w:tc>
        <w:tc>
          <w:tcPr>
            <w:tcW w:w="0" w:type="dxa"/>
            <w:vAlign w:val="bottom"/>
          </w:tcPr>
          <w:p>
            <w:pPr>
              <w:spacing w:after="0"/>
              <w:rPr>
                <w:sz w:val="1"/>
                <w:szCs w:val="1"/>
                <w:color w:val="auto"/>
              </w:rPr>
            </w:pPr>
          </w:p>
        </w:tc>
      </w:tr>
      <w:tr>
        <w:trPr>
          <w:trHeight w:val="237"/>
        </w:trPr>
        <w:tc>
          <w:tcPr>
            <w:tcW w:w="5620" w:type="dxa"/>
            <w:vAlign w:val="bottom"/>
          </w:tcPr>
          <w:p>
            <w:pPr>
              <w:ind w:left="760"/>
              <w:spacing w:after="0"/>
              <w:rPr>
                <w:sz w:val="20"/>
                <w:szCs w:val="20"/>
                <w:color w:val="auto"/>
              </w:rPr>
            </w:pPr>
            <w:r>
              <w:rPr>
                <w:rFonts w:ascii="Arial" w:cs="Arial" w:eastAsia="Arial" w:hAnsi="Arial"/>
                <w:sz w:val="20"/>
                <w:szCs w:val="20"/>
                <w:color w:val="auto"/>
              </w:rPr>
              <w:t>PricewaterhouseCoopers LLP as independent</w:t>
            </w:r>
          </w:p>
        </w:tc>
        <w:tc>
          <w:tcPr>
            <w:tcW w:w="2060" w:type="dxa"/>
            <w:vAlign w:val="bottom"/>
          </w:tcPr>
          <w:p>
            <w:pPr>
              <w:ind w:left="100"/>
              <w:spacing w:after="0"/>
              <w:rPr>
                <w:sz w:val="20"/>
                <w:szCs w:val="20"/>
                <w:color w:val="auto"/>
              </w:rPr>
            </w:pPr>
            <w:r>
              <w:rPr>
                <w:rFonts w:ascii="Arial" w:cs="Arial" w:eastAsia="Arial" w:hAnsi="Arial"/>
                <w:sz w:val="20"/>
                <w:szCs w:val="20"/>
                <w:color w:val="auto"/>
              </w:rPr>
              <w:t>Against</w:t>
            </w:r>
          </w:p>
        </w:tc>
        <w:tc>
          <w:tcPr>
            <w:tcW w:w="2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760"/>
              <w:spacing w:after="0" w:line="210" w:lineRule="exact"/>
              <w:rPr>
                <w:sz w:val="20"/>
                <w:szCs w:val="20"/>
                <w:color w:val="auto"/>
              </w:rPr>
            </w:pPr>
            <w:r>
              <w:rPr>
                <w:rFonts w:ascii="Arial" w:cs="Arial" w:eastAsia="Arial" w:hAnsi="Arial"/>
                <w:sz w:val="20"/>
                <w:szCs w:val="20"/>
                <w:color w:val="auto"/>
              </w:rPr>
              <w:t>registered public accountants for the fiscal year</w:t>
            </w:r>
          </w:p>
        </w:tc>
        <w:tc>
          <w:tcPr>
            <w:tcW w:w="2060" w:type="dxa"/>
            <w:vAlign w:val="bottom"/>
            <w:vMerge w:val="restart"/>
          </w:tcPr>
          <w:p>
            <w:pPr>
              <w:ind w:left="100"/>
              <w:spacing w:after="0"/>
              <w:rPr>
                <w:sz w:val="20"/>
                <w:szCs w:val="20"/>
                <w:color w:val="auto"/>
              </w:rPr>
            </w:pPr>
            <w:r>
              <w:rPr>
                <w:rFonts w:ascii="Arial" w:cs="Arial" w:eastAsia="Arial" w:hAnsi="Arial"/>
                <w:sz w:val="20"/>
                <w:szCs w:val="20"/>
                <w:color w:val="auto"/>
              </w:rPr>
              <w:t>Abstain</w:t>
            </w:r>
          </w:p>
        </w:tc>
        <w:tc>
          <w:tcPr>
            <w:tcW w:w="2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5620" w:type="dxa"/>
            <w:vAlign w:val="bottom"/>
            <w:vMerge w:val="restart"/>
          </w:tcPr>
          <w:p>
            <w:pPr>
              <w:ind w:left="760"/>
              <w:spacing w:after="0"/>
              <w:rPr>
                <w:sz w:val="20"/>
                <w:szCs w:val="20"/>
                <w:color w:val="auto"/>
              </w:rPr>
            </w:pPr>
            <w:r>
              <w:rPr>
                <w:rFonts w:ascii="Arial" w:cs="Arial" w:eastAsia="Arial" w:hAnsi="Arial"/>
                <w:sz w:val="20"/>
                <w:szCs w:val="20"/>
                <w:color w:val="auto"/>
              </w:rPr>
              <w:t>ending December 31, 2023</w:t>
            </w:r>
          </w:p>
        </w:tc>
        <w:tc>
          <w:tcPr>
            <w:tcW w:w="2060" w:type="dxa"/>
            <w:vAlign w:val="bottom"/>
            <w:vMerge w:val="continue"/>
          </w:tcPr>
          <w:p>
            <w:pPr>
              <w:spacing w:after="0"/>
              <w:rPr>
                <w:sz w:val="9"/>
                <w:szCs w:val="9"/>
                <w:color w:val="auto"/>
              </w:rPr>
            </w:pPr>
          </w:p>
        </w:tc>
        <w:tc>
          <w:tcPr>
            <w:tcW w:w="20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62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5620" w:type="dxa"/>
            <w:vAlign w:val="bottom"/>
            <w:tcBorders>
              <w:bottom w:val="single" w:sz="8" w:color="431263"/>
            </w:tcBorders>
          </w:tcPr>
          <w:p>
            <w:pPr>
              <w:spacing w:after="0"/>
              <w:rPr>
                <w:sz w:val="3"/>
                <w:szCs w:val="3"/>
                <w:color w:val="auto"/>
              </w:rPr>
            </w:pPr>
          </w:p>
        </w:tc>
        <w:tc>
          <w:tcPr>
            <w:tcW w:w="2060" w:type="dxa"/>
            <w:vAlign w:val="bottom"/>
            <w:tcBorders>
              <w:bottom w:val="single" w:sz="8" w:color="431263"/>
            </w:tcBorders>
          </w:tcPr>
          <w:p>
            <w:pPr>
              <w:spacing w:after="0"/>
              <w:rPr>
                <w:sz w:val="3"/>
                <w:szCs w:val="3"/>
                <w:color w:val="auto"/>
              </w:rPr>
            </w:pPr>
          </w:p>
        </w:tc>
        <w:tc>
          <w:tcPr>
            <w:tcW w:w="2020" w:type="dxa"/>
            <w:vAlign w:val="bottom"/>
            <w:tcBorders>
              <w:bottom w:val="single" w:sz="8" w:color="431263"/>
            </w:tcBorders>
          </w:tcPr>
          <w:p>
            <w:pPr>
              <w:spacing w:after="0"/>
              <w:rPr>
                <w:sz w:val="3"/>
                <w:szCs w:val="3"/>
                <w:color w:val="auto"/>
              </w:rPr>
            </w:pPr>
          </w:p>
        </w:tc>
        <w:tc>
          <w:tcPr>
            <w:tcW w:w="1540" w:type="dxa"/>
            <w:vAlign w:val="bottom"/>
            <w:tcBorders>
              <w:bottom w:val="single" w:sz="8" w:color="431263"/>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56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0"/>
                <w:szCs w:val="20"/>
                <w:b w:val="1"/>
                <w:bCs w:val="1"/>
                <w:color w:val="auto"/>
              </w:rPr>
              <w:t>Shareholder Proposals:</w:t>
            </w:r>
          </w:p>
        </w:tc>
        <w:tc>
          <w:tcPr>
            <w:tcW w:w="2060" w:type="dxa"/>
            <w:vAlign w:val="bottom"/>
            <w:tcBorders>
              <w:bottom w:val="single" w:sz="8" w:color="EBE6F0"/>
            </w:tcBorders>
            <w:shd w:val="clear" w:color="auto" w:fill="EBE6F0"/>
          </w:tcPr>
          <w:p>
            <w:pPr>
              <w:spacing w:after="0"/>
              <w:rPr>
                <w:sz w:val="24"/>
                <w:szCs w:val="24"/>
                <w:color w:val="auto"/>
              </w:rPr>
            </w:pPr>
          </w:p>
        </w:tc>
        <w:tc>
          <w:tcPr>
            <w:tcW w:w="2020" w:type="dxa"/>
            <w:vAlign w:val="bottom"/>
            <w:tcBorders>
              <w:bottom w:val="single" w:sz="8" w:color="EBE6F0"/>
            </w:tcBorders>
            <w:shd w:val="clear" w:color="auto" w:fill="EBE6F0"/>
          </w:tcPr>
          <w:p>
            <w:pPr>
              <w:spacing w:after="0"/>
              <w:rPr>
                <w:sz w:val="24"/>
                <w:szCs w:val="24"/>
                <w:color w:val="auto"/>
              </w:rPr>
            </w:pPr>
          </w:p>
        </w:tc>
        <w:tc>
          <w:tcPr>
            <w:tcW w:w="154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20" w:type="dxa"/>
            <w:vAlign w:val="bottom"/>
          </w:tcPr>
          <w:p>
            <w:pPr>
              <w:ind w:left="80"/>
              <w:spacing w:after="0"/>
              <w:rPr>
                <w:sz w:val="20"/>
                <w:szCs w:val="20"/>
                <w:color w:val="auto"/>
              </w:rPr>
            </w:pPr>
            <w:r>
              <w:rPr>
                <w:rFonts w:ascii="Arial" w:cs="Arial" w:eastAsia="Arial" w:hAnsi="Arial"/>
                <w:sz w:val="20"/>
                <w:szCs w:val="20"/>
                <w:color w:val="auto"/>
              </w:rPr>
              <w:t>Item 5. Require independent chair of the board</w:t>
            </w:r>
          </w:p>
        </w:tc>
        <w:tc>
          <w:tcPr>
            <w:tcW w:w="2060" w:type="dxa"/>
            <w:vAlign w:val="bottom"/>
          </w:tcPr>
          <w:p>
            <w:pPr>
              <w:ind w:left="100"/>
              <w:spacing w:after="0"/>
              <w:rPr>
                <w:sz w:val="20"/>
                <w:szCs w:val="20"/>
                <w:color w:val="auto"/>
              </w:rPr>
            </w:pPr>
            <w:r>
              <w:rPr>
                <w:rFonts w:ascii="Arial" w:cs="Arial" w:eastAsia="Arial" w:hAnsi="Arial"/>
                <w:sz w:val="20"/>
                <w:szCs w:val="20"/>
                <w:color w:val="auto"/>
              </w:rPr>
              <w:t>For</w:t>
            </w:r>
          </w:p>
        </w:tc>
        <w:tc>
          <w:tcPr>
            <w:tcW w:w="2020" w:type="dxa"/>
            <w:vAlign w:val="bottom"/>
          </w:tcPr>
          <w:p>
            <w:pPr>
              <w:ind w:left="160"/>
              <w:spacing w:after="0"/>
              <w:rPr>
                <w:sz w:val="20"/>
                <w:szCs w:val="20"/>
                <w:color w:val="auto"/>
              </w:rPr>
            </w:pPr>
            <w:r>
              <w:rPr>
                <w:rFonts w:ascii="Arial" w:cs="Arial" w:eastAsia="Arial" w:hAnsi="Arial"/>
                <w:sz w:val="20"/>
                <w:szCs w:val="20"/>
                <w:b w:val="1"/>
                <w:bCs w:val="1"/>
                <w:color w:val="582C83"/>
              </w:rPr>
              <w:t>AGAINST</w:t>
            </w:r>
          </w:p>
        </w:tc>
        <w:tc>
          <w:tcPr>
            <w:tcW w:w="1540" w:type="dxa"/>
            <w:vAlign w:val="bottom"/>
          </w:tcPr>
          <w:p>
            <w:pPr>
              <w:ind w:left="180"/>
              <w:spacing w:after="0"/>
              <w:rPr>
                <w:sz w:val="20"/>
                <w:szCs w:val="20"/>
                <w:color w:val="auto"/>
              </w:rPr>
            </w:pPr>
            <w:r>
              <w:rPr>
                <w:rFonts w:ascii="Arial" w:cs="Arial" w:eastAsia="Arial" w:hAnsi="Arial"/>
                <w:sz w:val="20"/>
                <w:szCs w:val="20"/>
                <w:color w:val="auto"/>
              </w:rPr>
              <w:t>Page 121</w:t>
            </w:r>
          </w:p>
        </w:tc>
        <w:tc>
          <w:tcPr>
            <w:tcW w:w="0" w:type="dxa"/>
            <w:vAlign w:val="bottom"/>
          </w:tcPr>
          <w:p>
            <w:pPr>
              <w:spacing w:after="0"/>
              <w:rPr>
                <w:sz w:val="1"/>
                <w:szCs w:val="1"/>
                <w:color w:val="auto"/>
              </w:rPr>
            </w:pPr>
          </w:p>
        </w:tc>
      </w:tr>
      <w:tr>
        <w:trPr>
          <w:trHeight w:val="261"/>
        </w:trPr>
        <w:tc>
          <w:tcPr>
            <w:tcW w:w="5620" w:type="dxa"/>
            <w:vAlign w:val="bottom"/>
          </w:tcPr>
          <w:p>
            <w:pPr>
              <w:spacing w:after="0"/>
              <w:rPr>
                <w:sz w:val="22"/>
                <w:szCs w:val="22"/>
                <w:color w:val="auto"/>
              </w:rPr>
            </w:pPr>
          </w:p>
        </w:tc>
        <w:tc>
          <w:tcPr>
            <w:tcW w:w="2060" w:type="dxa"/>
            <w:vAlign w:val="bottom"/>
          </w:tcPr>
          <w:p>
            <w:pPr>
              <w:ind w:left="100"/>
              <w:spacing w:after="0"/>
              <w:rPr>
                <w:sz w:val="20"/>
                <w:szCs w:val="20"/>
                <w:color w:val="auto"/>
              </w:rPr>
            </w:pPr>
            <w:r>
              <w:rPr>
                <w:rFonts w:ascii="Arial" w:cs="Arial" w:eastAsia="Arial" w:hAnsi="Arial"/>
                <w:sz w:val="20"/>
                <w:szCs w:val="20"/>
                <w:color w:val="auto"/>
              </w:rPr>
              <w:t>Against</w:t>
            </w:r>
          </w:p>
        </w:tc>
        <w:tc>
          <w:tcPr>
            <w:tcW w:w="20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060" w:type="dxa"/>
            <w:vAlign w:val="bottom"/>
          </w:tcPr>
          <w:p>
            <w:pPr>
              <w:ind w:left="100"/>
              <w:spacing w:after="0"/>
              <w:rPr>
                <w:sz w:val="20"/>
                <w:szCs w:val="20"/>
                <w:color w:val="auto"/>
              </w:rPr>
            </w:pPr>
            <w:r>
              <w:rPr>
                <w:rFonts w:ascii="Arial" w:cs="Arial" w:eastAsia="Arial" w:hAnsi="Arial"/>
                <w:sz w:val="20"/>
                <w:szCs w:val="20"/>
                <w:color w:val="auto"/>
              </w:rPr>
              <w:t>Abstain</w:t>
            </w:r>
          </w:p>
        </w:tc>
        <w:tc>
          <w:tcPr>
            <w:tcW w:w="20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5620" w:type="dxa"/>
            <w:vAlign w:val="bottom"/>
            <w:tcBorders>
              <w:bottom w:val="single" w:sz="8" w:color="431263"/>
            </w:tcBorders>
          </w:tcPr>
          <w:p>
            <w:pPr>
              <w:spacing w:after="0"/>
              <w:rPr>
                <w:sz w:val="3"/>
                <w:szCs w:val="3"/>
                <w:color w:val="auto"/>
              </w:rPr>
            </w:pPr>
          </w:p>
        </w:tc>
        <w:tc>
          <w:tcPr>
            <w:tcW w:w="2060" w:type="dxa"/>
            <w:vAlign w:val="bottom"/>
            <w:tcBorders>
              <w:bottom w:val="single" w:sz="8" w:color="431263"/>
            </w:tcBorders>
          </w:tcPr>
          <w:p>
            <w:pPr>
              <w:spacing w:after="0"/>
              <w:rPr>
                <w:sz w:val="3"/>
                <w:szCs w:val="3"/>
                <w:color w:val="auto"/>
              </w:rPr>
            </w:pPr>
          </w:p>
        </w:tc>
        <w:tc>
          <w:tcPr>
            <w:tcW w:w="2020" w:type="dxa"/>
            <w:vAlign w:val="bottom"/>
            <w:tcBorders>
              <w:bottom w:val="single" w:sz="8" w:color="431263"/>
            </w:tcBorders>
          </w:tcPr>
          <w:p>
            <w:pPr>
              <w:spacing w:after="0"/>
              <w:rPr>
                <w:sz w:val="3"/>
                <w:szCs w:val="3"/>
                <w:color w:val="auto"/>
              </w:rPr>
            </w:pPr>
          </w:p>
        </w:tc>
        <w:tc>
          <w:tcPr>
            <w:tcW w:w="1540" w:type="dxa"/>
            <w:vAlign w:val="bottom"/>
            <w:tcBorders>
              <w:bottom w:val="single" w:sz="8" w:color="431263"/>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5620" w:type="dxa"/>
            <w:vAlign w:val="bottom"/>
            <w:shd w:val="clear" w:color="auto" w:fill="EBE6F0"/>
          </w:tcPr>
          <w:p>
            <w:pPr>
              <w:ind w:left="80"/>
              <w:spacing w:after="0"/>
              <w:rPr>
                <w:sz w:val="20"/>
                <w:szCs w:val="20"/>
                <w:color w:val="auto"/>
              </w:rPr>
            </w:pPr>
            <w:r>
              <w:rPr>
                <w:rFonts w:ascii="Arial" w:cs="Arial" w:eastAsia="Arial" w:hAnsi="Arial"/>
                <w:sz w:val="20"/>
                <w:szCs w:val="20"/>
                <w:color w:val="auto"/>
              </w:rPr>
              <w:t>Item 6. Publish annual benchmarks for achieving Company’s</w:t>
            </w:r>
          </w:p>
        </w:tc>
        <w:tc>
          <w:tcPr>
            <w:tcW w:w="2060" w:type="dxa"/>
            <w:vAlign w:val="bottom"/>
            <w:shd w:val="clear" w:color="auto" w:fill="EBE6F0"/>
          </w:tcPr>
          <w:p>
            <w:pPr>
              <w:ind w:left="100"/>
              <w:spacing w:after="0"/>
              <w:rPr>
                <w:sz w:val="20"/>
                <w:szCs w:val="20"/>
                <w:color w:val="auto"/>
              </w:rPr>
            </w:pPr>
            <w:r>
              <w:rPr>
                <w:rFonts w:ascii="Arial" w:cs="Arial" w:eastAsia="Arial" w:hAnsi="Arial"/>
                <w:sz w:val="20"/>
                <w:szCs w:val="20"/>
                <w:color w:val="auto"/>
              </w:rPr>
              <w:t>For</w:t>
            </w:r>
          </w:p>
        </w:tc>
        <w:tc>
          <w:tcPr>
            <w:tcW w:w="2020" w:type="dxa"/>
            <w:vAlign w:val="bottom"/>
            <w:shd w:val="clear" w:color="auto" w:fill="EBE6F0"/>
          </w:tcPr>
          <w:p>
            <w:pPr>
              <w:ind w:left="160"/>
              <w:spacing w:after="0"/>
              <w:rPr>
                <w:sz w:val="20"/>
                <w:szCs w:val="20"/>
                <w:color w:val="auto"/>
              </w:rPr>
            </w:pPr>
            <w:r>
              <w:rPr>
                <w:rFonts w:ascii="Arial" w:cs="Arial" w:eastAsia="Arial" w:hAnsi="Arial"/>
                <w:sz w:val="20"/>
                <w:szCs w:val="20"/>
                <w:b w:val="1"/>
                <w:bCs w:val="1"/>
                <w:color w:val="582C83"/>
              </w:rPr>
              <w:t>AGAINST</w:t>
            </w:r>
          </w:p>
        </w:tc>
        <w:tc>
          <w:tcPr>
            <w:tcW w:w="1540" w:type="dxa"/>
            <w:vAlign w:val="bottom"/>
            <w:shd w:val="clear" w:color="auto" w:fill="EBE6F0"/>
          </w:tcPr>
          <w:p>
            <w:pPr>
              <w:ind w:left="180"/>
              <w:spacing w:after="0"/>
              <w:rPr>
                <w:sz w:val="20"/>
                <w:szCs w:val="20"/>
                <w:color w:val="auto"/>
              </w:rPr>
            </w:pPr>
            <w:r>
              <w:rPr>
                <w:rFonts w:ascii="Arial" w:cs="Arial" w:eastAsia="Arial" w:hAnsi="Arial"/>
                <w:sz w:val="20"/>
                <w:szCs w:val="20"/>
                <w:color w:val="auto"/>
              </w:rPr>
              <w:t>Page 124</w:t>
            </w:r>
          </w:p>
        </w:tc>
        <w:tc>
          <w:tcPr>
            <w:tcW w:w="0" w:type="dxa"/>
            <w:vAlign w:val="bottom"/>
          </w:tcPr>
          <w:p>
            <w:pPr>
              <w:spacing w:after="0"/>
              <w:rPr>
                <w:sz w:val="1"/>
                <w:szCs w:val="1"/>
                <w:color w:val="auto"/>
              </w:rPr>
            </w:pPr>
          </w:p>
        </w:tc>
      </w:tr>
      <w:tr>
        <w:trPr>
          <w:trHeight w:val="298"/>
        </w:trPr>
        <w:tc>
          <w:tcPr>
            <w:tcW w:w="5620" w:type="dxa"/>
            <w:vAlign w:val="bottom"/>
            <w:shd w:val="clear" w:color="auto" w:fill="EBE6F0"/>
          </w:tcPr>
          <w:p>
            <w:pPr>
              <w:ind w:left="760"/>
              <w:spacing w:after="0"/>
              <w:rPr>
                <w:sz w:val="20"/>
                <w:szCs w:val="20"/>
                <w:color w:val="auto"/>
              </w:rPr>
            </w:pPr>
            <w:r>
              <w:rPr>
                <w:rFonts w:ascii="Arial" w:cs="Arial" w:eastAsia="Arial" w:hAnsi="Arial"/>
                <w:sz w:val="20"/>
                <w:szCs w:val="20"/>
                <w:color w:val="auto"/>
              </w:rPr>
              <w:t>2025 cage-free egg goal</w:t>
            </w:r>
          </w:p>
        </w:tc>
        <w:tc>
          <w:tcPr>
            <w:tcW w:w="2060" w:type="dxa"/>
            <w:vAlign w:val="bottom"/>
            <w:shd w:val="clear" w:color="auto" w:fill="EBE6F0"/>
          </w:tcPr>
          <w:p>
            <w:pPr>
              <w:ind w:left="100"/>
              <w:spacing w:after="0"/>
              <w:rPr>
                <w:sz w:val="20"/>
                <w:szCs w:val="20"/>
                <w:color w:val="auto"/>
              </w:rPr>
            </w:pPr>
            <w:r>
              <w:rPr>
                <w:rFonts w:ascii="Arial" w:cs="Arial" w:eastAsia="Arial" w:hAnsi="Arial"/>
                <w:sz w:val="20"/>
                <w:szCs w:val="20"/>
                <w:color w:val="auto"/>
              </w:rPr>
              <w:t>Against</w:t>
            </w:r>
          </w:p>
        </w:tc>
        <w:tc>
          <w:tcPr>
            <w:tcW w:w="2020" w:type="dxa"/>
            <w:vAlign w:val="bottom"/>
            <w:shd w:val="clear" w:color="auto" w:fill="EBE6F0"/>
          </w:tcPr>
          <w:p>
            <w:pPr>
              <w:spacing w:after="0"/>
              <w:rPr>
                <w:sz w:val="24"/>
                <w:szCs w:val="24"/>
                <w:color w:val="auto"/>
              </w:rPr>
            </w:pPr>
          </w:p>
        </w:tc>
        <w:tc>
          <w:tcPr>
            <w:tcW w:w="154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EBE6F0"/>
            </w:tcBorders>
            <w:shd w:val="clear" w:color="auto" w:fill="EBE6F0"/>
          </w:tcPr>
          <w:p>
            <w:pPr>
              <w:spacing w:after="0"/>
              <w:rPr>
                <w:sz w:val="24"/>
                <w:szCs w:val="24"/>
                <w:color w:val="auto"/>
              </w:rPr>
            </w:pPr>
          </w:p>
        </w:tc>
        <w:tc>
          <w:tcPr>
            <w:tcW w:w="2060" w:type="dxa"/>
            <w:vAlign w:val="bottom"/>
            <w:tcBorders>
              <w:bottom w:val="single" w:sz="8" w:color="EBE6F0"/>
            </w:tcBorders>
            <w:shd w:val="clear" w:color="auto" w:fill="EBE6F0"/>
          </w:tcPr>
          <w:p>
            <w:pPr>
              <w:ind w:left="100"/>
              <w:spacing w:after="0"/>
              <w:rPr>
                <w:sz w:val="20"/>
                <w:szCs w:val="20"/>
                <w:color w:val="auto"/>
              </w:rPr>
            </w:pPr>
            <w:r>
              <w:rPr>
                <w:rFonts w:ascii="Arial" w:cs="Arial" w:eastAsia="Arial" w:hAnsi="Arial"/>
                <w:sz w:val="20"/>
                <w:szCs w:val="20"/>
                <w:color w:val="auto"/>
              </w:rPr>
              <w:t>Abstain</w:t>
            </w:r>
          </w:p>
        </w:tc>
        <w:tc>
          <w:tcPr>
            <w:tcW w:w="2020" w:type="dxa"/>
            <w:vAlign w:val="bottom"/>
            <w:tcBorders>
              <w:bottom w:val="single" w:sz="8" w:color="EBE6F0"/>
            </w:tcBorders>
            <w:shd w:val="clear" w:color="auto" w:fill="EBE6F0"/>
          </w:tcPr>
          <w:p>
            <w:pPr>
              <w:spacing w:after="0"/>
              <w:rPr>
                <w:sz w:val="24"/>
                <w:szCs w:val="24"/>
                <w:color w:val="auto"/>
              </w:rPr>
            </w:pPr>
          </w:p>
        </w:tc>
        <w:tc>
          <w:tcPr>
            <w:tcW w:w="154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620" w:type="dxa"/>
            <w:vAlign w:val="bottom"/>
            <w:tcBorders>
              <w:top w:val="single" w:sz="8" w:color="431263"/>
            </w:tcBorders>
          </w:tcPr>
          <w:p>
            <w:pPr>
              <w:ind w:left="80"/>
              <w:spacing w:after="0"/>
              <w:rPr>
                <w:sz w:val="20"/>
                <w:szCs w:val="20"/>
                <w:color w:val="auto"/>
              </w:rPr>
            </w:pPr>
            <w:r>
              <w:rPr>
                <w:rFonts w:ascii="Arial" w:cs="Arial" w:eastAsia="Arial" w:hAnsi="Arial"/>
                <w:sz w:val="20"/>
                <w:szCs w:val="20"/>
                <w:color w:val="auto"/>
              </w:rPr>
              <w:t>Item 7. Adopt public targets to eradicate child labor in cocoa</w:t>
            </w:r>
          </w:p>
        </w:tc>
        <w:tc>
          <w:tcPr>
            <w:tcW w:w="2060" w:type="dxa"/>
            <w:vAlign w:val="bottom"/>
            <w:tcBorders>
              <w:top w:val="single" w:sz="8" w:color="431263"/>
            </w:tcBorders>
          </w:tcPr>
          <w:p>
            <w:pPr>
              <w:ind w:left="100"/>
              <w:spacing w:after="0"/>
              <w:rPr>
                <w:sz w:val="20"/>
                <w:szCs w:val="20"/>
                <w:color w:val="auto"/>
              </w:rPr>
            </w:pPr>
            <w:r>
              <w:rPr>
                <w:rFonts w:ascii="Arial" w:cs="Arial" w:eastAsia="Arial" w:hAnsi="Arial"/>
                <w:sz w:val="20"/>
                <w:szCs w:val="20"/>
                <w:color w:val="auto"/>
              </w:rPr>
              <w:t>For</w:t>
            </w:r>
          </w:p>
        </w:tc>
        <w:tc>
          <w:tcPr>
            <w:tcW w:w="2020" w:type="dxa"/>
            <w:vAlign w:val="bottom"/>
            <w:tcBorders>
              <w:top w:val="single" w:sz="8" w:color="431263"/>
            </w:tcBorders>
          </w:tcPr>
          <w:p>
            <w:pPr>
              <w:ind w:left="160"/>
              <w:spacing w:after="0"/>
              <w:rPr>
                <w:sz w:val="20"/>
                <w:szCs w:val="20"/>
                <w:color w:val="auto"/>
              </w:rPr>
            </w:pPr>
            <w:r>
              <w:rPr>
                <w:rFonts w:ascii="Arial" w:cs="Arial" w:eastAsia="Arial" w:hAnsi="Arial"/>
                <w:sz w:val="20"/>
                <w:szCs w:val="20"/>
                <w:b w:val="1"/>
                <w:bCs w:val="1"/>
                <w:color w:val="582C83"/>
              </w:rPr>
              <w:t>AGAINST</w:t>
            </w:r>
          </w:p>
        </w:tc>
        <w:tc>
          <w:tcPr>
            <w:tcW w:w="1540" w:type="dxa"/>
            <w:vAlign w:val="bottom"/>
            <w:tcBorders>
              <w:top w:val="single" w:sz="8" w:color="431263"/>
            </w:tcBorders>
          </w:tcPr>
          <w:p>
            <w:pPr>
              <w:ind w:left="180"/>
              <w:spacing w:after="0"/>
              <w:rPr>
                <w:sz w:val="20"/>
                <w:szCs w:val="20"/>
                <w:color w:val="auto"/>
              </w:rPr>
            </w:pPr>
            <w:r>
              <w:rPr>
                <w:rFonts w:ascii="Arial" w:cs="Arial" w:eastAsia="Arial" w:hAnsi="Arial"/>
                <w:sz w:val="20"/>
                <w:szCs w:val="20"/>
                <w:color w:val="auto"/>
              </w:rPr>
              <w:t>Page 127</w:t>
            </w:r>
          </w:p>
        </w:tc>
        <w:tc>
          <w:tcPr>
            <w:tcW w:w="0" w:type="dxa"/>
            <w:vAlign w:val="bottom"/>
          </w:tcPr>
          <w:p>
            <w:pPr>
              <w:spacing w:after="0"/>
              <w:rPr>
                <w:sz w:val="1"/>
                <w:szCs w:val="1"/>
                <w:color w:val="auto"/>
              </w:rPr>
            </w:pPr>
          </w:p>
        </w:tc>
      </w:tr>
      <w:tr>
        <w:trPr>
          <w:trHeight w:val="298"/>
        </w:trPr>
        <w:tc>
          <w:tcPr>
            <w:tcW w:w="5620" w:type="dxa"/>
            <w:vAlign w:val="bottom"/>
          </w:tcPr>
          <w:p>
            <w:pPr>
              <w:ind w:left="760"/>
              <w:spacing w:after="0"/>
              <w:rPr>
                <w:sz w:val="20"/>
                <w:szCs w:val="20"/>
                <w:color w:val="auto"/>
              </w:rPr>
            </w:pPr>
            <w:r>
              <w:rPr>
                <w:rFonts w:ascii="Arial" w:cs="Arial" w:eastAsia="Arial" w:hAnsi="Arial"/>
                <w:sz w:val="20"/>
                <w:szCs w:val="20"/>
                <w:color w:val="auto"/>
              </w:rPr>
              <w:t>supply chain</w:t>
            </w:r>
          </w:p>
        </w:tc>
        <w:tc>
          <w:tcPr>
            <w:tcW w:w="2060" w:type="dxa"/>
            <w:vAlign w:val="bottom"/>
          </w:tcPr>
          <w:p>
            <w:pPr>
              <w:ind w:left="100"/>
              <w:spacing w:after="0"/>
              <w:rPr>
                <w:sz w:val="20"/>
                <w:szCs w:val="20"/>
                <w:color w:val="auto"/>
              </w:rPr>
            </w:pPr>
            <w:r>
              <w:rPr>
                <w:rFonts w:ascii="Arial" w:cs="Arial" w:eastAsia="Arial" w:hAnsi="Arial"/>
                <w:sz w:val="20"/>
                <w:szCs w:val="20"/>
                <w:color w:val="auto"/>
              </w:rPr>
              <w:t>Against</w:t>
            </w:r>
          </w:p>
        </w:tc>
        <w:tc>
          <w:tcPr>
            <w:tcW w:w="2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060" w:type="dxa"/>
            <w:vAlign w:val="bottom"/>
          </w:tcPr>
          <w:p>
            <w:pPr>
              <w:ind w:left="100"/>
              <w:spacing w:after="0"/>
              <w:rPr>
                <w:sz w:val="20"/>
                <w:szCs w:val="20"/>
                <w:color w:val="auto"/>
              </w:rPr>
            </w:pPr>
            <w:r>
              <w:rPr>
                <w:rFonts w:ascii="Arial" w:cs="Arial" w:eastAsia="Arial" w:hAnsi="Arial"/>
                <w:sz w:val="20"/>
                <w:szCs w:val="20"/>
                <w:color w:val="auto"/>
              </w:rPr>
              <w:t>Abstain</w:t>
            </w:r>
          </w:p>
        </w:tc>
        <w:tc>
          <w:tcPr>
            <w:tcW w:w="20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3115" cy="212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3115" cy="212725"/>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-4187190</wp:posOffset>
            </wp:positionV>
            <wp:extent cx="165735" cy="165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-3501390</wp:posOffset>
            </wp:positionV>
            <wp:extent cx="165735" cy="165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-2957195</wp:posOffset>
            </wp:positionV>
            <wp:extent cx="165735" cy="165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-2247900</wp:posOffset>
            </wp:positionV>
            <wp:extent cx="165735" cy="165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-1403985</wp:posOffset>
            </wp:positionV>
            <wp:extent cx="165735" cy="165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-316230</wp:posOffset>
            </wp:positionV>
            <wp:extent cx="165735" cy="165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5735" cy="165735"/>
                    </a:xfrm>
                    <a:prstGeom prst="rect">
                      <a:avLst/>
                    </a:prstGeom>
                    <a:noFill/>
                  </pic:spPr>
                </pic:pic>
              </a:graphicData>
            </a:graphic>
          </wp:anchor>
        </w:drawing>
      </w:r>
    </w:p>
    <w:p>
      <w:pPr>
        <w:spacing w:after="0" w:line="5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Transact any other business properly 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272415</wp:posOffset>
            </wp:positionV>
            <wp:extent cx="714311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color w:val="0000FF"/>
        </w:rPr>
        <w:t>Back to Contents</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About Mondelēz International</w:t>
      </w:r>
    </w:p>
    <w:p>
      <w:pPr>
        <w:spacing w:after="0" w:line="213"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 xml:space="preserve">Mondelēz International empowers people to snack right around the world. With global net revenues of $31.5 billion in 2022, we are leading the future of snacking with iconic global and local brands such as </w:t>
      </w:r>
      <w:r>
        <w:rPr>
          <w:rFonts w:ascii="Arial" w:cs="Arial" w:eastAsia="Arial" w:hAnsi="Arial"/>
          <w:sz w:val="20"/>
          <w:szCs w:val="20"/>
          <w:i w:val="1"/>
          <w:iCs w:val="1"/>
          <w:color w:val="auto"/>
        </w:rPr>
        <w:t>Oreo</w:t>
      </w:r>
      <w:r>
        <w:rPr>
          <w:rFonts w:ascii="Arial" w:cs="Arial" w:eastAsia="Arial" w:hAnsi="Arial"/>
          <w:sz w:val="20"/>
          <w:szCs w:val="20"/>
          <w:color w:val="auto"/>
        </w:rPr>
        <w:t xml:space="preserve">, </w:t>
      </w:r>
      <w:r>
        <w:rPr>
          <w:rFonts w:ascii="Arial" w:cs="Arial" w:eastAsia="Arial" w:hAnsi="Arial"/>
          <w:sz w:val="20"/>
          <w:szCs w:val="20"/>
          <w:i w:val="1"/>
          <w:iCs w:val="1"/>
          <w:color w:val="auto"/>
        </w:rPr>
        <w:t>Ritz</w:t>
      </w:r>
      <w:r>
        <w:rPr>
          <w:rFonts w:ascii="Arial" w:cs="Arial" w:eastAsia="Arial" w:hAnsi="Arial"/>
          <w:sz w:val="20"/>
          <w:szCs w:val="20"/>
          <w:color w:val="auto"/>
        </w:rPr>
        <w:t xml:space="preserve">, </w:t>
      </w:r>
      <w:r>
        <w:rPr>
          <w:rFonts w:ascii="Arial" w:cs="Arial" w:eastAsia="Arial" w:hAnsi="Arial"/>
          <w:sz w:val="20"/>
          <w:szCs w:val="20"/>
          <w:i w:val="1"/>
          <w:iCs w:val="1"/>
          <w:color w:val="auto"/>
        </w:rPr>
        <w:t>LU</w:t>
      </w:r>
      <w:r>
        <w:rPr>
          <w:rFonts w:ascii="Arial" w:cs="Arial" w:eastAsia="Arial" w:hAnsi="Arial"/>
          <w:sz w:val="20"/>
          <w:szCs w:val="20"/>
          <w:color w:val="auto"/>
        </w:rPr>
        <w:t xml:space="preserve">, </w:t>
      </w:r>
      <w:r>
        <w:rPr>
          <w:rFonts w:ascii="Arial" w:cs="Arial" w:eastAsia="Arial" w:hAnsi="Arial"/>
          <w:sz w:val="20"/>
          <w:szCs w:val="20"/>
          <w:i w:val="1"/>
          <w:iCs w:val="1"/>
          <w:color w:val="auto"/>
        </w:rPr>
        <w:t>CLIF Bar</w:t>
      </w:r>
      <w:r>
        <w:rPr>
          <w:rFonts w:ascii="Arial" w:cs="Arial" w:eastAsia="Arial" w:hAnsi="Arial"/>
          <w:sz w:val="20"/>
          <w:szCs w:val="20"/>
          <w:color w:val="auto"/>
        </w:rPr>
        <w:t xml:space="preserve"> and </w:t>
      </w:r>
      <w:r>
        <w:rPr>
          <w:rFonts w:ascii="Arial" w:cs="Arial" w:eastAsia="Arial" w:hAnsi="Arial"/>
          <w:sz w:val="20"/>
          <w:szCs w:val="20"/>
          <w:i w:val="1"/>
          <w:iCs w:val="1"/>
          <w:color w:val="auto"/>
        </w:rPr>
        <w:t>Tate’s Bake Shop</w:t>
      </w:r>
      <w:r>
        <w:rPr>
          <w:rFonts w:ascii="Arial" w:cs="Arial" w:eastAsia="Arial" w:hAnsi="Arial"/>
          <w:sz w:val="20"/>
          <w:szCs w:val="20"/>
          <w:color w:val="auto"/>
        </w:rPr>
        <w:t xml:space="preserve"> biscuits and baked snacks, as well as </w:t>
      </w:r>
      <w:r>
        <w:rPr>
          <w:rFonts w:ascii="Arial" w:cs="Arial" w:eastAsia="Arial" w:hAnsi="Arial"/>
          <w:sz w:val="20"/>
          <w:szCs w:val="20"/>
          <w:i w:val="1"/>
          <w:iCs w:val="1"/>
          <w:color w:val="auto"/>
        </w:rPr>
        <w:t>Cadbury Dairy Milk</w:t>
      </w:r>
      <w:r>
        <w:rPr>
          <w:rFonts w:ascii="Arial" w:cs="Arial" w:eastAsia="Arial" w:hAnsi="Arial"/>
          <w:sz w:val="20"/>
          <w:szCs w:val="20"/>
          <w:color w:val="auto"/>
        </w:rPr>
        <w:t xml:space="preserve">, </w:t>
      </w:r>
      <w:r>
        <w:rPr>
          <w:rFonts w:ascii="Arial" w:cs="Arial" w:eastAsia="Arial" w:hAnsi="Arial"/>
          <w:sz w:val="20"/>
          <w:szCs w:val="20"/>
          <w:i w:val="1"/>
          <w:iCs w:val="1"/>
          <w:color w:val="auto"/>
        </w:rPr>
        <w:t>Milka</w:t>
      </w:r>
      <w:r>
        <w:rPr>
          <w:rFonts w:ascii="Arial" w:cs="Arial" w:eastAsia="Arial" w:hAnsi="Arial"/>
          <w:sz w:val="20"/>
          <w:szCs w:val="20"/>
          <w:color w:val="auto"/>
        </w:rPr>
        <w:t xml:space="preserve"> and </w:t>
      </w:r>
      <w:r>
        <w:rPr>
          <w:rFonts w:ascii="Arial" w:cs="Arial" w:eastAsia="Arial" w:hAnsi="Arial"/>
          <w:sz w:val="20"/>
          <w:szCs w:val="20"/>
          <w:i w:val="1"/>
          <w:iCs w:val="1"/>
          <w:color w:val="auto"/>
        </w:rPr>
        <w:t>Toblerone</w:t>
      </w:r>
      <w:r>
        <w:rPr>
          <w:rFonts w:ascii="Arial" w:cs="Arial" w:eastAsia="Arial" w:hAnsi="Arial"/>
          <w:sz w:val="20"/>
          <w:szCs w:val="20"/>
          <w:color w:val="auto"/>
        </w:rPr>
        <w:t xml:space="preserve"> chocolate. Our mission is to provide the right snack, for the right moment, made the right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100965</wp:posOffset>
            </wp:positionV>
            <wp:extent cx="6307455" cy="35007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7455" cy="350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Director Nominees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ELECTION OF DIRECTORS – NOMINEES</w:t>
      </w:r>
    </w:p>
    <w:p>
      <w:pPr>
        <w:spacing w:after="0" w:line="119"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The Governance, Membership and Sustainability Committee (the “Governance Committee”) recommended and the Board nominated each of the nine director nominee listed here. Directors are elected for a term of one year. Additional information about the director nominees is provided under “Director Nominees for Election at the Annual Meeting” on page 24. Lois D. Juliber and Christiana S. Shi will not stand for re-election and the Board thanks them for their service. The size of the Board will be reduced to nine members as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4311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color w:val="0000FF"/>
        </w:rPr>
        <w:t>Back to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Nominees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52070</wp:posOffset>
            </wp:positionV>
            <wp:extent cx="630555" cy="6229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0555" cy="62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582C83"/>
        </w:rPr>
        <w:t>Lewis W.K. Booth</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Former Executive Vice President</w:t>
      </w:r>
    </w:p>
    <w:p>
      <w:pPr>
        <w:ind w:left="640"/>
        <w:spacing w:after="0" w:line="233" w:lineRule="auto"/>
        <w:rPr>
          <w:sz w:val="20"/>
          <w:szCs w:val="20"/>
          <w:color w:val="auto"/>
        </w:rPr>
      </w:pPr>
      <w:r>
        <w:rPr>
          <w:rFonts w:ascii="Arial" w:cs="Arial" w:eastAsia="Arial" w:hAnsi="Arial"/>
          <w:sz w:val="20"/>
          <w:szCs w:val="20"/>
          <w:i w:val="1"/>
          <w:iCs w:val="1"/>
          <w:color w:val="auto"/>
        </w:rPr>
        <w:t>and Chief Financial Officer,</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20"/>
          <w:szCs w:val="20"/>
          <w:i w:val="1"/>
          <w:iCs w:val="1"/>
          <w:color w:val="auto"/>
        </w:rPr>
        <w:t>Ford Motor Company</w:t>
      </w:r>
    </w:p>
    <w:p>
      <w:pPr>
        <w:spacing w:after="0" w:line="14"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Director since 2012</w:t>
      </w:r>
    </w:p>
    <w:p>
      <w:pPr>
        <w:spacing w:after="0" w:line="31"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White/Male</w:t>
      </w:r>
    </w:p>
    <w:p>
      <w:pPr>
        <w:spacing w:after="0" w:line="31"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Age: 74</w:t>
      </w:r>
    </w:p>
    <w:p>
      <w:pPr>
        <w:spacing w:after="0" w:line="40"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582C83"/>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347980</wp:posOffset>
            </wp:positionV>
            <wp:extent cx="630555" cy="6229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0555" cy="62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582C83"/>
        </w:rPr>
        <w:t>Jorge S. Mesquita</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20"/>
          <w:szCs w:val="20"/>
          <w:i w:val="1"/>
          <w:iCs w:val="1"/>
          <w:color w:val="auto"/>
        </w:rPr>
        <w:t>Former Chief Executive Officer,</w:t>
      </w:r>
    </w:p>
    <w:p>
      <w:pPr>
        <w:ind w:left="860"/>
        <w:spacing w:after="0"/>
        <w:rPr>
          <w:sz w:val="20"/>
          <w:szCs w:val="20"/>
          <w:color w:val="auto"/>
        </w:rPr>
      </w:pPr>
      <w:r>
        <w:rPr>
          <w:rFonts w:ascii="Arial" w:cs="Arial" w:eastAsia="Arial" w:hAnsi="Arial"/>
          <w:sz w:val="20"/>
          <w:szCs w:val="20"/>
          <w:i w:val="1"/>
          <w:iCs w:val="1"/>
          <w:color w:val="auto"/>
        </w:rPr>
        <w:t>BlueTriton Brands, Inc.</w:t>
      </w:r>
    </w:p>
    <w:p>
      <w:pPr>
        <w:spacing w:after="0" w:line="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Director since 2012</w:t>
      </w:r>
    </w:p>
    <w:p>
      <w:pPr>
        <w:spacing w:after="0" w:line="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White/Male</w:t>
      </w:r>
    </w:p>
    <w:p>
      <w:pPr>
        <w:spacing w:after="0" w:line="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Age: 61</w:t>
      </w:r>
    </w:p>
    <w:p>
      <w:pPr>
        <w:spacing w:after="0" w:line="12"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582C83"/>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323215</wp:posOffset>
            </wp:positionV>
            <wp:extent cx="630555" cy="6229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0555" cy="62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582C83"/>
        </w:rPr>
        <w:t>Patrick T. Siewert</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20"/>
          <w:szCs w:val="20"/>
          <w:i w:val="1"/>
          <w:iCs w:val="1"/>
          <w:color w:val="auto"/>
        </w:rPr>
        <w:t>Managing Director and Partner,</w:t>
      </w:r>
    </w:p>
    <w:p>
      <w:pPr>
        <w:ind w:left="820"/>
        <w:spacing w:after="0"/>
        <w:rPr>
          <w:sz w:val="20"/>
          <w:szCs w:val="20"/>
          <w:color w:val="auto"/>
        </w:rPr>
      </w:pPr>
      <w:r>
        <w:rPr>
          <w:rFonts w:ascii="Arial" w:cs="Arial" w:eastAsia="Arial" w:hAnsi="Arial"/>
          <w:sz w:val="20"/>
          <w:szCs w:val="20"/>
          <w:i w:val="1"/>
          <w:iCs w:val="1"/>
          <w:color w:val="auto"/>
        </w:rPr>
        <w:t>The Carlyle Group, L.P.</w:t>
      </w:r>
    </w:p>
    <w:p>
      <w:pPr>
        <w:spacing w:after="0" w:line="14"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Director since 2012</w:t>
      </w:r>
    </w:p>
    <w:p>
      <w:pPr>
        <w:spacing w:after="0" w:line="31"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Lead Director since 2022</w:t>
      </w:r>
    </w:p>
    <w:p>
      <w:pPr>
        <w:spacing w:after="0" w:line="31"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White/Male</w:t>
      </w:r>
    </w:p>
    <w:p>
      <w:pPr>
        <w:spacing w:after="0" w:line="31"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Age: 67</w:t>
      </w:r>
    </w:p>
    <w:p>
      <w:pPr>
        <w:spacing w:after="0" w:line="40"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582C83"/>
        </w:rPr>
        <w:t>INDEPENDENT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We Value the Diversity of our Director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582C83"/>
        </w:rPr>
        <w:t>Charles E. Bunch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-783590</wp:posOffset>
            </wp:positionV>
            <wp:extent cx="630555" cy="6305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0555" cy="630555"/>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Arial" w:cs="Arial" w:eastAsia="Arial" w:hAnsi="Arial"/>
          <w:sz w:val="20"/>
          <w:szCs w:val="20"/>
          <w:i w:val="1"/>
          <w:iCs w:val="1"/>
          <w:color w:val="auto"/>
        </w:rPr>
        <w:t>Retired Executive Chairman,</w:t>
      </w:r>
    </w:p>
    <w:p>
      <w:pPr>
        <w:ind w:left="440"/>
        <w:spacing w:after="0"/>
        <w:rPr>
          <w:sz w:val="20"/>
          <w:szCs w:val="20"/>
          <w:color w:val="auto"/>
        </w:rPr>
      </w:pPr>
      <w:r>
        <w:rPr>
          <w:rFonts w:ascii="Arial" w:cs="Arial" w:eastAsia="Arial" w:hAnsi="Arial"/>
          <w:sz w:val="20"/>
          <w:szCs w:val="20"/>
          <w:i w:val="1"/>
          <w:iCs w:val="1"/>
          <w:color w:val="auto"/>
        </w:rPr>
        <w:t>PPG Industries, Inc.</w:t>
      </w:r>
    </w:p>
    <w:p>
      <w:pPr>
        <w:spacing w:after="0" w:line="14"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Director since 2016</w:t>
      </w:r>
    </w:p>
    <w:p>
      <w:pPr>
        <w:spacing w:after="0" w:line="31"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White/Male</w:t>
      </w:r>
    </w:p>
    <w:p>
      <w:pPr>
        <w:spacing w:after="0" w:line="31"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Age: 73</w:t>
      </w:r>
    </w:p>
    <w:p>
      <w:pPr>
        <w:spacing w:after="0" w:line="40"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582C83"/>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481965</wp:posOffset>
            </wp:positionV>
            <wp:extent cx="630555" cy="6305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055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80"/>
        <w:spacing w:after="0"/>
        <w:rPr>
          <w:sz w:val="20"/>
          <w:szCs w:val="20"/>
          <w:color w:val="auto"/>
        </w:rPr>
      </w:pPr>
      <w:r>
        <w:rPr>
          <w:rFonts w:ascii="Arial" w:cs="Arial" w:eastAsia="Arial" w:hAnsi="Arial"/>
          <w:sz w:val="20"/>
          <w:szCs w:val="20"/>
          <w:b w:val="1"/>
          <w:bCs w:val="1"/>
          <w:color w:val="582C83"/>
        </w:rPr>
        <w:t>Anindita Mukherjee</w:t>
      </w:r>
    </w:p>
    <w:p>
      <w:pPr>
        <w:spacing w:after="0" w:line="19" w:lineRule="exact"/>
        <w:rPr>
          <w:sz w:val="20"/>
          <w:szCs w:val="20"/>
          <w:color w:val="auto"/>
        </w:rPr>
      </w:pPr>
    </w:p>
    <w:p>
      <w:pPr>
        <w:ind w:left="580"/>
        <w:spacing w:after="0"/>
        <w:rPr>
          <w:sz w:val="20"/>
          <w:szCs w:val="20"/>
          <w:color w:val="auto"/>
        </w:rPr>
      </w:pPr>
      <w:r>
        <w:rPr>
          <w:rFonts w:ascii="Arial" w:cs="Arial" w:eastAsia="Arial" w:hAnsi="Arial"/>
          <w:sz w:val="20"/>
          <w:szCs w:val="20"/>
          <w:i w:val="1"/>
          <w:iCs w:val="1"/>
          <w:color w:val="auto"/>
        </w:rPr>
        <w:t>Chairwoman and</w:t>
      </w:r>
    </w:p>
    <w:p>
      <w:pPr>
        <w:ind w:left="300"/>
        <w:spacing w:after="0" w:line="233" w:lineRule="auto"/>
        <w:rPr>
          <w:sz w:val="20"/>
          <w:szCs w:val="20"/>
          <w:color w:val="auto"/>
        </w:rPr>
      </w:pPr>
      <w:r>
        <w:rPr>
          <w:rFonts w:ascii="Arial" w:cs="Arial" w:eastAsia="Arial" w:hAnsi="Arial"/>
          <w:sz w:val="20"/>
          <w:szCs w:val="20"/>
          <w:i w:val="1"/>
          <w:iCs w:val="1"/>
          <w:color w:val="auto"/>
        </w:rPr>
        <w:t>Chief Executive Officer,</w:t>
      </w:r>
    </w:p>
    <w:p>
      <w:pPr>
        <w:spacing w:after="0"/>
        <w:rPr>
          <w:sz w:val="20"/>
          <w:szCs w:val="20"/>
          <w:color w:val="auto"/>
        </w:rPr>
      </w:pPr>
      <w:r>
        <w:rPr>
          <w:rFonts w:ascii="Arial" w:cs="Arial" w:eastAsia="Arial" w:hAnsi="Arial"/>
          <w:sz w:val="19"/>
          <w:szCs w:val="19"/>
          <w:i w:val="1"/>
          <w:iCs w:val="1"/>
          <w:color w:val="auto"/>
        </w:rPr>
        <w:t>Pernod Ricard North America</w:t>
      </w:r>
    </w:p>
    <w:p>
      <w:pPr>
        <w:spacing w:after="0" w:line="17"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Director since 2023</w:t>
      </w:r>
    </w:p>
    <w:p>
      <w:pPr>
        <w:spacing w:after="0" w:line="6"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Asian/Female</w:t>
      </w:r>
    </w:p>
    <w:p>
      <w:pPr>
        <w:spacing w:after="0" w:line="6"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Age: 57</w:t>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582C83"/>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173355</wp:posOffset>
            </wp:positionV>
            <wp:extent cx="630555" cy="6305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055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582C83"/>
        </w:rPr>
        <w:t>Michael A. Todman</w:t>
      </w:r>
    </w:p>
    <w:p>
      <w:pPr>
        <w:spacing w:after="0" w:line="44" w:lineRule="exact"/>
        <w:rPr>
          <w:sz w:val="20"/>
          <w:szCs w:val="20"/>
          <w:color w:val="auto"/>
        </w:rPr>
      </w:pPr>
    </w:p>
    <w:p>
      <w:pPr>
        <w:jc w:val="right"/>
        <w:ind w:right="820"/>
        <w:spacing w:after="0"/>
        <w:rPr>
          <w:sz w:val="20"/>
          <w:szCs w:val="20"/>
          <w:color w:val="auto"/>
        </w:rPr>
      </w:pPr>
      <w:r>
        <w:rPr>
          <w:rFonts w:ascii="Arial" w:cs="Arial" w:eastAsia="Arial" w:hAnsi="Arial"/>
          <w:sz w:val="20"/>
          <w:szCs w:val="20"/>
          <w:i w:val="1"/>
          <w:iCs w:val="1"/>
          <w:color w:val="auto"/>
        </w:rPr>
        <w:t>Former Vice Chairman,</w:t>
      </w:r>
    </w:p>
    <w:p>
      <w:pPr>
        <w:jc w:val="right"/>
        <w:ind w:right="860"/>
        <w:spacing w:after="0"/>
        <w:rPr>
          <w:sz w:val="20"/>
          <w:szCs w:val="20"/>
          <w:color w:val="auto"/>
        </w:rPr>
      </w:pPr>
      <w:r>
        <w:rPr>
          <w:rFonts w:ascii="Arial" w:cs="Arial" w:eastAsia="Arial" w:hAnsi="Arial"/>
          <w:sz w:val="20"/>
          <w:szCs w:val="20"/>
          <w:i w:val="1"/>
          <w:iCs w:val="1"/>
          <w:color w:val="auto"/>
        </w:rPr>
        <w:t>Whirlpool Corporation</w:t>
      </w:r>
    </w:p>
    <w:p>
      <w:pPr>
        <w:spacing w:after="0" w:line="14"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Director since 2020</w:t>
      </w:r>
    </w:p>
    <w:p>
      <w:pPr>
        <w:spacing w:after="0" w:line="31"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Black/Male</w:t>
      </w:r>
    </w:p>
    <w:p>
      <w:pPr>
        <w:spacing w:after="0" w:line="31"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Age: 65</w:t>
      </w:r>
    </w:p>
    <w:p>
      <w:pPr>
        <w:spacing w:after="0" w:line="40"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582C83"/>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-2692400</wp:posOffset>
            </wp:positionH>
            <wp:positionV relativeFrom="paragraph">
              <wp:posOffset>419100</wp:posOffset>
            </wp:positionV>
            <wp:extent cx="7143115" cy="14903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3115" cy="14903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582C83"/>
        </w:rPr>
        <w:t>Ertharin Cousin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-783590</wp:posOffset>
            </wp:positionV>
            <wp:extent cx="630555" cy="6305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0555" cy="630555"/>
                    </a:xfrm>
                    <a:prstGeom prst="rect">
                      <a:avLst/>
                    </a:prstGeom>
                    <a:noFill/>
                  </pic:spPr>
                </pic:pic>
              </a:graphicData>
            </a:graphic>
          </wp:anchor>
        </w:drawing>
      </w:r>
    </w:p>
    <w:p>
      <w:pPr>
        <w:spacing w:after="0" w:line="24" w:lineRule="exact"/>
        <w:rPr>
          <w:sz w:val="20"/>
          <w:szCs w:val="20"/>
          <w:color w:val="auto"/>
        </w:rPr>
      </w:pPr>
    </w:p>
    <w:p>
      <w:pPr>
        <w:ind w:left="180"/>
        <w:spacing w:after="0"/>
        <w:rPr>
          <w:sz w:val="20"/>
          <w:szCs w:val="20"/>
          <w:color w:val="auto"/>
        </w:rPr>
      </w:pPr>
      <w:r>
        <w:rPr>
          <w:rFonts w:ascii="Arial" w:cs="Arial" w:eastAsia="Arial" w:hAnsi="Arial"/>
          <w:sz w:val="20"/>
          <w:szCs w:val="20"/>
          <w:i w:val="1"/>
          <w:iCs w:val="1"/>
          <w:color w:val="auto"/>
        </w:rPr>
        <w:t>Founder, President and</w:t>
      </w:r>
    </w:p>
    <w:p>
      <w:pPr>
        <w:ind w:left="180"/>
        <w:spacing w:after="0" w:line="233" w:lineRule="auto"/>
        <w:rPr>
          <w:sz w:val="20"/>
          <w:szCs w:val="20"/>
          <w:color w:val="auto"/>
        </w:rPr>
      </w:pPr>
      <w:r>
        <w:rPr>
          <w:rFonts w:ascii="Arial" w:cs="Arial" w:eastAsia="Arial" w:hAnsi="Arial"/>
          <w:sz w:val="20"/>
          <w:szCs w:val="20"/>
          <w:i w:val="1"/>
          <w:iCs w:val="1"/>
          <w:color w:val="auto"/>
        </w:rPr>
        <w:t>Chief Executive Officer,</w:t>
      </w:r>
    </w:p>
    <w:p>
      <w:pPr>
        <w:ind w:left="400"/>
        <w:spacing w:after="0" w:line="233" w:lineRule="auto"/>
        <w:rPr>
          <w:sz w:val="20"/>
          <w:szCs w:val="20"/>
          <w:color w:val="auto"/>
        </w:rPr>
      </w:pPr>
      <w:r>
        <w:rPr>
          <w:rFonts w:ascii="Arial" w:cs="Arial" w:eastAsia="Arial" w:hAnsi="Arial"/>
          <w:sz w:val="20"/>
          <w:szCs w:val="20"/>
          <w:i w:val="1"/>
          <w:iCs w:val="1"/>
          <w:color w:val="auto"/>
        </w:rPr>
        <w:t>Food Systems For</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The Future Institute</w:t>
      </w:r>
    </w:p>
    <w:p>
      <w:pPr>
        <w:spacing w:after="0" w:line="14"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Director since 2022</w:t>
      </w:r>
    </w:p>
    <w:p>
      <w:pPr>
        <w:spacing w:after="0" w:line="31"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Black/Female</w:t>
      </w:r>
    </w:p>
    <w:p>
      <w:pPr>
        <w:spacing w:after="0" w:line="31"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Age: 65</w:t>
      </w:r>
    </w:p>
    <w:p>
      <w:pPr>
        <w:spacing w:after="0" w:line="40"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582C83"/>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198120</wp:posOffset>
            </wp:positionV>
            <wp:extent cx="630555" cy="6229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0555" cy="62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82C83"/>
        </w:rPr>
        <w:t>Jane Hamilton Nielsen</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Chief Operating Officer and</w:t>
      </w:r>
    </w:p>
    <w:p>
      <w:pPr>
        <w:ind w:left="200"/>
        <w:spacing w:after="0" w:line="233" w:lineRule="auto"/>
        <w:rPr>
          <w:sz w:val="20"/>
          <w:szCs w:val="20"/>
          <w:color w:val="auto"/>
        </w:rPr>
      </w:pPr>
      <w:r>
        <w:rPr>
          <w:rFonts w:ascii="Arial" w:cs="Arial" w:eastAsia="Arial" w:hAnsi="Arial"/>
          <w:sz w:val="20"/>
          <w:szCs w:val="20"/>
          <w:i w:val="1"/>
          <w:iCs w:val="1"/>
          <w:color w:val="auto"/>
        </w:rPr>
        <w:t>Chief Financial Officer,</w:t>
      </w:r>
    </w:p>
    <w:p>
      <w:pPr>
        <w:ind w:left="100"/>
        <w:spacing w:after="0"/>
        <w:rPr>
          <w:sz w:val="20"/>
          <w:szCs w:val="20"/>
          <w:color w:val="auto"/>
        </w:rPr>
      </w:pPr>
      <w:r>
        <w:rPr>
          <w:rFonts w:ascii="Arial" w:cs="Arial" w:eastAsia="Arial" w:hAnsi="Arial"/>
          <w:sz w:val="20"/>
          <w:szCs w:val="20"/>
          <w:i w:val="1"/>
          <w:iCs w:val="1"/>
          <w:color w:val="auto"/>
        </w:rPr>
        <w:t>Ralph Lauren Corporation</w:t>
      </w:r>
    </w:p>
    <w:p>
      <w:pPr>
        <w:spacing w:after="0" w:line="6"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Director since 2021</w:t>
      </w:r>
    </w:p>
    <w:p>
      <w:pPr>
        <w:spacing w:after="0" w:line="6"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White/Female</w:t>
      </w:r>
    </w:p>
    <w:p>
      <w:pPr>
        <w:spacing w:after="0" w:line="6"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Age: 58</w:t>
      </w:r>
    </w:p>
    <w:p>
      <w:pPr>
        <w:spacing w:after="0" w:line="12"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582C83"/>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180975</wp:posOffset>
            </wp:positionV>
            <wp:extent cx="630555" cy="6305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055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582C83"/>
        </w:rPr>
        <w:t>Dirk Van de Put</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0"/>
          <w:szCs w:val="20"/>
          <w:i w:val="1"/>
          <w:iCs w:val="1"/>
          <w:color w:val="auto"/>
        </w:rPr>
        <w:t>Chairman and</w:t>
      </w:r>
    </w:p>
    <w:p>
      <w:pPr>
        <w:ind w:left="180"/>
        <w:spacing w:after="0" w:line="233" w:lineRule="auto"/>
        <w:rPr>
          <w:sz w:val="20"/>
          <w:szCs w:val="20"/>
          <w:color w:val="auto"/>
        </w:rPr>
      </w:pPr>
      <w:r>
        <w:rPr>
          <w:rFonts w:ascii="Arial" w:cs="Arial" w:eastAsia="Arial" w:hAnsi="Arial"/>
          <w:sz w:val="20"/>
          <w:szCs w:val="20"/>
          <w:i w:val="1"/>
          <w:iCs w:val="1"/>
          <w:color w:val="auto"/>
        </w:rPr>
        <w:t>Chief Executive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9"/>
          <w:szCs w:val="19"/>
          <w:i w:val="1"/>
          <w:iCs w:val="1"/>
          <w:color w:val="auto"/>
        </w:rPr>
        <w:t>Mondelēz International, Inc.</w:t>
      </w:r>
    </w:p>
    <w:p>
      <w:pPr>
        <w:spacing w:after="0" w:line="25"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Director since 2017</w:t>
      </w:r>
    </w:p>
    <w:p>
      <w:pPr>
        <w:spacing w:after="0" w:line="31"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White/Male</w:t>
      </w:r>
    </w:p>
    <w:p>
      <w:pPr>
        <w:spacing w:after="0" w:line="31"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Age: 62</w:t>
      </w:r>
    </w:p>
    <w:p>
      <w:pPr>
        <w:spacing w:after="0" w:line="782" w:lineRule="exact"/>
        <w:rPr>
          <w:sz w:val="20"/>
          <w:szCs w:val="20"/>
          <w:color w:val="auto"/>
        </w:rPr>
      </w:pPr>
    </w:p>
    <w:p>
      <w:pPr>
        <w:sectPr>
          <w:pgSz w:w="11900" w:h="16838" w:orient="portrait"/>
          <w:cols w:equalWidth="0" w:num="3">
            <w:col w:w="3980" w:space="260"/>
            <w:col w:w="3140" w:space="720"/>
            <w:col w:w="31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60"/>
        <w:spacing w:after="0"/>
        <w:rPr>
          <w:sz w:val="20"/>
          <w:szCs w:val="20"/>
          <w:color w:val="auto"/>
        </w:rPr>
      </w:pPr>
      <w:r>
        <w:rPr>
          <w:rFonts w:ascii="Arial" w:cs="Arial" w:eastAsia="Arial" w:hAnsi="Arial"/>
          <w:sz w:val="15"/>
          <w:szCs w:val="15"/>
          <w:b w:val="1"/>
          <w:bCs w:val="1"/>
          <w:color w:val="58358F"/>
        </w:rPr>
        <w:t>2023 PROXY STATEMENT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3"/>
          <w:szCs w:val="13"/>
          <w:color w:val="0000FF"/>
        </w:rPr>
        <w:t>Back to Contents</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Our Governance Framework</w:t>
      </w:r>
    </w:p>
    <w:p>
      <w:pPr>
        <w:spacing w:after="0" w:line="101" w:lineRule="exact"/>
        <w:rPr>
          <w:sz w:val="20"/>
          <w:szCs w:val="20"/>
          <w:color w:val="auto"/>
        </w:rPr>
      </w:pPr>
    </w:p>
    <w:p>
      <w:pPr>
        <w:ind w:right="80"/>
        <w:spacing w:after="0" w:line="288" w:lineRule="auto"/>
        <w:rPr>
          <w:sz w:val="20"/>
          <w:szCs w:val="20"/>
          <w:color w:val="auto"/>
        </w:rPr>
      </w:pPr>
      <w:r>
        <w:rPr>
          <w:rFonts w:ascii="Arial" w:cs="Arial" w:eastAsia="Arial" w:hAnsi="Arial"/>
          <w:sz w:val="22"/>
          <w:szCs w:val="22"/>
          <w:b w:val="1"/>
          <w:bCs w:val="1"/>
          <w:color w:val="582C83"/>
        </w:rPr>
        <w:t>OUR STRONG CORPORATE GOVERNANCE FRAMEWORK PROMOTES THE LONG-TERM INTERESTS OF SHAREHOLDERS AND ACCOUNTABILITY AND TRUST IN THE COMPANY</w:t>
      </w:r>
    </w:p>
    <w:p>
      <w:pPr>
        <w:spacing w:after="0" w:line="1"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Our governance practices and policies enhance the effectiveness and accountability of our Board and promote the Company’s long-term success. Key aspects of our corporate governance framework are highlighted below. You can find additional detail under “Corporate Governance” beginning on page 33, “Compensation Governance” on page 90, and “2024 Annual Meeting of Shareholders” on page 138.</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20" w:type="dxa"/>
            <w:vAlign w:val="bottom"/>
            <w:tcBorders>
              <w:bottom w:val="single" w:sz="8" w:color="582C83"/>
            </w:tcBorders>
          </w:tcPr>
          <w:p>
            <w:pPr>
              <w:spacing w:after="0"/>
              <w:rPr>
                <w:sz w:val="24"/>
                <w:szCs w:val="24"/>
                <w:color w:val="auto"/>
              </w:rPr>
            </w:pPr>
          </w:p>
        </w:tc>
        <w:tc>
          <w:tcPr>
            <w:tcW w:w="5380" w:type="dxa"/>
            <w:vAlign w:val="bottom"/>
            <w:tcBorders>
              <w:bottom w:val="single" w:sz="8" w:color="582C83"/>
            </w:tcBorders>
          </w:tcPr>
          <w:p>
            <w:pPr>
              <w:ind w:left="60"/>
              <w:spacing w:after="0"/>
              <w:rPr>
                <w:sz w:val="20"/>
                <w:szCs w:val="20"/>
                <w:color w:val="auto"/>
              </w:rPr>
            </w:pPr>
            <w:r>
              <w:rPr>
                <w:rFonts w:ascii="Arial" w:cs="Arial" w:eastAsia="Arial" w:hAnsi="Arial"/>
                <w:sz w:val="20"/>
                <w:szCs w:val="20"/>
                <w:b w:val="1"/>
                <w:bCs w:val="1"/>
                <w:color w:val="auto"/>
              </w:rPr>
              <w:t>Key Practice or Policy</w:t>
            </w:r>
          </w:p>
        </w:tc>
        <w:tc>
          <w:tcPr>
            <w:tcW w:w="20" w:type="dxa"/>
            <w:vAlign w:val="bottom"/>
            <w:tcBorders>
              <w:bottom w:val="single" w:sz="8" w:color="582C83"/>
            </w:tcBorders>
          </w:tcPr>
          <w:p>
            <w:pPr>
              <w:spacing w:after="0"/>
              <w:rPr>
                <w:sz w:val="24"/>
                <w:szCs w:val="24"/>
                <w:color w:val="auto"/>
              </w:rPr>
            </w:pPr>
          </w:p>
        </w:tc>
        <w:tc>
          <w:tcPr>
            <w:tcW w:w="5820" w:type="dxa"/>
            <w:vAlign w:val="bottom"/>
            <w:tcBorders>
              <w:bottom w:val="single" w:sz="8" w:color="582C83"/>
            </w:tcBorders>
          </w:tcPr>
          <w:p>
            <w:pPr>
              <w:ind w:left="60"/>
              <w:spacing w:after="0"/>
              <w:rPr>
                <w:sz w:val="20"/>
                <w:szCs w:val="20"/>
                <w:color w:val="auto"/>
              </w:rPr>
            </w:pPr>
            <w:r>
              <w:rPr>
                <w:rFonts w:ascii="Arial" w:cs="Arial" w:eastAsia="Arial" w:hAnsi="Arial"/>
                <w:sz w:val="20"/>
                <w:szCs w:val="20"/>
                <w:b w:val="1"/>
                <w:bCs w:val="1"/>
                <w:color w:val="auto"/>
              </w:rPr>
              <w:t>Benefits</w:t>
            </w:r>
          </w:p>
        </w:tc>
        <w:tc>
          <w:tcPr>
            <w:tcW w:w="20" w:type="dxa"/>
            <w:vAlign w:val="bottom"/>
            <w:tcBorders>
              <w:bottom w:val="single" w:sz="8" w:color="582C83"/>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EBE6F0"/>
          </w:tcPr>
          <w:p>
            <w:pPr>
              <w:spacing w:after="0"/>
              <w:rPr>
                <w:sz w:val="21"/>
                <w:szCs w:val="21"/>
                <w:color w:val="auto"/>
              </w:rPr>
            </w:pPr>
          </w:p>
        </w:tc>
        <w:tc>
          <w:tcPr>
            <w:tcW w:w="5380" w:type="dxa"/>
            <w:vAlign w:val="bottom"/>
            <w:shd w:val="clear" w:color="auto" w:fill="EBE6F0"/>
          </w:tcPr>
          <w:p>
            <w:pPr>
              <w:ind w:left="60"/>
              <w:spacing w:after="0"/>
              <w:rPr>
                <w:sz w:val="20"/>
                <w:szCs w:val="20"/>
                <w:color w:val="auto"/>
              </w:rPr>
            </w:pPr>
            <w:r>
              <w:rPr>
                <w:rFonts w:ascii="Arial" w:cs="Arial" w:eastAsia="Arial" w:hAnsi="Arial"/>
                <w:sz w:val="20"/>
                <w:szCs w:val="20"/>
                <w:b w:val="1"/>
                <w:bCs w:val="1"/>
                <w:color w:val="582C83"/>
              </w:rPr>
              <w:t xml:space="preserve">Independent Lead Director. </w:t>
            </w:r>
            <w:r>
              <w:rPr>
                <w:rFonts w:ascii="Arial" w:cs="Arial" w:eastAsia="Arial" w:hAnsi="Arial"/>
                <w:sz w:val="20"/>
                <w:szCs w:val="20"/>
                <w:color w:val="000000"/>
              </w:rPr>
              <w:t>Our independent Lead</w:t>
            </w:r>
          </w:p>
        </w:tc>
        <w:tc>
          <w:tcPr>
            <w:tcW w:w="20" w:type="dxa"/>
            <w:vAlign w:val="bottom"/>
            <w:shd w:val="clear" w:color="auto" w:fill="EBE6F0"/>
          </w:tcPr>
          <w:p>
            <w:pPr>
              <w:spacing w:after="0"/>
              <w:rPr>
                <w:sz w:val="21"/>
                <w:szCs w:val="21"/>
                <w:color w:val="auto"/>
              </w:rPr>
            </w:pPr>
          </w:p>
        </w:tc>
        <w:tc>
          <w:tcPr>
            <w:tcW w:w="5820" w:type="dxa"/>
            <w:vAlign w:val="bottom"/>
            <w:shd w:val="clear" w:color="auto" w:fill="EBE6F0"/>
          </w:tcPr>
          <w:p>
            <w:pPr>
              <w:ind w:left="60"/>
              <w:spacing w:after="0"/>
              <w:rPr>
                <w:sz w:val="20"/>
                <w:szCs w:val="20"/>
                <w:color w:val="auto"/>
              </w:rPr>
            </w:pPr>
            <w:r>
              <w:rPr>
                <w:rFonts w:ascii="Arial" w:cs="Arial" w:eastAsia="Arial" w:hAnsi="Arial"/>
                <w:sz w:val="20"/>
                <w:szCs w:val="20"/>
                <w:color w:val="auto"/>
              </w:rPr>
              <w:t>A highly effective and engaged independent Lead Director:</w:t>
            </w:r>
          </w:p>
        </w:tc>
        <w:tc>
          <w:tcPr>
            <w:tcW w:w="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 w:type="dxa"/>
            <w:vAlign w:val="bottom"/>
            <w:shd w:val="clear" w:color="auto" w:fill="EBE6F0"/>
          </w:tcPr>
          <w:p>
            <w:pPr>
              <w:spacing w:after="0"/>
              <w:rPr>
                <w:sz w:val="22"/>
                <w:szCs w:val="22"/>
                <w:color w:val="auto"/>
              </w:rPr>
            </w:pPr>
          </w:p>
        </w:tc>
        <w:tc>
          <w:tcPr>
            <w:tcW w:w="5380" w:type="dxa"/>
            <w:vAlign w:val="bottom"/>
            <w:shd w:val="clear" w:color="auto" w:fill="EBE6F0"/>
          </w:tcPr>
          <w:p>
            <w:pPr>
              <w:ind w:left="60"/>
              <w:spacing w:after="0"/>
              <w:rPr>
                <w:sz w:val="20"/>
                <w:szCs w:val="20"/>
                <w:color w:val="auto"/>
              </w:rPr>
            </w:pPr>
            <w:r>
              <w:rPr>
                <w:rFonts w:ascii="Arial" w:cs="Arial" w:eastAsia="Arial" w:hAnsi="Arial"/>
                <w:sz w:val="20"/>
                <w:szCs w:val="20"/>
                <w:color w:val="auto"/>
              </w:rPr>
              <w:t>Director has broad and substantive duties and</w:t>
            </w:r>
          </w:p>
        </w:tc>
        <w:tc>
          <w:tcPr>
            <w:tcW w:w="20" w:type="dxa"/>
            <w:vAlign w:val="bottom"/>
            <w:shd w:val="clear" w:color="auto" w:fill="EBE6F0"/>
          </w:tcPr>
          <w:p>
            <w:pPr>
              <w:spacing w:after="0"/>
              <w:rPr>
                <w:sz w:val="22"/>
                <w:szCs w:val="22"/>
                <w:color w:val="auto"/>
              </w:rPr>
            </w:pPr>
          </w:p>
        </w:tc>
        <w:tc>
          <w:tcPr>
            <w:tcW w:w="5820" w:type="dxa"/>
            <w:vAlign w:val="bottom"/>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Provides independent Board leadership and oversight,</w:t>
            </w:r>
          </w:p>
        </w:tc>
        <w:tc>
          <w:tcPr>
            <w:tcW w:w="2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EBE6F0"/>
          </w:tcPr>
          <w:p>
            <w:pPr>
              <w:spacing w:after="0"/>
              <w:rPr>
                <w:sz w:val="19"/>
                <w:szCs w:val="19"/>
                <w:color w:val="auto"/>
              </w:rPr>
            </w:pPr>
          </w:p>
        </w:tc>
        <w:tc>
          <w:tcPr>
            <w:tcW w:w="538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auto"/>
              </w:rPr>
              <w:t>responsibilities that have considerable overlap with those</w:t>
            </w:r>
          </w:p>
        </w:tc>
        <w:tc>
          <w:tcPr>
            <w:tcW w:w="20" w:type="dxa"/>
            <w:vAlign w:val="bottom"/>
            <w:shd w:val="clear" w:color="auto" w:fill="EBE6F0"/>
          </w:tcPr>
          <w:p>
            <w:pPr>
              <w:spacing w:after="0"/>
              <w:rPr>
                <w:sz w:val="19"/>
                <w:szCs w:val="19"/>
                <w:color w:val="auto"/>
              </w:rPr>
            </w:pPr>
          </w:p>
        </w:tc>
        <w:tc>
          <w:tcPr>
            <w:tcW w:w="5820" w:type="dxa"/>
            <w:vAlign w:val="bottom"/>
            <w:shd w:val="clear" w:color="auto" w:fill="EBE6F0"/>
          </w:tcPr>
          <w:p>
            <w:pPr>
              <w:ind w:left="240"/>
              <w:spacing w:after="0" w:line="224" w:lineRule="exact"/>
              <w:rPr>
                <w:sz w:val="20"/>
                <w:szCs w:val="20"/>
                <w:color w:val="auto"/>
              </w:rPr>
            </w:pPr>
            <w:r>
              <w:rPr>
                <w:rFonts w:ascii="Arial" w:cs="Arial" w:eastAsia="Arial" w:hAnsi="Arial"/>
                <w:sz w:val="20"/>
                <w:szCs w:val="20"/>
                <w:color w:val="auto"/>
              </w:rPr>
              <w:t>including with respect to business matters and risk</w:t>
            </w:r>
          </w:p>
        </w:tc>
        <w:tc>
          <w:tcPr>
            <w:tcW w:w="20" w:type="dxa"/>
            <w:vAlign w:val="bottom"/>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EBE6F0"/>
          </w:tcPr>
          <w:p>
            <w:pPr>
              <w:spacing w:after="0"/>
              <w:rPr>
                <w:sz w:val="19"/>
                <w:szCs w:val="19"/>
                <w:color w:val="auto"/>
              </w:rPr>
            </w:pPr>
          </w:p>
        </w:tc>
        <w:tc>
          <w:tcPr>
            <w:tcW w:w="538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auto"/>
              </w:rPr>
              <w:t>typically performed by an independent Board Chair,</w:t>
            </w:r>
          </w:p>
        </w:tc>
        <w:tc>
          <w:tcPr>
            <w:tcW w:w="20" w:type="dxa"/>
            <w:vAlign w:val="bottom"/>
            <w:shd w:val="clear" w:color="auto" w:fill="EBE6F0"/>
          </w:tcPr>
          <w:p>
            <w:pPr>
              <w:spacing w:after="0"/>
              <w:rPr>
                <w:sz w:val="19"/>
                <w:szCs w:val="19"/>
                <w:color w:val="auto"/>
              </w:rPr>
            </w:pPr>
          </w:p>
        </w:tc>
        <w:tc>
          <w:tcPr>
            <w:tcW w:w="5820" w:type="dxa"/>
            <w:vAlign w:val="bottom"/>
            <w:shd w:val="clear" w:color="auto" w:fill="EBE6F0"/>
          </w:tcPr>
          <w:p>
            <w:pPr>
              <w:ind w:left="240"/>
              <w:spacing w:after="0" w:line="224" w:lineRule="exact"/>
              <w:rPr>
                <w:sz w:val="20"/>
                <w:szCs w:val="20"/>
                <w:color w:val="auto"/>
              </w:rPr>
            </w:pPr>
            <w:r>
              <w:rPr>
                <w:rFonts w:ascii="Arial" w:cs="Arial" w:eastAsia="Arial" w:hAnsi="Arial"/>
                <w:sz w:val="20"/>
                <w:szCs w:val="20"/>
                <w:color w:val="auto"/>
              </w:rPr>
              <w:t>management activities;</w:t>
            </w:r>
          </w:p>
        </w:tc>
        <w:tc>
          <w:tcPr>
            <w:tcW w:w="20" w:type="dxa"/>
            <w:vAlign w:val="bottom"/>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EBE6F0"/>
          </w:tcPr>
          <w:p>
            <w:pPr>
              <w:spacing w:after="0"/>
              <w:rPr>
                <w:sz w:val="21"/>
                <w:szCs w:val="21"/>
                <w:color w:val="auto"/>
              </w:rPr>
            </w:pPr>
          </w:p>
        </w:tc>
        <w:tc>
          <w:tcPr>
            <w:tcW w:w="5380" w:type="dxa"/>
            <w:vAlign w:val="bottom"/>
            <w:shd w:val="clear" w:color="auto" w:fill="EBE6F0"/>
          </w:tcPr>
          <w:p>
            <w:pPr>
              <w:ind w:left="60"/>
              <w:spacing w:after="0"/>
              <w:rPr>
                <w:sz w:val="20"/>
                <w:szCs w:val="20"/>
                <w:color w:val="auto"/>
              </w:rPr>
            </w:pPr>
            <w:r>
              <w:rPr>
                <w:rFonts w:ascii="Arial" w:cs="Arial" w:eastAsia="Arial" w:hAnsi="Arial"/>
                <w:sz w:val="20"/>
                <w:szCs w:val="20"/>
                <w:color w:val="auto"/>
              </w:rPr>
              <w:t>including:</w:t>
            </w:r>
          </w:p>
        </w:tc>
        <w:tc>
          <w:tcPr>
            <w:tcW w:w="20" w:type="dxa"/>
            <w:vAlign w:val="bottom"/>
            <w:shd w:val="clear" w:color="auto" w:fill="EBE6F0"/>
          </w:tcPr>
          <w:p>
            <w:pPr>
              <w:spacing w:after="0"/>
              <w:rPr>
                <w:sz w:val="21"/>
                <w:szCs w:val="21"/>
                <w:color w:val="auto"/>
              </w:rPr>
            </w:pPr>
          </w:p>
        </w:tc>
        <w:tc>
          <w:tcPr>
            <w:tcW w:w="5820" w:type="dxa"/>
            <w:vAlign w:val="bottom"/>
            <w:vMerge w:val="restart"/>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Enhances independent directors’ input and investors’</w:t>
            </w:r>
          </w:p>
        </w:tc>
        <w:tc>
          <w:tcPr>
            <w:tcW w:w="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20" w:type="dxa"/>
            <w:vAlign w:val="bottom"/>
            <w:shd w:val="clear" w:color="auto" w:fill="EBE6F0"/>
          </w:tcPr>
          <w:p>
            <w:pPr>
              <w:spacing w:after="0"/>
              <w:rPr>
                <w:sz w:val="5"/>
                <w:szCs w:val="5"/>
                <w:color w:val="auto"/>
              </w:rPr>
            </w:pPr>
          </w:p>
        </w:tc>
        <w:tc>
          <w:tcPr>
            <w:tcW w:w="5380" w:type="dxa"/>
            <w:vAlign w:val="bottom"/>
            <w:vMerge w:val="restart"/>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Engages in planning and approval of meeting schedules</w:t>
            </w:r>
          </w:p>
        </w:tc>
        <w:tc>
          <w:tcPr>
            <w:tcW w:w="20" w:type="dxa"/>
            <w:vAlign w:val="bottom"/>
            <w:shd w:val="clear" w:color="auto" w:fill="EBE6F0"/>
          </w:tcPr>
          <w:p>
            <w:pPr>
              <w:spacing w:after="0"/>
              <w:rPr>
                <w:sz w:val="5"/>
                <w:szCs w:val="5"/>
                <w:color w:val="auto"/>
              </w:rPr>
            </w:pPr>
          </w:p>
        </w:tc>
        <w:tc>
          <w:tcPr>
            <w:tcW w:w="5820" w:type="dxa"/>
            <w:vAlign w:val="bottom"/>
            <w:vMerge w:val="continue"/>
            <w:shd w:val="clear" w:color="auto" w:fill="EBE6F0"/>
          </w:tcPr>
          <w:p>
            <w:pPr>
              <w:spacing w:after="0"/>
              <w:rPr>
                <w:sz w:val="5"/>
                <w:szCs w:val="5"/>
                <w:color w:val="auto"/>
              </w:rPr>
            </w:pPr>
          </w:p>
        </w:tc>
        <w:tc>
          <w:tcPr>
            <w:tcW w:w="20" w:type="dxa"/>
            <w:vAlign w:val="bottom"/>
            <w:shd w:val="clear" w:color="auto" w:fill="EBE6F0"/>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EBE6F0"/>
          </w:tcPr>
          <w:p>
            <w:pPr>
              <w:spacing w:after="0"/>
              <w:rPr>
                <w:sz w:val="17"/>
                <w:szCs w:val="17"/>
                <w:color w:val="auto"/>
              </w:rPr>
            </w:pPr>
          </w:p>
        </w:tc>
        <w:tc>
          <w:tcPr>
            <w:tcW w:w="5380" w:type="dxa"/>
            <w:vAlign w:val="bottom"/>
            <w:vMerge w:val="continue"/>
            <w:shd w:val="clear" w:color="auto" w:fill="EBE6F0"/>
          </w:tcPr>
          <w:p>
            <w:pPr>
              <w:spacing w:after="0"/>
              <w:rPr>
                <w:sz w:val="17"/>
                <w:szCs w:val="17"/>
                <w:color w:val="auto"/>
              </w:rPr>
            </w:pPr>
          </w:p>
        </w:tc>
        <w:tc>
          <w:tcPr>
            <w:tcW w:w="20" w:type="dxa"/>
            <w:vAlign w:val="bottom"/>
            <w:shd w:val="clear" w:color="auto" w:fill="EBE6F0"/>
          </w:tcPr>
          <w:p>
            <w:pPr>
              <w:spacing w:after="0"/>
              <w:rPr>
                <w:sz w:val="17"/>
                <w:szCs w:val="17"/>
                <w:color w:val="auto"/>
              </w:rPr>
            </w:pPr>
          </w:p>
        </w:tc>
        <w:tc>
          <w:tcPr>
            <w:tcW w:w="5820" w:type="dxa"/>
            <w:vAlign w:val="bottom"/>
            <w:shd w:val="clear" w:color="auto" w:fill="EBE6F0"/>
          </w:tcPr>
          <w:p>
            <w:pPr>
              <w:ind w:left="240"/>
              <w:spacing w:after="0" w:line="200" w:lineRule="exact"/>
              <w:rPr>
                <w:sz w:val="20"/>
                <w:szCs w:val="20"/>
                <w:color w:val="auto"/>
              </w:rPr>
            </w:pPr>
            <w:r>
              <w:rPr>
                <w:rFonts w:ascii="Arial" w:cs="Arial" w:eastAsia="Arial" w:hAnsi="Arial"/>
                <w:sz w:val="20"/>
                <w:szCs w:val="20"/>
                <w:color w:val="auto"/>
              </w:rPr>
              <w:t>perspectives on agendas and discussions;</w:t>
            </w:r>
          </w:p>
        </w:tc>
        <w:tc>
          <w:tcPr>
            <w:tcW w:w="20" w:type="dxa"/>
            <w:vAlign w:val="bottom"/>
            <w:shd w:val="clear" w:color="auto" w:fill="EBE6F0"/>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EBE6F0"/>
          </w:tcPr>
          <w:p>
            <w:pPr>
              <w:spacing w:after="0"/>
              <w:rPr>
                <w:sz w:val="21"/>
                <w:szCs w:val="21"/>
                <w:color w:val="auto"/>
              </w:rPr>
            </w:pPr>
          </w:p>
        </w:tc>
        <w:tc>
          <w:tcPr>
            <w:tcW w:w="5380" w:type="dxa"/>
            <w:vAlign w:val="bottom"/>
            <w:shd w:val="clear" w:color="auto" w:fill="EBE6F0"/>
          </w:tcPr>
          <w:p>
            <w:pPr>
              <w:ind w:left="240"/>
              <w:spacing w:after="0"/>
              <w:rPr>
                <w:sz w:val="20"/>
                <w:szCs w:val="20"/>
                <w:color w:val="auto"/>
              </w:rPr>
            </w:pPr>
            <w:r>
              <w:rPr>
                <w:rFonts w:ascii="Arial" w:cs="Arial" w:eastAsia="Arial" w:hAnsi="Arial"/>
                <w:sz w:val="20"/>
                <w:szCs w:val="20"/>
                <w:color w:val="auto"/>
              </w:rPr>
              <w:t>and agendas;</w:t>
            </w:r>
          </w:p>
        </w:tc>
        <w:tc>
          <w:tcPr>
            <w:tcW w:w="20" w:type="dxa"/>
            <w:vAlign w:val="bottom"/>
            <w:shd w:val="clear" w:color="auto" w:fill="EBE6F0"/>
          </w:tcPr>
          <w:p>
            <w:pPr>
              <w:spacing w:after="0"/>
              <w:rPr>
                <w:sz w:val="21"/>
                <w:szCs w:val="21"/>
                <w:color w:val="auto"/>
              </w:rPr>
            </w:pPr>
          </w:p>
        </w:tc>
        <w:tc>
          <w:tcPr>
            <w:tcW w:w="5820" w:type="dxa"/>
            <w:vAlign w:val="bottom"/>
            <w:vMerge w:val="restart"/>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Fosters candid discussion during regular executive sessions of</w:t>
            </w:r>
          </w:p>
        </w:tc>
        <w:tc>
          <w:tcPr>
            <w:tcW w:w="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20" w:type="dxa"/>
            <w:vAlign w:val="bottom"/>
            <w:shd w:val="clear" w:color="auto" w:fill="EBE6F0"/>
          </w:tcPr>
          <w:p>
            <w:pPr>
              <w:spacing w:after="0"/>
              <w:rPr>
                <w:sz w:val="5"/>
                <w:szCs w:val="5"/>
                <w:color w:val="auto"/>
              </w:rPr>
            </w:pPr>
          </w:p>
        </w:tc>
        <w:tc>
          <w:tcPr>
            <w:tcW w:w="5380" w:type="dxa"/>
            <w:vAlign w:val="bottom"/>
            <w:vMerge w:val="restart"/>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Presides over regular executive sessions of independent</w:t>
            </w:r>
          </w:p>
        </w:tc>
        <w:tc>
          <w:tcPr>
            <w:tcW w:w="20" w:type="dxa"/>
            <w:vAlign w:val="bottom"/>
            <w:shd w:val="clear" w:color="auto" w:fill="EBE6F0"/>
          </w:tcPr>
          <w:p>
            <w:pPr>
              <w:spacing w:after="0"/>
              <w:rPr>
                <w:sz w:val="5"/>
                <w:szCs w:val="5"/>
                <w:color w:val="auto"/>
              </w:rPr>
            </w:pPr>
          </w:p>
        </w:tc>
        <w:tc>
          <w:tcPr>
            <w:tcW w:w="5820" w:type="dxa"/>
            <w:vAlign w:val="bottom"/>
            <w:vMerge w:val="continue"/>
            <w:shd w:val="clear" w:color="auto" w:fill="EBE6F0"/>
          </w:tcPr>
          <w:p>
            <w:pPr>
              <w:spacing w:after="0"/>
              <w:rPr>
                <w:sz w:val="5"/>
                <w:szCs w:val="5"/>
                <w:color w:val="auto"/>
              </w:rPr>
            </w:pPr>
          </w:p>
        </w:tc>
        <w:tc>
          <w:tcPr>
            <w:tcW w:w="20" w:type="dxa"/>
            <w:vAlign w:val="bottom"/>
            <w:shd w:val="clear" w:color="auto" w:fill="EBE6F0"/>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EBE6F0"/>
          </w:tcPr>
          <w:p>
            <w:pPr>
              <w:spacing w:after="0"/>
              <w:rPr>
                <w:sz w:val="17"/>
                <w:szCs w:val="17"/>
                <w:color w:val="auto"/>
              </w:rPr>
            </w:pPr>
          </w:p>
        </w:tc>
        <w:tc>
          <w:tcPr>
            <w:tcW w:w="5380" w:type="dxa"/>
            <w:vAlign w:val="bottom"/>
            <w:vMerge w:val="continue"/>
            <w:shd w:val="clear" w:color="auto" w:fill="EBE6F0"/>
          </w:tcPr>
          <w:p>
            <w:pPr>
              <w:spacing w:after="0"/>
              <w:rPr>
                <w:sz w:val="17"/>
                <w:szCs w:val="17"/>
                <w:color w:val="auto"/>
              </w:rPr>
            </w:pPr>
          </w:p>
        </w:tc>
        <w:tc>
          <w:tcPr>
            <w:tcW w:w="20" w:type="dxa"/>
            <w:vAlign w:val="bottom"/>
            <w:shd w:val="clear" w:color="auto" w:fill="EBE6F0"/>
          </w:tcPr>
          <w:p>
            <w:pPr>
              <w:spacing w:after="0"/>
              <w:rPr>
                <w:sz w:val="17"/>
                <w:szCs w:val="17"/>
                <w:color w:val="auto"/>
              </w:rPr>
            </w:pPr>
          </w:p>
        </w:tc>
        <w:tc>
          <w:tcPr>
            <w:tcW w:w="5820" w:type="dxa"/>
            <w:vAlign w:val="bottom"/>
            <w:shd w:val="clear" w:color="auto" w:fill="EBE6F0"/>
          </w:tcPr>
          <w:p>
            <w:pPr>
              <w:ind w:left="240"/>
              <w:spacing w:after="0" w:line="200" w:lineRule="exact"/>
              <w:rPr>
                <w:sz w:val="20"/>
                <w:szCs w:val="20"/>
                <w:color w:val="auto"/>
              </w:rPr>
            </w:pPr>
            <w:r>
              <w:rPr>
                <w:rFonts w:ascii="Arial" w:cs="Arial" w:eastAsia="Arial" w:hAnsi="Arial"/>
                <w:sz w:val="20"/>
                <w:szCs w:val="20"/>
                <w:color w:val="auto"/>
              </w:rPr>
              <w:t>the independent directors;</w:t>
            </w:r>
          </w:p>
        </w:tc>
        <w:tc>
          <w:tcPr>
            <w:tcW w:w="20" w:type="dxa"/>
            <w:vAlign w:val="bottom"/>
            <w:shd w:val="clear" w:color="auto" w:fill="EBE6F0"/>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EBE6F0"/>
          </w:tcPr>
          <w:p>
            <w:pPr>
              <w:spacing w:after="0"/>
              <w:rPr>
                <w:sz w:val="21"/>
                <w:szCs w:val="21"/>
                <w:color w:val="auto"/>
              </w:rPr>
            </w:pPr>
          </w:p>
        </w:tc>
        <w:tc>
          <w:tcPr>
            <w:tcW w:w="5380" w:type="dxa"/>
            <w:vAlign w:val="bottom"/>
            <w:shd w:val="clear" w:color="auto" w:fill="EBE6F0"/>
          </w:tcPr>
          <w:p>
            <w:pPr>
              <w:ind w:left="240"/>
              <w:spacing w:after="0"/>
              <w:rPr>
                <w:sz w:val="20"/>
                <w:szCs w:val="20"/>
                <w:color w:val="auto"/>
              </w:rPr>
            </w:pPr>
            <w:r>
              <w:rPr>
                <w:rFonts w:ascii="Arial" w:cs="Arial" w:eastAsia="Arial" w:hAnsi="Arial"/>
                <w:sz w:val="20"/>
                <w:szCs w:val="20"/>
                <w:color w:val="auto"/>
              </w:rPr>
              <w:t>directors;</w:t>
            </w:r>
          </w:p>
        </w:tc>
        <w:tc>
          <w:tcPr>
            <w:tcW w:w="20" w:type="dxa"/>
            <w:vAlign w:val="bottom"/>
            <w:shd w:val="clear" w:color="auto" w:fill="EBE6F0"/>
          </w:tcPr>
          <w:p>
            <w:pPr>
              <w:spacing w:after="0"/>
              <w:rPr>
                <w:sz w:val="21"/>
                <w:szCs w:val="21"/>
                <w:color w:val="auto"/>
              </w:rPr>
            </w:pPr>
          </w:p>
        </w:tc>
        <w:tc>
          <w:tcPr>
            <w:tcW w:w="5820" w:type="dxa"/>
            <w:vAlign w:val="bottom"/>
            <w:vMerge w:val="restart"/>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Facilitates effective communication and interaction between</w:t>
            </w:r>
          </w:p>
        </w:tc>
        <w:tc>
          <w:tcPr>
            <w:tcW w:w="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20" w:type="dxa"/>
            <w:vAlign w:val="bottom"/>
            <w:shd w:val="clear" w:color="auto" w:fill="EBE6F0"/>
          </w:tcPr>
          <w:p>
            <w:pPr>
              <w:spacing w:after="0"/>
              <w:rPr>
                <w:sz w:val="5"/>
                <w:szCs w:val="5"/>
                <w:color w:val="auto"/>
              </w:rPr>
            </w:pPr>
          </w:p>
        </w:tc>
        <w:tc>
          <w:tcPr>
            <w:tcW w:w="5380" w:type="dxa"/>
            <w:vAlign w:val="bottom"/>
            <w:vMerge w:val="restart"/>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Provides input into the design of the annual Board,</w:t>
            </w:r>
          </w:p>
        </w:tc>
        <w:tc>
          <w:tcPr>
            <w:tcW w:w="20" w:type="dxa"/>
            <w:vAlign w:val="bottom"/>
            <w:shd w:val="clear" w:color="auto" w:fill="EBE6F0"/>
          </w:tcPr>
          <w:p>
            <w:pPr>
              <w:spacing w:after="0"/>
              <w:rPr>
                <w:sz w:val="5"/>
                <w:szCs w:val="5"/>
                <w:color w:val="auto"/>
              </w:rPr>
            </w:pPr>
          </w:p>
        </w:tc>
        <w:tc>
          <w:tcPr>
            <w:tcW w:w="5820" w:type="dxa"/>
            <w:vAlign w:val="bottom"/>
            <w:vMerge w:val="continue"/>
            <w:shd w:val="clear" w:color="auto" w:fill="EBE6F0"/>
          </w:tcPr>
          <w:p>
            <w:pPr>
              <w:spacing w:after="0"/>
              <w:rPr>
                <w:sz w:val="5"/>
                <w:szCs w:val="5"/>
                <w:color w:val="auto"/>
              </w:rPr>
            </w:pPr>
          </w:p>
        </w:tc>
        <w:tc>
          <w:tcPr>
            <w:tcW w:w="20" w:type="dxa"/>
            <w:vAlign w:val="bottom"/>
            <w:shd w:val="clear" w:color="auto" w:fill="EBE6F0"/>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EBE6F0"/>
          </w:tcPr>
          <w:p>
            <w:pPr>
              <w:spacing w:after="0"/>
              <w:rPr>
                <w:sz w:val="17"/>
                <w:szCs w:val="17"/>
                <w:color w:val="auto"/>
              </w:rPr>
            </w:pPr>
          </w:p>
        </w:tc>
        <w:tc>
          <w:tcPr>
            <w:tcW w:w="5380" w:type="dxa"/>
            <w:vAlign w:val="bottom"/>
            <w:vMerge w:val="continue"/>
            <w:shd w:val="clear" w:color="auto" w:fill="EBE6F0"/>
          </w:tcPr>
          <w:p>
            <w:pPr>
              <w:spacing w:after="0"/>
              <w:rPr>
                <w:sz w:val="17"/>
                <w:szCs w:val="17"/>
                <w:color w:val="auto"/>
              </w:rPr>
            </w:pPr>
          </w:p>
        </w:tc>
        <w:tc>
          <w:tcPr>
            <w:tcW w:w="20" w:type="dxa"/>
            <w:vAlign w:val="bottom"/>
            <w:shd w:val="clear" w:color="auto" w:fill="EBE6F0"/>
          </w:tcPr>
          <w:p>
            <w:pPr>
              <w:spacing w:after="0"/>
              <w:rPr>
                <w:sz w:val="17"/>
                <w:szCs w:val="17"/>
                <w:color w:val="auto"/>
              </w:rPr>
            </w:pPr>
          </w:p>
        </w:tc>
        <w:tc>
          <w:tcPr>
            <w:tcW w:w="5820" w:type="dxa"/>
            <w:vAlign w:val="bottom"/>
            <w:shd w:val="clear" w:color="auto" w:fill="EBE6F0"/>
          </w:tcPr>
          <w:p>
            <w:pPr>
              <w:ind w:left="240"/>
              <w:spacing w:after="0" w:line="200" w:lineRule="exact"/>
              <w:rPr>
                <w:sz w:val="20"/>
                <w:szCs w:val="20"/>
                <w:color w:val="auto"/>
              </w:rPr>
            </w:pPr>
            <w:r>
              <w:rPr>
                <w:rFonts w:ascii="Arial" w:cs="Arial" w:eastAsia="Arial" w:hAnsi="Arial"/>
                <w:sz w:val="20"/>
                <w:szCs w:val="20"/>
                <w:color w:val="auto"/>
              </w:rPr>
              <w:t>the Board and management;</w:t>
            </w:r>
          </w:p>
        </w:tc>
        <w:tc>
          <w:tcPr>
            <w:tcW w:w="20" w:type="dxa"/>
            <w:vAlign w:val="bottom"/>
            <w:shd w:val="clear" w:color="auto" w:fill="EBE6F0"/>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0" w:type="dxa"/>
            <w:vAlign w:val="bottom"/>
            <w:shd w:val="clear" w:color="auto" w:fill="EBE6F0"/>
          </w:tcPr>
          <w:p>
            <w:pPr>
              <w:spacing w:after="0"/>
              <w:rPr>
                <w:sz w:val="24"/>
                <w:szCs w:val="24"/>
                <w:color w:val="auto"/>
              </w:rPr>
            </w:pPr>
          </w:p>
        </w:tc>
        <w:tc>
          <w:tcPr>
            <w:tcW w:w="5380" w:type="dxa"/>
            <w:vAlign w:val="bottom"/>
            <w:shd w:val="clear" w:color="auto" w:fill="EBE6F0"/>
          </w:tcPr>
          <w:p>
            <w:pPr>
              <w:ind w:left="240"/>
              <w:spacing w:after="0"/>
              <w:rPr>
                <w:sz w:val="20"/>
                <w:szCs w:val="20"/>
                <w:color w:val="auto"/>
              </w:rPr>
            </w:pPr>
            <w:r>
              <w:rPr>
                <w:rFonts w:ascii="Arial" w:cs="Arial" w:eastAsia="Arial" w:hAnsi="Arial"/>
                <w:sz w:val="20"/>
                <w:szCs w:val="20"/>
                <w:color w:val="auto"/>
              </w:rPr>
              <w:t>committee and individual director self-evaluation process;</w:t>
            </w:r>
          </w:p>
        </w:tc>
        <w:tc>
          <w:tcPr>
            <w:tcW w:w="20" w:type="dxa"/>
            <w:vAlign w:val="bottom"/>
            <w:shd w:val="clear" w:color="auto" w:fill="EBE6F0"/>
          </w:tcPr>
          <w:p>
            <w:pPr>
              <w:spacing w:after="0"/>
              <w:rPr>
                <w:sz w:val="24"/>
                <w:szCs w:val="24"/>
                <w:color w:val="auto"/>
              </w:rPr>
            </w:pPr>
          </w:p>
        </w:tc>
        <w:tc>
          <w:tcPr>
            <w:tcW w:w="5820" w:type="dxa"/>
            <w:vAlign w:val="bottom"/>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Serves as a liaison between the independent directors and the</w:t>
            </w:r>
          </w:p>
        </w:tc>
        <w:tc>
          <w:tcPr>
            <w:tcW w:w="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EBE6F0"/>
          </w:tcPr>
          <w:p>
            <w:pPr>
              <w:spacing w:after="0"/>
              <w:rPr>
                <w:sz w:val="19"/>
                <w:szCs w:val="19"/>
                <w:color w:val="auto"/>
              </w:rPr>
            </w:pPr>
          </w:p>
        </w:tc>
        <w:tc>
          <w:tcPr>
            <w:tcW w:w="538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Conducts the annual Board and individual director self-</w:t>
            </w:r>
          </w:p>
        </w:tc>
        <w:tc>
          <w:tcPr>
            <w:tcW w:w="20" w:type="dxa"/>
            <w:vAlign w:val="bottom"/>
            <w:shd w:val="clear" w:color="auto" w:fill="EBE6F0"/>
          </w:tcPr>
          <w:p>
            <w:pPr>
              <w:spacing w:after="0"/>
              <w:rPr>
                <w:sz w:val="19"/>
                <w:szCs w:val="19"/>
                <w:color w:val="auto"/>
              </w:rPr>
            </w:pPr>
          </w:p>
        </w:tc>
        <w:tc>
          <w:tcPr>
            <w:tcW w:w="5820" w:type="dxa"/>
            <w:vAlign w:val="bottom"/>
            <w:shd w:val="clear" w:color="auto" w:fill="EBE6F0"/>
          </w:tcPr>
          <w:p>
            <w:pPr>
              <w:ind w:left="240"/>
              <w:spacing w:after="0" w:line="224" w:lineRule="exact"/>
              <w:rPr>
                <w:sz w:val="20"/>
                <w:szCs w:val="20"/>
                <w:color w:val="auto"/>
              </w:rPr>
            </w:pPr>
            <w:r>
              <w:rPr>
                <w:rFonts w:ascii="Arial" w:cs="Arial" w:eastAsia="Arial" w:hAnsi="Arial"/>
                <w:sz w:val="20"/>
                <w:szCs w:val="20"/>
                <w:color w:val="auto"/>
              </w:rPr>
              <w:t>Chair and CEO; and</w:t>
            </w:r>
          </w:p>
        </w:tc>
        <w:tc>
          <w:tcPr>
            <w:tcW w:w="20" w:type="dxa"/>
            <w:vAlign w:val="bottom"/>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EBE6F0"/>
          </w:tcPr>
          <w:p>
            <w:pPr>
              <w:spacing w:after="0"/>
              <w:rPr>
                <w:sz w:val="16"/>
                <w:szCs w:val="16"/>
                <w:color w:val="auto"/>
              </w:rPr>
            </w:pPr>
          </w:p>
        </w:tc>
        <w:tc>
          <w:tcPr>
            <w:tcW w:w="5380" w:type="dxa"/>
            <w:vAlign w:val="bottom"/>
            <w:shd w:val="clear" w:color="auto" w:fill="EBE6F0"/>
          </w:tcPr>
          <w:p>
            <w:pPr>
              <w:ind w:left="240"/>
              <w:spacing w:after="0" w:line="185" w:lineRule="exact"/>
              <w:rPr>
                <w:sz w:val="20"/>
                <w:szCs w:val="20"/>
                <w:color w:val="auto"/>
              </w:rPr>
            </w:pPr>
            <w:r>
              <w:rPr>
                <w:rFonts w:ascii="Arial" w:cs="Arial" w:eastAsia="Arial" w:hAnsi="Arial"/>
                <w:sz w:val="20"/>
                <w:szCs w:val="20"/>
                <w:color w:val="auto"/>
              </w:rPr>
              <w:t>evaluation process in coordination with the Governance</w:t>
            </w:r>
          </w:p>
        </w:tc>
        <w:tc>
          <w:tcPr>
            <w:tcW w:w="20" w:type="dxa"/>
            <w:vAlign w:val="bottom"/>
            <w:shd w:val="clear" w:color="auto" w:fill="EBE6F0"/>
          </w:tcPr>
          <w:p>
            <w:pPr>
              <w:spacing w:after="0"/>
              <w:rPr>
                <w:sz w:val="16"/>
                <w:szCs w:val="16"/>
                <w:color w:val="auto"/>
              </w:rPr>
            </w:pPr>
          </w:p>
        </w:tc>
        <w:tc>
          <w:tcPr>
            <w:tcW w:w="5820" w:type="dxa"/>
            <w:vAlign w:val="bottom"/>
            <w:vMerge w:val="restart"/>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Provides feedback to management regarding Board concerns</w:t>
            </w:r>
          </w:p>
        </w:tc>
        <w:tc>
          <w:tcPr>
            <w:tcW w:w="20" w:type="dxa"/>
            <w:vAlign w:val="bottom"/>
            <w:shd w:val="clear" w:color="auto" w:fill="EBE6F0"/>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 w:type="dxa"/>
            <w:vAlign w:val="bottom"/>
            <w:shd w:val="clear" w:color="auto" w:fill="EBE6F0"/>
          </w:tcPr>
          <w:p>
            <w:pPr>
              <w:spacing w:after="0"/>
              <w:rPr>
                <w:sz w:val="10"/>
                <w:szCs w:val="10"/>
                <w:color w:val="auto"/>
              </w:rPr>
            </w:pPr>
          </w:p>
        </w:tc>
        <w:tc>
          <w:tcPr>
            <w:tcW w:w="5380" w:type="dxa"/>
            <w:vAlign w:val="bottom"/>
            <w:vMerge w:val="restart"/>
            <w:shd w:val="clear" w:color="auto" w:fill="EBE6F0"/>
          </w:tcPr>
          <w:p>
            <w:pPr>
              <w:ind w:left="240"/>
              <w:spacing w:after="0"/>
              <w:rPr>
                <w:sz w:val="20"/>
                <w:szCs w:val="20"/>
                <w:color w:val="auto"/>
              </w:rPr>
            </w:pPr>
            <w:r>
              <w:rPr>
                <w:rFonts w:ascii="Arial" w:cs="Arial" w:eastAsia="Arial" w:hAnsi="Arial"/>
                <w:sz w:val="20"/>
                <w:szCs w:val="20"/>
                <w:color w:val="auto"/>
              </w:rPr>
              <w:t>Committee; and</w:t>
            </w:r>
          </w:p>
        </w:tc>
        <w:tc>
          <w:tcPr>
            <w:tcW w:w="20" w:type="dxa"/>
            <w:vAlign w:val="bottom"/>
            <w:shd w:val="clear" w:color="auto" w:fill="EBE6F0"/>
          </w:tcPr>
          <w:p>
            <w:pPr>
              <w:spacing w:after="0"/>
              <w:rPr>
                <w:sz w:val="10"/>
                <w:szCs w:val="10"/>
                <w:color w:val="auto"/>
              </w:rPr>
            </w:pPr>
          </w:p>
        </w:tc>
        <w:tc>
          <w:tcPr>
            <w:tcW w:w="5820" w:type="dxa"/>
            <w:vAlign w:val="bottom"/>
            <w:vMerge w:val="continue"/>
            <w:shd w:val="clear" w:color="auto" w:fill="EBE6F0"/>
          </w:tcPr>
          <w:p>
            <w:pPr>
              <w:spacing w:after="0"/>
              <w:rPr>
                <w:sz w:val="10"/>
                <w:szCs w:val="10"/>
                <w:color w:val="auto"/>
              </w:rPr>
            </w:pPr>
          </w:p>
        </w:tc>
        <w:tc>
          <w:tcPr>
            <w:tcW w:w="20" w:type="dxa"/>
            <w:vAlign w:val="bottom"/>
            <w:shd w:val="clear" w:color="auto" w:fill="EBE6F0"/>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EBE6F0"/>
          </w:tcPr>
          <w:p>
            <w:pPr>
              <w:spacing w:after="0"/>
              <w:rPr>
                <w:sz w:val="12"/>
                <w:szCs w:val="12"/>
                <w:color w:val="auto"/>
              </w:rPr>
            </w:pPr>
          </w:p>
        </w:tc>
        <w:tc>
          <w:tcPr>
            <w:tcW w:w="5380" w:type="dxa"/>
            <w:vAlign w:val="bottom"/>
            <w:vMerge w:val="continue"/>
            <w:shd w:val="clear" w:color="auto" w:fill="EBE6F0"/>
          </w:tcPr>
          <w:p>
            <w:pPr>
              <w:spacing w:after="0"/>
              <w:rPr>
                <w:sz w:val="12"/>
                <w:szCs w:val="12"/>
                <w:color w:val="auto"/>
              </w:rPr>
            </w:pPr>
          </w:p>
        </w:tc>
        <w:tc>
          <w:tcPr>
            <w:tcW w:w="20" w:type="dxa"/>
            <w:vAlign w:val="bottom"/>
            <w:shd w:val="clear" w:color="auto" w:fill="EBE6F0"/>
          </w:tcPr>
          <w:p>
            <w:pPr>
              <w:spacing w:after="0"/>
              <w:rPr>
                <w:sz w:val="12"/>
                <w:szCs w:val="12"/>
                <w:color w:val="auto"/>
              </w:rPr>
            </w:pPr>
          </w:p>
        </w:tc>
        <w:tc>
          <w:tcPr>
            <w:tcW w:w="5820" w:type="dxa"/>
            <w:vAlign w:val="bottom"/>
            <w:vMerge w:val="restart"/>
            <w:shd w:val="clear" w:color="auto" w:fill="EBE6F0"/>
          </w:tcPr>
          <w:p>
            <w:pPr>
              <w:ind w:left="240"/>
              <w:spacing w:after="0"/>
              <w:rPr>
                <w:sz w:val="20"/>
                <w:szCs w:val="20"/>
                <w:color w:val="auto"/>
              </w:rPr>
            </w:pPr>
            <w:r>
              <w:rPr>
                <w:rFonts w:ascii="Arial" w:cs="Arial" w:eastAsia="Arial" w:hAnsi="Arial"/>
                <w:sz w:val="20"/>
                <w:szCs w:val="20"/>
                <w:color w:val="auto"/>
              </w:rPr>
              <w:t>and information needs.</w:t>
            </w:r>
          </w:p>
        </w:tc>
        <w:tc>
          <w:tcPr>
            <w:tcW w:w="20" w:type="dxa"/>
            <w:vAlign w:val="bottom"/>
            <w:shd w:val="clear" w:color="auto" w:fill="EBE6F0"/>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shd w:val="clear" w:color="auto" w:fill="EBE6F0"/>
          </w:tcPr>
          <w:p>
            <w:pPr>
              <w:spacing w:after="0"/>
              <w:rPr>
                <w:sz w:val="10"/>
                <w:szCs w:val="10"/>
                <w:color w:val="auto"/>
              </w:rPr>
            </w:pPr>
          </w:p>
        </w:tc>
        <w:tc>
          <w:tcPr>
            <w:tcW w:w="5380" w:type="dxa"/>
            <w:vAlign w:val="bottom"/>
            <w:vMerge w:val="restart"/>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Consults with major shareholders.</w:t>
            </w:r>
          </w:p>
        </w:tc>
        <w:tc>
          <w:tcPr>
            <w:tcW w:w="20" w:type="dxa"/>
            <w:vAlign w:val="bottom"/>
            <w:shd w:val="clear" w:color="auto" w:fill="EBE6F0"/>
          </w:tcPr>
          <w:p>
            <w:pPr>
              <w:spacing w:after="0"/>
              <w:rPr>
                <w:sz w:val="10"/>
                <w:szCs w:val="10"/>
                <w:color w:val="auto"/>
              </w:rPr>
            </w:pPr>
          </w:p>
        </w:tc>
        <w:tc>
          <w:tcPr>
            <w:tcW w:w="5820" w:type="dxa"/>
            <w:vAlign w:val="bottom"/>
            <w:vMerge w:val="continue"/>
            <w:shd w:val="clear" w:color="auto" w:fill="EBE6F0"/>
          </w:tcPr>
          <w:p>
            <w:pPr>
              <w:spacing w:after="0"/>
              <w:rPr>
                <w:sz w:val="10"/>
                <w:szCs w:val="10"/>
                <w:color w:val="auto"/>
              </w:rPr>
            </w:pPr>
          </w:p>
        </w:tc>
        <w:tc>
          <w:tcPr>
            <w:tcW w:w="20" w:type="dxa"/>
            <w:vAlign w:val="bottom"/>
            <w:shd w:val="clear" w:color="auto" w:fill="EBE6F0"/>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EBE6F0"/>
          </w:tcPr>
          <w:p>
            <w:pPr>
              <w:spacing w:after="0"/>
              <w:rPr>
                <w:sz w:val="14"/>
                <w:szCs w:val="14"/>
                <w:color w:val="auto"/>
              </w:rPr>
            </w:pPr>
          </w:p>
        </w:tc>
        <w:tc>
          <w:tcPr>
            <w:tcW w:w="5380" w:type="dxa"/>
            <w:vAlign w:val="bottom"/>
            <w:vMerge w:val="continue"/>
            <w:shd w:val="clear" w:color="auto" w:fill="EBE6F0"/>
          </w:tcPr>
          <w:p>
            <w:pPr>
              <w:spacing w:after="0"/>
              <w:rPr>
                <w:sz w:val="14"/>
                <w:szCs w:val="14"/>
                <w:color w:val="auto"/>
              </w:rPr>
            </w:pPr>
          </w:p>
        </w:tc>
        <w:tc>
          <w:tcPr>
            <w:tcW w:w="20" w:type="dxa"/>
            <w:vAlign w:val="bottom"/>
            <w:shd w:val="clear" w:color="auto" w:fill="EBE6F0"/>
          </w:tcPr>
          <w:p>
            <w:pPr>
              <w:spacing w:after="0"/>
              <w:rPr>
                <w:sz w:val="14"/>
                <w:szCs w:val="14"/>
                <w:color w:val="auto"/>
              </w:rPr>
            </w:pPr>
          </w:p>
        </w:tc>
        <w:tc>
          <w:tcPr>
            <w:tcW w:w="5820" w:type="dxa"/>
            <w:vAlign w:val="bottom"/>
            <w:shd w:val="clear" w:color="auto" w:fill="EBE6F0"/>
          </w:tcPr>
          <w:p>
            <w:pPr>
              <w:spacing w:after="0"/>
              <w:rPr>
                <w:sz w:val="14"/>
                <w:szCs w:val="14"/>
                <w:color w:val="auto"/>
              </w:rPr>
            </w:pPr>
          </w:p>
        </w:tc>
        <w:tc>
          <w:tcPr>
            <w:tcW w:w="20" w:type="dxa"/>
            <w:vAlign w:val="bottom"/>
            <w:shd w:val="clear" w:color="auto" w:fill="EBE6F0"/>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EBE6F0"/>
            </w:tcBorders>
            <w:shd w:val="clear" w:color="auto" w:fill="EBE6F0"/>
          </w:tcPr>
          <w:p>
            <w:pPr>
              <w:spacing w:after="0"/>
              <w:rPr>
                <w:sz w:val="5"/>
                <w:szCs w:val="5"/>
                <w:color w:val="auto"/>
              </w:rPr>
            </w:pPr>
          </w:p>
        </w:tc>
        <w:tc>
          <w:tcPr>
            <w:tcW w:w="538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582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380" w:type="dxa"/>
            <w:vAlign w:val="bottom"/>
          </w:tcPr>
          <w:p>
            <w:pPr>
              <w:ind w:left="60"/>
              <w:spacing w:after="0"/>
              <w:rPr>
                <w:sz w:val="20"/>
                <w:szCs w:val="20"/>
                <w:color w:val="auto"/>
              </w:rPr>
            </w:pPr>
            <w:r>
              <w:rPr>
                <w:rFonts w:ascii="Arial" w:cs="Arial" w:eastAsia="Arial" w:hAnsi="Arial"/>
                <w:sz w:val="20"/>
                <w:szCs w:val="20"/>
                <w:b w:val="1"/>
                <w:bCs w:val="1"/>
                <w:color w:val="582C83"/>
              </w:rPr>
              <w:t>Majority Independent Board.</w:t>
            </w:r>
          </w:p>
        </w:tc>
        <w:tc>
          <w:tcPr>
            <w:tcW w:w="20" w:type="dxa"/>
            <w:vAlign w:val="bottom"/>
          </w:tcPr>
          <w:p>
            <w:pPr>
              <w:spacing w:after="0"/>
              <w:rPr>
                <w:sz w:val="22"/>
                <w:szCs w:val="22"/>
                <w:color w:val="auto"/>
              </w:rPr>
            </w:pPr>
          </w:p>
        </w:tc>
        <w:tc>
          <w:tcPr>
            <w:tcW w:w="5820" w:type="dxa"/>
            <w:vAlign w:val="bottom"/>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Provides independent Board oversight of management 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380" w:type="dxa"/>
            <w:vAlign w:val="bottom"/>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At least 80% of our directors must meet the independence</w:t>
            </w:r>
          </w:p>
        </w:tc>
        <w:tc>
          <w:tcPr>
            <w:tcW w:w="20" w:type="dxa"/>
            <w:vAlign w:val="bottom"/>
          </w:tcPr>
          <w:p>
            <w:pPr>
              <w:spacing w:after="0"/>
              <w:rPr>
                <w:sz w:val="22"/>
                <w:szCs w:val="22"/>
                <w:color w:val="auto"/>
              </w:rPr>
            </w:pPr>
          </w:p>
        </w:tc>
        <w:tc>
          <w:tcPr>
            <w:tcW w:w="5820" w:type="dxa"/>
            <w:vAlign w:val="bottom"/>
          </w:tcPr>
          <w:p>
            <w:pPr>
              <w:ind w:left="220"/>
              <w:spacing w:after="0"/>
              <w:rPr>
                <w:sz w:val="20"/>
                <w:szCs w:val="20"/>
                <w:color w:val="auto"/>
              </w:rPr>
            </w:pPr>
            <w:r>
              <w:rPr>
                <w:rFonts w:ascii="Arial" w:cs="Arial" w:eastAsia="Arial" w:hAnsi="Arial"/>
                <w:sz w:val="20"/>
                <w:szCs w:val="20"/>
                <w:color w:val="auto"/>
              </w:rPr>
              <w:t>behalf of shareholders.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380" w:type="dxa"/>
            <w:vAlign w:val="bottom"/>
          </w:tcPr>
          <w:p>
            <w:pPr>
              <w:ind w:left="220"/>
              <w:spacing w:after="0"/>
              <w:rPr>
                <w:sz w:val="20"/>
                <w:szCs w:val="20"/>
                <w:color w:val="auto"/>
              </w:rPr>
            </w:pPr>
            <w:r>
              <w:rPr>
                <w:rFonts w:ascii="Arial" w:cs="Arial" w:eastAsia="Arial" w:hAnsi="Arial"/>
                <w:sz w:val="20"/>
                <w:szCs w:val="20"/>
                <w:color w:val="auto"/>
              </w:rPr>
              <w:t>requirements prescribed by Nasdaq listing standards.</w:t>
            </w:r>
          </w:p>
        </w:tc>
        <w:tc>
          <w:tcPr>
            <w:tcW w:w="20" w:type="dxa"/>
            <w:vAlign w:val="bottom"/>
          </w:tcPr>
          <w:p>
            <w:pPr>
              <w:spacing w:after="0"/>
              <w:rPr>
                <w:sz w:val="21"/>
                <w:szCs w:val="21"/>
                <w:color w:val="auto"/>
              </w:rPr>
            </w:pPr>
          </w:p>
        </w:tc>
        <w:tc>
          <w:tcPr>
            <w:tcW w:w="5820" w:type="dxa"/>
            <w:vAlign w:val="bottom"/>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Board composed entirely of independent directors, with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380" w:type="dxa"/>
            <w:vAlign w:val="bottom"/>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The Guidelines provide that currently the Chair and CEO</w:t>
            </w:r>
          </w:p>
        </w:tc>
        <w:tc>
          <w:tcPr>
            <w:tcW w:w="20" w:type="dxa"/>
            <w:vAlign w:val="bottom"/>
          </w:tcPr>
          <w:p>
            <w:pPr>
              <w:spacing w:after="0"/>
              <w:rPr>
                <w:sz w:val="22"/>
                <w:szCs w:val="22"/>
                <w:color w:val="auto"/>
              </w:rPr>
            </w:pPr>
          </w:p>
        </w:tc>
        <w:tc>
          <w:tcPr>
            <w:tcW w:w="5820" w:type="dxa"/>
            <w:vAlign w:val="bottom"/>
          </w:tcPr>
          <w:p>
            <w:pPr>
              <w:ind w:left="220"/>
              <w:spacing w:after="0"/>
              <w:rPr>
                <w:sz w:val="20"/>
                <w:szCs w:val="20"/>
                <w:color w:val="auto"/>
              </w:rPr>
            </w:pPr>
            <w:r>
              <w:rPr>
                <w:rFonts w:ascii="Arial" w:cs="Arial" w:eastAsia="Arial" w:hAnsi="Arial"/>
                <w:sz w:val="20"/>
                <w:szCs w:val="20"/>
                <w:color w:val="auto"/>
              </w:rPr>
              <w:t>exception of the CEO.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80" w:type="dxa"/>
            <w:vAlign w:val="bottom"/>
          </w:tcPr>
          <w:p>
            <w:pPr>
              <w:ind w:left="220"/>
              <w:spacing w:after="0" w:line="225" w:lineRule="exact"/>
              <w:rPr>
                <w:sz w:val="20"/>
                <w:szCs w:val="20"/>
                <w:color w:val="auto"/>
              </w:rPr>
            </w:pPr>
            <w:r>
              <w:rPr>
                <w:rFonts w:ascii="Arial" w:cs="Arial" w:eastAsia="Arial" w:hAnsi="Arial"/>
                <w:sz w:val="20"/>
                <w:szCs w:val="20"/>
                <w:color w:val="auto"/>
              </w:rPr>
              <w:t>should be the only member of management to serve as a</w:t>
            </w:r>
          </w:p>
        </w:tc>
        <w:tc>
          <w:tcPr>
            <w:tcW w:w="20" w:type="dxa"/>
            <w:vAlign w:val="bottom"/>
          </w:tcPr>
          <w:p>
            <w:pPr>
              <w:spacing w:after="0"/>
              <w:rPr>
                <w:sz w:val="19"/>
                <w:szCs w:val="19"/>
                <w:color w:val="auto"/>
              </w:rPr>
            </w:pPr>
          </w:p>
        </w:tc>
        <w:tc>
          <w:tcPr>
            <w:tcW w:w="5820" w:type="dxa"/>
            <w:vAlign w:val="bottom"/>
          </w:tcPr>
          <w:p>
            <w:pPr>
              <w:ind w:left="60"/>
              <w:spacing w:after="0" w:line="225"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Committees composed entirely of and chaired by independent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5380" w:type="dxa"/>
            <w:vAlign w:val="bottom"/>
          </w:tcPr>
          <w:p>
            <w:pPr>
              <w:ind w:left="220"/>
              <w:spacing w:after="0"/>
              <w:rPr>
                <w:sz w:val="20"/>
                <w:szCs w:val="20"/>
                <w:color w:val="auto"/>
              </w:rPr>
            </w:pPr>
            <w:r>
              <w:rPr>
                <w:rFonts w:ascii="Arial" w:cs="Arial" w:eastAsia="Arial" w:hAnsi="Arial"/>
                <w:sz w:val="20"/>
                <w:szCs w:val="20"/>
                <w:color w:val="auto"/>
              </w:rPr>
              <w:t>director.</w:t>
            </w:r>
          </w:p>
        </w:tc>
        <w:tc>
          <w:tcPr>
            <w:tcW w:w="20" w:type="dxa"/>
            <w:vAlign w:val="bottom"/>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20"/>
                <w:szCs w:val="20"/>
                <w:color w:val="auto"/>
              </w:rPr>
              <w:t>directors.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582C83"/>
            </w:tcBorders>
          </w:tcPr>
          <w:p>
            <w:pPr>
              <w:spacing w:after="0"/>
              <w:rPr>
                <w:sz w:val="5"/>
                <w:szCs w:val="5"/>
                <w:color w:val="auto"/>
              </w:rPr>
            </w:pPr>
          </w:p>
        </w:tc>
        <w:tc>
          <w:tcPr>
            <w:tcW w:w="5380" w:type="dxa"/>
            <w:vAlign w:val="bottom"/>
            <w:tcBorders>
              <w:bottom w:val="single" w:sz="8" w:color="582C83"/>
            </w:tcBorders>
          </w:tcPr>
          <w:p>
            <w:pPr>
              <w:spacing w:after="0"/>
              <w:rPr>
                <w:sz w:val="5"/>
                <w:szCs w:val="5"/>
                <w:color w:val="auto"/>
              </w:rPr>
            </w:pPr>
          </w:p>
        </w:tc>
        <w:tc>
          <w:tcPr>
            <w:tcW w:w="20" w:type="dxa"/>
            <w:vAlign w:val="bottom"/>
            <w:tcBorders>
              <w:bottom w:val="single" w:sz="8" w:color="582C83"/>
            </w:tcBorders>
          </w:tcPr>
          <w:p>
            <w:pPr>
              <w:spacing w:after="0"/>
              <w:rPr>
                <w:sz w:val="5"/>
                <w:szCs w:val="5"/>
                <w:color w:val="auto"/>
              </w:rPr>
            </w:pPr>
          </w:p>
        </w:tc>
        <w:tc>
          <w:tcPr>
            <w:tcW w:w="5820" w:type="dxa"/>
            <w:vAlign w:val="bottom"/>
            <w:tcBorders>
              <w:bottom w:val="single" w:sz="8" w:color="582C83"/>
            </w:tcBorders>
          </w:tcPr>
          <w:p>
            <w:pPr>
              <w:spacing w:after="0"/>
              <w:rPr>
                <w:sz w:val="5"/>
                <w:szCs w:val="5"/>
                <w:color w:val="auto"/>
              </w:rPr>
            </w:pPr>
          </w:p>
        </w:tc>
        <w:tc>
          <w:tcPr>
            <w:tcW w:w="20" w:type="dxa"/>
            <w:vAlign w:val="bottom"/>
            <w:tcBorders>
              <w:bottom w:val="single" w:sz="8" w:color="582C83"/>
            </w:tcBorders>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EBE6F0"/>
          </w:tcPr>
          <w:p>
            <w:pPr>
              <w:spacing w:after="0"/>
              <w:rPr>
                <w:sz w:val="20"/>
                <w:szCs w:val="20"/>
                <w:color w:val="auto"/>
              </w:rPr>
            </w:pPr>
          </w:p>
        </w:tc>
        <w:tc>
          <w:tcPr>
            <w:tcW w:w="5380" w:type="dxa"/>
            <w:vAlign w:val="bottom"/>
            <w:shd w:val="clear" w:color="auto" w:fill="EBE6F0"/>
          </w:tcPr>
          <w:p>
            <w:pPr>
              <w:ind w:left="60"/>
              <w:spacing w:after="0"/>
              <w:rPr>
                <w:sz w:val="20"/>
                <w:szCs w:val="20"/>
                <w:color w:val="auto"/>
              </w:rPr>
            </w:pPr>
            <w:r>
              <w:rPr>
                <w:rFonts w:ascii="Arial" w:cs="Arial" w:eastAsia="Arial" w:hAnsi="Arial"/>
                <w:sz w:val="20"/>
                <w:szCs w:val="20"/>
                <w:b w:val="1"/>
                <w:bCs w:val="1"/>
                <w:color w:val="582C83"/>
                <w:w w:val="99"/>
              </w:rPr>
              <w:t xml:space="preserve">Annual Board and Committee Self-Assessments. </w:t>
            </w:r>
            <w:r>
              <w:rPr>
                <w:rFonts w:ascii="Arial" w:cs="Arial" w:eastAsia="Arial" w:hAnsi="Arial"/>
                <w:sz w:val="20"/>
                <w:szCs w:val="20"/>
                <w:color w:val="000000"/>
                <w:w w:val="99"/>
              </w:rPr>
              <w:t>Annual</w:t>
            </w:r>
          </w:p>
        </w:tc>
        <w:tc>
          <w:tcPr>
            <w:tcW w:w="20" w:type="dxa"/>
            <w:vAlign w:val="bottom"/>
            <w:shd w:val="clear" w:color="auto" w:fill="EBE6F0"/>
          </w:tcPr>
          <w:p>
            <w:pPr>
              <w:spacing w:after="0"/>
              <w:rPr>
                <w:sz w:val="20"/>
                <w:szCs w:val="20"/>
                <w:color w:val="auto"/>
              </w:rPr>
            </w:pPr>
          </w:p>
        </w:tc>
        <w:tc>
          <w:tcPr>
            <w:tcW w:w="5820" w:type="dxa"/>
            <w:vAlign w:val="bottom"/>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Promotes continuous process improvement of the Board and</w:t>
            </w:r>
          </w:p>
        </w:tc>
        <w:tc>
          <w:tcPr>
            <w:tcW w:w="20" w:type="dxa"/>
            <w:vAlign w:val="bottom"/>
            <w:shd w:val="clear" w:color="auto" w:fill="EBE6F0"/>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EBE6F0"/>
          </w:tcPr>
          <w:p>
            <w:pPr>
              <w:spacing w:after="0"/>
              <w:rPr>
                <w:sz w:val="19"/>
                <w:szCs w:val="19"/>
                <w:color w:val="auto"/>
              </w:rPr>
            </w:pPr>
          </w:p>
        </w:tc>
        <w:tc>
          <w:tcPr>
            <w:tcW w:w="538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auto"/>
              </w:rPr>
              <w:t>Board, committee and director self-assessments include</w:t>
            </w:r>
          </w:p>
        </w:tc>
        <w:tc>
          <w:tcPr>
            <w:tcW w:w="20" w:type="dxa"/>
            <w:vAlign w:val="bottom"/>
            <w:shd w:val="clear" w:color="auto" w:fill="EBE6F0"/>
          </w:tcPr>
          <w:p>
            <w:pPr>
              <w:spacing w:after="0"/>
              <w:rPr>
                <w:sz w:val="19"/>
                <w:szCs w:val="19"/>
                <w:color w:val="auto"/>
              </w:rPr>
            </w:pPr>
          </w:p>
        </w:tc>
        <w:tc>
          <w:tcPr>
            <w:tcW w:w="5820" w:type="dxa"/>
            <w:vAlign w:val="bottom"/>
            <w:shd w:val="clear" w:color="auto" w:fill="EBE6F0"/>
          </w:tcPr>
          <w:p>
            <w:pPr>
              <w:ind w:left="240"/>
              <w:spacing w:after="0" w:line="224" w:lineRule="exact"/>
              <w:rPr>
                <w:sz w:val="20"/>
                <w:szCs w:val="20"/>
                <w:color w:val="auto"/>
              </w:rPr>
            </w:pPr>
            <w:r>
              <w:rPr>
                <w:rFonts w:ascii="Arial" w:cs="Arial" w:eastAsia="Arial" w:hAnsi="Arial"/>
                <w:sz w:val="20"/>
                <w:szCs w:val="20"/>
                <w:color w:val="auto"/>
              </w:rPr>
              <w:t>committees.</w:t>
            </w:r>
          </w:p>
        </w:tc>
        <w:tc>
          <w:tcPr>
            <w:tcW w:w="20" w:type="dxa"/>
            <w:vAlign w:val="bottom"/>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shd w:val="clear" w:color="auto" w:fill="EBE6F0"/>
          </w:tcPr>
          <w:p>
            <w:pPr>
              <w:spacing w:after="0"/>
              <w:rPr>
                <w:sz w:val="24"/>
                <w:szCs w:val="24"/>
                <w:color w:val="auto"/>
              </w:rPr>
            </w:pPr>
          </w:p>
        </w:tc>
        <w:tc>
          <w:tcPr>
            <w:tcW w:w="5380" w:type="dxa"/>
            <w:vAlign w:val="bottom"/>
            <w:shd w:val="clear" w:color="auto" w:fill="EBE6F0"/>
          </w:tcPr>
          <w:p>
            <w:pPr>
              <w:ind w:left="60"/>
              <w:spacing w:after="0"/>
              <w:rPr>
                <w:sz w:val="20"/>
                <w:szCs w:val="20"/>
                <w:color w:val="auto"/>
              </w:rPr>
            </w:pPr>
            <w:r>
              <w:rPr>
                <w:rFonts w:ascii="Arial" w:cs="Arial" w:eastAsia="Arial" w:hAnsi="Arial"/>
                <w:sz w:val="20"/>
                <w:szCs w:val="20"/>
                <w:color w:val="auto"/>
                <w:w w:val="99"/>
              </w:rPr>
              <w:t>candid, one-on-one conversations between the independent</w:t>
            </w:r>
          </w:p>
        </w:tc>
        <w:tc>
          <w:tcPr>
            <w:tcW w:w="20" w:type="dxa"/>
            <w:vAlign w:val="bottom"/>
            <w:shd w:val="clear" w:color="auto" w:fill="EBE6F0"/>
          </w:tcPr>
          <w:p>
            <w:pPr>
              <w:spacing w:after="0"/>
              <w:rPr>
                <w:sz w:val="24"/>
                <w:szCs w:val="24"/>
                <w:color w:val="auto"/>
              </w:rPr>
            </w:pPr>
          </w:p>
        </w:tc>
        <w:tc>
          <w:tcPr>
            <w:tcW w:w="5820" w:type="dxa"/>
            <w:vAlign w:val="bottom"/>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Provides an opportunity to discuss individual directors’</w:t>
            </w:r>
          </w:p>
        </w:tc>
        <w:tc>
          <w:tcPr>
            <w:tcW w:w="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EBE6F0"/>
          </w:tcPr>
          <w:p>
            <w:pPr>
              <w:spacing w:after="0"/>
              <w:rPr>
                <w:sz w:val="13"/>
                <w:szCs w:val="13"/>
                <w:color w:val="auto"/>
              </w:rPr>
            </w:pPr>
          </w:p>
        </w:tc>
        <w:tc>
          <w:tcPr>
            <w:tcW w:w="5380" w:type="dxa"/>
            <w:vAlign w:val="bottom"/>
            <w:shd w:val="clear" w:color="auto" w:fill="EBE6F0"/>
          </w:tcPr>
          <w:p>
            <w:pPr>
              <w:ind w:left="60"/>
              <w:spacing w:after="0" w:line="160" w:lineRule="exact"/>
              <w:rPr>
                <w:sz w:val="20"/>
                <w:szCs w:val="20"/>
                <w:color w:val="auto"/>
              </w:rPr>
            </w:pPr>
            <w:r>
              <w:rPr>
                <w:rFonts w:ascii="Arial" w:cs="Arial" w:eastAsia="Arial" w:hAnsi="Arial"/>
                <w:sz w:val="18"/>
                <w:szCs w:val="18"/>
                <w:color w:val="auto"/>
              </w:rPr>
              <w:t>Lead Director and each director, in coordination with the</w:t>
            </w:r>
          </w:p>
        </w:tc>
        <w:tc>
          <w:tcPr>
            <w:tcW w:w="20" w:type="dxa"/>
            <w:vAlign w:val="bottom"/>
            <w:shd w:val="clear" w:color="auto" w:fill="EBE6F0"/>
          </w:tcPr>
          <w:p>
            <w:pPr>
              <w:spacing w:after="0"/>
              <w:rPr>
                <w:sz w:val="13"/>
                <w:szCs w:val="13"/>
                <w:color w:val="auto"/>
              </w:rPr>
            </w:pPr>
          </w:p>
        </w:tc>
        <w:tc>
          <w:tcPr>
            <w:tcW w:w="5820" w:type="dxa"/>
            <w:vAlign w:val="bottom"/>
            <w:vMerge w:val="restart"/>
            <w:shd w:val="clear" w:color="auto" w:fill="EBE6F0"/>
          </w:tcPr>
          <w:p>
            <w:pPr>
              <w:ind w:left="240"/>
              <w:spacing w:after="0"/>
              <w:rPr>
                <w:sz w:val="20"/>
                <w:szCs w:val="20"/>
                <w:color w:val="auto"/>
              </w:rPr>
            </w:pPr>
            <w:r>
              <w:rPr>
                <w:rFonts w:ascii="Arial" w:cs="Arial" w:eastAsia="Arial" w:hAnsi="Arial"/>
                <w:sz w:val="20"/>
                <w:szCs w:val="20"/>
                <w:color w:val="auto"/>
              </w:rPr>
              <w:t>contributions and performance and to solicit their views on</w:t>
            </w:r>
          </w:p>
        </w:tc>
        <w:tc>
          <w:tcPr>
            <w:tcW w:w="20" w:type="dxa"/>
            <w:vAlign w:val="bottom"/>
            <w:shd w:val="clear" w:color="auto" w:fill="EBE6F0"/>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shd w:val="clear" w:color="auto" w:fill="EBE6F0"/>
          </w:tcPr>
          <w:p>
            <w:pPr>
              <w:spacing w:after="0"/>
              <w:rPr>
                <w:sz w:val="7"/>
                <w:szCs w:val="7"/>
                <w:color w:val="auto"/>
              </w:rPr>
            </w:pPr>
          </w:p>
        </w:tc>
        <w:tc>
          <w:tcPr>
            <w:tcW w:w="5380" w:type="dxa"/>
            <w:vAlign w:val="bottom"/>
            <w:vMerge w:val="restart"/>
            <w:shd w:val="clear" w:color="auto" w:fill="EBE6F0"/>
          </w:tcPr>
          <w:p>
            <w:pPr>
              <w:ind w:left="60"/>
              <w:spacing w:after="0"/>
              <w:rPr>
                <w:sz w:val="20"/>
                <w:szCs w:val="20"/>
                <w:color w:val="auto"/>
              </w:rPr>
            </w:pPr>
            <w:r>
              <w:rPr>
                <w:rFonts w:ascii="Arial" w:cs="Arial" w:eastAsia="Arial" w:hAnsi="Arial"/>
                <w:sz w:val="20"/>
                <w:szCs w:val="20"/>
                <w:color w:val="auto"/>
              </w:rPr>
              <w:t>Governance Committee.</w:t>
            </w:r>
          </w:p>
        </w:tc>
        <w:tc>
          <w:tcPr>
            <w:tcW w:w="20" w:type="dxa"/>
            <w:vAlign w:val="bottom"/>
            <w:shd w:val="clear" w:color="auto" w:fill="EBE6F0"/>
          </w:tcPr>
          <w:p>
            <w:pPr>
              <w:spacing w:after="0"/>
              <w:rPr>
                <w:sz w:val="7"/>
                <w:szCs w:val="7"/>
                <w:color w:val="auto"/>
              </w:rPr>
            </w:pPr>
          </w:p>
        </w:tc>
        <w:tc>
          <w:tcPr>
            <w:tcW w:w="5820" w:type="dxa"/>
            <w:vAlign w:val="bottom"/>
            <w:vMerge w:val="continue"/>
            <w:shd w:val="clear" w:color="auto" w:fill="EBE6F0"/>
          </w:tcPr>
          <w:p>
            <w:pPr>
              <w:spacing w:after="0"/>
              <w:rPr>
                <w:sz w:val="7"/>
                <w:szCs w:val="7"/>
                <w:color w:val="auto"/>
              </w:rPr>
            </w:pPr>
          </w:p>
        </w:tc>
        <w:tc>
          <w:tcPr>
            <w:tcW w:w="20" w:type="dxa"/>
            <w:vAlign w:val="bottom"/>
            <w:shd w:val="clear" w:color="auto" w:fill="EBE6F0"/>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EBE6F0"/>
          </w:tcPr>
          <w:p>
            <w:pPr>
              <w:spacing w:after="0"/>
              <w:rPr>
                <w:sz w:val="15"/>
                <w:szCs w:val="15"/>
                <w:color w:val="auto"/>
              </w:rPr>
            </w:pPr>
          </w:p>
        </w:tc>
        <w:tc>
          <w:tcPr>
            <w:tcW w:w="5380" w:type="dxa"/>
            <w:vAlign w:val="bottom"/>
            <w:vMerge w:val="continue"/>
            <w:shd w:val="clear" w:color="auto" w:fill="EBE6F0"/>
          </w:tcPr>
          <w:p>
            <w:pPr>
              <w:spacing w:after="0"/>
              <w:rPr>
                <w:sz w:val="15"/>
                <w:szCs w:val="15"/>
                <w:color w:val="auto"/>
              </w:rPr>
            </w:pPr>
          </w:p>
        </w:tc>
        <w:tc>
          <w:tcPr>
            <w:tcW w:w="20" w:type="dxa"/>
            <w:vAlign w:val="bottom"/>
            <w:shd w:val="clear" w:color="auto" w:fill="EBE6F0"/>
          </w:tcPr>
          <w:p>
            <w:pPr>
              <w:spacing w:after="0"/>
              <w:rPr>
                <w:sz w:val="15"/>
                <w:szCs w:val="15"/>
                <w:color w:val="auto"/>
              </w:rPr>
            </w:pPr>
          </w:p>
        </w:tc>
        <w:tc>
          <w:tcPr>
            <w:tcW w:w="5820" w:type="dxa"/>
            <w:vAlign w:val="bottom"/>
            <w:vMerge w:val="restart"/>
            <w:shd w:val="clear" w:color="auto" w:fill="EBE6F0"/>
          </w:tcPr>
          <w:p>
            <w:pPr>
              <w:ind w:left="240"/>
              <w:spacing w:after="0"/>
              <w:rPr>
                <w:sz w:val="20"/>
                <w:szCs w:val="20"/>
                <w:color w:val="auto"/>
              </w:rPr>
            </w:pPr>
            <w:r>
              <w:rPr>
                <w:rFonts w:ascii="Arial" w:cs="Arial" w:eastAsia="Arial" w:hAnsi="Arial"/>
                <w:sz w:val="20"/>
                <w:szCs w:val="20"/>
                <w:color w:val="auto"/>
              </w:rPr>
              <w:t>improving Board and committee performance.</w:t>
            </w:r>
          </w:p>
        </w:tc>
        <w:tc>
          <w:tcPr>
            <w:tcW w:w="20" w:type="dxa"/>
            <w:vAlign w:val="bottom"/>
            <w:shd w:val="clear" w:color="auto" w:fill="EBE6F0"/>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20" w:type="dxa"/>
            <w:vAlign w:val="bottom"/>
            <w:shd w:val="clear" w:color="auto" w:fill="EBE6F0"/>
          </w:tcPr>
          <w:p>
            <w:pPr>
              <w:spacing w:after="0"/>
              <w:rPr>
                <w:sz w:val="7"/>
                <w:szCs w:val="7"/>
                <w:color w:val="auto"/>
              </w:rPr>
            </w:pPr>
          </w:p>
        </w:tc>
        <w:tc>
          <w:tcPr>
            <w:tcW w:w="5380" w:type="dxa"/>
            <w:vAlign w:val="bottom"/>
            <w:shd w:val="clear" w:color="auto" w:fill="EBE6F0"/>
          </w:tcPr>
          <w:p>
            <w:pPr>
              <w:spacing w:after="0"/>
              <w:rPr>
                <w:sz w:val="7"/>
                <w:szCs w:val="7"/>
                <w:color w:val="auto"/>
              </w:rPr>
            </w:pPr>
          </w:p>
        </w:tc>
        <w:tc>
          <w:tcPr>
            <w:tcW w:w="20" w:type="dxa"/>
            <w:vAlign w:val="bottom"/>
            <w:shd w:val="clear" w:color="auto" w:fill="EBE6F0"/>
          </w:tcPr>
          <w:p>
            <w:pPr>
              <w:spacing w:after="0"/>
              <w:rPr>
                <w:sz w:val="7"/>
                <w:szCs w:val="7"/>
                <w:color w:val="auto"/>
              </w:rPr>
            </w:pPr>
          </w:p>
        </w:tc>
        <w:tc>
          <w:tcPr>
            <w:tcW w:w="5820" w:type="dxa"/>
            <w:vAlign w:val="bottom"/>
            <w:vMerge w:val="continue"/>
            <w:shd w:val="clear" w:color="auto" w:fill="EBE6F0"/>
          </w:tcPr>
          <w:p>
            <w:pPr>
              <w:spacing w:after="0"/>
              <w:rPr>
                <w:sz w:val="7"/>
                <w:szCs w:val="7"/>
                <w:color w:val="auto"/>
              </w:rPr>
            </w:pPr>
          </w:p>
        </w:tc>
        <w:tc>
          <w:tcPr>
            <w:tcW w:w="20" w:type="dxa"/>
            <w:vAlign w:val="bottom"/>
            <w:shd w:val="clear" w:color="auto" w:fill="EBE6F0"/>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EBE6F0"/>
            </w:tcBorders>
            <w:shd w:val="clear" w:color="auto" w:fill="EBE6F0"/>
          </w:tcPr>
          <w:p>
            <w:pPr>
              <w:spacing w:after="0"/>
              <w:rPr>
                <w:sz w:val="5"/>
                <w:szCs w:val="5"/>
                <w:color w:val="auto"/>
              </w:rPr>
            </w:pPr>
          </w:p>
        </w:tc>
        <w:tc>
          <w:tcPr>
            <w:tcW w:w="538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582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380" w:type="dxa"/>
            <w:vAlign w:val="bottom"/>
          </w:tcPr>
          <w:p>
            <w:pPr>
              <w:ind w:left="60"/>
              <w:spacing w:after="0"/>
              <w:rPr>
                <w:sz w:val="20"/>
                <w:szCs w:val="20"/>
                <w:color w:val="auto"/>
              </w:rPr>
            </w:pPr>
            <w:r>
              <w:rPr>
                <w:rFonts w:ascii="Arial" w:cs="Arial" w:eastAsia="Arial" w:hAnsi="Arial"/>
                <w:sz w:val="20"/>
                <w:szCs w:val="20"/>
                <w:b w:val="1"/>
                <w:bCs w:val="1"/>
                <w:color w:val="582C83"/>
              </w:rPr>
              <w:t xml:space="preserve">Tenure and Retirement Policies. </w:t>
            </w:r>
            <w:r>
              <w:rPr>
                <w:rFonts w:ascii="Arial" w:cs="Arial" w:eastAsia="Arial" w:hAnsi="Arial"/>
                <w:sz w:val="20"/>
                <w:szCs w:val="20"/>
                <w:color w:val="000000"/>
              </w:rPr>
              <w:t>Non-employee directors</w:t>
            </w:r>
          </w:p>
        </w:tc>
        <w:tc>
          <w:tcPr>
            <w:tcW w:w="20" w:type="dxa"/>
            <w:vAlign w:val="bottom"/>
          </w:tcPr>
          <w:p>
            <w:pPr>
              <w:spacing w:after="0"/>
              <w:rPr>
                <w:sz w:val="20"/>
                <w:szCs w:val="20"/>
                <w:color w:val="auto"/>
              </w:rPr>
            </w:pPr>
          </w:p>
        </w:tc>
        <w:tc>
          <w:tcPr>
            <w:tcW w:w="5820" w:type="dxa"/>
            <w:vAlign w:val="bottom"/>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Promotes ongoing Board evolution and refreshment.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60"/>
              <w:spacing w:after="0" w:line="224" w:lineRule="exact"/>
              <w:rPr>
                <w:sz w:val="20"/>
                <w:szCs w:val="20"/>
                <w:color w:val="auto"/>
              </w:rPr>
            </w:pPr>
            <w:r>
              <w:rPr>
                <w:rFonts w:ascii="Arial" w:cs="Arial" w:eastAsia="Arial" w:hAnsi="Arial"/>
                <w:sz w:val="20"/>
                <w:szCs w:val="20"/>
                <w:color w:val="auto"/>
              </w:rPr>
              <w:t>have a term limit of 15 years and will not be nominated for</w:t>
            </w:r>
          </w:p>
        </w:tc>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380" w:type="dxa"/>
            <w:vAlign w:val="bottom"/>
          </w:tcPr>
          <w:p>
            <w:pPr>
              <w:ind w:left="60"/>
              <w:spacing w:after="0"/>
              <w:rPr>
                <w:sz w:val="20"/>
                <w:szCs w:val="20"/>
                <w:color w:val="auto"/>
              </w:rPr>
            </w:pPr>
            <w:r>
              <w:rPr>
                <w:rFonts w:ascii="Arial" w:cs="Arial" w:eastAsia="Arial" w:hAnsi="Arial"/>
                <w:sz w:val="20"/>
                <w:szCs w:val="20"/>
                <w:color w:val="auto"/>
              </w:rPr>
              <w:t>election to the Board after their 75th birthday.</w:t>
            </w:r>
          </w:p>
        </w:tc>
        <w:tc>
          <w:tcPr>
            <w:tcW w:w="2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51370" cy="3625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1370" cy="3625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p>
      <w:pPr>
        <w:spacing w:after="0" w:line="71" w:lineRule="exact"/>
        <w:rPr>
          <w:sz w:val="20"/>
          <w:szCs w:val="20"/>
          <w:color w:val="auto"/>
        </w:rPr>
      </w:pPr>
    </w:p>
    <w:p>
      <w:pPr>
        <w:ind w:left="80"/>
        <w:spacing w:after="0" w:line="295" w:lineRule="auto"/>
        <w:rPr>
          <w:sz w:val="20"/>
          <w:szCs w:val="20"/>
          <w:color w:val="auto"/>
        </w:rPr>
      </w:pPr>
      <w:r>
        <w:rPr>
          <w:rFonts w:ascii="Arial" w:cs="Arial" w:eastAsia="Arial" w:hAnsi="Arial"/>
          <w:sz w:val="19"/>
          <w:szCs w:val="19"/>
          <w:b w:val="1"/>
          <w:bCs w:val="1"/>
          <w:color w:val="582C83"/>
        </w:rPr>
        <w:t xml:space="preserve">Annual Election of Directors. </w:t>
      </w:r>
      <w:r>
        <w:rPr>
          <w:rFonts w:ascii="Arial" w:cs="Arial" w:eastAsia="Arial" w:hAnsi="Arial"/>
          <w:sz w:val="19"/>
          <w:szCs w:val="19"/>
          <w:color w:val="000000"/>
        </w:rPr>
        <w:t>Shareholders elect directors</w:t>
      </w:r>
      <w:r>
        <w:rPr>
          <w:rFonts w:ascii="Arial" w:cs="Arial" w:eastAsia="Arial" w:hAnsi="Arial"/>
          <w:sz w:val="19"/>
          <w:szCs w:val="19"/>
          <w:b w:val="1"/>
          <w:bCs w:val="1"/>
          <w:color w:val="582C83"/>
        </w:rPr>
        <w:t xml:space="preserve"> </w:t>
      </w:r>
      <w:r>
        <w:rPr>
          <w:rFonts w:ascii="Arial" w:cs="Arial" w:eastAsia="Arial" w:hAnsi="Arial"/>
          <w:sz w:val="19"/>
          <w:szCs w:val="19"/>
          <w:color w:val="000000"/>
        </w:rPr>
        <w:t>annually by majority vote in uncontested elections.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1100"/>
        <w:spacing w:after="0" w:line="268" w:lineRule="auto"/>
        <w:rPr>
          <w:sz w:val="20"/>
          <w:szCs w:val="20"/>
          <w:color w:val="auto"/>
        </w:rPr>
      </w:pPr>
      <w:r>
        <w:rPr>
          <w:rFonts w:ascii="Arial" w:cs="Arial" w:eastAsia="Arial" w:hAnsi="Arial"/>
          <w:sz w:val="20"/>
          <w:szCs w:val="20"/>
          <w:color w:val="auto"/>
        </w:rPr>
        <w:t>Strengthens Board, committee and individual director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123825</wp:posOffset>
            </wp:positionV>
            <wp:extent cx="714311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5340" w:space="140"/>
            <w:col w:w="5780"/>
          </w:cols>
          <w:pgMar w:left="320" w:top="132" w:right="319" w:bottom="1440" w:gutter="0" w:footer="0" w:header="0"/>
          <w:type w:val="continuous"/>
        </w:sectPr>
      </w:pPr>
    </w:p>
    <w:p>
      <w:pPr>
        <w:spacing w:after="0" w:line="46" w:lineRule="exact"/>
        <w:rPr>
          <w:sz w:val="20"/>
          <w:szCs w:val="20"/>
          <w:color w:val="auto"/>
        </w:rPr>
      </w:pPr>
    </w:p>
    <w:p>
      <w:pPr>
        <w:ind w:left="9060"/>
        <w:spacing w:after="0"/>
        <w:rPr>
          <w:sz w:val="20"/>
          <w:szCs w:val="20"/>
          <w:color w:val="auto"/>
        </w:rPr>
      </w:pPr>
      <w:r>
        <w:rPr>
          <w:rFonts w:ascii="Arial" w:cs="Arial" w:eastAsia="Arial" w:hAnsi="Arial"/>
          <w:sz w:val="15"/>
          <w:szCs w:val="15"/>
          <w:b w:val="1"/>
          <w:bCs w:val="1"/>
          <w:color w:val="58358F"/>
        </w:rPr>
        <w:t>2023 PROXY STATEMENT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3"/>
          <w:szCs w:val="13"/>
          <w:color w:val="0000FF"/>
        </w:rPr>
        <w:t>Back to Contents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5320" w:type="dxa"/>
            <w:vAlign w:val="bottom"/>
            <w:tcBorders>
              <w:bottom w:val="single" w:sz="8" w:color="582C83"/>
            </w:tcBorders>
          </w:tcPr>
          <w:p>
            <w:pPr>
              <w:ind w:left="80"/>
              <w:spacing w:after="0"/>
              <w:rPr>
                <w:sz w:val="20"/>
                <w:szCs w:val="20"/>
                <w:color w:val="auto"/>
              </w:rPr>
            </w:pPr>
            <w:r>
              <w:rPr>
                <w:rFonts w:ascii="Arial" w:cs="Arial" w:eastAsia="Arial" w:hAnsi="Arial"/>
                <w:sz w:val="20"/>
                <w:szCs w:val="20"/>
                <w:b w:val="1"/>
                <w:bCs w:val="1"/>
                <w:color w:val="auto"/>
              </w:rPr>
              <w:t>Key Practice or Policy</w:t>
            </w:r>
          </w:p>
        </w:tc>
        <w:tc>
          <w:tcPr>
            <w:tcW w:w="5920" w:type="dxa"/>
            <w:vAlign w:val="bottom"/>
            <w:tcBorders>
              <w:bottom w:val="single" w:sz="8" w:color="582C83"/>
            </w:tcBorders>
          </w:tcPr>
          <w:p>
            <w:pPr>
              <w:ind w:left="160"/>
              <w:spacing w:after="0"/>
              <w:rPr>
                <w:sz w:val="20"/>
                <w:szCs w:val="20"/>
                <w:color w:val="auto"/>
              </w:rPr>
            </w:pPr>
            <w:r>
              <w:rPr>
                <w:rFonts w:ascii="Arial" w:cs="Arial" w:eastAsia="Arial" w:hAnsi="Arial"/>
                <w:sz w:val="20"/>
                <w:szCs w:val="20"/>
                <w:b w:val="1"/>
                <w:bCs w:val="1"/>
                <w:color w:val="auto"/>
              </w:rPr>
              <w:t>Benefits</w:t>
            </w:r>
          </w:p>
        </w:tc>
      </w:tr>
      <w:tr>
        <w:trPr>
          <w:trHeight w:val="247"/>
        </w:trPr>
        <w:tc>
          <w:tcPr>
            <w:tcW w:w="5320" w:type="dxa"/>
            <w:vAlign w:val="bottom"/>
          </w:tcPr>
          <w:p>
            <w:pPr>
              <w:ind w:left="80"/>
              <w:spacing w:after="0"/>
              <w:rPr>
                <w:sz w:val="20"/>
                <w:szCs w:val="20"/>
                <w:color w:val="auto"/>
              </w:rPr>
            </w:pPr>
            <w:r>
              <w:rPr>
                <w:rFonts w:ascii="Arial" w:cs="Arial" w:eastAsia="Arial" w:hAnsi="Arial"/>
                <w:sz w:val="20"/>
                <w:szCs w:val="20"/>
                <w:b w:val="1"/>
                <w:bCs w:val="1"/>
                <w:color w:val="582C83"/>
              </w:rPr>
              <w:t xml:space="preserve">Proxy Access. </w:t>
            </w:r>
            <w:r>
              <w:rPr>
                <w:rFonts w:ascii="Arial" w:cs="Arial" w:eastAsia="Arial" w:hAnsi="Arial"/>
                <w:sz w:val="20"/>
                <w:szCs w:val="20"/>
                <w:color w:val="000000"/>
              </w:rPr>
              <w:t>Shareholders that own 3% or more of our</w:t>
            </w:r>
          </w:p>
        </w:tc>
        <w:tc>
          <w:tcPr>
            <w:tcW w:w="5920" w:type="dxa"/>
            <w:vAlign w:val="bottom"/>
          </w:tcPr>
          <w:p>
            <w:pPr>
              <w:ind w:left="160"/>
              <w:spacing w:after="0"/>
              <w:rPr>
                <w:sz w:val="20"/>
                <w:szCs w:val="20"/>
                <w:color w:val="auto"/>
              </w:rPr>
            </w:pPr>
            <w:r>
              <w:rPr>
                <w:rFonts w:ascii="Arial" w:cs="Arial" w:eastAsia="Arial" w:hAnsi="Arial"/>
                <w:sz w:val="20"/>
                <w:szCs w:val="20"/>
                <w:color w:val="auto"/>
              </w:rPr>
              <w:t>Strengthens Board accountability and encourages engagement</w:t>
            </w:r>
          </w:p>
        </w:tc>
      </w:tr>
      <w:tr>
        <w:trPr>
          <w:trHeight w:val="223"/>
        </w:trPr>
        <w:tc>
          <w:tcPr>
            <w:tcW w:w="5320" w:type="dxa"/>
            <w:vAlign w:val="bottom"/>
          </w:tcPr>
          <w:p>
            <w:pPr>
              <w:ind w:left="80"/>
              <w:spacing w:after="0" w:line="224" w:lineRule="exact"/>
              <w:rPr>
                <w:sz w:val="20"/>
                <w:szCs w:val="20"/>
                <w:color w:val="auto"/>
              </w:rPr>
            </w:pPr>
            <w:r>
              <w:rPr>
                <w:rFonts w:ascii="Arial" w:cs="Arial" w:eastAsia="Arial" w:hAnsi="Arial"/>
                <w:sz w:val="20"/>
                <w:szCs w:val="20"/>
                <w:color w:val="auto"/>
              </w:rPr>
              <w:t>outstanding Common Stock continuously for at least three</w:t>
            </w:r>
          </w:p>
        </w:tc>
        <w:tc>
          <w:tcPr>
            <w:tcW w:w="5920" w:type="dxa"/>
            <w:vAlign w:val="bottom"/>
          </w:tcPr>
          <w:p>
            <w:pPr>
              <w:ind w:left="160"/>
              <w:spacing w:after="0" w:line="224" w:lineRule="exact"/>
              <w:rPr>
                <w:sz w:val="20"/>
                <w:szCs w:val="20"/>
                <w:color w:val="auto"/>
              </w:rPr>
            </w:pPr>
            <w:r>
              <w:rPr>
                <w:rFonts w:ascii="Arial" w:cs="Arial" w:eastAsia="Arial" w:hAnsi="Arial"/>
                <w:sz w:val="20"/>
                <w:szCs w:val="20"/>
                <w:color w:val="auto"/>
              </w:rPr>
              <w:t>with shareholders regarding Board composition.</w:t>
            </w:r>
          </w:p>
        </w:tc>
      </w:tr>
      <w:tr>
        <w:trPr>
          <w:trHeight w:val="223"/>
        </w:trPr>
        <w:tc>
          <w:tcPr>
            <w:tcW w:w="5320" w:type="dxa"/>
            <w:vAlign w:val="bottom"/>
          </w:tcPr>
          <w:p>
            <w:pPr>
              <w:ind w:left="80"/>
              <w:spacing w:after="0" w:line="224" w:lineRule="exact"/>
              <w:rPr>
                <w:sz w:val="20"/>
                <w:szCs w:val="20"/>
                <w:color w:val="auto"/>
              </w:rPr>
            </w:pPr>
            <w:r>
              <w:rPr>
                <w:rFonts w:ascii="Arial" w:cs="Arial" w:eastAsia="Arial" w:hAnsi="Arial"/>
                <w:sz w:val="20"/>
                <w:szCs w:val="20"/>
                <w:color w:val="auto"/>
              </w:rPr>
              <w:t>years may nominate up to two director nominees to our</w:t>
            </w:r>
          </w:p>
        </w:tc>
        <w:tc>
          <w:tcPr>
            <w:tcW w:w="5920" w:type="dxa"/>
            <w:vAlign w:val="bottom"/>
          </w:tcPr>
          <w:p>
            <w:pPr>
              <w:spacing w:after="0"/>
              <w:rPr>
                <w:sz w:val="19"/>
                <w:szCs w:val="19"/>
                <w:color w:val="auto"/>
              </w:rPr>
            </w:pPr>
          </w:p>
        </w:tc>
      </w:tr>
      <w:tr>
        <w:trPr>
          <w:trHeight w:val="264"/>
        </w:trPr>
        <w:tc>
          <w:tcPr>
            <w:tcW w:w="5320" w:type="dxa"/>
            <w:vAlign w:val="bottom"/>
          </w:tcPr>
          <w:p>
            <w:pPr>
              <w:ind w:left="80"/>
              <w:spacing w:after="0"/>
              <w:rPr>
                <w:sz w:val="20"/>
                <w:szCs w:val="20"/>
                <w:color w:val="auto"/>
              </w:rPr>
            </w:pPr>
            <w:r>
              <w:rPr>
                <w:rFonts w:ascii="Arial" w:cs="Arial" w:eastAsia="Arial" w:hAnsi="Arial"/>
                <w:sz w:val="20"/>
                <w:szCs w:val="20"/>
                <w:color w:val="auto"/>
              </w:rPr>
              <w:t>Proxy Statement.</w:t>
            </w:r>
          </w:p>
        </w:tc>
        <w:tc>
          <w:tcPr>
            <w:tcW w:w="59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51370" cy="5048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1370" cy="50482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p>
      <w:pPr>
        <w:spacing w:after="0" w:line="71" w:lineRule="exact"/>
        <w:rPr>
          <w:sz w:val="20"/>
          <w:szCs w:val="20"/>
          <w:color w:val="auto"/>
        </w:rPr>
      </w:pPr>
    </w:p>
    <w:p>
      <w:pPr>
        <w:jc w:val="both"/>
        <w:ind w:left="80"/>
        <w:spacing w:after="0" w:line="250" w:lineRule="auto"/>
        <w:rPr>
          <w:sz w:val="20"/>
          <w:szCs w:val="20"/>
          <w:color w:val="auto"/>
        </w:rPr>
      </w:pPr>
      <w:r>
        <w:rPr>
          <w:rFonts w:ascii="Arial" w:cs="Arial" w:eastAsia="Arial" w:hAnsi="Arial"/>
          <w:sz w:val="20"/>
          <w:szCs w:val="20"/>
          <w:b w:val="1"/>
          <w:bCs w:val="1"/>
          <w:color w:val="582C83"/>
        </w:rPr>
        <w:t xml:space="preserve">Special Meeting of Shareholders. </w:t>
      </w:r>
      <w:r>
        <w:rPr>
          <w:rFonts w:ascii="Arial" w:cs="Arial" w:eastAsia="Arial" w:hAnsi="Arial"/>
          <w:sz w:val="20"/>
          <w:szCs w:val="20"/>
          <w:color w:val="000000"/>
        </w:rPr>
        <w:t>The holders of at least</w:t>
      </w:r>
      <w:r>
        <w:rPr>
          <w:rFonts w:ascii="Arial" w:cs="Arial" w:eastAsia="Arial" w:hAnsi="Arial"/>
          <w:sz w:val="20"/>
          <w:szCs w:val="20"/>
          <w:b w:val="1"/>
          <w:bCs w:val="1"/>
          <w:color w:val="582C83"/>
        </w:rPr>
        <w:t xml:space="preserve"> </w:t>
      </w:r>
      <w:r>
        <w:rPr>
          <w:rFonts w:ascii="Arial" w:cs="Arial" w:eastAsia="Arial" w:hAnsi="Arial"/>
          <w:sz w:val="20"/>
          <w:szCs w:val="20"/>
          <w:color w:val="000000"/>
        </w:rPr>
        <w:t>20% of the voting power of our outstanding Common Stock may call a special meeting of shareholders.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220"/>
        <w:spacing w:after="0" w:line="268" w:lineRule="auto"/>
        <w:rPr>
          <w:sz w:val="20"/>
          <w:szCs w:val="20"/>
          <w:color w:val="auto"/>
        </w:rPr>
      </w:pPr>
      <w:r>
        <w:rPr>
          <w:rFonts w:ascii="Arial" w:cs="Arial" w:eastAsia="Arial" w:hAnsi="Arial"/>
          <w:sz w:val="20"/>
          <w:szCs w:val="20"/>
          <w:color w:val="auto"/>
        </w:rPr>
        <w:t>Strengthens Board accountability and encourages engagement with shareholders regarding important matters.</w:t>
      </w:r>
    </w:p>
    <w:p>
      <w:pPr>
        <w:spacing w:after="0" w:line="262" w:lineRule="exact"/>
        <w:rPr>
          <w:sz w:val="20"/>
          <w:szCs w:val="20"/>
          <w:color w:val="auto"/>
        </w:rPr>
      </w:pPr>
    </w:p>
    <w:p>
      <w:pPr>
        <w:sectPr>
          <w:pgSz w:w="11900" w:h="16838" w:orient="portrait"/>
          <w:cols w:equalWidth="0" w:num="2">
            <w:col w:w="5280" w:space="200"/>
            <w:col w:w="5780"/>
          </w:cols>
          <w:pgMar w:left="320" w:top="132" w:right="319" w:bottom="1440" w:gutter="0" w:footer="0" w:header="0"/>
          <w:type w:val="continuous"/>
        </w:sectPr>
      </w:pPr>
    </w:p>
    <w:tbl>
      <w:tblPr>
        <w:tblLayout w:type="fixed"/>
        <w:tblInd w:w="10" w:type="dxa"/>
        <w:tblCellMar>
          <w:top w:w="0" w:type="dxa"/>
          <w:left w:w="0" w:type="dxa"/>
          <w:bottom w:w="0" w:type="dxa"/>
          <w:right w:w="0" w:type="dxa"/>
        </w:tblCellMar>
      </w:tblPr>
      <w:tr>
        <w:trPr>
          <w:trHeight w:val="230"/>
        </w:trPr>
        <w:tc>
          <w:tcPr>
            <w:tcW w:w="5420" w:type="dxa"/>
            <w:vAlign w:val="bottom"/>
          </w:tcPr>
          <w:p>
            <w:pPr>
              <w:ind w:left="80"/>
              <w:spacing w:after="0"/>
              <w:rPr>
                <w:sz w:val="20"/>
                <w:szCs w:val="20"/>
                <w:color w:val="auto"/>
              </w:rPr>
            </w:pPr>
            <w:r>
              <w:rPr>
                <w:rFonts w:ascii="Arial" w:cs="Arial" w:eastAsia="Arial" w:hAnsi="Arial"/>
                <w:sz w:val="20"/>
                <w:szCs w:val="20"/>
                <w:b w:val="1"/>
                <w:bCs w:val="1"/>
                <w:color w:val="582C83"/>
              </w:rPr>
              <w:t>Regular Shareholder Engagement.</w:t>
            </w:r>
          </w:p>
        </w:tc>
        <w:tc>
          <w:tcPr>
            <w:tcW w:w="5840" w:type="dxa"/>
            <w:vAlign w:val="bottom"/>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Following our 2022 Annual Meeting of Shareholders, we</w:t>
            </w:r>
          </w:p>
        </w:tc>
        <w:tc>
          <w:tcPr>
            <w:tcW w:w="0" w:type="dxa"/>
            <w:vAlign w:val="bottom"/>
          </w:tcPr>
          <w:p>
            <w:pPr>
              <w:spacing w:after="0"/>
              <w:rPr>
                <w:sz w:val="1"/>
                <w:szCs w:val="1"/>
                <w:color w:val="auto"/>
              </w:rPr>
            </w:pPr>
          </w:p>
        </w:tc>
      </w:tr>
      <w:tr>
        <w:trPr>
          <w:trHeight w:val="237"/>
        </w:trPr>
        <w:tc>
          <w:tcPr>
            <w:tcW w:w="5420" w:type="dxa"/>
            <w:vAlign w:val="bottom"/>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We regularly engage with shareholders to seek their input</w:t>
            </w:r>
          </w:p>
        </w:tc>
        <w:tc>
          <w:tcPr>
            <w:tcW w:w="5840" w:type="dxa"/>
            <w:vAlign w:val="bottom"/>
          </w:tcPr>
          <w:p>
            <w:pPr>
              <w:ind w:left="220"/>
              <w:spacing w:after="0"/>
              <w:rPr>
                <w:sz w:val="20"/>
                <w:szCs w:val="20"/>
                <w:color w:val="auto"/>
              </w:rPr>
            </w:pPr>
            <w:r>
              <w:rPr>
                <w:rFonts w:ascii="Arial" w:cs="Arial" w:eastAsia="Arial" w:hAnsi="Arial"/>
                <w:sz w:val="20"/>
                <w:szCs w:val="20"/>
                <w:color w:val="auto"/>
              </w:rPr>
              <w:t>reached out to shareholders representing nearly 51% of our</w:t>
            </w:r>
          </w:p>
        </w:tc>
        <w:tc>
          <w:tcPr>
            <w:tcW w:w="0" w:type="dxa"/>
            <w:vAlign w:val="bottom"/>
          </w:tcPr>
          <w:p>
            <w:pPr>
              <w:spacing w:after="0"/>
              <w:rPr>
                <w:sz w:val="1"/>
                <w:szCs w:val="1"/>
                <w:color w:val="auto"/>
              </w:rPr>
            </w:pPr>
          </w:p>
        </w:tc>
      </w:tr>
      <w:tr>
        <w:trPr>
          <w:trHeight w:val="223"/>
        </w:trPr>
        <w:tc>
          <w:tcPr>
            <w:tcW w:w="5420" w:type="dxa"/>
            <w:vAlign w:val="bottom"/>
          </w:tcPr>
          <w:p>
            <w:pPr>
              <w:ind w:left="240"/>
              <w:spacing w:after="0" w:line="224" w:lineRule="exact"/>
              <w:rPr>
                <w:sz w:val="20"/>
                <w:szCs w:val="20"/>
                <w:color w:val="auto"/>
              </w:rPr>
            </w:pPr>
            <w:r>
              <w:rPr>
                <w:rFonts w:ascii="Arial" w:cs="Arial" w:eastAsia="Arial" w:hAnsi="Arial"/>
                <w:sz w:val="20"/>
                <w:szCs w:val="20"/>
                <w:color w:val="auto"/>
              </w:rPr>
              <w:t>on emerging issues, address their questions and</w:t>
            </w:r>
          </w:p>
        </w:tc>
        <w:tc>
          <w:tcPr>
            <w:tcW w:w="5840" w:type="dxa"/>
            <w:vAlign w:val="bottom"/>
          </w:tcPr>
          <w:p>
            <w:pPr>
              <w:ind w:left="220"/>
              <w:spacing w:after="0" w:line="224" w:lineRule="exact"/>
              <w:rPr>
                <w:sz w:val="20"/>
                <w:szCs w:val="20"/>
                <w:color w:val="auto"/>
              </w:rPr>
            </w:pPr>
            <w:r>
              <w:rPr>
                <w:rFonts w:ascii="Arial" w:cs="Arial" w:eastAsia="Arial" w:hAnsi="Arial"/>
                <w:sz w:val="20"/>
                <w:szCs w:val="20"/>
                <w:color w:val="auto"/>
              </w:rPr>
              <w:t>outstanding shares, and engaged with 17 different</w:t>
            </w:r>
          </w:p>
        </w:tc>
        <w:tc>
          <w:tcPr>
            <w:tcW w:w="0" w:type="dxa"/>
            <w:vAlign w:val="bottom"/>
          </w:tcPr>
          <w:p>
            <w:pPr>
              <w:spacing w:after="0"/>
              <w:rPr>
                <w:sz w:val="1"/>
                <w:szCs w:val="1"/>
                <w:color w:val="auto"/>
              </w:rPr>
            </w:pPr>
          </w:p>
        </w:tc>
      </w:tr>
      <w:tr>
        <w:trPr>
          <w:trHeight w:val="223"/>
        </w:trPr>
        <w:tc>
          <w:tcPr>
            <w:tcW w:w="5420" w:type="dxa"/>
            <w:vAlign w:val="bottom"/>
          </w:tcPr>
          <w:p>
            <w:pPr>
              <w:ind w:left="240"/>
              <w:spacing w:after="0" w:line="224" w:lineRule="exact"/>
              <w:rPr>
                <w:sz w:val="20"/>
                <w:szCs w:val="20"/>
                <w:color w:val="auto"/>
              </w:rPr>
            </w:pPr>
            <w:r>
              <w:rPr>
                <w:rFonts w:ascii="Arial" w:cs="Arial" w:eastAsia="Arial" w:hAnsi="Arial"/>
                <w:sz w:val="20"/>
                <w:szCs w:val="20"/>
                <w:color w:val="auto"/>
              </w:rPr>
              <w:t>understand their perspectives.</w:t>
            </w:r>
          </w:p>
        </w:tc>
        <w:tc>
          <w:tcPr>
            <w:tcW w:w="5840" w:type="dxa"/>
            <w:vAlign w:val="bottom"/>
          </w:tcPr>
          <w:p>
            <w:pPr>
              <w:ind w:left="220"/>
              <w:spacing w:after="0" w:line="224" w:lineRule="exact"/>
              <w:rPr>
                <w:sz w:val="20"/>
                <w:szCs w:val="20"/>
                <w:color w:val="auto"/>
              </w:rPr>
            </w:pPr>
            <w:r>
              <w:rPr>
                <w:rFonts w:ascii="Arial" w:cs="Arial" w:eastAsia="Arial" w:hAnsi="Arial"/>
                <w:sz w:val="20"/>
                <w:szCs w:val="20"/>
                <w:color w:val="auto"/>
              </w:rPr>
              <w:t>shareholders that collectively represent approximately 30% of</w:t>
            </w:r>
          </w:p>
        </w:tc>
        <w:tc>
          <w:tcPr>
            <w:tcW w:w="0" w:type="dxa"/>
            <w:vAlign w:val="bottom"/>
          </w:tcPr>
          <w:p>
            <w:pPr>
              <w:spacing w:after="0"/>
              <w:rPr>
                <w:sz w:val="1"/>
                <w:szCs w:val="1"/>
                <w:color w:val="auto"/>
              </w:rPr>
            </w:pPr>
          </w:p>
        </w:tc>
      </w:tr>
      <w:tr>
        <w:trPr>
          <w:trHeight w:val="210"/>
        </w:trPr>
        <w:tc>
          <w:tcPr>
            <w:tcW w:w="5420" w:type="dxa"/>
            <w:vAlign w:val="bottom"/>
            <w:vMerge w:val="restart"/>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The independent Lead Director is available for</w:t>
            </w:r>
          </w:p>
        </w:tc>
        <w:tc>
          <w:tcPr>
            <w:tcW w:w="5840" w:type="dxa"/>
            <w:vAlign w:val="bottom"/>
          </w:tcPr>
          <w:p>
            <w:pPr>
              <w:ind w:left="220"/>
              <w:spacing w:after="0" w:line="210" w:lineRule="exact"/>
              <w:rPr>
                <w:sz w:val="20"/>
                <w:szCs w:val="20"/>
                <w:color w:val="auto"/>
              </w:rPr>
            </w:pPr>
            <w:r>
              <w:rPr>
                <w:rFonts w:ascii="Arial" w:cs="Arial" w:eastAsia="Arial" w:hAnsi="Arial"/>
                <w:sz w:val="20"/>
                <w:szCs w:val="20"/>
                <w:color w:val="auto"/>
              </w:rPr>
              <w:t>our outstanding shares. The independent Lead Director met</w:t>
            </w:r>
          </w:p>
        </w:tc>
        <w:tc>
          <w:tcPr>
            <w:tcW w:w="0" w:type="dxa"/>
            <w:vAlign w:val="bottom"/>
          </w:tcPr>
          <w:p>
            <w:pPr>
              <w:spacing w:after="0"/>
              <w:rPr>
                <w:sz w:val="1"/>
                <w:szCs w:val="1"/>
                <w:color w:val="auto"/>
              </w:rPr>
            </w:pPr>
          </w:p>
        </w:tc>
      </w:tr>
      <w:tr>
        <w:trPr>
          <w:trHeight w:val="112"/>
        </w:trPr>
        <w:tc>
          <w:tcPr>
            <w:tcW w:w="5420" w:type="dxa"/>
            <w:vAlign w:val="bottom"/>
            <w:vMerge w:val="continue"/>
          </w:tcPr>
          <w:p>
            <w:pPr>
              <w:spacing w:after="0"/>
              <w:rPr>
                <w:sz w:val="9"/>
                <w:szCs w:val="9"/>
                <w:color w:val="auto"/>
              </w:rPr>
            </w:pPr>
          </w:p>
        </w:tc>
        <w:tc>
          <w:tcPr>
            <w:tcW w:w="5840" w:type="dxa"/>
            <w:vAlign w:val="bottom"/>
            <w:vMerge w:val="restart"/>
          </w:tcPr>
          <w:p>
            <w:pPr>
              <w:ind w:left="220"/>
              <w:spacing w:after="0" w:line="224" w:lineRule="exact"/>
              <w:rPr>
                <w:sz w:val="20"/>
                <w:szCs w:val="20"/>
                <w:color w:val="auto"/>
              </w:rPr>
            </w:pPr>
            <w:r>
              <w:rPr>
                <w:rFonts w:ascii="Arial" w:cs="Arial" w:eastAsia="Arial" w:hAnsi="Arial"/>
                <w:sz w:val="20"/>
                <w:szCs w:val="20"/>
                <w:color w:val="auto"/>
              </w:rPr>
              <w:t>with shareholders representing approximately 19% of our</w:t>
            </w:r>
          </w:p>
        </w:tc>
        <w:tc>
          <w:tcPr>
            <w:tcW w:w="0" w:type="dxa"/>
            <w:vAlign w:val="bottom"/>
          </w:tcPr>
          <w:p>
            <w:pPr>
              <w:spacing w:after="0"/>
              <w:rPr>
                <w:sz w:val="1"/>
                <w:szCs w:val="1"/>
                <w:color w:val="auto"/>
              </w:rPr>
            </w:pPr>
          </w:p>
        </w:tc>
      </w:tr>
      <w:tr>
        <w:trPr>
          <w:trHeight w:val="112"/>
        </w:trPr>
        <w:tc>
          <w:tcPr>
            <w:tcW w:w="5420" w:type="dxa"/>
            <w:vAlign w:val="bottom"/>
            <w:vMerge w:val="restart"/>
          </w:tcPr>
          <w:p>
            <w:pPr>
              <w:ind w:left="240"/>
              <w:spacing w:after="0"/>
              <w:rPr>
                <w:sz w:val="20"/>
                <w:szCs w:val="20"/>
                <w:color w:val="auto"/>
              </w:rPr>
            </w:pPr>
            <w:r>
              <w:rPr>
                <w:rFonts w:ascii="Arial" w:cs="Arial" w:eastAsia="Arial" w:hAnsi="Arial"/>
                <w:sz w:val="20"/>
                <w:szCs w:val="20"/>
                <w:color w:val="auto"/>
              </w:rPr>
              <w:t>consultation with our major shareholders.</w:t>
            </w:r>
          </w:p>
        </w:tc>
        <w:tc>
          <w:tcPr>
            <w:tcW w:w="5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5420" w:type="dxa"/>
            <w:vAlign w:val="bottom"/>
            <w:vMerge w:val="continue"/>
          </w:tcPr>
          <w:p>
            <w:pPr>
              <w:spacing w:after="0"/>
              <w:rPr>
                <w:sz w:val="13"/>
                <w:szCs w:val="13"/>
                <w:color w:val="auto"/>
              </w:rPr>
            </w:pPr>
          </w:p>
        </w:tc>
        <w:tc>
          <w:tcPr>
            <w:tcW w:w="5840" w:type="dxa"/>
            <w:vAlign w:val="bottom"/>
            <w:vMerge w:val="restart"/>
          </w:tcPr>
          <w:p>
            <w:pPr>
              <w:ind w:left="220"/>
              <w:spacing w:after="0"/>
              <w:rPr>
                <w:sz w:val="20"/>
                <w:szCs w:val="20"/>
                <w:color w:val="auto"/>
              </w:rPr>
            </w:pPr>
            <w:r>
              <w:rPr>
                <w:rFonts w:ascii="Arial" w:cs="Arial" w:eastAsia="Arial" w:hAnsi="Arial"/>
                <w:sz w:val="20"/>
                <w:szCs w:val="20"/>
                <w:color w:val="auto"/>
              </w:rPr>
              <w:t>outstanding shares.</w:t>
            </w:r>
          </w:p>
        </w:tc>
        <w:tc>
          <w:tcPr>
            <w:tcW w:w="0" w:type="dxa"/>
            <w:vAlign w:val="bottom"/>
          </w:tcPr>
          <w:p>
            <w:pPr>
              <w:spacing w:after="0"/>
              <w:rPr>
                <w:sz w:val="1"/>
                <w:szCs w:val="1"/>
                <w:color w:val="auto"/>
              </w:rPr>
            </w:pPr>
          </w:p>
        </w:tc>
      </w:tr>
      <w:tr>
        <w:trPr>
          <w:trHeight w:val="109"/>
        </w:trPr>
        <w:tc>
          <w:tcPr>
            <w:tcW w:w="5420" w:type="dxa"/>
            <w:vAlign w:val="bottom"/>
          </w:tcPr>
          <w:p>
            <w:pPr>
              <w:spacing w:after="0"/>
              <w:rPr>
                <w:sz w:val="9"/>
                <w:szCs w:val="9"/>
                <w:color w:val="auto"/>
              </w:rPr>
            </w:pPr>
          </w:p>
        </w:tc>
        <w:tc>
          <w:tcPr>
            <w:tcW w:w="5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5840" w:type="dxa"/>
            <w:vAlign w:val="bottom"/>
          </w:tcPr>
          <w:p>
            <w:pPr>
              <w:ind w:left="6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This practice provides open channels of communication with</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5840" w:type="dxa"/>
            <w:vAlign w:val="bottom"/>
          </w:tcPr>
          <w:p>
            <w:pPr>
              <w:ind w:left="220"/>
              <w:spacing w:after="0" w:line="224" w:lineRule="exact"/>
              <w:rPr>
                <w:sz w:val="20"/>
                <w:szCs w:val="20"/>
                <w:color w:val="auto"/>
              </w:rPr>
            </w:pPr>
            <w:r>
              <w:rPr>
                <w:rFonts w:ascii="Arial" w:cs="Arial" w:eastAsia="Arial" w:hAnsi="Arial"/>
                <w:sz w:val="20"/>
                <w:szCs w:val="20"/>
                <w:color w:val="auto"/>
              </w:rPr>
              <w:t>our shareholders and helps ensure we regularly consider and</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5840" w:type="dxa"/>
            <w:vAlign w:val="bottom"/>
          </w:tcPr>
          <w:p>
            <w:pPr>
              <w:ind w:left="220"/>
              <w:spacing w:after="0" w:line="224" w:lineRule="exact"/>
              <w:rPr>
                <w:sz w:val="20"/>
                <w:szCs w:val="20"/>
                <w:color w:val="auto"/>
              </w:rPr>
            </w:pPr>
            <w:r>
              <w:rPr>
                <w:rFonts w:ascii="Arial" w:cs="Arial" w:eastAsia="Arial" w:hAnsi="Arial"/>
                <w:sz w:val="20"/>
                <w:szCs w:val="20"/>
                <w:color w:val="auto"/>
              </w:rPr>
              <w:t>respond to feedback on the Company’s strategy, corporate</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5840" w:type="dxa"/>
            <w:vAlign w:val="bottom"/>
          </w:tcPr>
          <w:p>
            <w:pPr>
              <w:ind w:left="220"/>
              <w:spacing w:after="0" w:line="224" w:lineRule="exact"/>
              <w:rPr>
                <w:sz w:val="20"/>
                <w:szCs w:val="20"/>
                <w:color w:val="auto"/>
              </w:rPr>
            </w:pPr>
            <w:r>
              <w:rPr>
                <w:rFonts w:ascii="Arial" w:cs="Arial" w:eastAsia="Arial" w:hAnsi="Arial"/>
                <w:sz w:val="20"/>
                <w:szCs w:val="20"/>
                <w:color w:val="auto"/>
              </w:rPr>
              <w:t>governance, compensation and environmental, social and</w:t>
            </w:r>
          </w:p>
        </w:tc>
        <w:tc>
          <w:tcPr>
            <w:tcW w:w="0" w:type="dxa"/>
            <w:vAlign w:val="bottom"/>
          </w:tcPr>
          <w:p>
            <w:pPr>
              <w:spacing w:after="0"/>
              <w:rPr>
                <w:sz w:val="1"/>
                <w:szCs w:val="1"/>
                <w:color w:val="auto"/>
              </w:rPr>
            </w:pPr>
          </w:p>
        </w:tc>
      </w:tr>
      <w:tr>
        <w:trPr>
          <w:trHeight w:val="264"/>
        </w:trPr>
        <w:tc>
          <w:tcPr>
            <w:tcW w:w="5420" w:type="dxa"/>
            <w:vAlign w:val="bottom"/>
          </w:tcPr>
          <w:p>
            <w:pPr>
              <w:spacing w:after="0"/>
              <w:rPr>
                <w:sz w:val="22"/>
                <w:szCs w:val="22"/>
                <w:color w:val="auto"/>
              </w:rPr>
            </w:pPr>
          </w:p>
        </w:tc>
        <w:tc>
          <w:tcPr>
            <w:tcW w:w="5840" w:type="dxa"/>
            <w:vAlign w:val="bottom"/>
          </w:tcPr>
          <w:p>
            <w:pPr>
              <w:ind w:left="220"/>
              <w:spacing w:after="0"/>
              <w:rPr>
                <w:sz w:val="20"/>
                <w:szCs w:val="20"/>
                <w:color w:val="auto"/>
              </w:rPr>
            </w:pPr>
            <w:r>
              <w:rPr>
                <w:rFonts w:ascii="Arial" w:cs="Arial" w:eastAsia="Arial" w:hAnsi="Arial"/>
                <w:sz w:val="20"/>
                <w:szCs w:val="20"/>
                <w:color w:val="auto"/>
              </w:rPr>
              <w:t>governance (“ESG”) practices.</w:t>
            </w:r>
          </w:p>
        </w:tc>
        <w:tc>
          <w:tcPr>
            <w:tcW w:w="0" w:type="dxa"/>
            <w:vAlign w:val="bottom"/>
          </w:tcPr>
          <w:p>
            <w:pPr>
              <w:spacing w:after="0"/>
              <w:rPr>
                <w:sz w:val="1"/>
                <w:szCs w:val="1"/>
                <w:color w:val="auto"/>
              </w:rPr>
            </w:pPr>
          </w:p>
        </w:tc>
      </w:tr>
      <w:tr>
        <w:trPr>
          <w:trHeight w:val="35"/>
        </w:trPr>
        <w:tc>
          <w:tcPr>
            <w:tcW w:w="5420" w:type="dxa"/>
            <w:vAlign w:val="bottom"/>
            <w:tcBorders>
              <w:bottom w:val="single" w:sz="8" w:color="582C83"/>
            </w:tcBorders>
          </w:tcPr>
          <w:p>
            <w:pPr>
              <w:spacing w:after="0"/>
              <w:rPr>
                <w:sz w:val="3"/>
                <w:szCs w:val="3"/>
                <w:color w:val="auto"/>
              </w:rPr>
            </w:pPr>
          </w:p>
        </w:tc>
        <w:tc>
          <w:tcPr>
            <w:tcW w:w="584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5420" w:type="dxa"/>
            <w:vAlign w:val="bottom"/>
            <w:tcBorders>
              <w:left w:val="single" w:sz="8" w:color="EBE6F0"/>
              <w:right w:val="single" w:sz="8" w:color="EBE6F0"/>
            </w:tcBorders>
            <w:shd w:val="clear" w:color="auto" w:fill="EAE6F0"/>
          </w:tcPr>
          <w:p>
            <w:pPr>
              <w:ind w:left="80"/>
              <w:spacing w:after="0"/>
              <w:rPr>
                <w:sz w:val="20"/>
                <w:szCs w:val="20"/>
                <w:color w:val="auto"/>
              </w:rPr>
            </w:pPr>
            <w:r>
              <w:rPr>
                <w:rFonts w:ascii="Arial" w:cs="Arial" w:eastAsia="Arial" w:hAnsi="Arial"/>
                <w:sz w:val="20"/>
                <w:szCs w:val="20"/>
                <w:b w:val="1"/>
                <w:bCs w:val="1"/>
                <w:color w:val="582C83"/>
              </w:rPr>
              <w:t xml:space="preserve">Stock Ownership Requirements. </w:t>
            </w:r>
            <w:r>
              <w:rPr>
                <w:rFonts w:ascii="Arial" w:cs="Arial" w:eastAsia="Arial" w:hAnsi="Arial"/>
                <w:sz w:val="20"/>
                <w:szCs w:val="20"/>
                <w:color w:val="000000"/>
              </w:rPr>
              <w:t>Directors must own</w:t>
            </w:r>
          </w:p>
        </w:tc>
        <w:tc>
          <w:tcPr>
            <w:tcW w:w="5840" w:type="dxa"/>
            <w:vAlign w:val="bottom"/>
            <w:tcBorders>
              <w:right w:val="single" w:sz="8" w:color="EBE6F0"/>
            </w:tcBorders>
            <w:shd w:val="clear" w:color="auto" w:fill="EAE6F0"/>
          </w:tcPr>
          <w:p>
            <w:pPr>
              <w:ind w:left="60"/>
              <w:spacing w:after="0"/>
              <w:rPr>
                <w:sz w:val="20"/>
                <w:szCs w:val="20"/>
                <w:color w:val="auto"/>
              </w:rPr>
            </w:pPr>
            <w:r>
              <w:rPr>
                <w:rFonts w:ascii="Arial" w:cs="Arial" w:eastAsia="Arial" w:hAnsi="Arial"/>
                <w:sz w:val="20"/>
                <w:szCs w:val="20"/>
                <w:color w:val="auto"/>
              </w:rPr>
              <w:t>Aligns directors’ and shareholders’ long-term interests.</w:t>
            </w:r>
          </w:p>
        </w:tc>
        <w:tc>
          <w:tcPr>
            <w:tcW w:w="0" w:type="dxa"/>
            <w:vAlign w:val="bottom"/>
          </w:tcPr>
          <w:p>
            <w:pPr>
              <w:spacing w:after="0"/>
              <w:rPr>
                <w:sz w:val="1"/>
                <w:szCs w:val="1"/>
                <w:color w:val="auto"/>
              </w:rPr>
            </w:pPr>
          </w:p>
        </w:tc>
      </w:tr>
      <w:tr>
        <w:trPr>
          <w:trHeight w:val="223"/>
        </w:trPr>
        <w:tc>
          <w:tcPr>
            <w:tcW w:w="5420" w:type="dxa"/>
            <w:vAlign w:val="bottom"/>
            <w:tcBorders>
              <w:left w:val="single" w:sz="8" w:color="EBE6F0"/>
              <w:right w:val="single" w:sz="8" w:color="EBE6F0"/>
            </w:tcBorders>
            <w:shd w:val="clear" w:color="auto" w:fill="EAE6F0"/>
          </w:tcPr>
          <w:p>
            <w:pPr>
              <w:ind w:left="80"/>
              <w:spacing w:after="0" w:line="224" w:lineRule="exact"/>
              <w:rPr>
                <w:sz w:val="20"/>
                <w:szCs w:val="20"/>
                <w:color w:val="auto"/>
              </w:rPr>
            </w:pPr>
            <w:r>
              <w:rPr>
                <w:rFonts w:ascii="Arial" w:cs="Arial" w:eastAsia="Arial" w:hAnsi="Arial"/>
                <w:sz w:val="20"/>
                <w:szCs w:val="20"/>
                <w:color w:val="auto"/>
              </w:rPr>
              <w:t>shares of our Common Stock in an amount equal to five</w:t>
            </w:r>
          </w:p>
        </w:tc>
        <w:tc>
          <w:tcPr>
            <w:tcW w:w="5840" w:type="dxa"/>
            <w:vAlign w:val="bottom"/>
            <w:tcBorders>
              <w:right w:val="single" w:sz="8" w:color="EBE6F0"/>
            </w:tcBorders>
            <w:shd w:val="clear" w:color="auto" w:fill="EAE6F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left w:val="single" w:sz="8" w:color="EBE6F0"/>
              <w:right w:val="single" w:sz="8" w:color="EBE6F0"/>
            </w:tcBorders>
            <w:shd w:val="clear" w:color="auto" w:fill="EAE6F0"/>
          </w:tcPr>
          <w:p>
            <w:pPr>
              <w:ind w:left="80"/>
              <w:spacing w:after="0" w:line="224" w:lineRule="exact"/>
              <w:rPr>
                <w:sz w:val="20"/>
                <w:szCs w:val="20"/>
                <w:color w:val="auto"/>
              </w:rPr>
            </w:pPr>
            <w:r>
              <w:rPr>
                <w:rFonts w:ascii="Arial" w:cs="Arial" w:eastAsia="Arial" w:hAnsi="Arial"/>
                <w:sz w:val="20"/>
                <w:szCs w:val="20"/>
                <w:color w:val="auto"/>
              </w:rPr>
              <w:t>times the annual Board cash retainer within five years of</w:t>
            </w:r>
          </w:p>
        </w:tc>
        <w:tc>
          <w:tcPr>
            <w:tcW w:w="5840" w:type="dxa"/>
            <w:vAlign w:val="bottom"/>
            <w:tcBorders>
              <w:right w:val="single" w:sz="8" w:color="EBE6F0"/>
            </w:tcBorders>
            <w:shd w:val="clear" w:color="auto" w:fill="EAE6F0"/>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5420" w:type="dxa"/>
            <w:vAlign w:val="bottom"/>
            <w:tcBorders>
              <w:left w:val="single" w:sz="8" w:color="EBE6F0"/>
              <w:bottom w:val="single" w:sz="8" w:color="EAE6F0"/>
              <w:right w:val="single" w:sz="8" w:color="EBE6F0"/>
            </w:tcBorders>
            <w:shd w:val="clear" w:color="auto" w:fill="EAE6F0"/>
          </w:tcPr>
          <w:p>
            <w:pPr>
              <w:ind w:left="80"/>
              <w:spacing w:after="0"/>
              <w:rPr>
                <w:sz w:val="20"/>
                <w:szCs w:val="20"/>
                <w:color w:val="auto"/>
              </w:rPr>
            </w:pPr>
            <w:r>
              <w:rPr>
                <w:rFonts w:ascii="Arial" w:cs="Arial" w:eastAsia="Arial" w:hAnsi="Arial"/>
                <w:sz w:val="20"/>
                <w:szCs w:val="20"/>
                <w:color w:val="auto"/>
              </w:rPr>
              <w:t>joining the Board.</w:t>
            </w:r>
          </w:p>
        </w:tc>
        <w:tc>
          <w:tcPr>
            <w:tcW w:w="5840" w:type="dxa"/>
            <w:vAlign w:val="bottom"/>
            <w:tcBorders>
              <w:bottom w:val="single" w:sz="8" w:color="EAE6F0"/>
              <w:right w:val="single" w:sz="8" w:color="EBE6F0"/>
            </w:tcBorders>
            <w:shd w:val="clear" w:color="auto" w:fill="EAE6F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20" w:type="dxa"/>
            <w:vAlign w:val="bottom"/>
            <w:tcBorders>
              <w:left w:val="single" w:sz="8" w:color="EBE6F0"/>
              <w:right w:val="single" w:sz="8" w:color="EBE6F0"/>
            </w:tcBorders>
            <w:shd w:val="clear" w:color="auto" w:fill="582C83"/>
          </w:tcPr>
          <w:p>
            <w:pPr>
              <w:spacing w:after="0" w:line="20" w:lineRule="exact"/>
              <w:rPr>
                <w:sz w:val="1"/>
                <w:szCs w:val="1"/>
                <w:color w:val="auto"/>
              </w:rPr>
            </w:pPr>
          </w:p>
        </w:tc>
        <w:tc>
          <w:tcPr>
            <w:tcW w:w="5840" w:type="dxa"/>
            <w:vAlign w:val="bottom"/>
            <w:tcBorders>
              <w:right w:val="single" w:sz="8" w:color="EBE6F0"/>
            </w:tcBorders>
            <w:shd w:val="clear" w:color="auto" w:fill="582C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sectPr>
          <w:pgSz w:w="11900" w:h="16838" w:orient="portrait"/>
          <w:cols w:equalWidth="0" w:num="1">
            <w:col w:w="11260"/>
          </w:cols>
          <w:pgMar w:left="320" w:top="132" w:right="319" w:bottom="1440" w:gutter="0" w:footer="0" w:header="0"/>
          <w:type w:val="continuous"/>
        </w:sectPr>
      </w:pPr>
    </w:p>
    <w:p>
      <w:pPr>
        <w:ind w:left="80"/>
        <w:spacing w:after="0" w:line="257" w:lineRule="auto"/>
        <w:rPr>
          <w:sz w:val="20"/>
          <w:szCs w:val="20"/>
          <w:color w:val="auto"/>
        </w:rPr>
      </w:pPr>
      <w:r>
        <w:rPr>
          <w:rFonts w:ascii="Arial" w:cs="Arial" w:eastAsia="Arial" w:hAnsi="Arial"/>
          <w:sz w:val="19"/>
          <w:szCs w:val="19"/>
          <w:b w:val="1"/>
          <w:bCs w:val="1"/>
          <w:color w:val="582C83"/>
        </w:rPr>
        <w:t xml:space="preserve">Anti-Hedging Policy. </w:t>
      </w:r>
      <w:r>
        <w:rPr>
          <w:rFonts w:ascii="Arial" w:cs="Arial" w:eastAsia="Arial" w:hAnsi="Arial"/>
          <w:sz w:val="19"/>
          <w:szCs w:val="19"/>
          <w:color w:val="000000"/>
        </w:rPr>
        <w:t>Our Insider Trading Policy prohibits</w:t>
      </w:r>
      <w:r>
        <w:rPr>
          <w:rFonts w:ascii="Arial" w:cs="Arial" w:eastAsia="Arial" w:hAnsi="Arial"/>
          <w:sz w:val="19"/>
          <w:szCs w:val="19"/>
          <w:b w:val="1"/>
          <w:bCs w:val="1"/>
          <w:color w:val="582C83"/>
        </w:rPr>
        <w:t xml:space="preserve"> </w:t>
      </w:r>
      <w:r>
        <w:rPr>
          <w:rFonts w:ascii="Arial" w:cs="Arial" w:eastAsia="Arial" w:hAnsi="Arial"/>
          <w:sz w:val="19"/>
          <w:szCs w:val="19"/>
          <w:color w:val="000000"/>
        </w:rPr>
        <w:t>employees and directors from engaging in transactions involving derivative securities, short-selling, or hedging transactions that create an actual or potential bet against Mondelēz International, Inc. or one of its subsidiaries.</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20"/>
          <w:szCs w:val="20"/>
          <w:color w:val="auto"/>
        </w:rPr>
        <w:t>Eliminates the opportunity to benefit from a decrease in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431165</wp:posOffset>
            </wp:positionV>
            <wp:extent cx="714311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-3479800</wp:posOffset>
            </wp:positionH>
            <wp:positionV relativeFrom="paragraph">
              <wp:posOffset>660400</wp:posOffset>
            </wp:positionV>
            <wp:extent cx="714311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856" w:lineRule="exact"/>
        <w:rPr>
          <w:sz w:val="20"/>
          <w:szCs w:val="20"/>
          <w:color w:val="auto"/>
        </w:rPr>
      </w:pPr>
    </w:p>
    <w:p>
      <w:pPr>
        <w:sectPr>
          <w:pgSz w:w="11900" w:h="16838" w:orient="portrait"/>
          <w:cols w:equalWidth="0" w:num="2">
            <w:col w:w="5160" w:space="320"/>
            <w:col w:w="5780"/>
          </w:cols>
          <w:pgMar w:left="320" w:top="132" w:right="319" w:bottom="1440" w:gutter="0" w:footer="0" w:header="0"/>
          <w:type w:val="continuous"/>
        </w:sectPr>
      </w:pPr>
    </w:p>
    <w:p>
      <w:pPr>
        <w:spacing w:after="0" w:line="258" w:lineRule="exact"/>
        <w:rPr>
          <w:sz w:val="20"/>
          <w:szCs w:val="20"/>
          <w:color w:val="auto"/>
        </w:rPr>
      </w:pPr>
    </w:p>
    <w:p>
      <w:pPr>
        <w:ind w:left="9060"/>
        <w:spacing w:after="0"/>
        <w:rPr>
          <w:sz w:val="20"/>
          <w:szCs w:val="20"/>
          <w:color w:val="auto"/>
        </w:rPr>
      </w:pPr>
      <w:r>
        <w:rPr>
          <w:rFonts w:ascii="Arial" w:cs="Arial" w:eastAsia="Arial" w:hAnsi="Arial"/>
          <w:sz w:val="15"/>
          <w:szCs w:val="15"/>
          <w:b w:val="1"/>
          <w:bCs w:val="1"/>
          <w:color w:val="58358F"/>
        </w:rPr>
        <w:t>2023 PROXY STATEMENT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type w:val="continuous"/>
        </w:sectPr>
      </w:pPr>
    </w:p>
    <w:bookmarkStart w:id="19" w:name="page20"/>
    <w:bookmarkEnd w:id="19"/>
    <w:p>
      <w:pPr>
        <w:ind w:left="1"/>
        <w:spacing w:after="0"/>
        <w:rPr>
          <w:sz w:val="20"/>
          <w:szCs w:val="20"/>
          <w:color w:val="auto"/>
        </w:rPr>
      </w:pPr>
      <w:r>
        <w:rPr>
          <w:rFonts w:ascii="Arial" w:cs="Arial" w:eastAsia="Arial" w:hAnsi="Arial"/>
          <w:sz w:val="13"/>
          <w:szCs w:val="13"/>
          <w:color w:val="0000FF"/>
        </w:rPr>
        <w:t>Back to Contents</w:t>
      </w:r>
    </w:p>
    <w:p>
      <w:pPr>
        <w:spacing w:after="0" w:line="200" w:lineRule="exact"/>
        <w:rPr>
          <w:sz w:val="20"/>
          <w:szCs w:val="20"/>
          <w:color w:val="auto"/>
        </w:rPr>
      </w:pPr>
    </w:p>
    <w:p>
      <w:pPr>
        <w:spacing w:after="0" w:line="278" w:lineRule="exact"/>
        <w:rPr>
          <w:sz w:val="20"/>
          <w:szCs w:val="20"/>
          <w:color w:val="auto"/>
        </w:rPr>
      </w:pPr>
    </w:p>
    <w:p>
      <w:pPr>
        <w:ind w:left="21"/>
        <w:spacing w:after="0"/>
        <w:rPr>
          <w:sz w:val="20"/>
          <w:szCs w:val="20"/>
          <w:color w:val="auto"/>
        </w:rPr>
      </w:pPr>
      <w:r>
        <w:rPr>
          <w:sz w:val="1"/>
          <w:szCs w:val="1"/>
          <w:color w:val="auto"/>
        </w:rPr>
        <w:drawing>
          <wp:inline distT="0" distB="0" distL="0" distR="0">
            <wp:extent cx="157480" cy="15748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Executive Compensation</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582C83"/>
        </w:rPr>
        <w:t>OVERVIEW OF PAY ELEMENTS</w:t>
      </w:r>
    </w:p>
    <w:p>
      <w:pPr>
        <w:spacing w:after="0" w:line="94" w:lineRule="exact"/>
        <w:rPr>
          <w:sz w:val="20"/>
          <w:szCs w:val="20"/>
          <w:color w:val="auto"/>
        </w:rPr>
      </w:pPr>
    </w:p>
    <w:p>
      <w:pPr>
        <w:jc w:val="both"/>
        <w:ind w:left="1" w:right="60"/>
        <w:spacing w:after="0" w:line="244" w:lineRule="auto"/>
        <w:rPr>
          <w:sz w:val="20"/>
          <w:szCs w:val="20"/>
          <w:color w:val="auto"/>
        </w:rPr>
      </w:pPr>
      <w:r>
        <w:rPr>
          <w:rFonts w:ascii="Arial" w:cs="Arial" w:eastAsia="Arial" w:hAnsi="Arial"/>
          <w:sz w:val="20"/>
          <w:szCs w:val="20"/>
          <w:color w:val="auto"/>
        </w:rPr>
        <w:t>This table identifies and describes the primary elements of the 2022 executive compensation program for our Named Executive Officers (“NEOs”). A</w:t>
      </w:r>
      <w:r>
        <w:rPr>
          <w:rFonts w:ascii="Times New Roman" w:cs="Times New Roman" w:eastAsia="Times New Roman" w:hAnsi="Times New Roman"/>
          <w:sz w:val="20"/>
          <w:szCs w:val="20"/>
          <w:color w:val="auto"/>
        </w:rPr>
        <w:t> </w:t>
      </w:r>
      <w:r>
        <w:rPr>
          <w:rFonts w:ascii="Arial" w:cs="Arial" w:eastAsia="Arial" w:hAnsi="Arial"/>
          <w:sz w:val="20"/>
          <w:szCs w:val="20"/>
          <w:color w:val="auto"/>
        </w:rPr>
        <w:t>more detailed discussion, including definitions of the financial measures used in our Annual Incentive Plan (“AIP”) and Performance Share Unit (“PSU”) grants, appears later in this Compensation Discussion and Analysis (“CD&amp;A”) and in 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100330</wp:posOffset>
            </wp:positionV>
            <wp:extent cx="5566410" cy="381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66410" cy="381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1" w:hanging="301"/>
        <w:spacing w:after="0"/>
        <w:tabs>
          <w:tab w:leader="none" w:pos="301" w:val="left"/>
        </w:tabs>
        <w:numPr>
          <w:ilvl w:val="0"/>
          <w:numId w:val="7"/>
        </w:numPr>
        <w:rPr>
          <w:rFonts w:ascii="Arial" w:cs="Arial" w:eastAsia="Arial" w:hAnsi="Arial"/>
          <w:sz w:val="15"/>
          <w:szCs w:val="15"/>
          <w:color w:val="auto"/>
        </w:rPr>
      </w:pPr>
      <w:r>
        <w:rPr>
          <w:rFonts w:ascii="Arial" w:cs="Arial" w:eastAsia="Arial" w:hAnsi="Arial"/>
          <w:sz w:val="15"/>
          <w:szCs w:val="15"/>
          <w:color w:val="auto"/>
        </w:rPr>
        <w:t>See definitions in Annex A.</w:t>
      </w:r>
    </w:p>
    <w:p>
      <w:pPr>
        <w:spacing w:after="0" w:line="38" w:lineRule="exact"/>
        <w:rPr>
          <w:rFonts w:ascii="Arial" w:cs="Arial" w:eastAsia="Arial" w:hAnsi="Arial"/>
          <w:sz w:val="15"/>
          <w:szCs w:val="15"/>
          <w:color w:val="auto"/>
        </w:rPr>
      </w:pPr>
    </w:p>
    <w:p>
      <w:pPr>
        <w:ind w:left="301" w:hanging="301"/>
        <w:spacing w:after="0"/>
        <w:tabs>
          <w:tab w:leader="none" w:pos="301"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SPI goals, including ESG goals. See Strategic Progress Indicators on page 77 for detail on the 2022 SPI goals.</w:t>
      </w:r>
    </w:p>
    <w:p>
      <w:pPr>
        <w:spacing w:after="0" w:line="39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2022 COMPENSATION PROGRAM DESIGN CHANGES</w:t>
      </w:r>
    </w:p>
    <w:p>
      <w:pPr>
        <w:spacing w:after="0" w:line="56" w:lineRule="exact"/>
        <w:rPr>
          <w:sz w:val="20"/>
          <w:szCs w:val="20"/>
          <w:color w:val="auto"/>
        </w:rPr>
      </w:pPr>
    </w:p>
    <w:p>
      <w:pPr>
        <w:ind w:left="1" w:right="60"/>
        <w:spacing w:after="0" w:line="268" w:lineRule="auto"/>
        <w:rPr>
          <w:sz w:val="20"/>
          <w:szCs w:val="20"/>
          <w:color w:val="auto"/>
        </w:rPr>
      </w:pPr>
      <w:r>
        <w:rPr>
          <w:rFonts w:ascii="Arial" w:cs="Arial" w:eastAsia="Arial" w:hAnsi="Arial"/>
          <w:sz w:val="20"/>
          <w:szCs w:val="20"/>
          <w:color w:val="auto"/>
        </w:rPr>
        <w:t>We did not make any material changes to our 2022 design relative to our design in 2021. Our program remains aligned with our compensation strategy and reflects ongoing shareholder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14311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color w:val="0000FF"/>
        </w:rPr>
        <w:t>Back to Contents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TOTAL TARGET COMPENSATION MIX</w:t>
      </w:r>
    </w:p>
    <w:p>
      <w:pPr>
        <w:spacing w:after="0" w:line="94"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The People and Compensation Committee places significant focus on performance-based compensation, which is provided in the form of an annual performance incentive under the AIP and stock options and PSUs under the Long-Term Incentive Plan (“LTIP”). Our</w:t>
      </w:r>
      <w:r>
        <w:rPr>
          <w:rFonts w:ascii="Times New Roman" w:cs="Times New Roman" w:eastAsia="Times New Roman" w:hAnsi="Times New Roman"/>
          <w:sz w:val="20"/>
          <w:szCs w:val="20"/>
          <w:color w:val="auto"/>
        </w:rPr>
        <w:t> </w:t>
      </w:r>
      <w:r>
        <w:rPr>
          <w:rFonts w:ascii="Arial" w:cs="Arial" w:eastAsia="Arial" w:hAnsi="Arial"/>
          <w:sz w:val="20"/>
          <w:szCs w:val="20"/>
          <w:color w:val="auto"/>
        </w:rPr>
        <w:t>focus on performance-based compensation rewards strong Company financial and operating performance and aligns the interests of our NEOs with those of our shareholders.</w:t>
      </w:r>
    </w:p>
    <w:p>
      <w:pPr>
        <w:spacing w:after="0" w:line="132"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Below we show the 2022 total target compensation mix for our CEO and, on average, our other NEOs. This compensation mix includes base pay, target annual incentive and long-term incentive grants. A significant portion of compensation for both the CEO and the other NEOs is at risk/variable pay.</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2022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43115" cy="16084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3115" cy="160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311785</wp:posOffset>
            </wp:positionV>
            <wp:extent cx="6307455" cy="15690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0745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60"/>
        <w:spacing w:after="0"/>
        <w:rPr>
          <w:sz w:val="20"/>
          <w:szCs w:val="20"/>
          <w:color w:val="auto"/>
        </w:rPr>
      </w:pPr>
      <w:r>
        <w:rPr>
          <w:rFonts w:ascii="Arial" w:cs="Arial" w:eastAsia="Arial" w:hAnsi="Arial"/>
          <w:sz w:val="41"/>
          <w:szCs w:val="41"/>
          <w:b w:val="1"/>
          <w:bCs w:val="1"/>
          <w:color w:val="582C83"/>
        </w:rPr>
        <w:t xml:space="preserve">ITEM 1. </w:t>
      </w:r>
      <w:r>
        <w:rPr>
          <w:rFonts w:ascii="Arial" w:cs="Arial" w:eastAsia="Arial" w:hAnsi="Arial"/>
          <w:sz w:val="43"/>
          <w:szCs w:val="43"/>
          <w:b w:val="1"/>
          <w:bCs w:val="1"/>
          <w:color w:val="582C83"/>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sz w:val="1"/>
          <w:szCs w:val="1"/>
          <w:color w:val="auto"/>
        </w:rPr>
        <w:drawing>
          <wp:inline distT="0" distB="0" distL="0" distR="0">
            <wp:extent cx="157480" cy="15748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How We Build an Experienced and Qualified Board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582C83"/>
        </w:rPr>
        <w:t>OBJECTIVE</w:t>
      </w:r>
    </w:p>
    <w:p>
      <w:pPr>
        <w:spacing w:after="0" w:line="94" w:lineRule="exact"/>
        <w:rPr>
          <w:sz w:val="20"/>
          <w:szCs w:val="20"/>
          <w:color w:val="auto"/>
        </w:rPr>
      </w:pPr>
    </w:p>
    <w:p>
      <w:pPr>
        <w:ind w:left="660" w:right="700"/>
        <w:spacing w:after="0" w:line="268" w:lineRule="auto"/>
        <w:rPr>
          <w:sz w:val="20"/>
          <w:szCs w:val="20"/>
          <w:color w:val="auto"/>
        </w:rPr>
      </w:pPr>
      <w:r>
        <w:rPr>
          <w:rFonts w:ascii="Arial" w:cs="Arial" w:eastAsia="Arial" w:hAnsi="Arial"/>
          <w:sz w:val="20"/>
          <w:szCs w:val="20"/>
          <w:color w:val="auto"/>
        </w:rPr>
        <w:t>The Governance Committee works with the Board to determine the appropriate mix of individuals who will form a Board that is strong in its collective knowledge, competencies and experiences.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582C83"/>
        </w:rPr>
        <w:t>HOW WE GET THERE</w:t>
      </w:r>
    </w:p>
    <w:p>
      <w:pPr>
        <w:spacing w:after="0" w:line="94" w:lineRule="exact"/>
        <w:rPr>
          <w:sz w:val="20"/>
          <w:szCs w:val="20"/>
          <w:color w:val="auto"/>
        </w:rPr>
      </w:pPr>
    </w:p>
    <w:p>
      <w:pPr>
        <w:ind w:left="660" w:right="680"/>
        <w:spacing w:after="0" w:line="262" w:lineRule="auto"/>
        <w:rPr>
          <w:sz w:val="20"/>
          <w:szCs w:val="20"/>
          <w:color w:val="auto"/>
        </w:rPr>
      </w:pPr>
      <w:r>
        <w:rPr>
          <w:rFonts w:ascii="Arial" w:cs="Arial" w:eastAsia="Arial" w:hAnsi="Arial"/>
          <w:sz w:val="19"/>
          <w:szCs w:val="19"/>
          <w:color w:val="auto"/>
        </w:rPr>
        <w:t>The Governance Committee identifies, evaluates and recommends to the Board director nominees for election at the Annual Meeting. The Committee invites director nominee suggestions from the directors, management, shareholders and others. In addition, the Governance Committee has retained a third-party executive search firm to assist in identifying and evaluating potential director nominees based on the Board’s recruitment objectives.</w:t>
      </w:r>
    </w:p>
    <w:p>
      <w:pPr>
        <w:spacing w:after="0" w:line="114" w:lineRule="exact"/>
        <w:rPr>
          <w:sz w:val="20"/>
          <w:szCs w:val="20"/>
          <w:color w:val="auto"/>
        </w:rPr>
      </w:pPr>
    </w:p>
    <w:p>
      <w:pPr>
        <w:ind w:left="660" w:right="840"/>
        <w:spacing w:after="0" w:line="244" w:lineRule="auto"/>
        <w:rPr>
          <w:sz w:val="20"/>
          <w:szCs w:val="20"/>
          <w:color w:val="auto"/>
        </w:rPr>
      </w:pPr>
      <w:r>
        <w:rPr>
          <w:rFonts w:ascii="Arial" w:cs="Arial" w:eastAsia="Arial" w:hAnsi="Arial"/>
          <w:sz w:val="20"/>
          <w:szCs w:val="20"/>
          <w:color w:val="auto"/>
        </w:rPr>
        <w:t>The Governance Committee considers the factors below when selecting and recruiting directors in the annual nomination process. This year, the Board is renominating nine incumbent directors. Ms. Juliber and Ms. Shi will not stand for re-election at the Annual Meeting. Effective as of the Annual Meeting, the size of the Board will be reduced to nine.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100965</wp:posOffset>
            </wp:positionV>
            <wp:extent cx="6307455" cy="3090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07455" cy="3090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19" w:lineRule="exact"/>
        <w:rPr>
          <w:sz w:val="20"/>
          <w:szCs w:val="20"/>
          <w:color w:val="auto"/>
        </w:rPr>
      </w:pPr>
    </w:p>
    <w:p>
      <w:pPr>
        <w:ind w:left="720" w:right="640"/>
        <w:spacing w:after="0" w:line="273" w:lineRule="auto"/>
        <w:rPr>
          <w:sz w:val="20"/>
          <w:szCs w:val="20"/>
          <w:color w:val="auto"/>
        </w:rPr>
      </w:pPr>
      <w:r>
        <w:rPr>
          <w:rFonts w:ascii="Arial" w:cs="Arial" w:eastAsia="Arial" w:hAnsi="Arial"/>
          <w:sz w:val="19"/>
          <w:szCs w:val="19"/>
          <w:b w:val="1"/>
          <w:bCs w:val="1"/>
          <w:color w:val="582C83"/>
        </w:rPr>
        <w:t>Relevant Qualifications, Knowledge and Experience</w:t>
      </w:r>
    </w:p>
    <w:p>
      <w:pPr>
        <w:ind w:left="720"/>
        <w:spacing w:after="0" w:line="236" w:lineRule="auto"/>
        <w:rPr>
          <w:sz w:val="20"/>
          <w:szCs w:val="20"/>
          <w:color w:val="auto"/>
        </w:rPr>
      </w:pPr>
      <w:r>
        <w:rPr>
          <w:rFonts w:ascii="Arial" w:cs="Arial" w:eastAsia="Arial" w:hAnsi="Arial"/>
          <w:sz w:val="20"/>
          <w:szCs w:val="20"/>
          <w:color w:val="auto"/>
        </w:rPr>
        <w:t>The Board believes all directors should possess certain attributes, including integrity, sound business judgment and strategic vision, as these characteristics are necessary to establish a competent, ethical and well-functioning board that best represents shareholders’ interests.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3" w:right="740"/>
        <w:spacing w:after="0" w:line="247" w:lineRule="auto"/>
        <w:rPr>
          <w:sz w:val="20"/>
          <w:szCs w:val="20"/>
          <w:color w:val="auto"/>
        </w:rPr>
      </w:pPr>
      <w:r>
        <w:rPr>
          <w:rFonts w:ascii="Arial" w:cs="Arial" w:eastAsia="Arial" w:hAnsi="Arial"/>
          <w:sz w:val="20"/>
          <w:szCs w:val="20"/>
          <w:color w:val="auto"/>
        </w:rPr>
        <w:t>Consistent with our Corporate Governance Guidelines (the “Guidelines”), when evaluating the suitability of an individual for nomination to our Board, the Governance Committee considers:</w:t>
      </w:r>
    </w:p>
    <w:p>
      <w:pPr>
        <w:spacing w:after="0" w:line="1" w:lineRule="exact"/>
        <w:rPr>
          <w:sz w:val="20"/>
          <w:szCs w:val="20"/>
          <w:color w:val="auto"/>
        </w:rPr>
      </w:pPr>
    </w:p>
    <w:p>
      <w:pPr>
        <w:ind w:left="163" w:right="920" w:hanging="163"/>
        <w:spacing w:after="0" w:line="246" w:lineRule="auto"/>
        <w:tabs>
          <w:tab w:leader="none" w:pos="163" w:val="left"/>
        </w:tabs>
        <w:numPr>
          <w:ilvl w:val="0"/>
          <w:numId w:val="8"/>
        </w:numPr>
        <w:rPr>
          <w:rFonts w:ascii="Arial" w:cs="Arial" w:eastAsia="Arial" w:hAnsi="Arial"/>
          <w:sz w:val="20"/>
          <w:szCs w:val="20"/>
          <w:color w:val="582C83"/>
        </w:rPr>
      </w:pPr>
      <w:r>
        <w:rPr>
          <w:rFonts w:ascii="Arial" w:cs="Arial" w:eastAsia="Arial" w:hAnsi="Arial"/>
          <w:sz w:val="20"/>
          <w:szCs w:val="20"/>
          <w:color w:val="auto"/>
        </w:rPr>
        <w:t>the candidate’s general understanding of the varied disciplines relevant to the success of a large, publicly traded company in today’s global business environment;</w:t>
      </w:r>
    </w:p>
    <w:p>
      <w:pPr>
        <w:ind w:left="163" w:right="1100" w:hanging="163"/>
        <w:spacing w:after="0" w:line="252" w:lineRule="auto"/>
        <w:tabs>
          <w:tab w:leader="none" w:pos="163" w:val="left"/>
        </w:tabs>
        <w:numPr>
          <w:ilvl w:val="0"/>
          <w:numId w:val="8"/>
        </w:numPr>
        <w:rPr>
          <w:rFonts w:ascii="Arial" w:cs="Arial" w:eastAsia="Arial" w:hAnsi="Arial"/>
          <w:sz w:val="20"/>
          <w:szCs w:val="20"/>
          <w:color w:val="582C83"/>
        </w:rPr>
      </w:pPr>
      <w:r>
        <w:rPr>
          <w:rFonts w:ascii="Arial" w:cs="Arial" w:eastAsia="Arial" w:hAnsi="Arial"/>
          <w:sz w:val="20"/>
          <w:szCs w:val="20"/>
          <w:color w:val="auto"/>
        </w:rPr>
        <w:t>the candidate’s understanding of the Company’s global businesses and markets;</w:t>
      </w:r>
    </w:p>
    <w:p>
      <w:pPr>
        <w:spacing w:after="0" w:line="1" w:lineRule="exact"/>
        <w:rPr>
          <w:rFonts w:ascii="Arial" w:cs="Arial" w:eastAsia="Arial" w:hAnsi="Arial"/>
          <w:sz w:val="20"/>
          <w:szCs w:val="20"/>
          <w:color w:val="582C83"/>
        </w:rPr>
      </w:pPr>
    </w:p>
    <w:p>
      <w:pPr>
        <w:ind w:left="163" w:hanging="163"/>
        <w:spacing w:after="0"/>
        <w:tabs>
          <w:tab w:leader="none" w:pos="163" w:val="left"/>
        </w:tabs>
        <w:numPr>
          <w:ilvl w:val="0"/>
          <w:numId w:val="8"/>
        </w:numPr>
        <w:rPr>
          <w:rFonts w:ascii="Arial" w:cs="Arial" w:eastAsia="Arial" w:hAnsi="Arial"/>
          <w:sz w:val="20"/>
          <w:szCs w:val="20"/>
          <w:color w:val="582C83"/>
        </w:rPr>
      </w:pPr>
      <w:r>
        <w:rPr>
          <w:rFonts w:ascii="Arial" w:cs="Arial" w:eastAsia="Arial" w:hAnsi="Arial"/>
          <w:sz w:val="20"/>
          <w:szCs w:val="20"/>
          <w:color w:val="auto"/>
        </w:rPr>
        <w:t>the candidate’s professional experience and educational background;</w:t>
      </w:r>
    </w:p>
    <w:p>
      <w:pPr>
        <w:spacing w:after="0" w:line="30" w:lineRule="exact"/>
        <w:rPr>
          <w:rFonts w:ascii="Arial" w:cs="Arial" w:eastAsia="Arial" w:hAnsi="Arial"/>
          <w:sz w:val="20"/>
          <w:szCs w:val="20"/>
          <w:color w:val="582C83"/>
        </w:rPr>
      </w:pPr>
    </w:p>
    <w:p>
      <w:pPr>
        <w:ind w:left="163" w:right="1000" w:hanging="163"/>
        <w:spacing w:after="0" w:line="259" w:lineRule="auto"/>
        <w:tabs>
          <w:tab w:leader="none" w:pos="163" w:val="left"/>
        </w:tabs>
        <w:numPr>
          <w:ilvl w:val="0"/>
          <w:numId w:val="8"/>
        </w:numPr>
        <w:rPr>
          <w:rFonts w:ascii="Arial" w:cs="Arial" w:eastAsia="Arial" w:hAnsi="Arial"/>
          <w:sz w:val="19"/>
          <w:szCs w:val="19"/>
          <w:color w:val="582C83"/>
        </w:rPr>
      </w:pPr>
      <w:r>
        <w:rPr>
          <w:rFonts w:ascii="Arial" w:cs="Arial" w:eastAsia="Arial" w:hAnsi="Arial"/>
          <w:sz w:val="19"/>
          <w:szCs w:val="19"/>
          <w:color w:val="auto"/>
        </w:rPr>
        <w:t>other factors that promote diversity of views, knowledge, experience and backgrounds, including diversity with respect to demographics such as gender, race, ethnicity, national origin and geography;</w:t>
      </w:r>
    </w:p>
    <w:p>
      <w:pPr>
        <w:ind w:left="163" w:right="840" w:hanging="163"/>
        <w:spacing w:after="0" w:line="242" w:lineRule="auto"/>
        <w:tabs>
          <w:tab w:leader="none" w:pos="163" w:val="left"/>
        </w:tabs>
        <w:numPr>
          <w:ilvl w:val="0"/>
          <w:numId w:val="8"/>
        </w:numPr>
        <w:rPr>
          <w:rFonts w:ascii="Arial" w:cs="Arial" w:eastAsia="Arial" w:hAnsi="Arial"/>
          <w:sz w:val="20"/>
          <w:szCs w:val="20"/>
          <w:color w:val="582C83"/>
        </w:rPr>
      </w:pPr>
      <w:r>
        <w:rPr>
          <w:rFonts w:ascii="Arial" w:cs="Arial" w:eastAsia="Arial" w:hAnsi="Arial"/>
          <w:sz w:val="20"/>
          <w:szCs w:val="20"/>
          <w:color w:val="auto"/>
        </w:rPr>
        <w:t>whether the candidate meets various independence requirements, including whether his or her service on boards and board committees of other organizations is consistent with our conflicts of interest policy; and</w:t>
      </w:r>
    </w:p>
    <w:p>
      <w:pPr>
        <w:spacing w:after="0" w:line="3" w:lineRule="exact"/>
        <w:rPr>
          <w:rFonts w:ascii="Arial" w:cs="Arial" w:eastAsia="Arial" w:hAnsi="Arial"/>
          <w:sz w:val="20"/>
          <w:szCs w:val="20"/>
          <w:color w:val="582C83"/>
        </w:rPr>
      </w:pPr>
    </w:p>
    <w:p>
      <w:pPr>
        <w:ind w:left="163" w:right="1000" w:hanging="163"/>
        <w:spacing w:after="0" w:line="246" w:lineRule="auto"/>
        <w:tabs>
          <w:tab w:leader="none" w:pos="163" w:val="left"/>
        </w:tabs>
        <w:numPr>
          <w:ilvl w:val="0"/>
          <w:numId w:val="8"/>
        </w:numPr>
        <w:rPr>
          <w:rFonts w:ascii="Arial" w:cs="Arial" w:eastAsia="Arial" w:hAnsi="Arial"/>
          <w:sz w:val="20"/>
          <w:szCs w:val="20"/>
          <w:color w:val="582C83"/>
        </w:rPr>
      </w:pPr>
      <w:r>
        <w:rPr>
          <w:rFonts w:ascii="Arial" w:cs="Arial" w:eastAsia="Arial" w:hAnsi="Arial"/>
          <w:sz w:val="20"/>
          <w:szCs w:val="20"/>
          <w:color w:val="auto"/>
        </w:rPr>
        <w:t>whether the candidate can devote sufficient time and effort to fulfill a director’s responsibilities to the Company given his or her other commitments.</w:t>
      </w:r>
    </w:p>
    <w:p>
      <w:pPr>
        <w:spacing w:after="0" w:line="1" w:lineRule="exact"/>
        <w:rPr>
          <w:sz w:val="20"/>
          <w:szCs w:val="20"/>
          <w:color w:val="auto"/>
        </w:rPr>
      </w:pPr>
    </w:p>
    <w:p>
      <w:pPr>
        <w:ind w:left="3"/>
        <w:spacing w:after="0"/>
        <w:rPr>
          <w:sz w:val="20"/>
          <w:szCs w:val="20"/>
          <w:color w:val="auto"/>
        </w:rPr>
      </w:pPr>
      <w:r>
        <w:rPr>
          <w:rFonts w:ascii="Arial" w:cs="Arial" w:eastAsia="Arial" w:hAnsi="Arial"/>
          <w:sz w:val="20"/>
          <w:szCs w:val="20"/>
          <w:color w:val="auto"/>
        </w:rPr>
        <w:t>See Key Competencies on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41910</wp:posOffset>
            </wp:positionV>
            <wp:extent cx="630745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07455" cy="7620"/>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160020</wp:posOffset>
            </wp:positionV>
            <wp:extent cx="714311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157"/>
            <w:col w:w="7143"/>
          </w:cols>
          <w:pgMar w:left="320" w:top="132" w:right="339" w:bottom="1440" w:gutter="0" w:footer="0" w:header="0"/>
          <w:type w:val="continuous"/>
        </w:sectPr>
      </w:pPr>
    </w:p>
    <w:p>
      <w:pPr>
        <w:spacing w:after="0" w:line="127" w:lineRule="exact"/>
        <w:rPr>
          <w:sz w:val="20"/>
          <w:szCs w:val="20"/>
          <w:color w:val="auto"/>
        </w:rPr>
      </w:pPr>
    </w:p>
    <w:p>
      <w:pPr>
        <w:ind w:left="9060"/>
        <w:spacing w:after="0"/>
        <w:rPr>
          <w:sz w:val="20"/>
          <w:szCs w:val="20"/>
          <w:color w:val="auto"/>
        </w:rPr>
      </w:pPr>
      <w:r>
        <w:rPr>
          <w:rFonts w:ascii="Arial" w:cs="Arial" w:eastAsia="Arial" w:hAnsi="Arial"/>
          <w:sz w:val="15"/>
          <w:szCs w:val="15"/>
          <w:b w:val="1"/>
          <w:bCs w:val="1"/>
          <w:color w:val="58358F"/>
        </w:rPr>
        <w:t>2023 PROXY STATEMENT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3"/>
          <w:szCs w:val="13"/>
          <w:u w:val="single" w:color="auto"/>
          <w:color w:val="0000EE"/>
        </w:rPr>
        <w:t>Back to Contents</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582C83"/>
        </w:rPr>
        <w:t>Individual Director Self-Assessments</w:t>
      </w:r>
    </w:p>
    <w:p>
      <w:pPr>
        <w:spacing w:after="0" w:line="44" w:lineRule="exact"/>
        <w:rPr>
          <w:sz w:val="20"/>
          <w:szCs w:val="20"/>
          <w:color w:val="auto"/>
        </w:rPr>
      </w:pPr>
    </w:p>
    <w:p>
      <w:pPr>
        <w:ind w:left="60"/>
        <w:spacing w:after="0" w:line="238" w:lineRule="auto"/>
        <w:rPr>
          <w:sz w:val="20"/>
          <w:szCs w:val="20"/>
          <w:color w:val="auto"/>
        </w:rPr>
      </w:pPr>
      <w:r>
        <w:rPr>
          <w:rFonts w:ascii="Arial" w:cs="Arial" w:eastAsia="Arial" w:hAnsi="Arial"/>
          <w:sz w:val="20"/>
          <w:szCs w:val="20"/>
          <w:color w:val="auto"/>
        </w:rPr>
        <w:t>The Board believes that directors should not expect to be renominated automatically, and that directors’ qualifications and performance should be evaluated annually.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color w:val="auto"/>
        </w:rPr>
        <w:t>The annual Board and director self-assessment processes are important determinants in a director’s renomination and tenure. Annually, all incumbent director nominees complete questionnaires to update and confirm their background, qualifications and skills, and to identify any potential conflicts of interest. The Governance Committee, in coordination with the independent Lead Director, assesses the experience, qualifications, attributes, skills, diversity and contributions of each director. The Governance Committee also considers each individual in the context of the Board composition as a whole, with the objective of recruiting and recommending a slate of director nominees who can best sustain the Company’s success and represent our shareholders’ interests through the exercise of sound judgment and informed decision-making.</w:t>
      </w:r>
    </w:p>
    <w:p>
      <w:pPr>
        <w:spacing w:after="0" w:line="16" w:lineRule="exact"/>
        <w:rPr>
          <w:sz w:val="20"/>
          <w:szCs w:val="20"/>
          <w:color w:val="auto"/>
        </w:rPr>
      </w:pPr>
    </w:p>
    <w:p>
      <w:pPr>
        <w:sectPr>
          <w:pgSz w:w="11900" w:h="16838" w:orient="portrait"/>
          <w:cols w:equalWidth="0" w:num="2">
            <w:col w:w="3680" w:space="220"/>
            <w:col w:w="7340"/>
          </w:cols>
          <w:pgMar w:left="320" w:top="132" w:right="33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3840" w:type="dxa"/>
            <w:vAlign w:val="bottom"/>
            <w:tcBorders>
              <w:top w:val="single" w:sz="8" w:color="582C83"/>
            </w:tcBorders>
            <w:shd w:val="clear" w:color="auto" w:fill="EBE6F0"/>
          </w:tcPr>
          <w:p>
            <w:pPr>
              <w:ind w:left="60"/>
              <w:spacing w:after="0"/>
              <w:rPr>
                <w:sz w:val="20"/>
                <w:szCs w:val="20"/>
                <w:color w:val="auto"/>
              </w:rPr>
            </w:pPr>
            <w:r>
              <w:rPr>
                <w:rFonts w:ascii="Arial" w:cs="Arial" w:eastAsia="Arial" w:hAnsi="Arial"/>
                <w:sz w:val="20"/>
                <w:szCs w:val="20"/>
                <w:b w:val="1"/>
                <w:bCs w:val="1"/>
                <w:color w:val="582C83"/>
              </w:rPr>
              <w:t>Board Refreshment Through Director</w:t>
            </w:r>
          </w:p>
        </w:tc>
        <w:tc>
          <w:tcPr>
            <w:tcW w:w="7400" w:type="dxa"/>
            <w:vAlign w:val="bottom"/>
            <w:tcBorders>
              <w:top w:val="single" w:sz="8" w:color="582C83"/>
            </w:tcBorders>
            <w:shd w:val="clear" w:color="auto" w:fill="EBE6F0"/>
          </w:tcPr>
          <w:p>
            <w:pPr>
              <w:ind w:left="60"/>
              <w:spacing w:after="0"/>
              <w:rPr>
                <w:sz w:val="20"/>
                <w:szCs w:val="20"/>
                <w:color w:val="auto"/>
              </w:rPr>
            </w:pPr>
            <w:r>
              <w:rPr>
                <w:rFonts w:ascii="Arial" w:cs="Arial" w:eastAsia="Arial" w:hAnsi="Arial"/>
                <w:sz w:val="20"/>
                <w:szCs w:val="20"/>
                <w:color w:val="auto"/>
              </w:rPr>
              <w:t>Our Guidelines provide that non-employee directors have a term limit of 15 years.</w:t>
            </w:r>
          </w:p>
        </w:tc>
      </w:tr>
      <w:tr>
        <w:trPr>
          <w:trHeight w:val="223"/>
        </w:trPr>
        <w:tc>
          <w:tcPr>
            <w:tcW w:w="384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b w:val="1"/>
                <w:bCs w:val="1"/>
                <w:color w:val="582C83"/>
              </w:rPr>
              <w:t>Tenure and Age Limits</w:t>
            </w:r>
          </w:p>
        </w:tc>
        <w:tc>
          <w:tcPr>
            <w:tcW w:w="740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auto"/>
              </w:rPr>
              <w:t>In addition, non-employee directors will not be nominated for re-election to the</w:t>
            </w:r>
          </w:p>
        </w:tc>
      </w:tr>
      <w:tr>
        <w:trPr>
          <w:trHeight w:val="261"/>
        </w:trPr>
        <w:tc>
          <w:tcPr>
            <w:tcW w:w="3840" w:type="dxa"/>
            <w:vAlign w:val="bottom"/>
            <w:shd w:val="clear" w:color="auto" w:fill="EBE6F0"/>
          </w:tcPr>
          <w:p>
            <w:pPr>
              <w:ind w:left="60"/>
              <w:spacing w:after="0"/>
              <w:rPr>
                <w:sz w:val="20"/>
                <w:szCs w:val="20"/>
                <w:color w:val="auto"/>
              </w:rPr>
            </w:pPr>
            <w:r>
              <w:rPr>
                <w:rFonts w:ascii="Arial" w:cs="Arial" w:eastAsia="Arial" w:hAnsi="Arial"/>
                <w:sz w:val="20"/>
                <w:szCs w:val="20"/>
                <w:color w:val="auto"/>
              </w:rPr>
              <w:t>The Board believes it is helpful to have a</w:t>
            </w:r>
          </w:p>
        </w:tc>
        <w:tc>
          <w:tcPr>
            <w:tcW w:w="7400" w:type="dxa"/>
            <w:vAlign w:val="bottom"/>
            <w:shd w:val="clear" w:color="auto" w:fill="EBE6F0"/>
          </w:tcPr>
          <w:p>
            <w:pPr>
              <w:ind w:left="60"/>
              <w:spacing w:after="0"/>
              <w:rPr>
                <w:sz w:val="20"/>
                <w:szCs w:val="20"/>
                <w:color w:val="auto"/>
              </w:rPr>
            </w:pPr>
            <w:r>
              <w:rPr>
                <w:rFonts w:ascii="Arial" w:cs="Arial" w:eastAsia="Arial" w:hAnsi="Arial"/>
                <w:sz w:val="20"/>
                <w:szCs w:val="20"/>
                <w:color w:val="auto"/>
              </w:rPr>
              <w:t>Board after they reach age 75.</w:t>
            </w:r>
          </w:p>
        </w:tc>
      </w:tr>
      <w:tr>
        <w:trPr>
          <w:trHeight w:val="223"/>
        </w:trPr>
        <w:tc>
          <w:tcPr>
            <w:tcW w:w="384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auto"/>
              </w:rPr>
              <w:t>balance of long-term members with in-</w:t>
            </w:r>
          </w:p>
        </w:tc>
        <w:tc>
          <w:tcPr>
            <w:tcW w:w="7400" w:type="dxa"/>
            <w:vAlign w:val="bottom"/>
            <w:shd w:val="clear" w:color="auto" w:fill="EBE6F0"/>
          </w:tcPr>
          <w:p>
            <w:pPr>
              <w:spacing w:after="0"/>
              <w:rPr>
                <w:sz w:val="19"/>
                <w:szCs w:val="19"/>
                <w:color w:val="auto"/>
              </w:rPr>
            </w:pPr>
          </w:p>
        </w:tc>
      </w:tr>
      <w:tr>
        <w:trPr>
          <w:trHeight w:val="237"/>
        </w:trPr>
        <w:tc>
          <w:tcPr>
            <w:tcW w:w="3840" w:type="dxa"/>
            <w:vAlign w:val="bottom"/>
            <w:shd w:val="clear" w:color="auto" w:fill="EBE6F0"/>
          </w:tcPr>
          <w:p>
            <w:pPr>
              <w:ind w:left="60"/>
              <w:spacing w:after="0"/>
              <w:rPr>
                <w:sz w:val="20"/>
                <w:szCs w:val="20"/>
                <w:color w:val="auto"/>
              </w:rPr>
            </w:pPr>
            <w:r>
              <w:rPr>
                <w:rFonts w:ascii="Arial" w:cs="Arial" w:eastAsia="Arial" w:hAnsi="Arial"/>
                <w:sz w:val="20"/>
                <w:szCs w:val="20"/>
                <w:color w:val="auto"/>
              </w:rPr>
              <w:t>depth knowledge of our business and new</w:t>
            </w:r>
          </w:p>
        </w:tc>
        <w:tc>
          <w:tcPr>
            <w:tcW w:w="7400" w:type="dxa"/>
            <w:vAlign w:val="bottom"/>
            <w:shd w:val="clear" w:color="auto" w:fill="EBE6F0"/>
          </w:tcPr>
          <w:p>
            <w:pPr>
              <w:ind w:left="60"/>
              <w:spacing w:after="0"/>
              <w:rPr>
                <w:sz w:val="20"/>
                <w:szCs w:val="20"/>
                <w:color w:val="auto"/>
              </w:rPr>
            </w:pPr>
            <w:r>
              <w:rPr>
                <w:rFonts w:ascii="Arial" w:cs="Arial" w:eastAsia="Arial" w:hAnsi="Arial"/>
                <w:sz w:val="20"/>
                <w:szCs w:val="20"/>
                <w:color w:val="auto"/>
              </w:rPr>
              <w:t>The current Board composition reflects the Board’s commitment to ongoing</w:t>
            </w:r>
          </w:p>
        </w:tc>
      </w:tr>
      <w:tr>
        <w:trPr>
          <w:trHeight w:val="223"/>
        </w:trPr>
        <w:tc>
          <w:tcPr>
            <w:tcW w:w="384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auto"/>
              </w:rPr>
              <w:t>members who bring valuable skills and</w:t>
            </w:r>
          </w:p>
        </w:tc>
        <w:tc>
          <w:tcPr>
            <w:tcW w:w="740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auto"/>
              </w:rPr>
              <w:t>refreshment and the importance of maintaining a balance of tenure and</w:t>
            </w:r>
          </w:p>
        </w:tc>
      </w:tr>
      <w:tr>
        <w:trPr>
          <w:trHeight w:val="247"/>
        </w:trPr>
        <w:tc>
          <w:tcPr>
            <w:tcW w:w="3840" w:type="dxa"/>
            <w:vAlign w:val="bottom"/>
            <w:shd w:val="clear" w:color="auto" w:fill="EBE6F0"/>
          </w:tcPr>
          <w:p>
            <w:pPr>
              <w:ind w:left="60"/>
              <w:spacing w:after="0"/>
              <w:rPr>
                <w:sz w:val="20"/>
                <w:szCs w:val="20"/>
                <w:color w:val="auto"/>
              </w:rPr>
            </w:pPr>
            <w:r>
              <w:rPr>
                <w:rFonts w:ascii="Arial" w:cs="Arial" w:eastAsia="Arial" w:hAnsi="Arial"/>
                <w:sz w:val="20"/>
                <w:szCs w:val="20"/>
                <w:color w:val="auto"/>
              </w:rPr>
              <w:t>fresh perspectives.</w:t>
            </w:r>
          </w:p>
        </w:tc>
        <w:tc>
          <w:tcPr>
            <w:tcW w:w="7400" w:type="dxa"/>
            <w:vAlign w:val="bottom"/>
            <w:shd w:val="clear" w:color="auto" w:fill="EBE6F0"/>
          </w:tcPr>
          <w:p>
            <w:pPr>
              <w:ind w:left="60"/>
              <w:spacing w:after="0"/>
              <w:rPr>
                <w:sz w:val="20"/>
                <w:szCs w:val="20"/>
                <w:color w:val="auto"/>
              </w:rPr>
            </w:pPr>
            <w:r>
              <w:rPr>
                <w:rFonts w:ascii="Arial" w:cs="Arial" w:eastAsia="Arial" w:hAnsi="Arial"/>
                <w:sz w:val="20"/>
                <w:szCs w:val="20"/>
                <w:color w:val="auto"/>
              </w:rPr>
              <w:t>experience. Ms. Juliber has reached her term limit and will not be renominated for</w:t>
            </w:r>
          </w:p>
        </w:tc>
      </w:tr>
      <w:tr>
        <w:trPr>
          <w:trHeight w:val="304"/>
        </w:trPr>
        <w:tc>
          <w:tcPr>
            <w:tcW w:w="3840" w:type="dxa"/>
            <w:vAlign w:val="bottom"/>
            <w:tcBorders>
              <w:bottom w:val="single" w:sz="8" w:color="EBE6F0"/>
            </w:tcBorders>
            <w:shd w:val="clear" w:color="auto" w:fill="EBE6F0"/>
          </w:tcPr>
          <w:p>
            <w:pPr>
              <w:spacing w:after="0"/>
              <w:rPr>
                <w:sz w:val="24"/>
                <w:szCs w:val="24"/>
                <w:color w:val="auto"/>
              </w:rPr>
            </w:pPr>
          </w:p>
        </w:tc>
        <w:tc>
          <w:tcPr>
            <w:tcW w:w="740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20"/>
                <w:szCs w:val="20"/>
                <w:color w:val="auto"/>
              </w:rPr>
              <w:t>election at the Annual Meeting.</w:t>
            </w:r>
          </w:p>
        </w:tc>
      </w:tr>
      <w:tr>
        <w:trPr>
          <w:trHeight w:val="240"/>
        </w:trPr>
        <w:tc>
          <w:tcPr>
            <w:tcW w:w="3840" w:type="dxa"/>
            <w:vAlign w:val="bottom"/>
            <w:tcBorders>
              <w:top w:val="single" w:sz="8" w:color="582C83"/>
            </w:tcBorders>
          </w:tcPr>
          <w:p>
            <w:pPr>
              <w:ind w:left="60"/>
              <w:spacing w:after="0"/>
              <w:rPr>
                <w:sz w:val="20"/>
                <w:szCs w:val="20"/>
                <w:color w:val="auto"/>
              </w:rPr>
            </w:pPr>
            <w:r>
              <w:rPr>
                <w:rFonts w:ascii="Arial" w:cs="Arial" w:eastAsia="Arial" w:hAnsi="Arial"/>
                <w:sz w:val="20"/>
                <w:szCs w:val="20"/>
                <w:b w:val="1"/>
                <w:bCs w:val="1"/>
                <w:color w:val="582C83"/>
              </w:rPr>
              <w:t>The Board Seeks and Values Diversity</w:t>
            </w:r>
          </w:p>
        </w:tc>
        <w:tc>
          <w:tcPr>
            <w:tcW w:w="7400" w:type="dxa"/>
            <w:vAlign w:val="bottom"/>
            <w:tcBorders>
              <w:top w:val="single" w:sz="8" w:color="582C83"/>
            </w:tcBorders>
          </w:tcPr>
          <w:p>
            <w:pPr>
              <w:ind w:left="60"/>
              <w:spacing w:after="0"/>
              <w:rPr>
                <w:sz w:val="20"/>
                <w:szCs w:val="20"/>
                <w:color w:val="auto"/>
              </w:rPr>
            </w:pPr>
            <w:r>
              <w:rPr>
                <w:rFonts w:ascii="Arial" w:cs="Arial" w:eastAsia="Arial" w:hAnsi="Arial"/>
                <w:sz w:val="20"/>
                <w:szCs w:val="20"/>
                <w:color w:val="auto"/>
              </w:rPr>
              <w:t>The director nominees include three women, represent several national origins,</w:t>
            </w:r>
          </w:p>
        </w:tc>
      </w:tr>
      <w:tr>
        <w:trPr>
          <w:trHeight w:val="237"/>
        </w:trPr>
        <w:tc>
          <w:tcPr>
            <w:tcW w:w="3840" w:type="dxa"/>
            <w:vAlign w:val="bottom"/>
          </w:tcPr>
          <w:p>
            <w:pPr>
              <w:ind w:left="60"/>
              <w:spacing w:after="0"/>
              <w:rPr>
                <w:sz w:val="20"/>
                <w:szCs w:val="20"/>
                <w:color w:val="auto"/>
              </w:rPr>
            </w:pPr>
            <w:r>
              <w:rPr>
                <w:rFonts w:ascii="Arial" w:cs="Arial" w:eastAsia="Arial" w:hAnsi="Arial"/>
                <w:sz w:val="20"/>
                <w:szCs w:val="20"/>
                <w:color w:val="auto"/>
              </w:rPr>
              <w:t>The Board’s overall diversity is an</w:t>
            </w:r>
          </w:p>
        </w:tc>
        <w:tc>
          <w:tcPr>
            <w:tcW w:w="7400" w:type="dxa"/>
            <w:vAlign w:val="bottom"/>
          </w:tcPr>
          <w:p>
            <w:pPr>
              <w:ind w:left="60"/>
              <w:spacing w:after="0"/>
              <w:rPr>
                <w:sz w:val="20"/>
                <w:szCs w:val="20"/>
                <w:color w:val="auto"/>
              </w:rPr>
            </w:pPr>
            <w:r>
              <w:rPr>
                <w:rFonts w:ascii="Arial" w:cs="Arial" w:eastAsia="Arial" w:hAnsi="Arial"/>
                <w:sz w:val="20"/>
                <w:szCs w:val="20"/>
                <w:color w:val="auto"/>
              </w:rPr>
              <w:t>vary in age from 57 to 74, and collectively bring a range of professional and life</w:t>
            </w:r>
          </w:p>
        </w:tc>
      </w:tr>
      <w:tr>
        <w:trPr>
          <w:trHeight w:val="223"/>
        </w:trPr>
        <w:tc>
          <w:tcPr>
            <w:tcW w:w="3840" w:type="dxa"/>
            <w:vAlign w:val="bottom"/>
          </w:tcPr>
          <w:p>
            <w:pPr>
              <w:ind w:left="60"/>
              <w:spacing w:after="0" w:line="224" w:lineRule="exact"/>
              <w:rPr>
                <w:sz w:val="20"/>
                <w:szCs w:val="20"/>
                <w:color w:val="auto"/>
              </w:rPr>
            </w:pPr>
            <w:r>
              <w:rPr>
                <w:rFonts w:ascii="Arial" w:cs="Arial" w:eastAsia="Arial" w:hAnsi="Arial"/>
                <w:sz w:val="20"/>
                <w:szCs w:val="20"/>
                <w:color w:val="auto"/>
              </w:rPr>
              <w:t>important aspect of the director</w:t>
            </w:r>
          </w:p>
        </w:tc>
        <w:tc>
          <w:tcPr>
            <w:tcW w:w="7400" w:type="dxa"/>
            <w:vAlign w:val="bottom"/>
          </w:tcPr>
          <w:p>
            <w:pPr>
              <w:ind w:left="60"/>
              <w:spacing w:after="0" w:line="224" w:lineRule="exact"/>
              <w:rPr>
                <w:sz w:val="20"/>
                <w:szCs w:val="20"/>
                <w:color w:val="auto"/>
              </w:rPr>
            </w:pPr>
            <w:r>
              <w:rPr>
                <w:rFonts w:ascii="Arial" w:cs="Arial" w:eastAsia="Arial" w:hAnsi="Arial"/>
                <w:sz w:val="20"/>
                <w:szCs w:val="20"/>
                <w:color w:val="auto"/>
              </w:rPr>
              <w:t>experiences to the Board. One self-identifies as Asian, two self-identify as Black</w:t>
            </w:r>
          </w:p>
        </w:tc>
      </w:tr>
      <w:tr>
        <w:trPr>
          <w:trHeight w:val="287"/>
        </w:trPr>
        <w:tc>
          <w:tcPr>
            <w:tcW w:w="3840" w:type="dxa"/>
            <w:vAlign w:val="bottom"/>
          </w:tcPr>
          <w:p>
            <w:pPr>
              <w:ind w:left="60"/>
              <w:spacing w:after="0"/>
              <w:rPr>
                <w:sz w:val="20"/>
                <w:szCs w:val="20"/>
                <w:color w:val="auto"/>
              </w:rPr>
            </w:pPr>
            <w:r>
              <w:rPr>
                <w:rFonts w:ascii="Arial" w:cs="Arial" w:eastAsia="Arial" w:hAnsi="Arial"/>
                <w:sz w:val="20"/>
                <w:szCs w:val="20"/>
                <w:color w:val="auto"/>
              </w:rPr>
              <w:t>recruitment and nomination process.</w:t>
            </w:r>
          </w:p>
        </w:tc>
        <w:tc>
          <w:tcPr>
            <w:tcW w:w="7400" w:type="dxa"/>
            <w:vAlign w:val="bottom"/>
          </w:tcPr>
          <w:p>
            <w:pPr>
              <w:ind w:left="60"/>
              <w:spacing w:after="0"/>
              <w:rPr>
                <w:sz w:val="20"/>
                <w:szCs w:val="20"/>
                <w:color w:val="auto"/>
              </w:rPr>
            </w:pPr>
            <w:r>
              <w:rPr>
                <w:rFonts w:ascii="Arial" w:cs="Arial" w:eastAsia="Arial" w:hAnsi="Arial"/>
                <w:sz w:val="20"/>
                <w:szCs w:val="20"/>
                <w:color w:val="auto"/>
              </w:rPr>
              <w:t>and six self-identify as white.</w:t>
            </w:r>
          </w:p>
        </w:tc>
      </w:tr>
      <w:tr>
        <w:trPr>
          <w:trHeight w:val="444"/>
        </w:trPr>
        <w:tc>
          <w:tcPr>
            <w:tcW w:w="3840" w:type="dxa"/>
            <w:vAlign w:val="bottom"/>
          </w:tcPr>
          <w:p>
            <w:pPr>
              <w:spacing w:after="0"/>
              <w:rPr>
                <w:sz w:val="24"/>
                <w:szCs w:val="24"/>
                <w:color w:val="auto"/>
              </w:rPr>
            </w:pPr>
          </w:p>
        </w:tc>
        <w:tc>
          <w:tcPr>
            <w:tcW w:w="7400" w:type="dxa"/>
            <w:vAlign w:val="bottom"/>
          </w:tcPr>
          <w:p>
            <w:pPr>
              <w:ind w:left="60"/>
              <w:spacing w:after="0"/>
              <w:rPr>
                <w:sz w:val="20"/>
                <w:szCs w:val="20"/>
                <w:color w:val="auto"/>
              </w:rPr>
            </w:pPr>
            <w:r>
              <w:rPr>
                <w:rFonts w:ascii="Arial" w:cs="Arial" w:eastAsia="Arial" w:hAnsi="Arial"/>
                <w:sz w:val="20"/>
                <w:szCs w:val="20"/>
                <w:color w:val="auto"/>
              </w:rPr>
              <w:t>When assembling the pool of candidates from which directors are selected, the</w:t>
            </w:r>
          </w:p>
        </w:tc>
      </w:tr>
      <w:tr>
        <w:trPr>
          <w:trHeight w:val="223"/>
        </w:trPr>
        <w:tc>
          <w:tcPr>
            <w:tcW w:w="3840" w:type="dxa"/>
            <w:vAlign w:val="bottom"/>
          </w:tcPr>
          <w:p>
            <w:pPr>
              <w:spacing w:after="0"/>
              <w:rPr>
                <w:sz w:val="19"/>
                <w:szCs w:val="19"/>
                <w:color w:val="auto"/>
              </w:rPr>
            </w:pPr>
          </w:p>
        </w:tc>
        <w:tc>
          <w:tcPr>
            <w:tcW w:w="7400" w:type="dxa"/>
            <w:vAlign w:val="bottom"/>
          </w:tcPr>
          <w:p>
            <w:pPr>
              <w:ind w:left="60"/>
              <w:spacing w:after="0" w:line="224" w:lineRule="exact"/>
              <w:rPr>
                <w:sz w:val="20"/>
                <w:szCs w:val="20"/>
                <w:color w:val="auto"/>
              </w:rPr>
            </w:pPr>
            <w:r>
              <w:rPr>
                <w:rFonts w:ascii="Arial" w:cs="Arial" w:eastAsia="Arial" w:hAnsi="Arial"/>
                <w:sz w:val="20"/>
                <w:szCs w:val="20"/>
                <w:color w:val="auto"/>
                <w:w w:val="99"/>
              </w:rPr>
              <w:t>Governance Committee considers criteria including gender, race, ethnicity, national</w:t>
            </w:r>
          </w:p>
        </w:tc>
      </w:tr>
      <w:tr>
        <w:trPr>
          <w:trHeight w:val="223"/>
        </w:trPr>
        <w:tc>
          <w:tcPr>
            <w:tcW w:w="3840" w:type="dxa"/>
            <w:vAlign w:val="bottom"/>
          </w:tcPr>
          <w:p>
            <w:pPr>
              <w:spacing w:after="0"/>
              <w:rPr>
                <w:sz w:val="19"/>
                <w:szCs w:val="19"/>
                <w:color w:val="auto"/>
              </w:rPr>
            </w:pPr>
          </w:p>
        </w:tc>
        <w:tc>
          <w:tcPr>
            <w:tcW w:w="7400" w:type="dxa"/>
            <w:vAlign w:val="bottom"/>
          </w:tcPr>
          <w:p>
            <w:pPr>
              <w:ind w:left="60"/>
              <w:spacing w:after="0" w:line="224" w:lineRule="exact"/>
              <w:rPr>
                <w:sz w:val="20"/>
                <w:szCs w:val="20"/>
                <w:color w:val="auto"/>
              </w:rPr>
            </w:pPr>
            <w:r>
              <w:rPr>
                <w:rFonts w:ascii="Arial" w:cs="Arial" w:eastAsia="Arial" w:hAnsi="Arial"/>
                <w:sz w:val="20"/>
                <w:szCs w:val="20"/>
                <w:color w:val="auto"/>
              </w:rPr>
              <w:t>origin and geographic location, as diversity in those characteristics promotes a</w:t>
            </w:r>
          </w:p>
        </w:tc>
      </w:tr>
      <w:tr>
        <w:trPr>
          <w:trHeight w:val="223"/>
        </w:trPr>
        <w:tc>
          <w:tcPr>
            <w:tcW w:w="3840" w:type="dxa"/>
            <w:vAlign w:val="bottom"/>
          </w:tcPr>
          <w:p>
            <w:pPr>
              <w:spacing w:after="0"/>
              <w:rPr>
                <w:sz w:val="19"/>
                <w:szCs w:val="19"/>
                <w:color w:val="auto"/>
              </w:rPr>
            </w:pPr>
          </w:p>
        </w:tc>
        <w:tc>
          <w:tcPr>
            <w:tcW w:w="7400" w:type="dxa"/>
            <w:vAlign w:val="bottom"/>
          </w:tcPr>
          <w:p>
            <w:pPr>
              <w:ind w:left="60"/>
              <w:spacing w:after="0" w:line="224" w:lineRule="exact"/>
              <w:rPr>
                <w:sz w:val="20"/>
                <w:szCs w:val="20"/>
                <w:color w:val="auto"/>
              </w:rPr>
            </w:pPr>
            <w:r>
              <w:rPr>
                <w:rFonts w:ascii="Arial" w:cs="Arial" w:eastAsia="Arial" w:hAnsi="Arial"/>
                <w:sz w:val="20"/>
                <w:szCs w:val="20"/>
                <w:color w:val="auto"/>
              </w:rPr>
              <w:t>breadth of views, knowledge, experience and backgrounds that contributes to</w:t>
            </w:r>
          </w:p>
        </w:tc>
      </w:tr>
      <w:tr>
        <w:trPr>
          <w:trHeight w:val="223"/>
        </w:trPr>
        <w:tc>
          <w:tcPr>
            <w:tcW w:w="3840" w:type="dxa"/>
            <w:vAlign w:val="bottom"/>
          </w:tcPr>
          <w:p>
            <w:pPr>
              <w:spacing w:after="0"/>
              <w:rPr>
                <w:sz w:val="19"/>
                <w:szCs w:val="19"/>
                <w:color w:val="auto"/>
              </w:rPr>
            </w:pPr>
          </w:p>
        </w:tc>
        <w:tc>
          <w:tcPr>
            <w:tcW w:w="7400" w:type="dxa"/>
            <w:vAlign w:val="bottom"/>
          </w:tcPr>
          <w:p>
            <w:pPr>
              <w:ind w:left="60"/>
              <w:spacing w:after="0" w:line="224" w:lineRule="exact"/>
              <w:rPr>
                <w:sz w:val="20"/>
                <w:szCs w:val="20"/>
                <w:color w:val="auto"/>
              </w:rPr>
            </w:pPr>
            <w:r>
              <w:rPr>
                <w:rFonts w:ascii="Arial" w:cs="Arial" w:eastAsia="Arial" w:hAnsi="Arial"/>
                <w:sz w:val="20"/>
                <w:szCs w:val="20"/>
                <w:color w:val="auto"/>
              </w:rPr>
              <w:t>more informed and effective decision-making. As part of the search process for</w:t>
            </w:r>
          </w:p>
        </w:tc>
      </w:tr>
      <w:tr>
        <w:trPr>
          <w:trHeight w:val="223"/>
        </w:trPr>
        <w:tc>
          <w:tcPr>
            <w:tcW w:w="3840" w:type="dxa"/>
            <w:vAlign w:val="bottom"/>
          </w:tcPr>
          <w:p>
            <w:pPr>
              <w:spacing w:after="0"/>
              <w:rPr>
                <w:sz w:val="19"/>
                <w:szCs w:val="19"/>
                <w:color w:val="auto"/>
              </w:rPr>
            </w:pPr>
          </w:p>
        </w:tc>
        <w:tc>
          <w:tcPr>
            <w:tcW w:w="7400" w:type="dxa"/>
            <w:vAlign w:val="bottom"/>
          </w:tcPr>
          <w:p>
            <w:pPr>
              <w:ind w:left="60"/>
              <w:spacing w:after="0" w:line="224" w:lineRule="exact"/>
              <w:rPr>
                <w:sz w:val="20"/>
                <w:szCs w:val="20"/>
                <w:color w:val="auto"/>
              </w:rPr>
            </w:pPr>
            <w:r>
              <w:rPr>
                <w:rFonts w:ascii="Arial" w:cs="Arial" w:eastAsia="Arial" w:hAnsi="Arial"/>
                <w:sz w:val="20"/>
                <w:szCs w:val="20"/>
                <w:color w:val="auto"/>
              </w:rPr>
              <w:t>each new director, the Governance Committee actively seeks out (and will instruct</w:t>
            </w:r>
          </w:p>
        </w:tc>
      </w:tr>
      <w:tr>
        <w:trPr>
          <w:trHeight w:val="223"/>
        </w:trPr>
        <w:tc>
          <w:tcPr>
            <w:tcW w:w="3840" w:type="dxa"/>
            <w:vAlign w:val="bottom"/>
          </w:tcPr>
          <w:p>
            <w:pPr>
              <w:spacing w:after="0"/>
              <w:rPr>
                <w:sz w:val="19"/>
                <w:szCs w:val="19"/>
                <w:color w:val="auto"/>
              </w:rPr>
            </w:pPr>
          </w:p>
        </w:tc>
        <w:tc>
          <w:tcPr>
            <w:tcW w:w="7400" w:type="dxa"/>
            <w:vAlign w:val="bottom"/>
          </w:tcPr>
          <w:p>
            <w:pPr>
              <w:ind w:left="60"/>
              <w:spacing w:after="0" w:line="224" w:lineRule="exact"/>
              <w:rPr>
                <w:sz w:val="20"/>
                <w:szCs w:val="20"/>
                <w:color w:val="auto"/>
              </w:rPr>
            </w:pPr>
            <w:r>
              <w:rPr>
                <w:rFonts w:ascii="Arial" w:cs="Arial" w:eastAsia="Arial" w:hAnsi="Arial"/>
                <w:sz w:val="20"/>
                <w:szCs w:val="20"/>
                <w:color w:val="auto"/>
                <w:w w:val="99"/>
              </w:rPr>
              <w:t>any search firm it engages to provide) women and minority candidates to include in</w:t>
            </w:r>
          </w:p>
        </w:tc>
      </w:tr>
      <w:tr>
        <w:trPr>
          <w:trHeight w:val="223"/>
        </w:trPr>
        <w:tc>
          <w:tcPr>
            <w:tcW w:w="3840" w:type="dxa"/>
            <w:vAlign w:val="bottom"/>
          </w:tcPr>
          <w:p>
            <w:pPr>
              <w:spacing w:after="0"/>
              <w:rPr>
                <w:sz w:val="19"/>
                <w:szCs w:val="19"/>
                <w:color w:val="auto"/>
              </w:rPr>
            </w:pPr>
          </w:p>
        </w:tc>
        <w:tc>
          <w:tcPr>
            <w:tcW w:w="7400" w:type="dxa"/>
            <w:vAlign w:val="bottom"/>
          </w:tcPr>
          <w:p>
            <w:pPr>
              <w:ind w:left="60"/>
              <w:spacing w:after="0" w:line="224" w:lineRule="exact"/>
              <w:rPr>
                <w:sz w:val="20"/>
                <w:szCs w:val="20"/>
                <w:color w:val="auto"/>
              </w:rPr>
            </w:pPr>
            <w:r>
              <w:rPr>
                <w:rFonts w:ascii="Arial" w:cs="Arial" w:eastAsia="Arial" w:hAnsi="Arial"/>
                <w:sz w:val="20"/>
                <w:szCs w:val="20"/>
                <w:color w:val="auto"/>
              </w:rPr>
              <w:t>the pool from which director nominees are chosen. The Governance Committee</w:t>
            </w:r>
          </w:p>
        </w:tc>
      </w:tr>
      <w:tr>
        <w:trPr>
          <w:trHeight w:val="223"/>
        </w:trPr>
        <w:tc>
          <w:tcPr>
            <w:tcW w:w="3840" w:type="dxa"/>
            <w:vAlign w:val="bottom"/>
          </w:tcPr>
          <w:p>
            <w:pPr>
              <w:spacing w:after="0"/>
              <w:rPr>
                <w:sz w:val="19"/>
                <w:szCs w:val="19"/>
                <w:color w:val="auto"/>
              </w:rPr>
            </w:pPr>
          </w:p>
        </w:tc>
        <w:tc>
          <w:tcPr>
            <w:tcW w:w="7400" w:type="dxa"/>
            <w:vAlign w:val="bottom"/>
          </w:tcPr>
          <w:p>
            <w:pPr>
              <w:ind w:left="60"/>
              <w:spacing w:after="0" w:line="224" w:lineRule="exact"/>
              <w:rPr>
                <w:sz w:val="20"/>
                <w:szCs w:val="20"/>
                <w:color w:val="auto"/>
              </w:rPr>
            </w:pPr>
            <w:r>
              <w:rPr>
                <w:rFonts w:ascii="Arial" w:cs="Arial" w:eastAsia="Arial" w:hAnsi="Arial"/>
                <w:sz w:val="20"/>
                <w:szCs w:val="20"/>
                <w:color w:val="auto"/>
              </w:rPr>
              <w:t>assesses the effectiveness of the Board’s efforts to promote diversity as part of its</w:t>
            </w:r>
          </w:p>
        </w:tc>
      </w:tr>
      <w:tr>
        <w:trPr>
          <w:trHeight w:val="264"/>
        </w:trPr>
        <w:tc>
          <w:tcPr>
            <w:tcW w:w="3840" w:type="dxa"/>
            <w:vAlign w:val="bottom"/>
          </w:tcPr>
          <w:p>
            <w:pPr>
              <w:spacing w:after="0"/>
              <w:rPr>
                <w:sz w:val="22"/>
                <w:szCs w:val="22"/>
                <w:color w:val="auto"/>
              </w:rPr>
            </w:pPr>
          </w:p>
        </w:tc>
        <w:tc>
          <w:tcPr>
            <w:tcW w:w="7400" w:type="dxa"/>
            <w:vAlign w:val="bottom"/>
          </w:tcPr>
          <w:p>
            <w:pPr>
              <w:ind w:left="60"/>
              <w:spacing w:after="0"/>
              <w:rPr>
                <w:sz w:val="20"/>
                <w:szCs w:val="20"/>
                <w:color w:val="auto"/>
              </w:rPr>
            </w:pPr>
            <w:r>
              <w:rPr>
                <w:rFonts w:ascii="Arial" w:cs="Arial" w:eastAsia="Arial" w:hAnsi="Arial"/>
                <w:sz w:val="20"/>
                <w:szCs w:val="20"/>
                <w:color w:val="auto"/>
              </w:rPr>
              <w:t>annual assessment of the Board’s composition.</w:t>
            </w:r>
          </w:p>
        </w:tc>
      </w:tr>
      <w:tr>
        <w:trPr>
          <w:trHeight w:val="35"/>
        </w:trPr>
        <w:tc>
          <w:tcPr>
            <w:tcW w:w="3840" w:type="dxa"/>
            <w:vAlign w:val="bottom"/>
            <w:tcBorders>
              <w:bottom w:val="single" w:sz="8" w:color="582C83"/>
            </w:tcBorders>
          </w:tcPr>
          <w:p>
            <w:pPr>
              <w:spacing w:after="0"/>
              <w:rPr>
                <w:sz w:val="3"/>
                <w:szCs w:val="3"/>
                <w:color w:val="auto"/>
              </w:rPr>
            </w:pPr>
          </w:p>
        </w:tc>
        <w:tc>
          <w:tcPr>
            <w:tcW w:w="7400" w:type="dxa"/>
            <w:vAlign w:val="bottom"/>
            <w:tcBorders>
              <w:bottom w:val="single" w:sz="8" w:color="582C83"/>
            </w:tcBorders>
          </w:tcPr>
          <w:p>
            <w:pPr>
              <w:spacing w:after="0"/>
              <w:rPr>
                <w:sz w:val="3"/>
                <w:szCs w:val="3"/>
                <w:color w:val="auto"/>
              </w:rPr>
            </w:pPr>
          </w:p>
        </w:tc>
      </w:tr>
    </w:tbl>
    <w:p>
      <w:pPr>
        <w:spacing w:after="0" w:line="148" w:lineRule="exact"/>
        <w:rPr>
          <w:sz w:val="20"/>
          <w:szCs w:val="20"/>
          <w:color w:val="auto"/>
        </w:rPr>
      </w:pPr>
    </w:p>
    <w:p>
      <w:pPr>
        <w:jc w:val="both"/>
        <w:ind w:right="160"/>
        <w:spacing w:after="0" w:line="252" w:lineRule="auto"/>
        <w:rPr>
          <w:sz w:val="20"/>
          <w:szCs w:val="20"/>
          <w:color w:val="auto"/>
        </w:rPr>
      </w:pPr>
      <w:r>
        <w:rPr>
          <w:rFonts w:ascii="Arial" w:cs="Arial" w:eastAsia="Arial" w:hAnsi="Arial"/>
          <w:sz w:val="19"/>
          <w:szCs w:val="19"/>
          <w:color w:val="auto"/>
        </w:rPr>
        <w:t>This year, the Board is nominating nine incumbent directors. Ms. Juliber and Ms. Shi, who were elected by the shareholders at the 2022 Annual Meeting of Shareholders, will not stand for re-election in 2023. Effective as of the Annual Meeting, the size of the Board will be reduced to nine. The Board anticipates Ms. Nielsen will become the Chair of the Finance Committee and Mr.</w:t>
      </w:r>
    </w:p>
    <w:p>
      <w:pPr>
        <w:spacing w:after="0" w:line="2"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Todman will become the Chair of the People and Compensation Committee following the Annual Meeting, provided they are re-elected.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714311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BOARD COMPOSITION: DIRECTOR QUALIFICATIONS, KNOWLEDGE AND EXPERIENCE</w:t>
      </w:r>
    </w:p>
    <w:p>
      <w:pPr>
        <w:spacing w:after="0" w:line="94"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color w:val="auto"/>
        </w:rPr>
        <w:t>Based upon its discussions with the Board, the Governance Committee has identified seven key director competencies that are desirable in order for the Board to fulfill its current and future obligations.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1960" w:type="dxa"/>
            <w:vAlign w:val="bottom"/>
            <w:tcBorders>
              <w:bottom w:val="single" w:sz="8" w:color="582C83"/>
            </w:tcBorders>
          </w:tcPr>
          <w:p>
            <w:pPr>
              <w:ind w:left="60"/>
              <w:spacing w:after="0"/>
              <w:rPr>
                <w:sz w:val="20"/>
                <w:szCs w:val="20"/>
                <w:color w:val="auto"/>
              </w:rPr>
            </w:pPr>
            <w:r>
              <w:rPr>
                <w:rFonts w:ascii="Arial" w:cs="Arial" w:eastAsia="Arial" w:hAnsi="Arial"/>
                <w:sz w:val="20"/>
                <w:szCs w:val="20"/>
                <w:b w:val="1"/>
                <w:bCs w:val="1"/>
                <w:color w:val="auto"/>
              </w:rPr>
              <w:t>Key Competencies</w:t>
            </w:r>
          </w:p>
        </w:tc>
        <w:tc>
          <w:tcPr>
            <w:tcW w:w="5160" w:type="dxa"/>
            <w:vAlign w:val="bottom"/>
            <w:tcBorders>
              <w:bottom w:val="single" w:sz="8" w:color="582C83"/>
            </w:tcBorders>
          </w:tcPr>
          <w:p>
            <w:pPr>
              <w:spacing w:after="0"/>
              <w:rPr>
                <w:sz w:val="24"/>
                <w:szCs w:val="24"/>
                <w:color w:val="auto"/>
              </w:rPr>
            </w:pPr>
          </w:p>
        </w:tc>
        <w:tc>
          <w:tcPr>
            <w:tcW w:w="4120" w:type="dxa"/>
            <w:vAlign w:val="bottom"/>
            <w:tcBorders>
              <w:bottom w:val="single" w:sz="8" w:color="582C83"/>
            </w:tcBorders>
          </w:tcPr>
          <w:p>
            <w:pPr>
              <w:ind w:left="140"/>
              <w:spacing w:after="0"/>
              <w:rPr>
                <w:sz w:val="20"/>
                <w:szCs w:val="20"/>
                <w:color w:val="auto"/>
              </w:rPr>
            </w:pPr>
            <w:r>
              <w:rPr>
                <w:rFonts w:ascii="Arial" w:cs="Arial" w:eastAsia="Arial" w:hAnsi="Arial"/>
                <w:sz w:val="20"/>
                <w:szCs w:val="20"/>
                <w:b w:val="1"/>
                <w:bCs w:val="1"/>
                <w:color w:val="auto"/>
              </w:rPr>
              <w:t>Relevant Experience</w:t>
            </w:r>
          </w:p>
        </w:tc>
      </w:tr>
      <w:tr>
        <w:trPr>
          <w:trHeight w:val="247"/>
        </w:trPr>
        <w:tc>
          <w:tcPr>
            <w:tcW w:w="1960" w:type="dxa"/>
            <w:vAlign w:val="bottom"/>
            <w:shd w:val="clear" w:color="auto" w:fill="EBE6F0"/>
          </w:tcPr>
          <w:p>
            <w:pPr>
              <w:spacing w:after="0"/>
              <w:rPr>
                <w:sz w:val="21"/>
                <w:szCs w:val="21"/>
                <w:color w:val="auto"/>
              </w:rPr>
            </w:pPr>
          </w:p>
        </w:tc>
        <w:tc>
          <w:tcPr>
            <w:tcW w:w="5160" w:type="dxa"/>
            <w:vAlign w:val="bottom"/>
            <w:shd w:val="clear" w:color="auto" w:fill="EBE6F0"/>
          </w:tcPr>
          <w:p>
            <w:pPr>
              <w:ind w:left="140"/>
              <w:spacing w:after="0"/>
              <w:rPr>
                <w:sz w:val="20"/>
                <w:szCs w:val="20"/>
                <w:color w:val="auto"/>
              </w:rPr>
            </w:pPr>
            <w:r>
              <w:rPr>
                <w:rFonts w:ascii="Arial" w:cs="Arial" w:eastAsia="Arial" w:hAnsi="Arial"/>
                <w:sz w:val="20"/>
                <w:szCs w:val="20"/>
                <w:color w:val="auto"/>
              </w:rPr>
              <w:t>Industry Experience is vital to reviewing and</w:t>
            </w:r>
          </w:p>
        </w:tc>
        <w:tc>
          <w:tcPr>
            <w:tcW w:w="4120" w:type="dxa"/>
            <w:vAlign w:val="bottom"/>
            <w:shd w:val="clear" w:color="auto" w:fill="EBE6F0"/>
          </w:tcPr>
          <w:p>
            <w:pPr>
              <w:ind w:left="14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Food and beverage</w:t>
            </w:r>
          </w:p>
        </w:tc>
      </w:tr>
      <w:tr>
        <w:trPr>
          <w:trHeight w:val="237"/>
        </w:trPr>
        <w:tc>
          <w:tcPr>
            <w:tcW w:w="1960" w:type="dxa"/>
            <w:vAlign w:val="bottom"/>
            <w:shd w:val="clear" w:color="auto" w:fill="EBE6F0"/>
          </w:tcPr>
          <w:p>
            <w:pPr>
              <w:spacing w:after="0"/>
              <w:rPr>
                <w:sz w:val="20"/>
                <w:szCs w:val="20"/>
                <w:color w:val="auto"/>
              </w:rPr>
            </w:pPr>
          </w:p>
        </w:tc>
        <w:tc>
          <w:tcPr>
            <w:tcW w:w="5160" w:type="dxa"/>
            <w:vAlign w:val="bottom"/>
            <w:shd w:val="clear" w:color="auto" w:fill="EBE6F0"/>
          </w:tcPr>
          <w:p>
            <w:pPr>
              <w:ind w:left="140"/>
              <w:spacing w:after="0"/>
              <w:rPr>
                <w:sz w:val="20"/>
                <w:szCs w:val="20"/>
                <w:color w:val="auto"/>
              </w:rPr>
            </w:pPr>
            <w:r>
              <w:rPr>
                <w:rFonts w:ascii="Arial" w:cs="Arial" w:eastAsia="Arial" w:hAnsi="Arial"/>
                <w:sz w:val="20"/>
                <w:szCs w:val="20"/>
                <w:color w:val="auto"/>
              </w:rPr>
              <w:t>understanding strategy, and the connections between</w:t>
            </w:r>
          </w:p>
        </w:tc>
        <w:tc>
          <w:tcPr>
            <w:tcW w:w="4120" w:type="dxa"/>
            <w:vAlign w:val="bottom"/>
            <w:shd w:val="clear" w:color="auto" w:fill="EBE6F0"/>
          </w:tcPr>
          <w:p>
            <w:pPr>
              <w:ind w:left="14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Consumer products</w:t>
            </w:r>
          </w:p>
        </w:tc>
      </w:tr>
      <w:tr>
        <w:trPr>
          <w:trHeight w:val="261"/>
        </w:trPr>
        <w:tc>
          <w:tcPr>
            <w:tcW w:w="1960" w:type="dxa"/>
            <w:vAlign w:val="bottom"/>
            <w:shd w:val="clear" w:color="auto" w:fill="EBE6F0"/>
          </w:tcPr>
          <w:p>
            <w:pPr>
              <w:jc w:val="center"/>
              <w:spacing w:after="0"/>
              <w:rPr>
                <w:sz w:val="20"/>
                <w:szCs w:val="20"/>
                <w:color w:val="auto"/>
              </w:rPr>
            </w:pPr>
            <w:r>
              <w:rPr>
                <w:rFonts w:ascii="Arial" w:cs="Arial" w:eastAsia="Arial" w:hAnsi="Arial"/>
                <w:sz w:val="20"/>
                <w:szCs w:val="20"/>
                <w:b w:val="1"/>
                <w:bCs w:val="1"/>
                <w:color w:val="auto"/>
                <w:w w:val="97"/>
              </w:rPr>
              <w:t>INDUSTRY</w:t>
            </w:r>
          </w:p>
        </w:tc>
        <w:tc>
          <w:tcPr>
            <w:tcW w:w="5160" w:type="dxa"/>
            <w:vAlign w:val="bottom"/>
            <w:shd w:val="clear" w:color="auto" w:fill="EBE6F0"/>
          </w:tcPr>
          <w:p>
            <w:pPr>
              <w:ind w:left="140"/>
              <w:spacing w:after="0"/>
              <w:rPr>
                <w:sz w:val="20"/>
                <w:szCs w:val="20"/>
                <w:color w:val="auto"/>
              </w:rPr>
            </w:pPr>
            <w:r>
              <w:rPr>
                <w:rFonts w:ascii="Arial" w:cs="Arial" w:eastAsia="Arial" w:hAnsi="Arial"/>
                <w:sz w:val="20"/>
                <w:szCs w:val="20"/>
                <w:color w:val="auto"/>
              </w:rPr>
              <w:t>strategy and the potential acquisition of businesses that</w:t>
            </w:r>
          </w:p>
        </w:tc>
        <w:tc>
          <w:tcPr>
            <w:tcW w:w="4120" w:type="dxa"/>
            <w:vAlign w:val="bottom"/>
            <w:shd w:val="clear" w:color="auto" w:fill="EBE6F0"/>
          </w:tcPr>
          <w:p>
            <w:pPr>
              <w:ind w:left="14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Global food strategies</w:t>
            </w:r>
          </w:p>
        </w:tc>
      </w:tr>
      <w:tr>
        <w:trPr>
          <w:trHeight w:val="261"/>
        </w:trPr>
        <w:tc>
          <w:tcPr>
            <w:tcW w:w="1960" w:type="dxa"/>
            <w:vAlign w:val="bottom"/>
            <w:tcBorders>
              <w:bottom w:val="single" w:sz="8" w:color="572C83"/>
            </w:tcBorders>
            <w:shd w:val="clear" w:color="auto" w:fill="EBE6F0"/>
          </w:tcPr>
          <w:p>
            <w:pPr>
              <w:jc w:val="center"/>
              <w:spacing w:after="0"/>
              <w:rPr>
                <w:sz w:val="20"/>
                <w:szCs w:val="20"/>
                <w:color w:val="auto"/>
              </w:rPr>
            </w:pPr>
            <w:r>
              <w:rPr>
                <w:rFonts w:ascii="Arial" w:cs="Arial" w:eastAsia="Arial" w:hAnsi="Arial"/>
                <w:sz w:val="20"/>
                <w:szCs w:val="20"/>
                <w:b w:val="1"/>
                <w:bCs w:val="1"/>
                <w:color w:val="auto"/>
                <w:w w:val="99"/>
              </w:rPr>
              <w:t>EXPERIENCE</w:t>
            </w:r>
          </w:p>
        </w:tc>
        <w:tc>
          <w:tcPr>
            <w:tcW w:w="5160" w:type="dxa"/>
            <w:vAlign w:val="bottom"/>
            <w:tcBorders>
              <w:bottom w:val="single" w:sz="8" w:color="572C83"/>
            </w:tcBorders>
            <w:shd w:val="clear" w:color="auto" w:fill="EBE6F0"/>
          </w:tcPr>
          <w:p>
            <w:pPr>
              <w:ind w:left="140"/>
              <w:spacing w:after="0"/>
              <w:rPr>
                <w:sz w:val="20"/>
                <w:szCs w:val="20"/>
                <w:color w:val="auto"/>
              </w:rPr>
            </w:pPr>
            <w:r>
              <w:rPr>
                <w:rFonts w:ascii="Arial" w:cs="Arial" w:eastAsia="Arial" w:hAnsi="Arial"/>
                <w:sz w:val="20"/>
                <w:szCs w:val="20"/>
                <w:color w:val="auto"/>
              </w:rPr>
              <w:t>offer complementary products or services.</w:t>
            </w:r>
          </w:p>
        </w:tc>
        <w:tc>
          <w:tcPr>
            <w:tcW w:w="4120" w:type="dxa"/>
            <w:vAlign w:val="bottom"/>
            <w:tcBorders>
              <w:bottom w:val="single" w:sz="8" w:color="572C83"/>
            </w:tcBorders>
            <w:shd w:val="clear" w:color="auto" w:fill="EBE6F0"/>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-614045</wp:posOffset>
            </wp:positionV>
            <wp:extent cx="299720" cy="2520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9720" cy="25209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380" w:firstLine="6"/>
        <w:spacing w:after="0" w:line="275" w:lineRule="auto"/>
        <w:rPr>
          <w:sz w:val="20"/>
          <w:szCs w:val="20"/>
          <w:color w:val="auto"/>
        </w:rPr>
      </w:pPr>
      <w:r>
        <w:rPr>
          <w:rFonts w:ascii="Arial" w:cs="Arial" w:eastAsia="Arial" w:hAnsi="Arial"/>
          <w:sz w:val="19"/>
          <w:szCs w:val="19"/>
          <w:b w:val="1"/>
          <w:bCs w:val="1"/>
          <w:color w:val="auto"/>
        </w:rPr>
        <w:t>SIGNIFICANT OPERATING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-767080</wp:posOffset>
            </wp:positionV>
            <wp:extent cx="330835" cy="2679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0835" cy="267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Significant Operating Experience as a current or former executive of a large global company or other large organization gives a director specific insight and expertise that will foster active participation in the development and implementation of the Company’s operating plan and business strategy.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157" w:hanging="157"/>
        <w:spacing w:after="0"/>
        <w:tabs>
          <w:tab w:leader="none" w:pos="157" w:val="left"/>
        </w:tabs>
        <w:numPr>
          <w:ilvl w:val="0"/>
          <w:numId w:val="9"/>
        </w:numPr>
        <w:rPr>
          <w:rFonts w:ascii="Arial" w:cs="Arial" w:eastAsia="Arial" w:hAnsi="Arial"/>
          <w:sz w:val="20"/>
          <w:szCs w:val="20"/>
          <w:color w:val="582C83"/>
        </w:rPr>
      </w:pPr>
      <w:r>
        <w:rPr>
          <w:rFonts w:ascii="Arial" w:cs="Arial" w:eastAsia="Arial" w:hAnsi="Arial"/>
          <w:sz w:val="20"/>
          <w:szCs w:val="20"/>
          <w:color w:val="auto"/>
        </w:rPr>
        <w:t>CEO/COO</w:t>
      </w:r>
    </w:p>
    <w:p>
      <w:pPr>
        <w:spacing w:after="0" w:line="33" w:lineRule="exact"/>
        <w:rPr>
          <w:rFonts w:ascii="Arial" w:cs="Arial" w:eastAsia="Arial" w:hAnsi="Arial"/>
          <w:sz w:val="20"/>
          <w:szCs w:val="20"/>
          <w:color w:val="582C83"/>
        </w:rPr>
      </w:pPr>
    </w:p>
    <w:p>
      <w:pPr>
        <w:ind w:left="157" w:hanging="157"/>
        <w:spacing w:after="0"/>
        <w:tabs>
          <w:tab w:leader="none" w:pos="157" w:val="left"/>
        </w:tabs>
        <w:numPr>
          <w:ilvl w:val="0"/>
          <w:numId w:val="9"/>
        </w:numPr>
        <w:rPr>
          <w:rFonts w:ascii="Arial" w:cs="Arial" w:eastAsia="Arial" w:hAnsi="Arial"/>
          <w:sz w:val="20"/>
          <w:szCs w:val="20"/>
          <w:color w:val="582C83"/>
        </w:rPr>
      </w:pPr>
      <w:r>
        <w:rPr>
          <w:rFonts w:ascii="Arial" w:cs="Arial" w:eastAsia="Arial" w:hAnsi="Arial"/>
          <w:sz w:val="20"/>
          <w:szCs w:val="20"/>
          <w:color w:val="auto"/>
        </w:rPr>
        <w:t>Manufacturing operations</w:t>
      </w:r>
    </w:p>
    <w:p>
      <w:pPr>
        <w:spacing w:after="0" w:line="30" w:lineRule="exact"/>
        <w:rPr>
          <w:rFonts w:ascii="Arial" w:cs="Arial" w:eastAsia="Arial" w:hAnsi="Arial"/>
          <w:sz w:val="20"/>
          <w:szCs w:val="20"/>
          <w:color w:val="582C83"/>
        </w:rPr>
      </w:pPr>
    </w:p>
    <w:p>
      <w:pPr>
        <w:ind w:left="157" w:hanging="157"/>
        <w:spacing w:after="0"/>
        <w:tabs>
          <w:tab w:leader="none" w:pos="157" w:val="left"/>
        </w:tabs>
        <w:numPr>
          <w:ilvl w:val="0"/>
          <w:numId w:val="9"/>
        </w:numPr>
        <w:rPr>
          <w:rFonts w:ascii="Arial" w:cs="Arial" w:eastAsia="Arial" w:hAnsi="Arial"/>
          <w:sz w:val="20"/>
          <w:szCs w:val="20"/>
          <w:color w:val="582C83"/>
        </w:rPr>
      </w:pPr>
      <w:r>
        <w:rPr>
          <w:rFonts w:ascii="Arial" w:cs="Arial" w:eastAsia="Arial" w:hAnsi="Arial"/>
          <w:sz w:val="20"/>
          <w:szCs w:val="20"/>
          <w:color w:val="auto"/>
        </w:rPr>
        <w:t>Retail operations</w:t>
      </w:r>
    </w:p>
    <w:p>
      <w:pPr>
        <w:spacing w:after="0" w:line="30" w:lineRule="exact"/>
        <w:rPr>
          <w:rFonts w:ascii="Arial" w:cs="Arial" w:eastAsia="Arial" w:hAnsi="Arial"/>
          <w:sz w:val="20"/>
          <w:szCs w:val="20"/>
          <w:color w:val="582C83"/>
        </w:rPr>
      </w:pPr>
    </w:p>
    <w:p>
      <w:pPr>
        <w:ind w:left="157" w:right="760" w:hanging="157"/>
        <w:spacing w:after="0" w:line="265" w:lineRule="auto"/>
        <w:tabs>
          <w:tab w:leader="none" w:pos="157" w:val="left"/>
        </w:tabs>
        <w:numPr>
          <w:ilvl w:val="0"/>
          <w:numId w:val="9"/>
        </w:numPr>
        <w:rPr>
          <w:rFonts w:ascii="Arial" w:cs="Arial" w:eastAsia="Arial" w:hAnsi="Arial"/>
          <w:sz w:val="20"/>
          <w:szCs w:val="20"/>
          <w:color w:val="582C83"/>
        </w:rPr>
      </w:pPr>
      <w:r>
        <w:rPr>
          <w:rFonts w:ascii="Arial" w:cs="Arial" w:eastAsia="Arial" w:hAnsi="Arial"/>
          <w:sz w:val="20"/>
          <w:szCs w:val="20"/>
          <w:color w:val="auto"/>
        </w:rPr>
        <w:t>Technology/information technology strategy</w:t>
      </w:r>
    </w:p>
    <w:p>
      <w:pPr>
        <w:spacing w:after="0" w:line="103" w:lineRule="exact"/>
        <w:rPr>
          <w:sz w:val="20"/>
          <w:szCs w:val="20"/>
          <w:color w:val="auto"/>
        </w:rPr>
      </w:pPr>
    </w:p>
    <w:p>
      <w:pPr>
        <w:sectPr>
          <w:pgSz w:w="11900" w:h="16838" w:orient="portrait"/>
          <w:cols w:equalWidth="0" w:num="3">
            <w:col w:w="1660" w:space="440"/>
            <w:col w:w="4860" w:space="303"/>
            <w:col w:w="3977"/>
          </w:cols>
          <w:pgMar w:left="320" w:top="132" w:right="33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1880" w:type="dxa"/>
            <w:vAlign w:val="bottom"/>
            <w:tcBorders>
              <w:top w:val="single" w:sz="8" w:color="582C83"/>
            </w:tcBorders>
            <w:shd w:val="clear" w:color="auto" w:fill="EBE6F0"/>
          </w:tcPr>
          <w:p>
            <w:pPr>
              <w:spacing w:after="0"/>
              <w:rPr>
                <w:sz w:val="22"/>
                <w:szCs w:val="22"/>
                <w:color w:val="auto"/>
              </w:rPr>
            </w:pPr>
          </w:p>
        </w:tc>
        <w:tc>
          <w:tcPr>
            <w:tcW w:w="5200" w:type="dxa"/>
            <w:vAlign w:val="bottom"/>
            <w:tcBorders>
              <w:top w:val="single" w:sz="8" w:color="582C83"/>
            </w:tcBorders>
            <w:shd w:val="clear" w:color="auto" w:fill="EBE6F0"/>
          </w:tcPr>
          <w:p>
            <w:pPr>
              <w:ind w:left="220"/>
              <w:spacing w:after="0"/>
              <w:rPr>
                <w:sz w:val="20"/>
                <w:szCs w:val="20"/>
                <w:color w:val="auto"/>
              </w:rPr>
            </w:pPr>
            <w:r>
              <w:rPr>
                <w:rFonts w:ascii="Arial" w:cs="Arial" w:eastAsia="Arial" w:hAnsi="Arial"/>
                <w:sz w:val="20"/>
                <w:szCs w:val="20"/>
                <w:color w:val="auto"/>
              </w:rPr>
              <w:t>Leadership Experience gives a director the ability to</w:t>
            </w:r>
          </w:p>
        </w:tc>
        <w:tc>
          <w:tcPr>
            <w:tcW w:w="4160" w:type="dxa"/>
            <w:vAlign w:val="bottom"/>
            <w:tcBorders>
              <w:top w:val="single" w:sz="8" w:color="582C83"/>
            </w:tcBorders>
            <w:shd w:val="clear" w:color="auto" w:fill="EBE6F0"/>
          </w:tcPr>
          <w:p>
            <w:pPr>
              <w:ind w:left="1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CEO/COO or other leadership positions at</w:t>
            </w:r>
          </w:p>
        </w:tc>
        <w:tc>
          <w:tcPr>
            <w:tcW w:w="0" w:type="dxa"/>
            <w:vAlign w:val="bottom"/>
          </w:tcPr>
          <w:p>
            <w:pPr>
              <w:spacing w:after="0"/>
              <w:rPr>
                <w:sz w:val="1"/>
                <w:szCs w:val="1"/>
                <w:color w:val="auto"/>
              </w:rPr>
            </w:pPr>
          </w:p>
        </w:tc>
      </w:tr>
      <w:tr>
        <w:trPr>
          <w:trHeight w:val="223"/>
        </w:trPr>
        <w:tc>
          <w:tcPr>
            <w:tcW w:w="1880" w:type="dxa"/>
            <w:vAlign w:val="bottom"/>
            <w:shd w:val="clear" w:color="auto" w:fill="EBE6F0"/>
          </w:tcPr>
          <w:p>
            <w:pPr>
              <w:spacing w:after="0"/>
              <w:rPr>
                <w:sz w:val="19"/>
                <w:szCs w:val="19"/>
                <w:color w:val="auto"/>
              </w:rPr>
            </w:pPr>
          </w:p>
        </w:tc>
        <w:tc>
          <w:tcPr>
            <w:tcW w:w="5200" w:type="dxa"/>
            <w:vAlign w:val="bottom"/>
            <w:shd w:val="clear" w:color="auto" w:fill="EBE6F0"/>
          </w:tcPr>
          <w:p>
            <w:pPr>
              <w:ind w:left="220"/>
              <w:spacing w:after="0" w:line="224" w:lineRule="exact"/>
              <w:rPr>
                <w:sz w:val="20"/>
                <w:szCs w:val="20"/>
                <w:color w:val="auto"/>
              </w:rPr>
            </w:pPr>
            <w:r>
              <w:rPr>
                <w:rFonts w:ascii="Arial" w:cs="Arial" w:eastAsia="Arial" w:hAnsi="Arial"/>
                <w:sz w:val="20"/>
                <w:szCs w:val="20"/>
                <w:color w:val="auto"/>
              </w:rPr>
              <w:t>motivate, manage, and identify and develop leadership</w:t>
            </w:r>
          </w:p>
        </w:tc>
        <w:tc>
          <w:tcPr>
            <w:tcW w:w="4160" w:type="dxa"/>
            <w:vAlign w:val="bottom"/>
            <w:shd w:val="clear" w:color="auto" w:fill="EBE6F0"/>
          </w:tcPr>
          <w:p>
            <w:pPr>
              <w:ind w:left="340"/>
              <w:spacing w:after="0" w:line="224" w:lineRule="exact"/>
              <w:rPr>
                <w:sz w:val="20"/>
                <w:szCs w:val="20"/>
                <w:color w:val="auto"/>
              </w:rPr>
            </w:pPr>
            <w:r>
              <w:rPr>
                <w:rFonts w:ascii="Arial" w:cs="Arial" w:eastAsia="Arial" w:hAnsi="Arial"/>
                <w:sz w:val="20"/>
                <w:szCs w:val="20"/>
                <w:color w:val="auto"/>
              </w:rPr>
              <w:t>complex organizations</w:t>
            </w:r>
          </w:p>
        </w:tc>
        <w:tc>
          <w:tcPr>
            <w:tcW w:w="0" w:type="dxa"/>
            <w:vAlign w:val="bottom"/>
          </w:tcPr>
          <w:p>
            <w:pPr>
              <w:spacing w:after="0"/>
              <w:rPr>
                <w:sz w:val="1"/>
                <w:szCs w:val="1"/>
                <w:color w:val="auto"/>
              </w:rPr>
            </w:pPr>
          </w:p>
        </w:tc>
      </w:tr>
      <w:tr>
        <w:trPr>
          <w:trHeight w:val="237"/>
        </w:trPr>
        <w:tc>
          <w:tcPr>
            <w:tcW w:w="1880" w:type="dxa"/>
            <w:vAlign w:val="bottom"/>
            <w:shd w:val="clear" w:color="auto" w:fill="EBE6F0"/>
          </w:tcPr>
          <w:p>
            <w:pPr>
              <w:ind w:left="380"/>
              <w:spacing w:after="0"/>
              <w:rPr>
                <w:sz w:val="20"/>
                <w:szCs w:val="20"/>
                <w:color w:val="auto"/>
              </w:rPr>
            </w:pPr>
            <w:r>
              <w:rPr>
                <w:rFonts w:ascii="Arial" w:cs="Arial" w:eastAsia="Arial" w:hAnsi="Arial"/>
                <w:sz w:val="20"/>
                <w:szCs w:val="20"/>
                <w:b w:val="1"/>
                <w:bCs w:val="1"/>
                <w:color w:val="auto"/>
              </w:rPr>
              <w:t>LEADERSHIP</w:t>
            </w:r>
          </w:p>
        </w:tc>
        <w:tc>
          <w:tcPr>
            <w:tcW w:w="5200" w:type="dxa"/>
            <w:vAlign w:val="bottom"/>
            <w:shd w:val="clear" w:color="auto" w:fill="EBE6F0"/>
          </w:tcPr>
          <w:p>
            <w:pPr>
              <w:ind w:left="220"/>
              <w:spacing w:after="0"/>
              <w:rPr>
                <w:sz w:val="20"/>
                <w:szCs w:val="20"/>
                <w:color w:val="auto"/>
              </w:rPr>
            </w:pPr>
            <w:r>
              <w:rPr>
                <w:rFonts w:ascii="Arial" w:cs="Arial" w:eastAsia="Arial" w:hAnsi="Arial"/>
                <w:sz w:val="20"/>
                <w:szCs w:val="20"/>
                <w:color w:val="auto"/>
              </w:rPr>
              <w:t>qualities in others and promotes strong critical thinking</w:t>
            </w:r>
          </w:p>
        </w:tc>
        <w:tc>
          <w:tcPr>
            <w:tcW w:w="4160" w:type="dxa"/>
            <w:vAlign w:val="bottom"/>
            <w:shd w:val="clear" w:color="auto" w:fill="EBE6F0"/>
          </w:tcPr>
          <w:p>
            <w:pPr>
              <w:ind w:left="1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M&amp;A/alliances/partnerships</w:t>
            </w:r>
          </w:p>
        </w:tc>
        <w:tc>
          <w:tcPr>
            <w:tcW w:w="0" w:type="dxa"/>
            <w:vAlign w:val="bottom"/>
          </w:tcPr>
          <w:p>
            <w:pPr>
              <w:spacing w:after="0"/>
              <w:rPr>
                <w:sz w:val="1"/>
                <w:szCs w:val="1"/>
                <w:color w:val="auto"/>
              </w:rPr>
            </w:pPr>
          </w:p>
        </w:tc>
      </w:tr>
      <w:tr>
        <w:trPr>
          <w:trHeight w:val="261"/>
        </w:trPr>
        <w:tc>
          <w:tcPr>
            <w:tcW w:w="1880" w:type="dxa"/>
            <w:vAlign w:val="bottom"/>
            <w:shd w:val="clear" w:color="auto" w:fill="EBE6F0"/>
          </w:tcPr>
          <w:p>
            <w:pPr>
              <w:ind w:left="380"/>
              <w:spacing w:after="0"/>
              <w:rPr>
                <w:sz w:val="20"/>
                <w:szCs w:val="20"/>
                <w:color w:val="auto"/>
              </w:rPr>
            </w:pPr>
            <w:r>
              <w:rPr>
                <w:rFonts w:ascii="Arial" w:cs="Arial" w:eastAsia="Arial" w:hAnsi="Arial"/>
                <w:sz w:val="20"/>
                <w:szCs w:val="20"/>
                <w:b w:val="1"/>
                <w:bCs w:val="1"/>
                <w:color w:val="auto"/>
              </w:rPr>
              <w:t>EXPERIENCE</w:t>
            </w:r>
          </w:p>
        </w:tc>
        <w:tc>
          <w:tcPr>
            <w:tcW w:w="5200" w:type="dxa"/>
            <w:vAlign w:val="bottom"/>
            <w:shd w:val="clear" w:color="auto" w:fill="EBE6F0"/>
          </w:tcPr>
          <w:p>
            <w:pPr>
              <w:ind w:left="220"/>
              <w:spacing w:after="0"/>
              <w:rPr>
                <w:sz w:val="20"/>
                <w:szCs w:val="20"/>
                <w:color w:val="auto"/>
              </w:rPr>
            </w:pPr>
            <w:r>
              <w:rPr>
                <w:rFonts w:ascii="Arial" w:cs="Arial" w:eastAsia="Arial" w:hAnsi="Arial"/>
                <w:sz w:val="20"/>
                <w:szCs w:val="20"/>
                <w:color w:val="auto"/>
              </w:rPr>
              <w:t>and verbal communication skills, as well as diversity of</w:t>
            </w:r>
          </w:p>
        </w:tc>
        <w:tc>
          <w:tcPr>
            <w:tcW w:w="4160" w:type="dxa"/>
            <w:vAlign w:val="bottom"/>
            <w:shd w:val="clear" w:color="auto" w:fill="EBE6F0"/>
          </w:tcPr>
          <w:p>
            <w:pPr>
              <w:ind w:left="1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Strategic planning</w:t>
            </w:r>
          </w:p>
        </w:tc>
        <w:tc>
          <w:tcPr>
            <w:tcW w:w="0" w:type="dxa"/>
            <w:vAlign w:val="bottom"/>
          </w:tcPr>
          <w:p>
            <w:pPr>
              <w:spacing w:after="0"/>
              <w:rPr>
                <w:sz w:val="1"/>
                <w:szCs w:val="1"/>
                <w:color w:val="auto"/>
              </w:rPr>
            </w:pPr>
          </w:p>
        </w:tc>
      </w:tr>
      <w:tr>
        <w:trPr>
          <w:trHeight w:val="261"/>
        </w:trPr>
        <w:tc>
          <w:tcPr>
            <w:tcW w:w="1880" w:type="dxa"/>
            <w:vAlign w:val="bottom"/>
            <w:shd w:val="clear" w:color="auto" w:fill="EBE6F0"/>
          </w:tcPr>
          <w:p>
            <w:pPr>
              <w:spacing w:after="0"/>
              <w:rPr>
                <w:sz w:val="22"/>
                <w:szCs w:val="22"/>
                <w:color w:val="auto"/>
              </w:rPr>
            </w:pPr>
          </w:p>
        </w:tc>
        <w:tc>
          <w:tcPr>
            <w:tcW w:w="5200" w:type="dxa"/>
            <w:vAlign w:val="bottom"/>
            <w:shd w:val="clear" w:color="auto" w:fill="EBE6F0"/>
          </w:tcPr>
          <w:p>
            <w:pPr>
              <w:ind w:left="220"/>
              <w:spacing w:after="0"/>
              <w:rPr>
                <w:sz w:val="20"/>
                <w:szCs w:val="20"/>
                <w:color w:val="auto"/>
              </w:rPr>
            </w:pPr>
            <w:r>
              <w:rPr>
                <w:rFonts w:ascii="Arial" w:cs="Arial" w:eastAsia="Arial" w:hAnsi="Arial"/>
                <w:sz w:val="20"/>
                <w:szCs w:val="20"/>
                <w:color w:val="auto"/>
              </w:rPr>
              <w:t>views and thought processes.</w:t>
            </w:r>
          </w:p>
        </w:tc>
        <w:tc>
          <w:tcPr>
            <w:tcW w:w="4160" w:type="dxa"/>
            <w:vAlign w:val="bottom"/>
            <w:vMerge w:val="restart"/>
            <w:shd w:val="clear" w:color="auto" w:fill="EBE6F0"/>
          </w:tcPr>
          <w:p>
            <w:pPr>
              <w:ind w:left="1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Talent assessment and people</w:t>
            </w:r>
          </w:p>
        </w:tc>
        <w:tc>
          <w:tcPr>
            <w:tcW w:w="0" w:type="dxa"/>
            <w:vAlign w:val="bottom"/>
          </w:tcPr>
          <w:p>
            <w:pPr>
              <w:spacing w:after="0"/>
              <w:rPr>
                <w:sz w:val="1"/>
                <w:szCs w:val="1"/>
                <w:color w:val="auto"/>
              </w:rPr>
            </w:pPr>
          </w:p>
        </w:tc>
      </w:tr>
      <w:tr>
        <w:trPr>
          <w:trHeight w:val="24"/>
        </w:trPr>
        <w:tc>
          <w:tcPr>
            <w:tcW w:w="1880" w:type="dxa"/>
            <w:vAlign w:val="bottom"/>
            <w:shd w:val="clear" w:color="auto" w:fill="EBE6F0"/>
          </w:tcPr>
          <w:p>
            <w:pPr>
              <w:spacing w:after="0"/>
              <w:rPr>
                <w:sz w:val="2"/>
                <w:szCs w:val="2"/>
                <w:color w:val="auto"/>
              </w:rPr>
            </w:pPr>
          </w:p>
        </w:tc>
        <w:tc>
          <w:tcPr>
            <w:tcW w:w="5200" w:type="dxa"/>
            <w:vAlign w:val="bottom"/>
            <w:shd w:val="clear" w:color="auto" w:fill="EBE6F0"/>
          </w:tcPr>
          <w:p>
            <w:pPr>
              <w:spacing w:after="0"/>
              <w:rPr>
                <w:sz w:val="2"/>
                <w:szCs w:val="2"/>
                <w:color w:val="auto"/>
              </w:rPr>
            </w:pPr>
          </w:p>
        </w:tc>
        <w:tc>
          <w:tcPr>
            <w:tcW w:w="4160" w:type="dxa"/>
            <w:vAlign w:val="bottom"/>
            <w:vMerge w:val="continue"/>
            <w:shd w:val="clear" w:color="auto" w:fill="EBE6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1880" w:type="dxa"/>
            <w:vAlign w:val="bottom"/>
            <w:tcBorders>
              <w:bottom w:val="single" w:sz="8" w:color="EBE6F0"/>
            </w:tcBorders>
            <w:shd w:val="clear" w:color="auto" w:fill="EBE6F0"/>
          </w:tcPr>
          <w:p>
            <w:pPr>
              <w:spacing w:after="0"/>
              <w:rPr>
                <w:sz w:val="24"/>
                <w:szCs w:val="24"/>
                <w:color w:val="auto"/>
              </w:rPr>
            </w:pPr>
          </w:p>
        </w:tc>
        <w:tc>
          <w:tcPr>
            <w:tcW w:w="5200" w:type="dxa"/>
            <w:vAlign w:val="bottom"/>
            <w:tcBorders>
              <w:bottom w:val="single" w:sz="8" w:color="EBE6F0"/>
            </w:tcBorders>
            <w:shd w:val="clear" w:color="auto" w:fill="EBE6F0"/>
          </w:tcPr>
          <w:p>
            <w:pPr>
              <w:spacing w:after="0"/>
              <w:rPr>
                <w:sz w:val="24"/>
                <w:szCs w:val="24"/>
                <w:color w:val="auto"/>
              </w:rPr>
            </w:pPr>
          </w:p>
        </w:tc>
        <w:tc>
          <w:tcPr>
            <w:tcW w:w="4160" w:type="dxa"/>
            <w:vAlign w:val="bottom"/>
            <w:tcBorders>
              <w:bottom w:val="single" w:sz="8" w:color="EBE6F0"/>
            </w:tcBorders>
            <w:shd w:val="clear" w:color="auto" w:fill="EBE6F0"/>
          </w:tcPr>
          <w:p>
            <w:pPr>
              <w:ind w:left="340"/>
              <w:spacing w:after="0"/>
              <w:rPr>
                <w:sz w:val="20"/>
                <w:szCs w:val="20"/>
                <w:color w:val="auto"/>
              </w:rPr>
            </w:pPr>
            <w:r>
              <w:rPr>
                <w:rFonts w:ascii="Arial" w:cs="Arial" w:eastAsia="Arial" w:hAnsi="Arial"/>
                <w:sz w:val="20"/>
                <w:szCs w:val="20"/>
                <w:color w:val="auto"/>
              </w:rPr>
              <w:t>development/compensation</w:t>
            </w:r>
          </w:p>
        </w:tc>
        <w:tc>
          <w:tcPr>
            <w:tcW w:w="0" w:type="dxa"/>
            <w:vAlign w:val="bottom"/>
          </w:tcPr>
          <w:p>
            <w:pPr>
              <w:spacing w:after="0"/>
              <w:rPr>
                <w:sz w:val="1"/>
                <w:szCs w:val="1"/>
                <w:color w:val="auto"/>
              </w:rPr>
            </w:pPr>
          </w:p>
        </w:tc>
      </w:tr>
      <w:tr>
        <w:trPr>
          <w:trHeight w:val="20"/>
        </w:trPr>
        <w:tc>
          <w:tcPr>
            <w:tcW w:w="1880" w:type="dxa"/>
            <w:vAlign w:val="bottom"/>
            <w:shd w:val="clear" w:color="auto" w:fill="572C83"/>
          </w:tcPr>
          <w:p>
            <w:pPr>
              <w:spacing w:after="0" w:line="20" w:lineRule="exact"/>
              <w:rPr>
                <w:sz w:val="1"/>
                <w:szCs w:val="1"/>
                <w:color w:val="auto"/>
              </w:rPr>
            </w:pPr>
          </w:p>
        </w:tc>
        <w:tc>
          <w:tcPr>
            <w:tcW w:w="5200" w:type="dxa"/>
            <w:vAlign w:val="bottom"/>
            <w:shd w:val="clear" w:color="auto" w:fill="572C83"/>
          </w:tcPr>
          <w:p>
            <w:pPr>
              <w:spacing w:after="0" w:line="20" w:lineRule="exact"/>
              <w:rPr>
                <w:sz w:val="1"/>
                <w:szCs w:val="1"/>
                <w:color w:val="auto"/>
              </w:rPr>
            </w:pPr>
          </w:p>
        </w:tc>
        <w:tc>
          <w:tcPr>
            <w:tcW w:w="4160" w:type="dxa"/>
            <w:vAlign w:val="bottom"/>
            <w:shd w:val="clear" w:color="auto" w:fill="572C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-969010</wp:posOffset>
            </wp:positionV>
            <wp:extent cx="330835" cy="2679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0835" cy="26797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ind w:left="60"/>
        <w:spacing w:after="0" w:line="256" w:lineRule="auto"/>
        <w:rPr>
          <w:sz w:val="20"/>
          <w:szCs w:val="20"/>
          <w:color w:val="auto"/>
        </w:rPr>
      </w:pPr>
      <w:r>
        <w:rPr>
          <w:rFonts w:ascii="Arial" w:cs="Arial" w:eastAsia="Arial" w:hAnsi="Arial"/>
          <w:sz w:val="19"/>
          <w:szCs w:val="19"/>
          <w:b w:val="1"/>
          <w:bCs w:val="1"/>
          <w:color w:val="auto"/>
        </w:rPr>
        <w:t>SUBSTANTIAL GLOBAL BUSINESS AND OTHER INTERNATIONAL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-1030605</wp:posOffset>
            </wp:positionV>
            <wp:extent cx="330835" cy="267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0835" cy="267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Substantial Global Business and Other International Experience are important given the Company’s global presence.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157" w:hanging="157"/>
        <w:spacing w:after="0"/>
        <w:tabs>
          <w:tab w:leader="none" w:pos="157" w:val="left"/>
        </w:tabs>
        <w:numPr>
          <w:ilvl w:val="0"/>
          <w:numId w:val="10"/>
        </w:numPr>
        <w:rPr>
          <w:rFonts w:ascii="Arial" w:cs="Arial" w:eastAsia="Arial" w:hAnsi="Arial"/>
          <w:sz w:val="20"/>
          <w:szCs w:val="20"/>
          <w:color w:val="582C83"/>
        </w:rPr>
      </w:pPr>
      <w:r>
        <w:rPr>
          <w:rFonts w:ascii="Arial" w:cs="Arial" w:eastAsia="Arial" w:hAnsi="Arial"/>
          <w:sz w:val="20"/>
          <w:szCs w:val="20"/>
          <w:color w:val="auto"/>
        </w:rPr>
        <w:t>Developed markets</w:t>
      </w:r>
    </w:p>
    <w:p>
      <w:pPr>
        <w:spacing w:after="0" w:line="33" w:lineRule="exact"/>
        <w:rPr>
          <w:rFonts w:ascii="Arial" w:cs="Arial" w:eastAsia="Arial" w:hAnsi="Arial"/>
          <w:sz w:val="20"/>
          <w:szCs w:val="20"/>
          <w:color w:val="582C83"/>
        </w:rPr>
      </w:pPr>
    </w:p>
    <w:p>
      <w:pPr>
        <w:ind w:left="157" w:hanging="157"/>
        <w:spacing w:after="0"/>
        <w:tabs>
          <w:tab w:leader="none" w:pos="157" w:val="left"/>
        </w:tabs>
        <w:numPr>
          <w:ilvl w:val="0"/>
          <w:numId w:val="10"/>
        </w:numPr>
        <w:rPr>
          <w:rFonts w:ascii="Arial" w:cs="Arial" w:eastAsia="Arial" w:hAnsi="Arial"/>
          <w:sz w:val="20"/>
          <w:szCs w:val="20"/>
          <w:color w:val="582C83"/>
        </w:rPr>
      </w:pPr>
      <w:r>
        <w:rPr>
          <w:rFonts w:ascii="Arial" w:cs="Arial" w:eastAsia="Arial" w:hAnsi="Arial"/>
          <w:sz w:val="20"/>
          <w:szCs w:val="20"/>
          <w:color w:val="auto"/>
        </w:rPr>
        <w:t>Emerging markets</w:t>
      </w:r>
    </w:p>
    <w:p>
      <w:pPr>
        <w:spacing w:after="0" w:line="30" w:lineRule="exact"/>
        <w:rPr>
          <w:rFonts w:ascii="Arial" w:cs="Arial" w:eastAsia="Arial" w:hAnsi="Arial"/>
          <w:sz w:val="20"/>
          <w:szCs w:val="20"/>
          <w:color w:val="582C83"/>
        </w:rPr>
      </w:pPr>
    </w:p>
    <w:p>
      <w:pPr>
        <w:ind w:left="157" w:hanging="157"/>
        <w:spacing w:after="0"/>
        <w:tabs>
          <w:tab w:leader="none" w:pos="157" w:val="left"/>
        </w:tabs>
        <w:numPr>
          <w:ilvl w:val="0"/>
          <w:numId w:val="10"/>
        </w:numPr>
        <w:rPr>
          <w:rFonts w:ascii="Arial" w:cs="Arial" w:eastAsia="Arial" w:hAnsi="Arial"/>
          <w:sz w:val="19"/>
          <w:szCs w:val="19"/>
          <w:color w:val="582C83"/>
        </w:rPr>
      </w:pPr>
      <w:r>
        <w:rPr>
          <w:rFonts w:ascii="Arial" w:cs="Arial" w:eastAsia="Arial" w:hAnsi="Arial"/>
          <w:sz w:val="19"/>
          <w:szCs w:val="19"/>
          <w:color w:val="auto"/>
        </w:rPr>
        <w:t>Government affairs/regulatory compliance</w:t>
      </w:r>
    </w:p>
    <w:p>
      <w:pPr>
        <w:spacing w:after="0" w:line="907" w:lineRule="exact"/>
        <w:rPr>
          <w:sz w:val="20"/>
          <w:szCs w:val="20"/>
          <w:color w:val="auto"/>
        </w:rPr>
      </w:pPr>
    </w:p>
    <w:p>
      <w:pPr>
        <w:sectPr>
          <w:pgSz w:w="11900" w:h="16838" w:orient="portrait"/>
          <w:cols w:equalWidth="0" w:num="3">
            <w:col w:w="1980" w:space="120"/>
            <w:col w:w="4700" w:space="463"/>
            <w:col w:w="3977"/>
          </w:cols>
          <w:pgMar w:left="320" w:top="132"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940" w:type="dxa"/>
            <w:vAlign w:val="bottom"/>
            <w:tcBorders>
              <w:top w:val="single" w:sz="8" w:color="582C83"/>
            </w:tcBorders>
            <w:shd w:val="clear" w:color="auto" w:fill="EBE6F0"/>
          </w:tcPr>
          <w:p>
            <w:pPr>
              <w:spacing w:after="0"/>
              <w:rPr>
                <w:sz w:val="20"/>
                <w:szCs w:val="20"/>
                <w:color w:val="auto"/>
              </w:rPr>
            </w:pPr>
          </w:p>
        </w:tc>
        <w:tc>
          <w:tcPr>
            <w:tcW w:w="5220" w:type="dxa"/>
            <w:vAlign w:val="bottom"/>
            <w:tcBorders>
              <w:top w:val="single" w:sz="8" w:color="582C83"/>
            </w:tcBorders>
            <w:shd w:val="clear" w:color="auto" w:fill="EBE6F0"/>
          </w:tcPr>
          <w:p>
            <w:pPr>
              <w:ind w:left="160"/>
              <w:spacing w:after="0"/>
              <w:rPr>
                <w:sz w:val="20"/>
                <w:szCs w:val="20"/>
                <w:color w:val="auto"/>
              </w:rPr>
            </w:pPr>
            <w:r>
              <w:rPr>
                <w:rFonts w:ascii="Arial" w:cs="Arial" w:eastAsia="Arial" w:hAnsi="Arial"/>
                <w:sz w:val="20"/>
                <w:szCs w:val="20"/>
                <w:color w:val="auto"/>
              </w:rPr>
              <w:t>Accounting and Financial Expertise enables a director to</w:t>
            </w:r>
          </w:p>
        </w:tc>
        <w:tc>
          <w:tcPr>
            <w:tcW w:w="4080" w:type="dxa"/>
            <w:vAlign w:val="bottom"/>
            <w:tcBorders>
              <w:top w:val="single" w:sz="8" w:color="582C83"/>
            </w:tcBorders>
            <w:shd w:val="clear" w:color="auto" w:fill="EBE6F0"/>
          </w:tcPr>
          <w:p>
            <w:pPr>
              <w:ind w:left="10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CFO</w:t>
            </w:r>
          </w:p>
        </w:tc>
      </w:tr>
      <w:tr>
        <w:trPr>
          <w:trHeight w:val="237"/>
        </w:trPr>
        <w:tc>
          <w:tcPr>
            <w:tcW w:w="1940" w:type="dxa"/>
            <w:vAlign w:val="bottom"/>
            <w:shd w:val="clear" w:color="auto" w:fill="EBE6F0"/>
          </w:tcPr>
          <w:p>
            <w:pPr>
              <w:spacing w:after="0"/>
              <w:rPr>
                <w:sz w:val="20"/>
                <w:szCs w:val="20"/>
                <w:color w:val="auto"/>
              </w:rPr>
            </w:pPr>
          </w:p>
        </w:tc>
        <w:tc>
          <w:tcPr>
            <w:tcW w:w="5220" w:type="dxa"/>
            <w:vAlign w:val="bottom"/>
            <w:shd w:val="clear" w:color="auto" w:fill="EBE6F0"/>
          </w:tcPr>
          <w:p>
            <w:pPr>
              <w:ind w:left="160"/>
              <w:spacing w:after="0"/>
              <w:rPr>
                <w:sz w:val="20"/>
                <w:szCs w:val="20"/>
                <w:color w:val="auto"/>
              </w:rPr>
            </w:pPr>
            <w:r>
              <w:rPr>
                <w:rFonts w:ascii="Arial" w:cs="Arial" w:eastAsia="Arial" w:hAnsi="Arial"/>
                <w:sz w:val="20"/>
                <w:szCs w:val="20"/>
                <w:color w:val="auto"/>
              </w:rPr>
              <w:t>analyze financial statements, capital structure and</w:t>
            </w:r>
          </w:p>
        </w:tc>
        <w:tc>
          <w:tcPr>
            <w:tcW w:w="4080" w:type="dxa"/>
            <w:vAlign w:val="bottom"/>
            <w:shd w:val="clear" w:color="auto" w:fill="EBE6F0"/>
          </w:tcPr>
          <w:p>
            <w:pPr>
              <w:ind w:left="10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M&amp;A/alliances/partnerships</w:t>
            </w:r>
          </w:p>
        </w:tc>
      </w:tr>
      <w:tr>
        <w:trPr>
          <w:trHeight w:val="261"/>
        </w:trPr>
        <w:tc>
          <w:tcPr>
            <w:tcW w:w="1940" w:type="dxa"/>
            <w:vAlign w:val="bottom"/>
            <w:shd w:val="clear" w:color="auto" w:fill="EBE6F0"/>
          </w:tcPr>
          <w:p>
            <w:pPr>
              <w:jc w:val="center"/>
              <w:ind w:left="1"/>
              <w:spacing w:after="0"/>
              <w:rPr>
                <w:sz w:val="20"/>
                <w:szCs w:val="20"/>
                <w:color w:val="auto"/>
              </w:rPr>
            </w:pPr>
            <w:r>
              <w:rPr>
                <w:rFonts w:ascii="Arial" w:cs="Arial" w:eastAsia="Arial" w:hAnsi="Arial"/>
                <w:sz w:val="20"/>
                <w:szCs w:val="20"/>
                <w:b w:val="1"/>
                <w:bCs w:val="1"/>
                <w:color w:val="auto"/>
              </w:rPr>
              <w:t>ACCOUNTING</w:t>
            </w:r>
          </w:p>
        </w:tc>
        <w:tc>
          <w:tcPr>
            <w:tcW w:w="5220" w:type="dxa"/>
            <w:vAlign w:val="bottom"/>
            <w:shd w:val="clear" w:color="auto" w:fill="EBE6F0"/>
          </w:tcPr>
          <w:p>
            <w:pPr>
              <w:ind w:left="160"/>
              <w:spacing w:after="0"/>
              <w:rPr>
                <w:sz w:val="20"/>
                <w:szCs w:val="20"/>
                <w:color w:val="auto"/>
              </w:rPr>
            </w:pPr>
            <w:r>
              <w:rPr>
                <w:rFonts w:ascii="Arial" w:cs="Arial" w:eastAsia="Arial" w:hAnsi="Arial"/>
                <w:sz w:val="20"/>
                <w:szCs w:val="20"/>
                <w:color w:val="auto"/>
              </w:rPr>
              <w:t>complex financial transactions, and oversee accounting</w:t>
            </w:r>
          </w:p>
        </w:tc>
        <w:tc>
          <w:tcPr>
            <w:tcW w:w="4080" w:type="dxa"/>
            <w:vAlign w:val="bottom"/>
            <w:shd w:val="clear" w:color="auto" w:fill="EBE6F0"/>
          </w:tcPr>
          <w:p>
            <w:pPr>
              <w:ind w:left="10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Financial acumen/capital markets</w:t>
            </w:r>
          </w:p>
        </w:tc>
      </w:tr>
      <w:tr>
        <w:trPr>
          <w:trHeight w:val="261"/>
        </w:trPr>
        <w:tc>
          <w:tcPr>
            <w:tcW w:w="1940" w:type="dxa"/>
            <w:vAlign w:val="bottom"/>
            <w:shd w:val="clear" w:color="auto" w:fill="EBE6F0"/>
          </w:tcPr>
          <w:p>
            <w:pPr>
              <w:jc w:val="center"/>
              <w:ind w:left="1"/>
              <w:spacing w:after="0"/>
              <w:rPr>
                <w:sz w:val="20"/>
                <w:szCs w:val="20"/>
                <w:color w:val="auto"/>
              </w:rPr>
            </w:pPr>
            <w:r>
              <w:rPr>
                <w:rFonts w:ascii="Arial" w:cs="Arial" w:eastAsia="Arial" w:hAnsi="Arial"/>
                <w:sz w:val="20"/>
                <w:szCs w:val="20"/>
                <w:b w:val="1"/>
                <w:bCs w:val="1"/>
                <w:color w:val="auto"/>
                <w:w w:val="99"/>
              </w:rPr>
              <w:t>AND FINANCIAL</w:t>
            </w:r>
          </w:p>
        </w:tc>
        <w:tc>
          <w:tcPr>
            <w:tcW w:w="5220" w:type="dxa"/>
            <w:vAlign w:val="bottom"/>
            <w:shd w:val="clear" w:color="auto" w:fill="EBE6F0"/>
          </w:tcPr>
          <w:p>
            <w:pPr>
              <w:ind w:left="160"/>
              <w:spacing w:after="0"/>
              <w:rPr>
                <w:sz w:val="20"/>
                <w:szCs w:val="20"/>
                <w:color w:val="auto"/>
              </w:rPr>
            </w:pPr>
            <w:r>
              <w:rPr>
                <w:rFonts w:ascii="Arial" w:cs="Arial" w:eastAsia="Arial" w:hAnsi="Arial"/>
                <w:sz w:val="20"/>
                <w:szCs w:val="20"/>
                <w:color w:val="auto"/>
              </w:rPr>
              <w:t>and financial reporting processes.</w:t>
            </w:r>
          </w:p>
        </w:tc>
        <w:tc>
          <w:tcPr>
            <w:tcW w:w="4080" w:type="dxa"/>
            <w:vAlign w:val="bottom"/>
            <w:shd w:val="clear" w:color="auto" w:fill="EBE6F0"/>
          </w:tcPr>
          <w:p>
            <w:pPr>
              <w:ind w:left="10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Cost management</w:t>
            </w:r>
          </w:p>
        </w:tc>
      </w:tr>
      <w:tr>
        <w:trPr>
          <w:trHeight w:val="223"/>
        </w:trPr>
        <w:tc>
          <w:tcPr>
            <w:tcW w:w="1940" w:type="dxa"/>
            <w:vAlign w:val="bottom"/>
            <w:tcBorders>
              <w:bottom w:val="single" w:sz="8" w:color="572C83"/>
            </w:tcBorders>
            <w:shd w:val="clear" w:color="auto" w:fill="EBE6F0"/>
          </w:tcPr>
          <w:p>
            <w:pPr>
              <w:jc w:val="center"/>
              <w:ind w:left="1"/>
              <w:spacing w:after="0" w:line="224" w:lineRule="exact"/>
              <w:rPr>
                <w:sz w:val="20"/>
                <w:szCs w:val="20"/>
                <w:color w:val="auto"/>
              </w:rPr>
            </w:pPr>
            <w:r>
              <w:rPr>
                <w:rFonts w:ascii="Arial" w:cs="Arial" w:eastAsia="Arial" w:hAnsi="Arial"/>
                <w:sz w:val="20"/>
                <w:szCs w:val="20"/>
                <w:b w:val="1"/>
                <w:bCs w:val="1"/>
                <w:color w:val="auto"/>
                <w:w w:val="99"/>
              </w:rPr>
              <w:t>EXPERTISE</w:t>
            </w:r>
          </w:p>
        </w:tc>
        <w:tc>
          <w:tcPr>
            <w:tcW w:w="5220" w:type="dxa"/>
            <w:vAlign w:val="bottom"/>
            <w:tcBorders>
              <w:bottom w:val="single" w:sz="8" w:color="572C83"/>
            </w:tcBorders>
            <w:shd w:val="clear" w:color="auto" w:fill="EBE6F0"/>
          </w:tcPr>
          <w:p>
            <w:pPr>
              <w:spacing w:after="0"/>
              <w:rPr>
                <w:sz w:val="19"/>
                <w:szCs w:val="19"/>
                <w:color w:val="auto"/>
              </w:rPr>
            </w:pPr>
          </w:p>
        </w:tc>
        <w:tc>
          <w:tcPr>
            <w:tcW w:w="4080" w:type="dxa"/>
            <w:vAlign w:val="bottom"/>
            <w:tcBorders>
              <w:bottom w:val="single" w:sz="8" w:color="572C83"/>
            </w:tcBorders>
            <w:shd w:val="clear" w:color="auto" w:fill="EBE6F0"/>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-756285</wp:posOffset>
            </wp:positionV>
            <wp:extent cx="330835" cy="2679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0835" cy="26797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ind w:left="180"/>
        <w:spacing w:after="0" w:line="260" w:lineRule="auto"/>
        <w:rPr>
          <w:sz w:val="20"/>
          <w:szCs w:val="20"/>
          <w:color w:val="auto"/>
        </w:rPr>
      </w:pPr>
      <w:r>
        <w:rPr>
          <w:rFonts w:ascii="Arial" w:cs="Arial" w:eastAsia="Arial" w:hAnsi="Arial"/>
          <w:sz w:val="19"/>
          <w:szCs w:val="19"/>
          <w:b w:val="1"/>
          <w:bCs w:val="1"/>
          <w:color w:val="auto"/>
        </w:rPr>
        <w:t>PRODUCT RESEARCH, DEVELOPMENT AND MARKETING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-1042035</wp:posOffset>
            </wp:positionV>
            <wp:extent cx="330835" cy="267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0835" cy="267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Product Research, Development and Marketing Experience in the food and beverage sector or a complementary industry contributes to a director’s ability to oversee efforts to identify and develop new food and beverage products and implement marketing strategies that will improve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165100</wp:posOffset>
            </wp:positionV>
            <wp:extent cx="714311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330835</wp:posOffset>
            </wp:positionV>
            <wp:extent cx="714311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157" w:hanging="157"/>
        <w:spacing w:after="0"/>
        <w:tabs>
          <w:tab w:leader="none" w:pos="157" w:val="left"/>
        </w:tabs>
        <w:numPr>
          <w:ilvl w:val="0"/>
          <w:numId w:val="11"/>
        </w:numPr>
        <w:rPr>
          <w:rFonts w:ascii="Arial" w:cs="Arial" w:eastAsia="Arial" w:hAnsi="Arial"/>
          <w:sz w:val="20"/>
          <w:szCs w:val="20"/>
          <w:color w:val="582C83"/>
        </w:rPr>
      </w:pPr>
      <w:r>
        <w:rPr>
          <w:rFonts w:ascii="Arial" w:cs="Arial" w:eastAsia="Arial" w:hAnsi="Arial"/>
          <w:sz w:val="20"/>
          <w:szCs w:val="20"/>
          <w:color w:val="auto"/>
        </w:rPr>
        <w:t>Consumer insights and analytics</w:t>
      </w:r>
    </w:p>
    <w:p>
      <w:pPr>
        <w:spacing w:after="0" w:line="33" w:lineRule="exact"/>
        <w:rPr>
          <w:rFonts w:ascii="Arial" w:cs="Arial" w:eastAsia="Arial" w:hAnsi="Arial"/>
          <w:sz w:val="20"/>
          <w:szCs w:val="20"/>
          <w:color w:val="582C83"/>
        </w:rPr>
      </w:pPr>
    </w:p>
    <w:p>
      <w:pPr>
        <w:ind w:left="157" w:hanging="157"/>
        <w:spacing w:after="0"/>
        <w:tabs>
          <w:tab w:leader="none" w:pos="157" w:val="left"/>
        </w:tabs>
        <w:numPr>
          <w:ilvl w:val="0"/>
          <w:numId w:val="11"/>
        </w:numPr>
        <w:rPr>
          <w:rFonts w:ascii="Arial" w:cs="Arial" w:eastAsia="Arial" w:hAnsi="Arial"/>
          <w:sz w:val="20"/>
          <w:szCs w:val="20"/>
          <w:color w:val="582C83"/>
        </w:rPr>
      </w:pPr>
      <w:r>
        <w:rPr>
          <w:rFonts w:ascii="Arial" w:cs="Arial" w:eastAsia="Arial" w:hAnsi="Arial"/>
          <w:sz w:val="20"/>
          <w:szCs w:val="20"/>
          <w:color w:val="auto"/>
        </w:rPr>
        <w:t>Research &amp; development</w:t>
      </w:r>
    </w:p>
    <w:p>
      <w:pPr>
        <w:spacing w:after="0" w:line="30" w:lineRule="exact"/>
        <w:rPr>
          <w:rFonts w:ascii="Arial" w:cs="Arial" w:eastAsia="Arial" w:hAnsi="Arial"/>
          <w:sz w:val="20"/>
          <w:szCs w:val="20"/>
          <w:color w:val="582C83"/>
        </w:rPr>
      </w:pPr>
    </w:p>
    <w:p>
      <w:pPr>
        <w:ind w:left="157" w:hanging="157"/>
        <w:spacing w:after="0"/>
        <w:tabs>
          <w:tab w:leader="none" w:pos="157" w:val="left"/>
        </w:tabs>
        <w:numPr>
          <w:ilvl w:val="0"/>
          <w:numId w:val="11"/>
        </w:numPr>
        <w:rPr>
          <w:rFonts w:ascii="Arial" w:cs="Arial" w:eastAsia="Arial" w:hAnsi="Arial"/>
          <w:sz w:val="20"/>
          <w:szCs w:val="20"/>
          <w:color w:val="582C83"/>
        </w:rPr>
      </w:pPr>
      <w:r>
        <w:rPr>
          <w:rFonts w:ascii="Arial" w:cs="Arial" w:eastAsia="Arial" w:hAnsi="Arial"/>
          <w:sz w:val="20"/>
          <w:szCs w:val="20"/>
          <w:color w:val="auto"/>
        </w:rPr>
        <w:t>Innovation</w:t>
      </w:r>
    </w:p>
    <w:p>
      <w:pPr>
        <w:spacing w:after="0" w:line="30" w:lineRule="exact"/>
        <w:rPr>
          <w:rFonts w:ascii="Arial" w:cs="Arial" w:eastAsia="Arial" w:hAnsi="Arial"/>
          <w:sz w:val="20"/>
          <w:szCs w:val="20"/>
          <w:color w:val="582C83"/>
        </w:rPr>
      </w:pPr>
    </w:p>
    <w:p>
      <w:pPr>
        <w:ind w:left="157" w:right="660" w:hanging="157"/>
        <w:spacing w:after="0" w:line="265" w:lineRule="auto"/>
        <w:tabs>
          <w:tab w:leader="none" w:pos="157" w:val="left"/>
        </w:tabs>
        <w:numPr>
          <w:ilvl w:val="0"/>
          <w:numId w:val="11"/>
        </w:numPr>
        <w:rPr>
          <w:rFonts w:ascii="Arial" w:cs="Arial" w:eastAsia="Arial" w:hAnsi="Arial"/>
          <w:sz w:val="20"/>
          <w:szCs w:val="20"/>
          <w:color w:val="582C83"/>
        </w:rPr>
      </w:pPr>
      <w:r>
        <w:rPr>
          <w:rFonts w:ascii="Arial" w:cs="Arial" w:eastAsia="Arial" w:hAnsi="Arial"/>
          <w:sz w:val="20"/>
          <w:szCs w:val="20"/>
          <w:color w:val="auto"/>
        </w:rPr>
        <w:t>New media/digital technology/digital commerce</w:t>
      </w:r>
    </w:p>
    <w:p>
      <w:pPr>
        <w:spacing w:after="0" w:line="574" w:lineRule="exact"/>
        <w:rPr>
          <w:sz w:val="20"/>
          <w:szCs w:val="20"/>
          <w:color w:val="auto"/>
        </w:rPr>
      </w:pPr>
    </w:p>
    <w:p>
      <w:pPr>
        <w:sectPr>
          <w:pgSz w:w="11900" w:h="16838" w:orient="portrait"/>
          <w:cols w:equalWidth="0" w:num="3">
            <w:col w:w="1860" w:space="240"/>
            <w:col w:w="4940" w:space="223"/>
            <w:col w:w="3977"/>
          </w:cols>
          <w:pgMar w:left="320" w:top="132" w:right="339" w:bottom="1440" w:gutter="0" w:footer="0" w:header="0"/>
          <w:type w:val="continuous"/>
        </w:sectPr>
      </w:pPr>
    </w:p>
    <w:p>
      <w:pPr>
        <w:spacing w:after="0" w:line="108" w:lineRule="exact"/>
        <w:rPr>
          <w:sz w:val="20"/>
          <w:szCs w:val="20"/>
          <w:color w:val="auto"/>
        </w:rPr>
      </w:pPr>
    </w:p>
    <w:p>
      <w:pPr>
        <w:ind w:left="9060"/>
        <w:spacing w:after="0"/>
        <w:rPr>
          <w:sz w:val="20"/>
          <w:szCs w:val="20"/>
          <w:color w:val="auto"/>
        </w:rPr>
      </w:pPr>
      <w:r>
        <w:rPr>
          <w:rFonts w:ascii="Arial" w:cs="Arial" w:eastAsia="Arial" w:hAnsi="Arial"/>
          <w:sz w:val="15"/>
          <w:szCs w:val="15"/>
          <w:b w:val="1"/>
          <w:bCs w:val="1"/>
          <w:color w:val="58358F"/>
        </w:rPr>
        <w:t>2023 PROXY STATEMENT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2000" w:type="dxa"/>
            <w:vAlign w:val="bottom"/>
            <w:tcBorders>
              <w:bottom w:val="single" w:sz="8" w:color="582C83"/>
            </w:tcBorders>
          </w:tcPr>
          <w:p>
            <w:pPr>
              <w:ind w:left="60"/>
              <w:spacing w:after="0"/>
              <w:rPr>
                <w:sz w:val="20"/>
                <w:szCs w:val="20"/>
                <w:color w:val="auto"/>
              </w:rPr>
            </w:pPr>
            <w:r>
              <w:rPr>
                <w:rFonts w:ascii="Arial" w:cs="Arial" w:eastAsia="Arial" w:hAnsi="Arial"/>
                <w:sz w:val="20"/>
                <w:szCs w:val="20"/>
                <w:b w:val="1"/>
                <w:bCs w:val="1"/>
                <w:color w:val="auto"/>
              </w:rPr>
              <w:t>Key Competencies</w:t>
            </w:r>
          </w:p>
        </w:tc>
        <w:tc>
          <w:tcPr>
            <w:tcW w:w="5180" w:type="dxa"/>
            <w:vAlign w:val="bottom"/>
            <w:tcBorders>
              <w:bottom w:val="single" w:sz="8" w:color="582C83"/>
            </w:tcBorders>
          </w:tcPr>
          <w:p>
            <w:pPr>
              <w:spacing w:after="0"/>
              <w:rPr>
                <w:sz w:val="24"/>
                <w:szCs w:val="24"/>
                <w:color w:val="auto"/>
              </w:rPr>
            </w:pPr>
          </w:p>
        </w:tc>
        <w:tc>
          <w:tcPr>
            <w:tcW w:w="4060" w:type="dxa"/>
            <w:vAlign w:val="bottom"/>
            <w:tcBorders>
              <w:bottom w:val="single" w:sz="8" w:color="582C83"/>
            </w:tcBorders>
          </w:tcPr>
          <w:p>
            <w:pPr>
              <w:ind w:left="80"/>
              <w:spacing w:after="0"/>
              <w:rPr>
                <w:sz w:val="20"/>
                <w:szCs w:val="20"/>
                <w:color w:val="auto"/>
              </w:rPr>
            </w:pPr>
            <w:r>
              <w:rPr>
                <w:rFonts w:ascii="Arial" w:cs="Arial" w:eastAsia="Arial" w:hAnsi="Arial"/>
                <w:sz w:val="20"/>
                <w:szCs w:val="20"/>
                <w:b w:val="1"/>
                <w:bCs w:val="1"/>
                <w:color w:val="auto"/>
              </w:rPr>
              <w:t>Relevant Experience</w:t>
            </w:r>
          </w:p>
        </w:tc>
        <w:tc>
          <w:tcPr>
            <w:tcW w:w="0" w:type="dxa"/>
            <w:vAlign w:val="bottom"/>
          </w:tcPr>
          <w:p>
            <w:pPr>
              <w:spacing w:after="0"/>
              <w:rPr>
                <w:sz w:val="1"/>
                <w:szCs w:val="1"/>
                <w:color w:val="auto"/>
              </w:rPr>
            </w:pPr>
          </w:p>
        </w:tc>
      </w:tr>
      <w:tr>
        <w:trPr>
          <w:trHeight w:val="247"/>
        </w:trPr>
        <w:tc>
          <w:tcPr>
            <w:tcW w:w="2000" w:type="dxa"/>
            <w:vAlign w:val="bottom"/>
            <w:shd w:val="clear" w:color="auto" w:fill="EBE6F0"/>
          </w:tcPr>
          <w:p>
            <w:pPr>
              <w:spacing w:after="0"/>
              <w:rPr>
                <w:sz w:val="21"/>
                <w:szCs w:val="21"/>
                <w:color w:val="auto"/>
              </w:rPr>
            </w:pPr>
          </w:p>
        </w:tc>
        <w:tc>
          <w:tcPr>
            <w:tcW w:w="5180" w:type="dxa"/>
            <w:vAlign w:val="bottom"/>
            <w:shd w:val="clear" w:color="auto" w:fill="EBE6F0"/>
          </w:tcPr>
          <w:p>
            <w:pPr>
              <w:ind w:left="100"/>
              <w:spacing w:after="0"/>
              <w:rPr>
                <w:sz w:val="20"/>
                <w:szCs w:val="20"/>
                <w:color w:val="auto"/>
              </w:rPr>
            </w:pPr>
            <w:r>
              <w:rPr>
                <w:rFonts w:ascii="Arial" w:cs="Arial" w:eastAsia="Arial" w:hAnsi="Arial"/>
                <w:sz w:val="20"/>
                <w:szCs w:val="20"/>
                <w:color w:val="auto"/>
              </w:rPr>
              <w:t>Public Company Board and Corporate Governance</w:t>
            </w:r>
          </w:p>
        </w:tc>
        <w:tc>
          <w:tcPr>
            <w:tcW w:w="4060" w:type="dxa"/>
            <w:vAlign w:val="bottom"/>
            <w:shd w:val="clear" w:color="auto" w:fill="EBE6F0"/>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CEO/COO/other governance leadership</w:t>
            </w:r>
          </w:p>
        </w:tc>
        <w:tc>
          <w:tcPr>
            <w:tcW w:w="0" w:type="dxa"/>
            <w:vAlign w:val="bottom"/>
          </w:tcPr>
          <w:p>
            <w:pPr>
              <w:spacing w:after="0"/>
              <w:rPr>
                <w:sz w:val="1"/>
                <w:szCs w:val="1"/>
                <w:color w:val="auto"/>
              </w:rPr>
            </w:pPr>
          </w:p>
        </w:tc>
      </w:tr>
      <w:tr>
        <w:trPr>
          <w:trHeight w:val="223"/>
        </w:trPr>
        <w:tc>
          <w:tcPr>
            <w:tcW w:w="2000" w:type="dxa"/>
            <w:vAlign w:val="bottom"/>
            <w:shd w:val="clear" w:color="auto" w:fill="EBE6F0"/>
          </w:tcPr>
          <w:p>
            <w:pPr>
              <w:spacing w:after="0"/>
              <w:rPr>
                <w:sz w:val="19"/>
                <w:szCs w:val="19"/>
                <w:color w:val="auto"/>
              </w:rPr>
            </w:pPr>
          </w:p>
        </w:tc>
        <w:tc>
          <w:tcPr>
            <w:tcW w:w="5180" w:type="dxa"/>
            <w:vAlign w:val="bottom"/>
            <w:shd w:val="clear" w:color="auto" w:fill="EBE6F0"/>
          </w:tcPr>
          <w:p>
            <w:pPr>
              <w:ind w:left="100"/>
              <w:spacing w:after="0" w:line="224" w:lineRule="exact"/>
              <w:rPr>
                <w:sz w:val="20"/>
                <w:szCs w:val="20"/>
                <w:color w:val="auto"/>
              </w:rPr>
            </w:pPr>
            <w:r>
              <w:rPr>
                <w:rFonts w:ascii="Arial" w:cs="Arial" w:eastAsia="Arial" w:hAnsi="Arial"/>
                <w:sz w:val="20"/>
                <w:szCs w:val="20"/>
                <w:color w:val="auto"/>
              </w:rPr>
              <w:t>Experience at a large publicly traded company provides</w:t>
            </w:r>
          </w:p>
        </w:tc>
        <w:tc>
          <w:tcPr>
            <w:tcW w:w="4060" w:type="dxa"/>
            <w:vAlign w:val="bottom"/>
            <w:shd w:val="clear" w:color="auto" w:fill="EBE6F0"/>
          </w:tcPr>
          <w:p>
            <w:pPr>
              <w:ind w:left="240"/>
              <w:spacing w:after="0" w:line="224" w:lineRule="exact"/>
              <w:rPr>
                <w:sz w:val="20"/>
                <w:szCs w:val="20"/>
                <w:color w:val="auto"/>
              </w:rPr>
            </w:pPr>
            <w:r>
              <w:rPr>
                <w:rFonts w:ascii="Arial" w:cs="Arial" w:eastAsia="Arial" w:hAnsi="Arial"/>
                <w:sz w:val="20"/>
                <w:szCs w:val="20"/>
                <w:color w:val="auto"/>
              </w:rPr>
              <w:t>positions</w:t>
            </w:r>
          </w:p>
        </w:tc>
        <w:tc>
          <w:tcPr>
            <w:tcW w:w="0" w:type="dxa"/>
            <w:vAlign w:val="bottom"/>
          </w:tcPr>
          <w:p>
            <w:pPr>
              <w:spacing w:after="0"/>
              <w:rPr>
                <w:sz w:val="1"/>
                <w:szCs w:val="1"/>
                <w:color w:val="auto"/>
              </w:rPr>
            </w:pPr>
          </w:p>
        </w:tc>
      </w:tr>
      <w:tr>
        <w:trPr>
          <w:trHeight w:val="237"/>
        </w:trPr>
        <w:tc>
          <w:tcPr>
            <w:tcW w:w="2000" w:type="dxa"/>
            <w:vAlign w:val="bottom"/>
            <w:shd w:val="clear" w:color="auto" w:fill="EBE6F0"/>
          </w:tcPr>
          <w:p>
            <w:pPr>
              <w:jc w:val="center"/>
              <w:spacing w:after="0"/>
              <w:rPr>
                <w:sz w:val="20"/>
                <w:szCs w:val="20"/>
                <w:color w:val="auto"/>
              </w:rPr>
            </w:pPr>
            <w:r>
              <w:rPr>
                <w:rFonts w:ascii="Arial" w:cs="Arial" w:eastAsia="Arial" w:hAnsi="Arial"/>
                <w:sz w:val="20"/>
                <w:szCs w:val="20"/>
                <w:b w:val="1"/>
                <w:bCs w:val="1"/>
                <w:color w:val="auto"/>
                <w:w w:val="99"/>
              </w:rPr>
              <w:t>PUBLIC</w:t>
            </w:r>
          </w:p>
        </w:tc>
        <w:tc>
          <w:tcPr>
            <w:tcW w:w="5180" w:type="dxa"/>
            <w:vAlign w:val="bottom"/>
            <w:shd w:val="clear" w:color="auto" w:fill="EBE6F0"/>
          </w:tcPr>
          <w:p>
            <w:pPr>
              <w:ind w:left="100"/>
              <w:spacing w:after="0"/>
              <w:rPr>
                <w:sz w:val="20"/>
                <w:szCs w:val="20"/>
                <w:color w:val="auto"/>
              </w:rPr>
            </w:pPr>
            <w:r>
              <w:rPr>
                <w:rFonts w:ascii="Arial" w:cs="Arial" w:eastAsia="Arial" w:hAnsi="Arial"/>
                <w:sz w:val="20"/>
                <w:szCs w:val="20"/>
                <w:color w:val="auto"/>
              </w:rPr>
              <w:t>a director with a solid understanding of the extensive and</w:t>
            </w:r>
          </w:p>
        </w:tc>
        <w:tc>
          <w:tcPr>
            <w:tcW w:w="4060" w:type="dxa"/>
            <w:vAlign w:val="bottom"/>
            <w:shd w:val="clear" w:color="auto" w:fill="EBE6F0"/>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Government affairs/regulatory compliance</w:t>
            </w:r>
          </w:p>
        </w:tc>
        <w:tc>
          <w:tcPr>
            <w:tcW w:w="0" w:type="dxa"/>
            <w:vAlign w:val="bottom"/>
          </w:tcPr>
          <w:p>
            <w:pPr>
              <w:spacing w:after="0"/>
              <w:rPr>
                <w:sz w:val="1"/>
                <w:szCs w:val="1"/>
                <w:color w:val="auto"/>
              </w:rPr>
            </w:pPr>
          </w:p>
        </w:tc>
      </w:tr>
      <w:tr>
        <w:trPr>
          <w:trHeight w:val="261"/>
        </w:trPr>
        <w:tc>
          <w:tcPr>
            <w:tcW w:w="2000" w:type="dxa"/>
            <w:vAlign w:val="bottom"/>
            <w:shd w:val="clear" w:color="auto" w:fill="EBE6F0"/>
          </w:tcPr>
          <w:p>
            <w:pPr>
              <w:jc w:val="center"/>
              <w:spacing w:after="0"/>
              <w:rPr>
                <w:sz w:val="20"/>
                <w:szCs w:val="20"/>
                <w:color w:val="auto"/>
              </w:rPr>
            </w:pPr>
            <w:r>
              <w:rPr>
                <w:rFonts w:ascii="Arial" w:cs="Arial" w:eastAsia="Arial" w:hAnsi="Arial"/>
                <w:sz w:val="20"/>
                <w:szCs w:val="20"/>
                <w:b w:val="1"/>
                <w:bCs w:val="1"/>
                <w:color w:val="auto"/>
                <w:w w:val="98"/>
              </w:rPr>
              <w:t>COMPANY BOARD</w:t>
            </w:r>
          </w:p>
        </w:tc>
        <w:tc>
          <w:tcPr>
            <w:tcW w:w="5180" w:type="dxa"/>
            <w:vAlign w:val="bottom"/>
            <w:shd w:val="clear" w:color="auto" w:fill="EBE6F0"/>
          </w:tcPr>
          <w:p>
            <w:pPr>
              <w:ind w:left="100"/>
              <w:spacing w:after="0"/>
              <w:rPr>
                <w:sz w:val="20"/>
                <w:szCs w:val="20"/>
                <w:color w:val="auto"/>
              </w:rPr>
            </w:pPr>
            <w:r>
              <w:rPr>
                <w:rFonts w:ascii="Arial" w:cs="Arial" w:eastAsia="Arial" w:hAnsi="Arial"/>
                <w:sz w:val="20"/>
                <w:szCs w:val="20"/>
                <w:color w:val="auto"/>
              </w:rPr>
              <w:t>complex oversight responsibilities of public company</w:t>
            </w:r>
          </w:p>
        </w:tc>
        <w:tc>
          <w:tcPr>
            <w:tcW w:w="4060" w:type="dxa"/>
            <w:vAlign w:val="bottom"/>
            <w:shd w:val="clear" w:color="auto" w:fill="EBE6F0"/>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Public company board service</w:t>
            </w:r>
          </w:p>
        </w:tc>
        <w:tc>
          <w:tcPr>
            <w:tcW w:w="0" w:type="dxa"/>
            <w:vAlign w:val="bottom"/>
          </w:tcPr>
          <w:p>
            <w:pPr>
              <w:spacing w:after="0"/>
              <w:rPr>
                <w:sz w:val="1"/>
                <w:szCs w:val="1"/>
                <w:color w:val="auto"/>
              </w:rPr>
            </w:pPr>
          </w:p>
        </w:tc>
      </w:tr>
      <w:tr>
        <w:trPr>
          <w:trHeight w:val="261"/>
        </w:trPr>
        <w:tc>
          <w:tcPr>
            <w:tcW w:w="2000" w:type="dxa"/>
            <w:vAlign w:val="bottom"/>
            <w:shd w:val="clear" w:color="auto" w:fill="EBE6F0"/>
          </w:tcPr>
          <w:p>
            <w:pPr>
              <w:jc w:val="center"/>
              <w:spacing w:after="0"/>
              <w:rPr>
                <w:sz w:val="20"/>
                <w:szCs w:val="20"/>
                <w:color w:val="auto"/>
              </w:rPr>
            </w:pPr>
            <w:r>
              <w:rPr>
                <w:rFonts w:ascii="Arial" w:cs="Arial" w:eastAsia="Arial" w:hAnsi="Arial"/>
                <w:sz w:val="20"/>
                <w:szCs w:val="20"/>
                <w:b w:val="1"/>
                <w:bCs w:val="1"/>
                <w:color w:val="auto"/>
                <w:w w:val="98"/>
              </w:rPr>
              <w:t>AND CORPORATE</w:t>
            </w:r>
          </w:p>
        </w:tc>
        <w:tc>
          <w:tcPr>
            <w:tcW w:w="5180" w:type="dxa"/>
            <w:vAlign w:val="bottom"/>
            <w:shd w:val="clear" w:color="auto" w:fill="EBE6F0"/>
          </w:tcPr>
          <w:p>
            <w:pPr>
              <w:ind w:left="100"/>
              <w:spacing w:after="0"/>
              <w:rPr>
                <w:sz w:val="20"/>
                <w:szCs w:val="20"/>
                <w:color w:val="auto"/>
              </w:rPr>
            </w:pPr>
            <w:r>
              <w:rPr>
                <w:rFonts w:ascii="Arial" w:cs="Arial" w:eastAsia="Arial" w:hAnsi="Arial"/>
                <w:sz w:val="20"/>
                <w:szCs w:val="20"/>
                <w:color w:val="auto"/>
              </w:rPr>
              <w:t>boards and furthers the goals of greater transparency,</w:t>
            </w:r>
          </w:p>
        </w:tc>
        <w:tc>
          <w:tcPr>
            <w:tcW w:w="4060" w:type="dxa"/>
            <w:vAlign w:val="bottom"/>
            <w:shd w:val="clear" w:color="auto" w:fill="EBE6F0"/>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Corporate governance knowledge</w:t>
            </w:r>
          </w:p>
        </w:tc>
        <w:tc>
          <w:tcPr>
            <w:tcW w:w="0" w:type="dxa"/>
            <w:vAlign w:val="bottom"/>
          </w:tcPr>
          <w:p>
            <w:pPr>
              <w:spacing w:after="0"/>
              <w:rPr>
                <w:sz w:val="1"/>
                <w:szCs w:val="1"/>
                <w:color w:val="auto"/>
              </w:rPr>
            </w:pPr>
          </w:p>
        </w:tc>
      </w:tr>
      <w:tr>
        <w:trPr>
          <w:trHeight w:val="173"/>
        </w:trPr>
        <w:tc>
          <w:tcPr>
            <w:tcW w:w="2000" w:type="dxa"/>
            <w:vAlign w:val="bottom"/>
            <w:shd w:val="clear" w:color="auto" w:fill="EBE6F0"/>
          </w:tcPr>
          <w:p>
            <w:pPr>
              <w:jc w:val="center"/>
              <w:spacing w:after="0" w:line="173" w:lineRule="exact"/>
              <w:rPr>
                <w:sz w:val="20"/>
                <w:szCs w:val="20"/>
                <w:color w:val="auto"/>
              </w:rPr>
            </w:pPr>
            <w:r>
              <w:rPr>
                <w:rFonts w:ascii="Arial" w:cs="Arial" w:eastAsia="Arial" w:hAnsi="Arial"/>
                <w:sz w:val="20"/>
                <w:szCs w:val="20"/>
                <w:b w:val="1"/>
                <w:bCs w:val="1"/>
                <w:color w:val="auto"/>
                <w:w w:val="99"/>
              </w:rPr>
              <w:t>GOVERNANCE</w:t>
            </w:r>
          </w:p>
        </w:tc>
        <w:tc>
          <w:tcPr>
            <w:tcW w:w="5180" w:type="dxa"/>
            <w:vAlign w:val="bottom"/>
            <w:shd w:val="clear" w:color="auto" w:fill="EBE6F0"/>
          </w:tcPr>
          <w:p>
            <w:pPr>
              <w:ind w:left="100"/>
              <w:spacing w:after="0" w:line="173" w:lineRule="exact"/>
              <w:rPr>
                <w:sz w:val="20"/>
                <w:szCs w:val="20"/>
                <w:color w:val="auto"/>
              </w:rPr>
            </w:pPr>
            <w:r>
              <w:rPr>
                <w:rFonts w:ascii="Arial" w:cs="Arial" w:eastAsia="Arial" w:hAnsi="Arial"/>
                <w:sz w:val="20"/>
                <w:szCs w:val="20"/>
                <w:color w:val="auto"/>
              </w:rPr>
              <w:t>accountability and protection of shareholders’ interests.</w:t>
            </w:r>
          </w:p>
        </w:tc>
        <w:tc>
          <w:tcPr>
            <w:tcW w:w="4060" w:type="dxa"/>
            <w:vAlign w:val="bottom"/>
            <w:vMerge w:val="restart"/>
            <w:shd w:val="clear" w:color="auto" w:fill="EBE6F0"/>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Risk oversight</w:t>
            </w:r>
          </w:p>
        </w:tc>
        <w:tc>
          <w:tcPr>
            <w:tcW w:w="0" w:type="dxa"/>
            <w:vAlign w:val="bottom"/>
          </w:tcPr>
          <w:p>
            <w:pPr>
              <w:spacing w:after="0"/>
              <w:rPr>
                <w:sz w:val="1"/>
                <w:szCs w:val="1"/>
                <w:color w:val="auto"/>
              </w:rPr>
            </w:pPr>
          </w:p>
        </w:tc>
      </w:tr>
      <w:tr>
        <w:trPr>
          <w:trHeight w:val="152"/>
        </w:trPr>
        <w:tc>
          <w:tcPr>
            <w:tcW w:w="2000" w:type="dxa"/>
            <w:vAlign w:val="bottom"/>
            <w:vMerge w:val="restart"/>
            <w:shd w:val="clear" w:color="auto" w:fill="EBE6F0"/>
          </w:tcPr>
          <w:p>
            <w:pPr>
              <w:jc w:val="center"/>
              <w:spacing w:after="0"/>
              <w:rPr>
                <w:sz w:val="20"/>
                <w:szCs w:val="20"/>
                <w:color w:val="auto"/>
              </w:rPr>
            </w:pPr>
            <w:r>
              <w:rPr>
                <w:rFonts w:ascii="Arial" w:cs="Arial" w:eastAsia="Arial" w:hAnsi="Arial"/>
                <w:sz w:val="20"/>
                <w:szCs w:val="20"/>
                <w:b w:val="1"/>
                <w:bCs w:val="1"/>
                <w:color w:val="auto"/>
                <w:w w:val="99"/>
              </w:rPr>
              <w:t>EXPERIENCE</w:t>
            </w:r>
          </w:p>
        </w:tc>
        <w:tc>
          <w:tcPr>
            <w:tcW w:w="5180" w:type="dxa"/>
            <w:vAlign w:val="bottom"/>
            <w:shd w:val="clear" w:color="auto" w:fill="EBE6F0"/>
          </w:tcPr>
          <w:p>
            <w:pPr>
              <w:spacing w:after="0"/>
              <w:rPr>
                <w:sz w:val="13"/>
                <w:szCs w:val="13"/>
                <w:color w:val="auto"/>
              </w:rPr>
            </w:pPr>
          </w:p>
        </w:tc>
        <w:tc>
          <w:tcPr>
            <w:tcW w:w="4060" w:type="dxa"/>
            <w:vAlign w:val="bottom"/>
            <w:vMerge w:val="continue"/>
            <w:shd w:val="clear" w:color="auto" w:fill="EBE6F0"/>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00" w:type="dxa"/>
            <w:vAlign w:val="bottom"/>
            <w:tcBorders>
              <w:bottom w:val="single" w:sz="8" w:color="572C83"/>
            </w:tcBorders>
            <w:vMerge w:val="continue"/>
            <w:shd w:val="clear" w:color="auto" w:fill="EBE6F0"/>
          </w:tcPr>
          <w:p>
            <w:pPr>
              <w:spacing w:after="0"/>
              <w:rPr>
                <w:sz w:val="10"/>
                <w:szCs w:val="10"/>
                <w:color w:val="auto"/>
              </w:rPr>
            </w:pPr>
          </w:p>
        </w:tc>
        <w:tc>
          <w:tcPr>
            <w:tcW w:w="5180" w:type="dxa"/>
            <w:vAlign w:val="bottom"/>
            <w:tcBorders>
              <w:bottom w:val="single" w:sz="8" w:color="572C83"/>
            </w:tcBorders>
            <w:shd w:val="clear" w:color="auto" w:fill="EBE6F0"/>
          </w:tcPr>
          <w:p>
            <w:pPr>
              <w:spacing w:after="0"/>
              <w:rPr>
                <w:sz w:val="10"/>
                <w:szCs w:val="10"/>
                <w:color w:val="auto"/>
              </w:rPr>
            </w:pPr>
          </w:p>
        </w:tc>
        <w:tc>
          <w:tcPr>
            <w:tcW w:w="4060" w:type="dxa"/>
            <w:vAlign w:val="bottom"/>
            <w:tcBorders>
              <w:bottom w:val="single" w:sz="8" w:color="572C83"/>
            </w:tcBorders>
            <w:shd w:val="clear" w:color="auto" w:fill="EBE6F0"/>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-1040130</wp:posOffset>
            </wp:positionV>
            <wp:extent cx="330835" cy="2679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0835" cy="267970"/>
                    </a:xfrm>
                    <a:prstGeom prst="rect">
                      <a:avLst/>
                    </a:prstGeom>
                    <a:noFill/>
                  </pic:spPr>
                </pic:pic>
              </a:graphicData>
            </a:graphic>
          </wp:anchor>
        </w:drawing>
      </w:r>
    </w:p>
    <w:p>
      <w:pPr>
        <w:spacing w:after="0" w:line="265"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Director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325120</wp:posOffset>
            </wp:positionV>
            <wp:extent cx="102235" cy="2520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235" cy="25209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309245</wp:posOffset>
            </wp:positionV>
            <wp:extent cx="102235" cy="267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235" cy="267970"/>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300990</wp:posOffset>
            </wp:positionV>
            <wp:extent cx="102235" cy="2762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235" cy="27622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191135</wp:posOffset>
            </wp:positionV>
            <wp:extent cx="102235" cy="3860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235" cy="386080"/>
                    </a:xfrm>
                    <a:prstGeom prst="rect">
                      <a:avLst/>
                    </a:prstGeom>
                    <a:noFill/>
                  </pic:spPr>
                </pic:pic>
              </a:graphicData>
            </a:graphic>
          </wp:anchor>
        </w:drawing>
        <w:drawing>
          <wp:anchor simplePos="0" relativeHeight="251657728" behindDoc="1" locked="0" layoutInCell="0" allowOverlap="1">
            <wp:simplePos x="0" y="0"/>
            <wp:positionH relativeFrom="column">
              <wp:posOffset>5495290</wp:posOffset>
            </wp:positionH>
            <wp:positionV relativeFrom="paragraph">
              <wp:posOffset>135890</wp:posOffset>
            </wp:positionV>
            <wp:extent cx="102235" cy="4413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235" cy="441325"/>
                    </a:xfrm>
                    <a:prstGeom prst="rect">
                      <a:avLst/>
                    </a:prstGeom>
                    <a:noFill/>
                  </pic:spPr>
                </pic:pic>
              </a:graphicData>
            </a:graphic>
          </wp:anchor>
        </w:drawing>
        <w:drawing>
          <wp:anchor simplePos="0" relativeHeight="251657728" behindDoc="1" locked="0" layoutInCell="0" allowOverlap="1">
            <wp:simplePos x="0" y="0"/>
            <wp:positionH relativeFrom="column">
              <wp:posOffset>5849620</wp:posOffset>
            </wp:positionH>
            <wp:positionV relativeFrom="paragraph">
              <wp:posOffset>269875</wp:posOffset>
            </wp:positionV>
            <wp:extent cx="102235" cy="307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235" cy="307340"/>
                    </a:xfrm>
                    <a:prstGeom prst="rect">
                      <a:avLst/>
                    </a:prstGeom>
                    <a:noFill/>
                  </pic:spPr>
                </pic:pic>
              </a:graphicData>
            </a:graphic>
          </wp:anchor>
        </w:drawing>
        <w:drawing>
          <wp:anchor simplePos="0" relativeHeight="251657728" behindDoc="1" locked="0" layoutInCell="0" allowOverlap="1">
            <wp:simplePos x="0" y="0"/>
            <wp:positionH relativeFrom="column">
              <wp:posOffset>6204585</wp:posOffset>
            </wp:positionH>
            <wp:positionV relativeFrom="paragraph">
              <wp:posOffset>269875</wp:posOffset>
            </wp:positionV>
            <wp:extent cx="102235" cy="3073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235" cy="307340"/>
                    </a:xfrm>
                    <a:prstGeom prst="rect">
                      <a:avLst/>
                    </a:prstGeom>
                    <a:noFill/>
                  </pic:spPr>
                </pic:pic>
              </a:graphicData>
            </a:graphic>
          </wp:anchor>
        </w:drawing>
        <w:drawing>
          <wp:anchor simplePos="0" relativeHeight="251657728" behindDoc="1" locked="0" layoutInCell="0" allowOverlap="1">
            <wp:simplePos x="0" y="0"/>
            <wp:positionH relativeFrom="column">
              <wp:posOffset>6559550</wp:posOffset>
            </wp:positionH>
            <wp:positionV relativeFrom="paragraph">
              <wp:posOffset>254000</wp:posOffset>
            </wp:positionV>
            <wp:extent cx="102235" cy="3232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235" cy="3232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143510</wp:posOffset>
            </wp:positionV>
            <wp:extent cx="102235" cy="433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235" cy="43370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Director Nominee Skills &amp;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3115" cy="228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3115" cy="22860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p>
      <w:pPr>
        <w:spacing w:after="0" w:line="114"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Industry Experience</w:t>
      </w:r>
    </w:p>
    <w:p>
      <w:pPr>
        <w:sectPr>
          <w:pgSz w:w="11900" w:h="16838" w:orient="portrait"/>
          <w:cols w:equalWidth="0" w:num="1">
            <w:col w:w="11240"/>
          </w:cols>
          <w:pgMar w:left="320" w:top="132" w:right="339" w:bottom="1440" w:gutter="0" w:footer="0" w:header="0"/>
          <w:type w:val="continuous"/>
        </w:sectPr>
      </w:pPr>
    </w:p>
    <w:tbl>
      <w:tblPr>
        <w:tblLayout w:type="fixed"/>
        <w:tblInd w:w="80" w:type="dxa"/>
        <w:tblCellMar>
          <w:top w:w="0" w:type="dxa"/>
          <w:left w:w="0" w:type="dxa"/>
          <w:bottom w:w="0" w:type="dxa"/>
          <w:right w:w="0" w:type="dxa"/>
        </w:tblCellMar>
      </w:tblPr>
      <w:tr>
        <w:trPr>
          <w:trHeight w:val="712"/>
        </w:trPr>
        <w:tc>
          <w:tcPr>
            <w:tcW w:w="5420" w:type="dxa"/>
            <w:vAlign w:val="bottom"/>
          </w:tcPr>
          <w:p>
            <w:pPr>
              <w:spacing w:after="0"/>
              <w:rPr>
                <w:sz w:val="20"/>
                <w:szCs w:val="20"/>
                <w:color w:val="auto"/>
              </w:rPr>
            </w:pPr>
            <w:r>
              <w:rPr>
                <w:rFonts w:ascii="Arial" w:cs="Arial" w:eastAsia="Arial" w:hAnsi="Arial"/>
                <w:sz w:val="16"/>
                <w:szCs w:val="16"/>
                <w:color w:val="auto"/>
              </w:rPr>
              <w:t>Significant Operating Experience</w:t>
            </w:r>
          </w:p>
        </w:tc>
        <w:tc>
          <w:tcPr>
            <w:tcW w:w="1260" w:type="dxa"/>
            <w:vAlign w:val="bottom"/>
            <w:vMerge w:val="restart"/>
          </w:tcPr>
          <w:p>
            <w:pPr>
              <w:ind w:left="880"/>
              <w:spacing w:after="0"/>
              <w:rPr>
                <w:sz w:val="20"/>
                <w:szCs w:val="20"/>
                <w:color w:val="auto"/>
              </w:rPr>
            </w:pPr>
            <w:r>
              <w:rPr>
                <w:rFonts w:ascii="Arial" w:cs="Arial" w:eastAsia="Arial" w:hAnsi="Arial"/>
                <w:sz w:val="61"/>
                <w:szCs w:val="61"/>
                <w:color w:val="582C83"/>
              </w:rPr>
              <w:t>•</w:t>
            </w:r>
          </w:p>
        </w:tc>
        <w:tc>
          <w:tcPr>
            <w:tcW w:w="580" w:type="dxa"/>
            <w:vAlign w:val="bottom"/>
            <w:vMerge w:val="restart"/>
          </w:tcPr>
          <w:p>
            <w:pPr>
              <w:ind w:left="180"/>
              <w:spacing w:after="0"/>
              <w:rPr>
                <w:sz w:val="20"/>
                <w:szCs w:val="20"/>
                <w:color w:val="auto"/>
              </w:rPr>
            </w:pPr>
            <w:r>
              <w:rPr>
                <w:rFonts w:ascii="Arial" w:cs="Arial" w:eastAsia="Arial" w:hAnsi="Arial"/>
                <w:sz w:val="61"/>
                <w:szCs w:val="61"/>
                <w:color w:val="582C83"/>
              </w:rPr>
              <w:t>•</w:t>
            </w:r>
          </w:p>
        </w:tc>
        <w:tc>
          <w:tcPr>
            <w:tcW w:w="560" w:type="dxa"/>
            <w:vAlign w:val="bottom"/>
            <w:vMerge w:val="restart"/>
          </w:tcPr>
          <w:p>
            <w:pPr>
              <w:ind w:left="180"/>
              <w:spacing w:after="0"/>
              <w:rPr>
                <w:sz w:val="20"/>
                <w:szCs w:val="20"/>
                <w:color w:val="auto"/>
              </w:rPr>
            </w:pPr>
            <w:r>
              <w:rPr>
                <w:rFonts w:ascii="Arial" w:cs="Arial" w:eastAsia="Arial" w:hAnsi="Arial"/>
                <w:sz w:val="61"/>
                <w:szCs w:val="61"/>
                <w:color w:val="582C83"/>
              </w:rPr>
              <w:t>•</w:t>
            </w:r>
          </w:p>
        </w:tc>
        <w:tc>
          <w:tcPr>
            <w:tcW w:w="560" w:type="dxa"/>
            <w:vAlign w:val="bottom"/>
          </w:tcPr>
          <w:p>
            <w:pPr>
              <w:ind w:left="160"/>
              <w:spacing w:after="0"/>
              <w:rPr>
                <w:sz w:val="20"/>
                <w:szCs w:val="20"/>
                <w:color w:val="auto"/>
              </w:rPr>
            </w:pPr>
            <w:r>
              <w:rPr>
                <w:rFonts w:ascii="Arial" w:cs="Arial" w:eastAsia="Arial" w:hAnsi="Arial"/>
                <w:sz w:val="61"/>
                <w:szCs w:val="61"/>
                <w:color w:val="582C83"/>
              </w:rPr>
              <w:t>•</w:t>
            </w:r>
          </w:p>
        </w:tc>
        <w:tc>
          <w:tcPr>
            <w:tcW w:w="560" w:type="dxa"/>
            <w:vAlign w:val="bottom"/>
          </w:tcPr>
          <w:p>
            <w:pPr>
              <w:ind w:left="160"/>
              <w:spacing w:after="0"/>
              <w:rPr>
                <w:sz w:val="20"/>
                <w:szCs w:val="20"/>
                <w:color w:val="auto"/>
              </w:rPr>
            </w:pPr>
            <w:r>
              <w:rPr>
                <w:rFonts w:ascii="Arial" w:cs="Arial" w:eastAsia="Arial" w:hAnsi="Arial"/>
                <w:sz w:val="61"/>
                <w:szCs w:val="61"/>
                <w:color w:val="582C83"/>
              </w:rPr>
              <w:t>•</w:t>
            </w:r>
          </w:p>
        </w:tc>
        <w:tc>
          <w:tcPr>
            <w:tcW w:w="560" w:type="dxa"/>
            <w:vAlign w:val="bottom"/>
          </w:tcPr>
          <w:p>
            <w:pPr>
              <w:ind w:left="160"/>
              <w:spacing w:after="0"/>
              <w:rPr>
                <w:sz w:val="20"/>
                <w:szCs w:val="20"/>
                <w:color w:val="auto"/>
              </w:rPr>
            </w:pPr>
            <w:r>
              <w:rPr>
                <w:rFonts w:ascii="Arial" w:cs="Arial" w:eastAsia="Arial" w:hAnsi="Arial"/>
                <w:sz w:val="61"/>
                <w:szCs w:val="61"/>
                <w:color w:val="582C83"/>
              </w:rPr>
              <w:t>•</w:t>
            </w:r>
          </w:p>
        </w:tc>
        <w:tc>
          <w:tcPr>
            <w:tcW w:w="560" w:type="dxa"/>
            <w:vAlign w:val="bottom"/>
          </w:tcPr>
          <w:p>
            <w:pPr>
              <w:ind w:left="160"/>
              <w:spacing w:after="0"/>
              <w:rPr>
                <w:sz w:val="20"/>
                <w:szCs w:val="20"/>
                <w:color w:val="auto"/>
              </w:rPr>
            </w:pPr>
            <w:r>
              <w:rPr>
                <w:rFonts w:ascii="Arial" w:cs="Arial" w:eastAsia="Arial" w:hAnsi="Arial"/>
                <w:sz w:val="61"/>
                <w:szCs w:val="61"/>
                <w:color w:val="582C83"/>
              </w:rPr>
              <w:t>•</w:t>
            </w:r>
          </w:p>
        </w:tc>
        <w:tc>
          <w:tcPr>
            <w:tcW w:w="540" w:type="dxa"/>
            <w:vAlign w:val="bottom"/>
          </w:tcPr>
          <w:p>
            <w:pPr>
              <w:ind w:left="160"/>
              <w:spacing w:after="0"/>
              <w:rPr>
                <w:sz w:val="20"/>
                <w:szCs w:val="20"/>
                <w:color w:val="auto"/>
              </w:rPr>
            </w:pPr>
            <w:r>
              <w:rPr>
                <w:rFonts w:ascii="Arial" w:cs="Arial" w:eastAsia="Arial" w:hAnsi="Arial"/>
                <w:sz w:val="61"/>
                <w:szCs w:val="61"/>
                <w:color w:val="582C83"/>
              </w:rPr>
              <w:t>•</w:t>
            </w:r>
          </w:p>
        </w:tc>
        <w:tc>
          <w:tcPr>
            <w:tcW w:w="400" w:type="dxa"/>
            <w:vAlign w:val="bottom"/>
          </w:tcPr>
          <w:p>
            <w:pPr>
              <w:ind w:left="180"/>
              <w:spacing w:after="0"/>
              <w:rPr>
                <w:sz w:val="20"/>
                <w:szCs w:val="20"/>
                <w:color w:val="auto"/>
              </w:rPr>
            </w:pPr>
            <w:r>
              <w:rPr>
                <w:rFonts w:ascii="Arial" w:cs="Arial" w:eastAsia="Arial" w:hAnsi="Arial"/>
                <w:sz w:val="61"/>
                <w:szCs w:val="61"/>
                <w:color w:val="582C83"/>
                <w:w w:val="93"/>
              </w:rPr>
              <w:t>•</w:t>
            </w:r>
          </w:p>
        </w:tc>
        <w:tc>
          <w:tcPr>
            <w:tcW w:w="0" w:type="dxa"/>
            <w:vAlign w:val="bottom"/>
          </w:tcPr>
          <w:p>
            <w:pPr>
              <w:spacing w:after="0"/>
              <w:rPr>
                <w:sz w:val="1"/>
                <w:szCs w:val="1"/>
                <w:color w:val="auto"/>
              </w:rPr>
            </w:pPr>
          </w:p>
        </w:tc>
      </w:tr>
      <w:tr>
        <w:trPr>
          <w:trHeight w:val="335"/>
        </w:trPr>
        <w:tc>
          <w:tcPr>
            <w:tcW w:w="5420" w:type="dxa"/>
            <w:vAlign w:val="bottom"/>
          </w:tcPr>
          <w:p>
            <w:pPr>
              <w:spacing w:after="0"/>
              <w:rPr>
                <w:sz w:val="20"/>
                <w:szCs w:val="20"/>
                <w:color w:val="auto"/>
              </w:rPr>
            </w:pPr>
            <w:r>
              <w:rPr>
                <w:rFonts w:ascii="Arial" w:cs="Arial" w:eastAsia="Arial" w:hAnsi="Arial"/>
                <w:sz w:val="16"/>
                <w:szCs w:val="16"/>
                <w:color w:val="auto"/>
              </w:rPr>
              <w:t>Leadership Experience</w:t>
            </w:r>
          </w:p>
        </w:tc>
        <w:tc>
          <w:tcPr>
            <w:tcW w:w="126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56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56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56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56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54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400" w:type="dxa"/>
            <w:vAlign w:val="bottom"/>
          </w:tcPr>
          <w:p>
            <w:pPr>
              <w:ind w:left="180"/>
              <w:spacing w:after="0" w:line="336" w:lineRule="exact"/>
              <w:rPr>
                <w:sz w:val="20"/>
                <w:szCs w:val="20"/>
                <w:color w:val="auto"/>
              </w:rPr>
            </w:pPr>
            <w:r>
              <w:rPr>
                <w:rFonts w:ascii="Arial" w:cs="Arial" w:eastAsia="Arial" w:hAnsi="Arial"/>
                <w:sz w:val="38"/>
                <w:szCs w:val="38"/>
                <w:color w:val="582C83"/>
              </w:rPr>
              <w:t>•</w:t>
            </w:r>
          </w:p>
        </w:tc>
        <w:tc>
          <w:tcPr>
            <w:tcW w:w="0" w:type="dxa"/>
            <w:vAlign w:val="bottom"/>
          </w:tcPr>
          <w:p>
            <w:pPr>
              <w:spacing w:after="0"/>
              <w:rPr>
                <w:sz w:val="1"/>
                <w:szCs w:val="1"/>
                <w:color w:val="auto"/>
              </w:rPr>
            </w:pPr>
          </w:p>
        </w:tc>
      </w:tr>
      <w:tr>
        <w:trPr>
          <w:trHeight w:val="335"/>
        </w:trPr>
        <w:tc>
          <w:tcPr>
            <w:tcW w:w="5420" w:type="dxa"/>
            <w:vAlign w:val="bottom"/>
          </w:tcPr>
          <w:p>
            <w:pPr>
              <w:spacing w:after="0"/>
              <w:rPr>
                <w:sz w:val="20"/>
                <w:szCs w:val="20"/>
                <w:color w:val="auto"/>
              </w:rPr>
            </w:pPr>
            <w:r>
              <w:rPr>
                <w:rFonts w:ascii="Arial" w:cs="Arial" w:eastAsia="Arial" w:hAnsi="Arial"/>
                <w:sz w:val="16"/>
                <w:szCs w:val="16"/>
                <w:color w:val="auto"/>
              </w:rPr>
              <w:t>Substantial Global Business and Other International Experience</w:t>
            </w:r>
          </w:p>
        </w:tc>
        <w:tc>
          <w:tcPr>
            <w:tcW w:w="1260" w:type="dxa"/>
            <w:vAlign w:val="bottom"/>
          </w:tcPr>
          <w:p>
            <w:pPr>
              <w:ind w:left="880"/>
              <w:spacing w:after="0" w:line="336" w:lineRule="exact"/>
              <w:rPr>
                <w:sz w:val="20"/>
                <w:szCs w:val="20"/>
                <w:color w:val="auto"/>
              </w:rPr>
            </w:pPr>
            <w:r>
              <w:rPr>
                <w:rFonts w:ascii="Arial" w:cs="Arial" w:eastAsia="Arial" w:hAnsi="Arial"/>
                <w:sz w:val="38"/>
                <w:szCs w:val="38"/>
                <w:color w:val="582C83"/>
              </w:rPr>
              <w:t>•</w:t>
            </w:r>
          </w:p>
        </w:tc>
        <w:tc>
          <w:tcPr>
            <w:tcW w:w="580" w:type="dxa"/>
            <w:vAlign w:val="bottom"/>
          </w:tcPr>
          <w:p>
            <w:pPr>
              <w:ind w:left="180"/>
              <w:spacing w:after="0" w:line="336" w:lineRule="exact"/>
              <w:rPr>
                <w:sz w:val="20"/>
                <w:szCs w:val="20"/>
                <w:color w:val="auto"/>
              </w:rPr>
            </w:pPr>
            <w:r>
              <w:rPr>
                <w:rFonts w:ascii="Arial" w:cs="Arial" w:eastAsia="Arial" w:hAnsi="Arial"/>
                <w:sz w:val="38"/>
                <w:szCs w:val="38"/>
                <w:color w:val="582C83"/>
              </w:rPr>
              <w:t>•</w:t>
            </w:r>
          </w:p>
        </w:tc>
        <w:tc>
          <w:tcPr>
            <w:tcW w:w="560" w:type="dxa"/>
            <w:vAlign w:val="bottom"/>
          </w:tcPr>
          <w:p>
            <w:pPr>
              <w:ind w:left="180"/>
              <w:spacing w:after="0" w:line="336" w:lineRule="exact"/>
              <w:rPr>
                <w:sz w:val="20"/>
                <w:szCs w:val="20"/>
                <w:color w:val="auto"/>
              </w:rPr>
            </w:pPr>
            <w:r>
              <w:rPr>
                <w:rFonts w:ascii="Arial" w:cs="Arial" w:eastAsia="Arial" w:hAnsi="Arial"/>
                <w:sz w:val="38"/>
                <w:szCs w:val="38"/>
                <w:color w:val="582C83"/>
              </w:rPr>
              <w:t>•</w:t>
            </w:r>
          </w:p>
        </w:tc>
        <w:tc>
          <w:tcPr>
            <w:tcW w:w="56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56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56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56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54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400" w:type="dxa"/>
            <w:vAlign w:val="bottom"/>
          </w:tcPr>
          <w:p>
            <w:pPr>
              <w:ind w:left="180"/>
              <w:spacing w:after="0" w:line="336" w:lineRule="exact"/>
              <w:rPr>
                <w:sz w:val="20"/>
                <w:szCs w:val="20"/>
                <w:color w:val="auto"/>
              </w:rPr>
            </w:pPr>
            <w:r>
              <w:rPr>
                <w:rFonts w:ascii="Arial" w:cs="Arial" w:eastAsia="Arial" w:hAnsi="Arial"/>
                <w:sz w:val="38"/>
                <w:szCs w:val="38"/>
                <w:color w:val="582C83"/>
              </w:rPr>
              <w:t>•</w:t>
            </w:r>
          </w:p>
        </w:tc>
        <w:tc>
          <w:tcPr>
            <w:tcW w:w="0" w:type="dxa"/>
            <w:vAlign w:val="bottom"/>
          </w:tcPr>
          <w:p>
            <w:pPr>
              <w:spacing w:after="0"/>
              <w:rPr>
                <w:sz w:val="1"/>
                <w:szCs w:val="1"/>
                <w:color w:val="auto"/>
              </w:rPr>
            </w:pPr>
          </w:p>
        </w:tc>
      </w:tr>
      <w:tr>
        <w:trPr>
          <w:trHeight w:val="335"/>
        </w:trPr>
        <w:tc>
          <w:tcPr>
            <w:tcW w:w="5420" w:type="dxa"/>
            <w:vAlign w:val="bottom"/>
          </w:tcPr>
          <w:p>
            <w:pPr>
              <w:spacing w:after="0"/>
              <w:rPr>
                <w:sz w:val="20"/>
                <w:szCs w:val="20"/>
                <w:color w:val="auto"/>
              </w:rPr>
            </w:pPr>
            <w:r>
              <w:rPr>
                <w:rFonts w:ascii="Arial" w:cs="Arial" w:eastAsia="Arial" w:hAnsi="Arial"/>
                <w:sz w:val="16"/>
                <w:szCs w:val="16"/>
                <w:color w:val="auto"/>
              </w:rPr>
              <w:t>Accounting and Financial Expertise</w:t>
            </w:r>
          </w:p>
        </w:tc>
        <w:tc>
          <w:tcPr>
            <w:tcW w:w="1260" w:type="dxa"/>
            <w:vAlign w:val="bottom"/>
          </w:tcPr>
          <w:p>
            <w:pPr>
              <w:ind w:left="880"/>
              <w:spacing w:after="0" w:line="336" w:lineRule="exact"/>
              <w:rPr>
                <w:sz w:val="20"/>
                <w:szCs w:val="20"/>
                <w:color w:val="auto"/>
              </w:rPr>
            </w:pPr>
            <w:r>
              <w:rPr>
                <w:rFonts w:ascii="Arial" w:cs="Arial" w:eastAsia="Arial" w:hAnsi="Arial"/>
                <w:sz w:val="38"/>
                <w:szCs w:val="38"/>
                <w:color w:val="582C83"/>
              </w:rPr>
              <w:t>•</w:t>
            </w:r>
          </w:p>
        </w:tc>
        <w:tc>
          <w:tcPr>
            <w:tcW w:w="580" w:type="dxa"/>
            <w:vAlign w:val="bottom"/>
          </w:tcPr>
          <w:p>
            <w:pPr>
              <w:ind w:left="180"/>
              <w:spacing w:after="0" w:line="336" w:lineRule="exact"/>
              <w:rPr>
                <w:sz w:val="20"/>
                <w:szCs w:val="20"/>
                <w:color w:val="auto"/>
              </w:rPr>
            </w:pPr>
            <w:r>
              <w:rPr>
                <w:rFonts w:ascii="Arial" w:cs="Arial" w:eastAsia="Arial" w:hAnsi="Arial"/>
                <w:sz w:val="38"/>
                <w:szCs w:val="38"/>
                <w:color w:val="582C83"/>
              </w:rPr>
              <w:t>•</w:t>
            </w:r>
          </w:p>
        </w:tc>
        <w:tc>
          <w:tcPr>
            <w:tcW w:w="560" w:type="dxa"/>
            <w:vAlign w:val="bottom"/>
          </w:tcPr>
          <w:p>
            <w:pPr>
              <w:ind w:left="180"/>
              <w:spacing w:after="0" w:line="336" w:lineRule="exact"/>
              <w:rPr>
                <w:sz w:val="20"/>
                <w:szCs w:val="20"/>
                <w:color w:val="auto"/>
              </w:rPr>
            </w:pPr>
            <w:r>
              <w:rPr>
                <w:rFonts w:ascii="Arial" w:cs="Arial" w:eastAsia="Arial" w:hAnsi="Arial"/>
                <w:sz w:val="38"/>
                <w:szCs w:val="38"/>
                <w:color w:val="582C83"/>
              </w:rPr>
              <w:t>•</w:t>
            </w:r>
          </w:p>
        </w:tc>
        <w:tc>
          <w:tcPr>
            <w:tcW w:w="56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56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56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56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54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400" w:type="dxa"/>
            <w:vAlign w:val="bottom"/>
          </w:tcPr>
          <w:p>
            <w:pPr>
              <w:ind w:left="180"/>
              <w:spacing w:after="0" w:line="336" w:lineRule="exact"/>
              <w:rPr>
                <w:sz w:val="20"/>
                <w:szCs w:val="20"/>
                <w:color w:val="auto"/>
              </w:rPr>
            </w:pPr>
            <w:r>
              <w:rPr>
                <w:rFonts w:ascii="Arial" w:cs="Arial" w:eastAsia="Arial" w:hAnsi="Arial"/>
                <w:sz w:val="38"/>
                <w:szCs w:val="38"/>
                <w:color w:val="582C83"/>
              </w:rPr>
              <w:t>•</w:t>
            </w:r>
          </w:p>
        </w:tc>
        <w:tc>
          <w:tcPr>
            <w:tcW w:w="0" w:type="dxa"/>
            <w:vAlign w:val="bottom"/>
          </w:tcPr>
          <w:p>
            <w:pPr>
              <w:spacing w:after="0"/>
              <w:rPr>
                <w:sz w:val="1"/>
                <w:szCs w:val="1"/>
                <w:color w:val="auto"/>
              </w:rPr>
            </w:pPr>
          </w:p>
        </w:tc>
      </w:tr>
      <w:tr>
        <w:trPr>
          <w:trHeight w:val="335"/>
        </w:trPr>
        <w:tc>
          <w:tcPr>
            <w:tcW w:w="5420" w:type="dxa"/>
            <w:vAlign w:val="bottom"/>
          </w:tcPr>
          <w:p>
            <w:pPr>
              <w:spacing w:after="0"/>
              <w:rPr>
                <w:sz w:val="20"/>
                <w:szCs w:val="20"/>
                <w:color w:val="auto"/>
              </w:rPr>
            </w:pPr>
            <w:r>
              <w:rPr>
                <w:rFonts w:ascii="Arial" w:cs="Arial" w:eastAsia="Arial" w:hAnsi="Arial"/>
                <w:sz w:val="16"/>
                <w:szCs w:val="16"/>
                <w:color w:val="auto"/>
              </w:rPr>
              <w:t>Product Research, Development and Marketing Experience</w:t>
            </w:r>
          </w:p>
        </w:tc>
        <w:tc>
          <w:tcPr>
            <w:tcW w:w="1260" w:type="dxa"/>
            <w:vAlign w:val="bottom"/>
          </w:tcPr>
          <w:p>
            <w:pPr>
              <w:ind w:left="880"/>
              <w:spacing w:after="0" w:line="336" w:lineRule="exact"/>
              <w:rPr>
                <w:sz w:val="20"/>
                <w:szCs w:val="20"/>
                <w:color w:val="auto"/>
              </w:rPr>
            </w:pPr>
            <w:r>
              <w:rPr>
                <w:rFonts w:ascii="Arial" w:cs="Arial" w:eastAsia="Arial" w:hAnsi="Arial"/>
                <w:sz w:val="38"/>
                <w:szCs w:val="38"/>
                <w:color w:val="582C83"/>
              </w:rPr>
              <w:t>•</w:t>
            </w:r>
          </w:p>
        </w:tc>
        <w:tc>
          <w:tcPr>
            <w:tcW w:w="580" w:type="dxa"/>
            <w:vAlign w:val="bottom"/>
          </w:tcPr>
          <w:p>
            <w:pPr>
              <w:ind w:left="180"/>
              <w:spacing w:after="0" w:line="336" w:lineRule="exact"/>
              <w:rPr>
                <w:sz w:val="20"/>
                <w:szCs w:val="20"/>
                <w:color w:val="auto"/>
              </w:rPr>
            </w:pPr>
            <w:r>
              <w:rPr>
                <w:rFonts w:ascii="Arial" w:cs="Arial" w:eastAsia="Arial" w:hAnsi="Arial"/>
                <w:sz w:val="38"/>
                <w:szCs w:val="38"/>
                <w:color w:val="582C83"/>
              </w:rPr>
              <w:t>•</w:t>
            </w:r>
          </w:p>
        </w:tc>
        <w:tc>
          <w:tcPr>
            <w:tcW w:w="560" w:type="dxa"/>
            <w:vAlign w:val="bottom"/>
            <w:vMerge w:val="restart"/>
          </w:tcPr>
          <w:p>
            <w:pPr>
              <w:ind w:left="180"/>
              <w:spacing w:after="0" w:line="524" w:lineRule="exact"/>
              <w:rPr>
                <w:sz w:val="20"/>
                <w:szCs w:val="20"/>
                <w:color w:val="auto"/>
              </w:rPr>
            </w:pPr>
            <w:r>
              <w:rPr>
                <w:rFonts w:ascii="Arial" w:cs="Arial" w:eastAsia="Arial" w:hAnsi="Arial"/>
                <w:sz w:val="60"/>
                <w:szCs w:val="60"/>
                <w:color w:val="582C83"/>
              </w:rPr>
              <w:t>•</w:t>
            </w:r>
          </w:p>
        </w:tc>
        <w:tc>
          <w:tcPr>
            <w:tcW w:w="560" w:type="dxa"/>
            <w:vAlign w:val="bottom"/>
            <w:vMerge w:val="restart"/>
          </w:tcPr>
          <w:p>
            <w:pPr>
              <w:ind w:left="160"/>
              <w:spacing w:after="0" w:line="524" w:lineRule="exact"/>
              <w:rPr>
                <w:sz w:val="20"/>
                <w:szCs w:val="20"/>
                <w:color w:val="auto"/>
              </w:rPr>
            </w:pPr>
            <w:r>
              <w:rPr>
                <w:rFonts w:ascii="Arial" w:cs="Arial" w:eastAsia="Arial" w:hAnsi="Arial"/>
                <w:sz w:val="60"/>
                <w:szCs w:val="60"/>
                <w:color w:val="582C83"/>
              </w:rPr>
              <w:t>•</w:t>
            </w:r>
          </w:p>
        </w:tc>
        <w:tc>
          <w:tcPr>
            <w:tcW w:w="560" w:type="dxa"/>
            <w:vAlign w:val="bottom"/>
            <w:vMerge w:val="restart"/>
          </w:tcPr>
          <w:p>
            <w:pPr>
              <w:ind w:left="160"/>
              <w:spacing w:after="0" w:line="524" w:lineRule="exact"/>
              <w:rPr>
                <w:sz w:val="20"/>
                <w:szCs w:val="20"/>
                <w:color w:val="auto"/>
              </w:rPr>
            </w:pPr>
            <w:r>
              <w:rPr>
                <w:rFonts w:ascii="Arial" w:cs="Arial" w:eastAsia="Arial" w:hAnsi="Arial"/>
                <w:sz w:val="60"/>
                <w:szCs w:val="60"/>
                <w:color w:val="582C83"/>
              </w:rPr>
              <w:t>•</w:t>
            </w:r>
          </w:p>
        </w:tc>
        <w:tc>
          <w:tcPr>
            <w:tcW w:w="56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56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540" w:type="dxa"/>
            <w:vAlign w:val="bottom"/>
          </w:tcPr>
          <w:p>
            <w:pPr>
              <w:ind w:left="160"/>
              <w:spacing w:after="0" w:line="336" w:lineRule="exact"/>
              <w:rPr>
                <w:sz w:val="20"/>
                <w:szCs w:val="20"/>
                <w:color w:val="auto"/>
              </w:rPr>
            </w:pPr>
            <w:r>
              <w:rPr>
                <w:rFonts w:ascii="Arial" w:cs="Arial" w:eastAsia="Arial" w:hAnsi="Arial"/>
                <w:sz w:val="38"/>
                <w:szCs w:val="38"/>
                <w:color w:val="582C83"/>
              </w:rPr>
              <w:t>•</w:t>
            </w:r>
          </w:p>
        </w:tc>
        <w:tc>
          <w:tcPr>
            <w:tcW w:w="400" w:type="dxa"/>
            <w:vAlign w:val="bottom"/>
          </w:tcPr>
          <w:p>
            <w:pPr>
              <w:ind w:left="180"/>
              <w:spacing w:after="0" w:line="336" w:lineRule="exact"/>
              <w:rPr>
                <w:sz w:val="20"/>
                <w:szCs w:val="20"/>
                <w:color w:val="auto"/>
              </w:rPr>
            </w:pPr>
            <w:r>
              <w:rPr>
                <w:rFonts w:ascii="Arial" w:cs="Arial" w:eastAsia="Arial" w:hAnsi="Arial"/>
                <w:sz w:val="38"/>
                <w:szCs w:val="38"/>
                <w:color w:val="582C83"/>
              </w:rPr>
              <w:t>•</w:t>
            </w:r>
          </w:p>
        </w:tc>
        <w:tc>
          <w:tcPr>
            <w:tcW w:w="0" w:type="dxa"/>
            <w:vAlign w:val="bottom"/>
          </w:tcPr>
          <w:p>
            <w:pPr>
              <w:spacing w:after="0"/>
              <w:rPr>
                <w:sz w:val="1"/>
                <w:szCs w:val="1"/>
                <w:color w:val="auto"/>
              </w:rPr>
            </w:pPr>
          </w:p>
        </w:tc>
      </w:tr>
      <w:tr>
        <w:trPr>
          <w:trHeight w:val="189"/>
        </w:trPr>
        <w:tc>
          <w:tcPr>
            <w:tcW w:w="5420" w:type="dxa"/>
            <w:vAlign w:val="bottom"/>
            <w:vMerge w:val="restart"/>
          </w:tcPr>
          <w:p>
            <w:pPr>
              <w:spacing w:after="0"/>
              <w:rPr>
                <w:sz w:val="20"/>
                <w:szCs w:val="20"/>
                <w:color w:val="auto"/>
              </w:rPr>
            </w:pPr>
            <w:r>
              <w:rPr>
                <w:rFonts w:ascii="Arial" w:cs="Arial" w:eastAsia="Arial" w:hAnsi="Arial"/>
                <w:sz w:val="16"/>
                <w:szCs w:val="16"/>
                <w:color w:val="auto"/>
              </w:rPr>
              <w:t>Public Company Board and Corporate Governance Experience</w:t>
            </w:r>
          </w:p>
        </w:tc>
        <w:tc>
          <w:tcPr>
            <w:tcW w:w="1260" w:type="dxa"/>
            <w:vAlign w:val="bottom"/>
          </w:tcPr>
          <w:p>
            <w:pPr>
              <w:ind w:left="880"/>
              <w:spacing w:after="0" w:line="190" w:lineRule="exact"/>
              <w:rPr>
                <w:sz w:val="20"/>
                <w:szCs w:val="20"/>
                <w:color w:val="auto"/>
              </w:rPr>
            </w:pPr>
            <w:r>
              <w:rPr>
                <w:rFonts w:ascii="Arial" w:cs="Arial" w:eastAsia="Arial" w:hAnsi="Arial"/>
                <w:sz w:val="21"/>
                <w:szCs w:val="21"/>
                <w:color w:val="582C83"/>
              </w:rPr>
              <w:t>•</w:t>
            </w:r>
          </w:p>
        </w:tc>
        <w:tc>
          <w:tcPr>
            <w:tcW w:w="580" w:type="dxa"/>
            <w:vAlign w:val="bottom"/>
          </w:tcPr>
          <w:p>
            <w:pPr>
              <w:ind w:left="180"/>
              <w:spacing w:after="0" w:line="190" w:lineRule="exact"/>
              <w:rPr>
                <w:sz w:val="20"/>
                <w:szCs w:val="20"/>
                <w:color w:val="auto"/>
              </w:rPr>
            </w:pPr>
            <w:r>
              <w:rPr>
                <w:rFonts w:ascii="Arial" w:cs="Arial" w:eastAsia="Arial" w:hAnsi="Arial"/>
                <w:sz w:val="21"/>
                <w:szCs w:val="21"/>
                <w:color w:val="582C83"/>
              </w:rPr>
              <w:t>•</w:t>
            </w:r>
          </w:p>
        </w:tc>
        <w:tc>
          <w:tcPr>
            <w:tcW w:w="5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560" w:type="dxa"/>
            <w:vAlign w:val="bottom"/>
          </w:tcPr>
          <w:p>
            <w:pPr>
              <w:ind w:left="160"/>
              <w:spacing w:after="0" w:line="190" w:lineRule="exact"/>
              <w:rPr>
                <w:sz w:val="20"/>
                <w:szCs w:val="20"/>
                <w:color w:val="auto"/>
              </w:rPr>
            </w:pPr>
            <w:r>
              <w:rPr>
                <w:rFonts w:ascii="Arial" w:cs="Arial" w:eastAsia="Arial" w:hAnsi="Arial"/>
                <w:sz w:val="21"/>
                <w:szCs w:val="21"/>
                <w:color w:val="582C83"/>
              </w:rPr>
              <w:t>•</w:t>
            </w:r>
          </w:p>
        </w:tc>
        <w:tc>
          <w:tcPr>
            <w:tcW w:w="560" w:type="dxa"/>
            <w:vAlign w:val="bottom"/>
          </w:tcPr>
          <w:p>
            <w:pPr>
              <w:ind w:left="160"/>
              <w:spacing w:after="0" w:line="190" w:lineRule="exact"/>
              <w:rPr>
                <w:sz w:val="20"/>
                <w:szCs w:val="20"/>
                <w:color w:val="auto"/>
              </w:rPr>
            </w:pPr>
            <w:r>
              <w:rPr>
                <w:rFonts w:ascii="Arial" w:cs="Arial" w:eastAsia="Arial" w:hAnsi="Arial"/>
                <w:sz w:val="21"/>
                <w:szCs w:val="21"/>
                <w:color w:val="582C83"/>
              </w:rPr>
              <w:t>•</w:t>
            </w:r>
          </w:p>
        </w:tc>
        <w:tc>
          <w:tcPr>
            <w:tcW w:w="540" w:type="dxa"/>
            <w:vAlign w:val="bottom"/>
          </w:tcPr>
          <w:p>
            <w:pPr>
              <w:ind w:left="160"/>
              <w:spacing w:after="0" w:line="190" w:lineRule="exact"/>
              <w:rPr>
                <w:sz w:val="20"/>
                <w:szCs w:val="20"/>
                <w:color w:val="auto"/>
              </w:rPr>
            </w:pPr>
            <w:r>
              <w:rPr>
                <w:rFonts w:ascii="Arial" w:cs="Arial" w:eastAsia="Arial" w:hAnsi="Arial"/>
                <w:sz w:val="21"/>
                <w:szCs w:val="21"/>
                <w:color w:val="582C83"/>
              </w:rPr>
              <w:t>•</w:t>
            </w:r>
          </w:p>
        </w:tc>
        <w:tc>
          <w:tcPr>
            <w:tcW w:w="400" w:type="dxa"/>
            <w:vAlign w:val="bottom"/>
          </w:tcPr>
          <w:p>
            <w:pPr>
              <w:ind w:left="180"/>
              <w:spacing w:after="0" w:line="190" w:lineRule="exact"/>
              <w:rPr>
                <w:sz w:val="20"/>
                <w:szCs w:val="20"/>
                <w:color w:val="auto"/>
              </w:rPr>
            </w:pPr>
            <w:r>
              <w:rPr>
                <w:rFonts w:ascii="Arial" w:cs="Arial" w:eastAsia="Arial" w:hAnsi="Arial"/>
                <w:sz w:val="21"/>
                <w:szCs w:val="21"/>
                <w:color w:val="582C83"/>
              </w:rPr>
              <w:t>•</w:t>
            </w:r>
          </w:p>
        </w:tc>
        <w:tc>
          <w:tcPr>
            <w:tcW w:w="0" w:type="dxa"/>
            <w:vAlign w:val="bottom"/>
          </w:tcPr>
          <w:p>
            <w:pPr>
              <w:spacing w:after="0"/>
              <w:rPr>
                <w:sz w:val="1"/>
                <w:szCs w:val="1"/>
                <w:color w:val="auto"/>
              </w:rPr>
            </w:pPr>
          </w:p>
        </w:tc>
      </w:tr>
      <w:tr>
        <w:trPr>
          <w:trHeight w:val="577"/>
        </w:trPr>
        <w:tc>
          <w:tcPr>
            <w:tcW w:w="54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ind w:left="180"/>
              <w:spacing w:after="0" w:line="576" w:lineRule="exact"/>
              <w:rPr>
                <w:sz w:val="20"/>
                <w:szCs w:val="20"/>
                <w:color w:val="auto"/>
              </w:rPr>
            </w:pPr>
            <w:r>
              <w:rPr>
                <w:rFonts w:ascii="Arial" w:cs="Arial" w:eastAsia="Arial" w:hAnsi="Arial"/>
                <w:sz w:val="61"/>
                <w:szCs w:val="61"/>
                <w:color w:val="582C83"/>
              </w:rPr>
              <w:t>•</w:t>
            </w:r>
          </w:p>
        </w:tc>
        <w:tc>
          <w:tcPr>
            <w:tcW w:w="560" w:type="dxa"/>
            <w:vAlign w:val="bottom"/>
          </w:tcPr>
          <w:p>
            <w:pPr>
              <w:spacing w:after="0"/>
              <w:rPr>
                <w:sz w:val="24"/>
                <w:szCs w:val="24"/>
                <w:color w:val="auto"/>
              </w:rPr>
            </w:pPr>
          </w:p>
        </w:tc>
        <w:tc>
          <w:tcPr>
            <w:tcW w:w="560" w:type="dxa"/>
            <w:vAlign w:val="bottom"/>
          </w:tcPr>
          <w:p>
            <w:pPr>
              <w:ind w:left="160"/>
              <w:spacing w:after="0" w:line="576" w:lineRule="exact"/>
              <w:rPr>
                <w:sz w:val="20"/>
                <w:szCs w:val="20"/>
                <w:color w:val="auto"/>
              </w:rPr>
            </w:pPr>
            <w:r>
              <w:rPr>
                <w:rFonts w:ascii="Arial" w:cs="Arial" w:eastAsia="Arial" w:hAnsi="Arial"/>
                <w:sz w:val="61"/>
                <w:szCs w:val="61"/>
                <w:color w:val="582C83"/>
              </w:rPr>
              <w:t>•</w:t>
            </w:r>
          </w:p>
        </w:tc>
        <w:tc>
          <w:tcPr>
            <w:tcW w:w="560" w:type="dxa"/>
            <w:vAlign w:val="bottom"/>
          </w:tcPr>
          <w:p>
            <w:pPr>
              <w:ind w:left="160"/>
              <w:spacing w:after="0" w:line="576" w:lineRule="exact"/>
              <w:rPr>
                <w:sz w:val="20"/>
                <w:szCs w:val="20"/>
                <w:color w:val="auto"/>
              </w:rPr>
            </w:pPr>
            <w:r>
              <w:rPr>
                <w:rFonts w:ascii="Arial" w:cs="Arial" w:eastAsia="Arial" w:hAnsi="Arial"/>
                <w:sz w:val="61"/>
                <w:szCs w:val="61"/>
                <w:color w:val="582C83"/>
              </w:rPr>
              <w:t>•</w:t>
            </w:r>
          </w:p>
        </w:tc>
        <w:tc>
          <w:tcPr>
            <w:tcW w:w="560" w:type="dxa"/>
            <w:vAlign w:val="bottom"/>
          </w:tcPr>
          <w:p>
            <w:pPr>
              <w:spacing w:after="0"/>
              <w:rPr>
                <w:sz w:val="24"/>
                <w:szCs w:val="24"/>
                <w:color w:val="auto"/>
              </w:rPr>
            </w:pPr>
          </w:p>
        </w:tc>
        <w:tc>
          <w:tcPr>
            <w:tcW w:w="560" w:type="dxa"/>
            <w:vAlign w:val="bottom"/>
          </w:tcPr>
          <w:p>
            <w:pPr>
              <w:ind w:left="160"/>
              <w:spacing w:after="0" w:line="576" w:lineRule="exact"/>
              <w:rPr>
                <w:sz w:val="20"/>
                <w:szCs w:val="20"/>
                <w:color w:val="auto"/>
              </w:rPr>
            </w:pPr>
            <w:r>
              <w:rPr>
                <w:rFonts w:ascii="Arial" w:cs="Arial" w:eastAsia="Arial" w:hAnsi="Arial"/>
                <w:sz w:val="61"/>
                <w:szCs w:val="61"/>
                <w:color w:val="582C83"/>
              </w:rPr>
              <w:t>•</w:t>
            </w:r>
          </w:p>
        </w:tc>
        <w:tc>
          <w:tcPr>
            <w:tcW w:w="540" w:type="dxa"/>
            <w:vAlign w:val="bottom"/>
          </w:tcPr>
          <w:p>
            <w:pPr>
              <w:ind w:left="160"/>
              <w:spacing w:after="0" w:line="576" w:lineRule="exact"/>
              <w:rPr>
                <w:sz w:val="20"/>
                <w:szCs w:val="20"/>
                <w:color w:val="auto"/>
              </w:rPr>
            </w:pPr>
            <w:r>
              <w:rPr>
                <w:rFonts w:ascii="Arial" w:cs="Arial" w:eastAsia="Arial" w:hAnsi="Arial"/>
                <w:sz w:val="61"/>
                <w:szCs w:val="61"/>
                <w:color w:val="582C83"/>
              </w:rPr>
              <w:t>•</w:t>
            </w:r>
          </w:p>
        </w:tc>
        <w:tc>
          <w:tcPr>
            <w:tcW w:w="400" w:type="dxa"/>
            <w:vAlign w:val="bottom"/>
          </w:tcPr>
          <w:p>
            <w:pPr>
              <w:ind w:left="180"/>
              <w:spacing w:after="0" w:line="576" w:lineRule="exact"/>
              <w:rPr>
                <w:sz w:val="20"/>
                <w:szCs w:val="20"/>
                <w:color w:val="auto"/>
              </w:rPr>
            </w:pPr>
            <w:r>
              <w:rPr>
                <w:rFonts w:ascii="Arial" w:cs="Arial" w:eastAsia="Arial" w:hAnsi="Arial"/>
                <w:sz w:val="61"/>
                <w:szCs w:val="61"/>
                <w:color w:val="582C83"/>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-407035</wp:posOffset>
            </wp:positionV>
            <wp:extent cx="7143115" cy="2209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3115" cy="2209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-833120</wp:posOffset>
            </wp:positionV>
            <wp:extent cx="7143115" cy="2209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3115" cy="2209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-1258570</wp:posOffset>
            </wp:positionV>
            <wp:extent cx="7143115" cy="2209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3115" cy="2209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-1471295</wp:posOffset>
            </wp:positionV>
            <wp:extent cx="714311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ind w:right="1020"/>
        <w:spacing w:after="0" w:line="258" w:lineRule="auto"/>
        <w:rPr>
          <w:sz w:val="20"/>
          <w:szCs w:val="20"/>
          <w:color w:val="auto"/>
        </w:rPr>
      </w:pPr>
      <w:r>
        <w:rPr>
          <w:rFonts w:ascii="Arial" w:cs="Arial" w:eastAsia="Arial" w:hAnsi="Arial"/>
          <w:sz w:val="22"/>
          <w:szCs w:val="22"/>
          <w:b w:val="1"/>
          <w:bCs w:val="1"/>
          <w:color w:val="582C83"/>
        </w:rPr>
        <w:t>INDIVIDUAL DIRECTOR SELF-ASSESSMENTS AND CONSIDERATIONS FOR RENOMINATION OF INCUMBENT DIRECTORS</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color w:val="auto"/>
        </w:rPr>
        <w:t>The Board does not believe that directors should expect to be automatically renominated. Therefore, annual Board and director self-assessments are important determinants in a director’s renomination and tenure.</w:t>
      </w:r>
    </w:p>
    <w:p>
      <w:pPr>
        <w:spacing w:after="0" w:line="116" w:lineRule="exact"/>
        <w:rPr>
          <w:sz w:val="20"/>
          <w:szCs w:val="20"/>
          <w:color w:val="auto"/>
        </w:rPr>
      </w:pPr>
    </w:p>
    <w:p>
      <w:pPr>
        <w:ind w:right="120"/>
        <w:spacing w:after="0" w:line="238" w:lineRule="auto"/>
        <w:rPr>
          <w:sz w:val="20"/>
          <w:szCs w:val="20"/>
          <w:color w:val="auto"/>
        </w:rPr>
      </w:pPr>
      <w:r>
        <w:rPr>
          <w:rFonts w:ascii="Arial" w:cs="Arial" w:eastAsia="Arial" w:hAnsi="Arial"/>
          <w:sz w:val="20"/>
          <w:szCs w:val="20"/>
          <w:color w:val="auto"/>
        </w:rPr>
        <w:t>The Governance Committee coordinates annual Board, committee and director self-assessments. The assessment process includes one-on-one discussions between each director and the independent Lead Director. All incumbent director nominees complete questionnaires annually to update and confirm their background, qualifications and skills, and to identify any potential conflicts of interest. The Governance Committee assesses the experience, qualifications, attributes, skills, diversity and contributions of each director. In coordination with the independent Lead Director, the Governance Committee also considers each individual in the context of the Board’s composition as a whole, with the objective of recruiting and recommending a slate of director nominees who can best sustain the Company’s success and represent shareholders’ interests by exercising sound judgment and informed decision-making.</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BOARD REFRESHMENT THROUGH DIRECTOR TENURE AND AGE LIMITS</w:t>
      </w:r>
    </w:p>
    <w:p>
      <w:pPr>
        <w:spacing w:after="0" w:line="53"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The Board believes the optimal Board composition has a balance of tenured members with in-depth knowledge of the Company’s business and operations and newer members who bring fresh perspectives. To that end, our Guidelines provide that non-employee directors have a term limit of 15 years and will not be nominated for re-election to the Board after they turn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311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In addition, as noted above, the Board’s annual self-assessment process includes director self-assessments and discussions between the independent Lead Director and each director, in coordination with the Governance Committee, regarding the director’s strengths and opportunities to enhance contributions.</w:t>
      </w:r>
    </w:p>
    <w:p>
      <w:pPr>
        <w:spacing w:after="0" w:line="126" w:lineRule="exact"/>
        <w:rPr>
          <w:sz w:val="20"/>
          <w:szCs w:val="20"/>
          <w:color w:val="auto"/>
        </w:rPr>
      </w:pPr>
    </w:p>
    <w:p>
      <w:pPr>
        <w:ind w:right="480"/>
        <w:spacing w:after="0" w:line="268" w:lineRule="auto"/>
        <w:rPr>
          <w:sz w:val="20"/>
          <w:szCs w:val="20"/>
          <w:color w:val="auto"/>
        </w:rPr>
      </w:pPr>
      <w:r>
        <w:rPr>
          <w:rFonts w:ascii="Arial" w:cs="Arial" w:eastAsia="Arial" w:hAnsi="Arial"/>
          <w:sz w:val="20"/>
          <w:szCs w:val="20"/>
          <w:color w:val="auto"/>
        </w:rPr>
        <w:t>The current Board composition reflects the Board’s commitment to ongoing refreshment, with four new directors joining the Board in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84455</wp:posOffset>
            </wp:positionV>
            <wp:extent cx="5566410" cy="13322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66410" cy="133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THE BOARD SEEKS AND VALUES DIVERSITY</w:t>
      </w:r>
    </w:p>
    <w:p>
      <w:pPr>
        <w:spacing w:after="0" w:line="53" w:lineRule="exact"/>
        <w:rPr>
          <w:sz w:val="20"/>
          <w:szCs w:val="20"/>
          <w:color w:val="auto"/>
        </w:rPr>
      </w:pPr>
    </w:p>
    <w:p>
      <w:pPr>
        <w:ind w:right="80"/>
        <w:spacing w:after="0" w:line="249" w:lineRule="auto"/>
        <w:rPr>
          <w:sz w:val="20"/>
          <w:szCs w:val="20"/>
          <w:color w:val="auto"/>
        </w:rPr>
      </w:pPr>
      <w:r>
        <w:rPr>
          <w:rFonts w:ascii="Arial" w:cs="Arial" w:eastAsia="Arial" w:hAnsi="Arial"/>
          <w:sz w:val="19"/>
          <w:szCs w:val="19"/>
          <w:color w:val="auto"/>
        </w:rPr>
        <w:t>The Board values diversity, equity and inclusion (“DEI”), and the Board’s diversity is an important aspect of the director recruitment and nomination process. When assembling the pool of candidates from which directors are selected, the Governance Committee considers criteria including gender, race, ethnicity, national origin and geographic location, as diversity in those characteristics promotes a breadth of views, knowledge, experience and background that contributes to more informed and effective decision-making. The Guidelines state that as part of the search process for each new director, the Governance Committee must actively seek out (and instruct any search firm it engages to provide) women and minority candidates to include in the pool from which director nominees are chosen. As part of its annual assessment of the Board’s composition, the Governance Committee also evaluates the effectiveness of the Board’s efforts to promote diversity. The ultimate selection of directors from the candidate pool depends on a variety of factors, which are discussed under “How We Build an Experienced and Qualified Board” on page 18 and “Board Composition: Director Qualifications, Knowledge and Experience” on page 20.</w:t>
      </w:r>
    </w:p>
    <w:p>
      <w:pPr>
        <w:spacing w:after="0" w:line="133" w:lineRule="exact"/>
        <w:rPr>
          <w:sz w:val="20"/>
          <w:szCs w:val="20"/>
          <w:color w:val="auto"/>
        </w:rPr>
      </w:pPr>
    </w:p>
    <w:p>
      <w:pPr>
        <w:ind w:right="60"/>
        <w:spacing w:after="0"/>
        <w:rPr>
          <w:sz w:val="20"/>
          <w:szCs w:val="20"/>
          <w:color w:val="auto"/>
        </w:rPr>
      </w:pPr>
      <w:r>
        <w:rPr>
          <w:rFonts w:ascii="Arial" w:cs="Arial" w:eastAsia="Arial" w:hAnsi="Arial"/>
          <w:sz w:val="20"/>
          <w:szCs w:val="20"/>
          <w:color w:val="auto"/>
        </w:rPr>
        <w:t>The Board also embraces and encourages the Company’s DEI culture. The Board is a signatory to the Board Diversity Action Alliance (the “Alliance”), which seeks to increase the representation of racially and ethnically diverse leaders on boards of corporations, beginning with Black directors. The Alliance is also accelerating change through enhanced disclosure of directors’ race and ethnicity and annual reporting of progress on DEI. Twice per year, the Board reviews the Company’s DEI strategy, stakeholder interests, risks and progress with our SVP, Chief Global Diversity &amp; Inclusion Officer (“Chief Diversity &amp; Inclusion Officer”).</w:t>
      </w:r>
    </w:p>
    <w:p>
      <w:pPr>
        <w:spacing w:after="0" w:line="135" w:lineRule="exact"/>
        <w:rPr>
          <w:sz w:val="20"/>
          <w:szCs w:val="20"/>
          <w:color w:val="auto"/>
        </w:rPr>
      </w:pPr>
    </w:p>
    <w:p>
      <w:pPr>
        <w:jc w:val="both"/>
        <w:ind w:right="60"/>
        <w:spacing w:after="0" w:line="244" w:lineRule="auto"/>
        <w:rPr>
          <w:sz w:val="20"/>
          <w:szCs w:val="20"/>
          <w:color w:val="auto"/>
        </w:rPr>
      </w:pPr>
      <w:r>
        <w:rPr>
          <w:rFonts w:ascii="Arial" w:cs="Arial" w:eastAsia="Arial" w:hAnsi="Arial"/>
          <w:sz w:val="20"/>
          <w:szCs w:val="20"/>
          <w:color w:val="auto"/>
        </w:rPr>
        <w:t>The Board’s directors bring a diversity of gender, race, national original, thought and global experiences that promotes informed decision-making. Our director nominees include three women, vary in age from 57 to 74, represent several national origins and collectively bring a range of professional and life experiences to the Board’s work. One self-identifies as Asian, two self-identify as Black and six self-identify as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4311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2023 Board Nominee Diversity Matrix (As of March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3115" cy="234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3115" cy="2349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40" w:type="dxa"/>
            <w:vAlign w:val="bottom"/>
            <w:tcBorders>
              <w:bottom w:val="single" w:sz="8" w:color="582C83"/>
            </w:tcBorders>
          </w:tcPr>
          <w:p>
            <w:pPr>
              <w:ind w:left="80"/>
              <w:spacing w:after="0"/>
              <w:rPr>
                <w:sz w:val="20"/>
                <w:szCs w:val="20"/>
                <w:color w:val="auto"/>
              </w:rPr>
            </w:pPr>
            <w:r>
              <w:rPr>
                <w:rFonts w:ascii="Arial" w:cs="Arial" w:eastAsia="Arial" w:hAnsi="Arial"/>
                <w:sz w:val="16"/>
                <w:szCs w:val="16"/>
                <w:b w:val="1"/>
                <w:bCs w:val="1"/>
                <w:color w:val="auto"/>
              </w:rPr>
              <w:t>Total Number of Directors</w:t>
            </w:r>
          </w:p>
        </w:tc>
        <w:tc>
          <w:tcPr>
            <w:tcW w:w="3720" w:type="dxa"/>
            <w:vAlign w:val="bottom"/>
            <w:tcBorders>
              <w:bottom w:val="single" w:sz="8" w:color="582C83"/>
            </w:tcBorders>
          </w:tcPr>
          <w:p>
            <w:pPr>
              <w:spacing w:after="0"/>
              <w:rPr>
                <w:sz w:val="20"/>
                <w:szCs w:val="20"/>
                <w:color w:val="auto"/>
              </w:rPr>
            </w:pPr>
          </w:p>
        </w:tc>
        <w:tc>
          <w:tcPr>
            <w:tcW w:w="1980" w:type="dxa"/>
            <w:vAlign w:val="bottom"/>
            <w:tcBorders>
              <w:bottom w:val="single" w:sz="8" w:color="582C83"/>
            </w:tcBorders>
          </w:tcPr>
          <w:p>
            <w:pPr>
              <w:jc w:val="right"/>
              <w:ind w:right="1539"/>
              <w:spacing w:after="0"/>
              <w:rPr>
                <w:sz w:val="20"/>
                <w:szCs w:val="20"/>
                <w:color w:val="auto"/>
              </w:rPr>
            </w:pPr>
            <w:r>
              <w:rPr>
                <w:rFonts w:ascii="Arial" w:cs="Arial" w:eastAsia="Arial" w:hAnsi="Arial"/>
                <w:sz w:val="16"/>
                <w:szCs w:val="16"/>
                <w:b w:val="1"/>
                <w:bCs w:val="1"/>
                <w:color w:val="auto"/>
              </w:rPr>
              <w:t>9</w:t>
            </w:r>
          </w:p>
        </w:tc>
      </w:tr>
      <w:tr>
        <w:trPr>
          <w:trHeight w:val="278"/>
        </w:trPr>
        <w:tc>
          <w:tcPr>
            <w:tcW w:w="5540" w:type="dxa"/>
            <w:vAlign w:val="bottom"/>
            <w:tcBorders>
              <w:bottom w:val="single" w:sz="8" w:color="582C83"/>
            </w:tcBorders>
          </w:tcPr>
          <w:p>
            <w:pPr>
              <w:spacing w:after="0"/>
              <w:rPr>
                <w:sz w:val="24"/>
                <w:szCs w:val="24"/>
                <w:color w:val="auto"/>
              </w:rPr>
            </w:pPr>
          </w:p>
        </w:tc>
        <w:tc>
          <w:tcPr>
            <w:tcW w:w="3720" w:type="dxa"/>
            <w:vAlign w:val="bottom"/>
            <w:tcBorders>
              <w:bottom w:val="single" w:sz="8" w:color="582C83"/>
            </w:tcBorders>
          </w:tcPr>
          <w:p>
            <w:pPr>
              <w:jc w:val="center"/>
              <w:ind w:left="2579"/>
              <w:spacing w:after="0"/>
              <w:rPr>
                <w:sz w:val="20"/>
                <w:szCs w:val="20"/>
                <w:color w:val="auto"/>
              </w:rPr>
            </w:pPr>
            <w:r>
              <w:rPr>
                <w:rFonts w:ascii="Arial" w:cs="Arial" w:eastAsia="Arial" w:hAnsi="Arial"/>
                <w:sz w:val="16"/>
                <w:szCs w:val="16"/>
                <w:b w:val="1"/>
                <w:bCs w:val="1"/>
                <w:color w:val="auto"/>
                <w:w w:val="97"/>
              </w:rPr>
              <w:t>Female</w:t>
            </w:r>
          </w:p>
        </w:tc>
        <w:tc>
          <w:tcPr>
            <w:tcW w:w="1980" w:type="dxa"/>
            <w:vAlign w:val="bottom"/>
            <w:tcBorders>
              <w:bottom w:val="single" w:sz="8" w:color="582C83"/>
            </w:tcBorders>
          </w:tcPr>
          <w:p>
            <w:pPr>
              <w:jc w:val="center"/>
              <w:ind w:left="259"/>
              <w:spacing w:after="0"/>
              <w:rPr>
                <w:sz w:val="20"/>
                <w:szCs w:val="20"/>
                <w:color w:val="auto"/>
              </w:rPr>
            </w:pPr>
            <w:r>
              <w:rPr>
                <w:rFonts w:ascii="Arial" w:cs="Arial" w:eastAsia="Arial" w:hAnsi="Arial"/>
                <w:sz w:val="16"/>
                <w:szCs w:val="16"/>
                <w:b w:val="1"/>
                <w:bCs w:val="1"/>
                <w:color w:val="auto"/>
              </w:rPr>
              <w:t>Male</w:t>
            </w:r>
          </w:p>
        </w:tc>
      </w:tr>
      <w:tr>
        <w:trPr>
          <w:trHeight w:val="291"/>
        </w:trPr>
        <w:tc>
          <w:tcPr>
            <w:tcW w:w="55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Part I: Gender Identity</w:t>
            </w:r>
          </w:p>
        </w:tc>
        <w:tc>
          <w:tcPr>
            <w:tcW w:w="3720" w:type="dxa"/>
            <w:vAlign w:val="bottom"/>
            <w:tcBorders>
              <w:bottom w:val="single" w:sz="8" w:color="EBE6F0"/>
            </w:tcBorders>
            <w:shd w:val="clear" w:color="auto" w:fill="EBE6F0"/>
          </w:tcPr>
          <w:p>
            <w:pPr>
              <w:spacing w:after="0"/>
              <w:rPr>
                <w:sz w:val="24"/>
                <w:szCs w:val="24"/>
                <w:color w:val="auto"/>
              </w:rPr>
            </w:pPr>
          </w:p>
        </w:tc>
        <w:tc>
          <w:tcPr>
            <w:tcW w:w="1980" w:type="dxa"/>
            <w:vAlign w:val="bottom"/>
            <w:tcBorders>
              <w:bottom w:val="single" w:sz="8" w:color="EBE6F0"/>
            </w:tcBorders>
            <w:shd w:val="clear" w:color="auto" w:fill="EBE6F0"/>
          </w:tcPr>
          <w:p>
            <w:pPr>
              <w:spacing w:after="0"/>
              <w:rPr>
                <w:sz w:val="24"/>
                <w:szCs w:val="24"/>
                <w:color w:val="auto"/>
              </w:rPr>
            </w:pPr>
          </w:p>
        </w:tc>
      </w:tr>
      <w:tr>
        <w:trPr>
          <w:trHeight w:val="243"/>
        </w:trPr>
        <w:tc>
          <w:tcPr>
            <w:tcW w:w="5540" w:type="dxa"/>
            <w:vAlign w:val="bottom"/>
            <w:tcBorders>
              <w:top w:val="single" w:sz="8" w:color="582C83"/>
            </w:tcBorders>
          </w:tcPr>
          <w:p>
            <w:pPr>
              <w:ind w:left="140"/>
              <w:spacing w:after="0"/>
              <w:rPr>
                <w:sz w:val="20"/>
                <w:szCs w:val="20"/>
                <w:color w:val="auto"/>
              </w:rPr>
            </w:pPr>
            <w:r>
              <w:rPr>
                <w:rFonts w:ascii="Arial" w:cs="Arial" w:eastAsia="Arial" w:hAnsi="Arial"/>
                <w:sz w:val="16"/>
                <w:szCs w:val="16"/>
                <w:color w:val="auto"/>
              </w:rPr>
              <w:t>Directors</w:t>
            </w:r>
          </w:p>
        </w:tc>
        <w:tc>
          <w:tcPr>
            <w:tcW w:w="3720" w:type="dxa"/>
            <w:vAlign w:val="bottom"/>
            <w:tcBorders>
              <w:top w:val="single" w:sz="8" w:color="582C83"/>
            </w:tcBorders>
          </w:tcPr>
          <w:p>
            <w:pPr>
              <w:jc w:val="center"/>
              <w:ind w:left="2579"/>
              <w:spacing w:after="0"/>
              <w:rPr>
                <w:sz w:val="20"/>
                <w:szCs w:val="20"/>
                <w:color w:val="auto"/>
              </w:rPr>
            </w:pPr>
            <w:r>
              <w:rPr>
                <w:rFonts w:ascii="Arial" w:cs="Arial" w:eastAsia="Arial" w:hAnsi="Arial"/>
                <w:sz w:val="16"/>
                <w:szCs w:val="16"/>
                <w:color w:val="auto"/>
              </w:rPr>
              <w:t>3</w:t>
            </w:r>
          </w:p>
        </w:tc>
        <w:tc>
          <w:tcPr>
            <w:tcW w:w="1980" w:type="dxa"/>
            <w:vAlign w:val="bottom"/>
            <w:tcBorders>
              <w:top w:val="single" w:sz="8" w:color="582C83"/>
            </w:tcBorders>
          </w:tcPr>
          <w:p>
            <w:pPr>
              <w:jc w:val="center"/>
              <w:ind w:left="239"/>
              <w:spacing w:after="0"/>
              <w:rPr>
                <w:sz w:val="20"/>
                <w:szCs w:val="20"/>
                <w:color w:val="auto"/>
              </w:rPr>
            </w:pPr>
            <w:r>
              <w:rPr>
                <w:rFonts w:ascii="Arial" w:cs="Arial" w:eastAsia="Arial" w:hAnsi="Arial"/>
                <w:sz w:val="16"/>
                <w:szCs w:val="16"/>
                <w:color w:val="auto"/>
              </w:rPr>
              <w:t>6</w:t>
            </w:r>
          </w:p>
        </w:tc>
      </w:tr>
      <w:tr>
        <w:trPr>
          <w:trHeight w:val="35"/>
        </w:trPr>
        <w:tc>
          <w:tcPr>
            <w:tcW w:w="5540" w:type="dxa"/>
            <w:vAlign w:val="bottom"/>
            <w:tcBorders>
              <w:bottom w:val="single" w:sz="8" w:color="582C83"/>
            </w:tcBorders>
          </w:tcPr>
          <w:p>
            <w:pPr>
              <w:spacing w:after="0"/>
              <w:rPr>
                <w:sz w:val="3"/>
                <w:szCs w:val="3"/>
                <w:color w:val="auto"/>
              </w:rPr>
            </w:pPr>
          </w:p>
        </w:tc>
        <w:tc>
          <w:tcPr>
            <w:tcW w:w="3720" w:type="dxa"/>
            <w:vAlign w:val="bottom"/>
            <w:tcBorders>
              <w:bottom w:val="single" w:sz="8" w:color="582C83"/>
            </w:tcBorders>
          </w:tcPr>
          <w:p>
            <w:pPr>
              <w:spacing w:after="0"/>
              <w:rPr>
                <w:sz w:val="3"/>
                <w:szCs w:val="3"/>
                <w:color w:val="auto"/>
              </w:rPr>
            </w:pPr>
          </w:p>
        </w:tc>
        <w:tc>
          <w:tcPr>
            <w:tcW w:w="1980" w:type="dxa"/>
            <w:vAlign w:val="bottom"/>
            <w:tcBorders>
              <w:bottom w:val="single" w:sz="8" w:color="582C83"/>
            </w:tcBorders>
          </w:tcPr>
          <w:p>
            <w:pPr>
              <w:spacing w:after="0"/>
              <w:rPr>
                <w:sz w:val="3"/>
                <w:szCs w:val="3"/>
                <w:color w:val="auto"/>
              </w:rPr>
            </w:pPr>
          </w:p>
        </w:tc>
      </w:tr>
      <w:tr>
        <w:trPr>
          <w:trHeight w:val="283"/>
        </w:trPr>
        <w:tc>
          <w:tcPr>
            <w:tcW w:w="55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Part II: Demographic Background</w:t>
            </w:r>
          </w:p>
        </w:tc>
        <w:tc>
          <w:tcPr>
            <w:tcW w:w="3720" w:type="dxa"/>
            <w:vAlign w:val="bottom"/>
            <w:tcBorders>
              <w:bottom w:val="single" w:sz="8" w:color="EBE6F0"/>
            </w:tcBorders>
            <w:shd w:val="clear" w:color="auto" w:fill="EBE6F0"/>
          </w:tcPr>
          <w:p>
            <w:pPr>
              <w:spacing w:after="0"/>
              <w:rPr>
                <w:sz w:val="24"/>
                <w:szCs w:val="24"/>
                <w:color w:val="auto"/>
              </w:rPr>
            </w:pPr>
          </w:p>
        </w:tc>
        <w:tc>
          <w:tcPr>
            <w:tcW w:w="1980" w:type="dxa"/>
            <w:vAlign w:val="bottom"/>
            <w:tcBorders>
              <w:bottom w:val="single" w:sz="8" w:color="EBE6F0"/>
            </w:tcBorders>
            <w:shd w:val="clear" w:color="auto" w:fill="EBE6F0"/>
          </w:tcPr>
          <w:p>
            <w:pPr>
              <w:spacing w:after="0"/>
              <w:rPr>
                <w:sz w:val="24"/>
                <w:szCs w:val="24"/>
                <w:color w:val="auto"/>
              </w:rPr>
            </w:pPr>
          </w:p>
        </w:tc>
      </w:tr>
      <w:tr>
        <w:trPr>
          <w:trHeight w:val="243"/>
        </w:trPr>
        <w:tc>
          <w:tcPr>
            <w:tcW w:w="5540" w:type="dxa"/>
            <w:vAlign w:val="bottom"/>
            <w:tcBorders>
              <w:top w:val="single" w:sz="8" w:color="582C83"/>
            </w:tcBorders>
          </w:tcPr>
          <w:p>
            <w:pPr>
              <w:ind w:left="140"/>
              <w:spacing w:after="0"/>
              <w:rPr>
                <w:sz w:val="20"/>
                <w:szCs w:val="20"/>
                <w:color w:val="auto"/>
              </w:rPr>
            </w:pPr>
            <w:r>
              <w:rPr>
                <w:rFonts w:ascii="Arial" w:cs="Arial" w:eastAsia="Arial" w:hAnsi="Arial"/>
                <w:sz w:val="16"/>
                <w:szCs w:val="16"/>
                <w:color w:val="auto"/>
              </w:rPr>
              <w:t>African American or Black</w:t>
            </w:r>
          </w:p>
        </w:tc>
        <w:tc>
          <w:tcPr>
            <w:tcW w:w="3720" w:type="dxa"/>
            <w:vAlign w:val="bottom"/>
            <w:tcBorders>
              <w:top w:val="single" w:sz="8" w:color="582C83"/>
            </w:tcBorders>
          </w:tcPr>
          <w:p>
            <w:pPr>
              <w:jc w:val="center"/>
              <w:ind w:left="2579"/>
              <w:spacing w:after="0"/>
              <w:rPr>
                <w:sz w:val="20"/>
                <w:szCs w:val="20"/>
                <w:color w:val="auto"/>
              </w:rPr>
            </w:pPr>
            <w:r>
              <w:rPr>
                <w:rFonts w:ascii="Arial" w:cs="Arial" w:eastAsia="Arial" w:hAnsi="Arial"/>
                <w:sz w:val="16"/>
                <w:szCs w:val="16"/>
                <w:color w:val="auto"/>
              </w:rPr>
              <w:t>1</w:t>
            </w:r>
          </w:p>
        </w:tc>
        <w:tc>
          <w:tcPr>
            <w:tcW w:w="1980" w:type="dxa"/>
            <w:vAlign w:val="bottom"/>
            <w:tcBorders>
              <w:top w:val="single" w:sz="8" w:color="582C83"/>
            </w:tcBorders>
          </w:tcPr>
          <w:p>
            <w:pPr>
              <w:jc w:val="center"/>
              <w:ind w:left="239"/>
              <w:spacing w:after="0"/>
              <w:rPr>
                <w:sz w:val="20"/>
                <w:szCs w:val="20"/>
                <w:color w:val="auto"/>
              </w:rPr>
            </w:pPr>
            <w:r>
              <w:rPr>
                <w:rFonts w:ascii="Arial" w:cs="Arial" w:eastAsia="Arial" w:hAnsi="Arial"/>
                <w:sz w:val="16"/>
                <w:szCs w:val="16"/>
                <w:color w:val="auto"/>
              </w:rPr>
              <w:t>1</w:t>
            </w:r>
          </w:p>
        </w:tc>
      </w:tr>
      <w:tr>
        <w:trPr>
          <w:trHeight w:val="35"/>
        </w:trPr>
        <w:tc>
          <w:tcPr>
            <w:tcW w:w="5540" w:type="dxa"/>
            <w:vAlign w:val="bottom"/>
            <w:tcBorders>
              <w:bottom w:val="single" w:sz="8" w:color="582C83"/>
            </w:tcBorders>
          </w:tcPr>
          <w:p>
            <w:pPr>
              <w:spacing w:after="0"/>
              <w:rPr>
                <w:sz w:val="3"/>
                <w:szCs w:val="3"/>
                <w:color w:val="auto"/>
              </w:rPr>
            </w:pPr>
          </w:p>
        </w:tc>
        <w:tc>
          <w:tcPr>
            <w:tcW w:w="3720" w:type="dxa"/>
            <w:vAlign w:val="bottom"/>
            <w:tcBorders>
              <w:bottom w:val="single" w:sz="8" w:color="582C83"/>
            </w:tcBorders>
          </w:tcPr>
          <w:p>
            <w:pPr>
              <w:spacing w:after="0"/>
              <w:rPr>
                <w:sz w:val="3"/>
                <w:szCs w:val="3"/>
                <w:color w:val="auto"/>
              </w:rPr>
            </w:pPr>
          </w:p>
        </w:tc>
        <w:tc>
          <w:tcPr>
            <w:tcW w:w="1980" w:type="dxa"/>
            <w:vAlign w:val="bottom"/>
            <w:tcBorders>
              <w:bottom w:val="single" w:sz="8" w:color="582C83"/>
            </w:tcBorders>
          </w:tcPr>
          <w:p>
            <w:pPr>
              <w:spacing w:after="0"/>
              <w:rPr>
                <w:sz w:val="3"/>
                <w:szCs w:val="3"/>
                <w:color w:val="auto"/>
              </w:rPr>
            </w:pPr>
          </w:p>
        </w:tc>
      </w:tr>
      <w:tr>
        <w:trPr>
          <w:trHeight w:val="283"/>
        </w:trPr>
        <w:tc>
          <w:tcPr>
            <w:tcW w:w="5540" w:type="dxa"/>
            <w:vAlign w:val="bottom"/>
            <w:tcBorders>
              <w:bottom w:val="single" w:sz="8" w:color="EBE6F0"/>
            </w:tcBorders>
            <w:shd w:val="clear" w:color="auto" w:fill="EBE6F0"/>
          </w:tcPr>
          <w:p>
            <w:pPr>
              <w:ind w:left="140"/>
              <w:spacing w:after="0"/>
              <w:rPr>
                <w:sz w:val="20"/>
                <w:szCs w:val="20"/>
                <w:color w:val="auto"/>
              </w:rPr>
            </w:pPr>
            <w:r>
              <w:rPr>
                <w:rFonts w:ascii="Arial" w:cs="Arial" w:eastAsia="Arial" w:hAnsi="Arial"/>
                <w:sz w:val="16"/>
                <w:szCs w:val="16"/>
                <w:color w:val="auto"/>
              </w:rPr>
              <w:t>Asian</w:t>
            </w:r>
          </w:p>
        </w:tc>
        <w:tc>
          <w:tcPr>
            <w:tcW w:w="3720" w:type="dxa"/>
            <w:vAlign w:val="bottom"/>
            <w:tcBorders>
              <w:bottom w:val="single" w:sz="8" w:color="EBE6F0"/>
            </w:tcBorders>
            <w:shd w:val="clear" w:color="auto" w:fill="EBE6F0"/>
          </w:tcPr>
          <w:p>
            <w:pPr>
              <w:jc w:val="center"/>
              <w:ind w:left="2579"/>
              <w:spacing w:after="0"/>
              <w:rPr>
                <w:sz w:val="20"/>
                <w:szCs w:val="20"/>
                <w:color w:val="auto"/>
              </w:rPr>
            </w:pPr>
            <w:r>
              <w:rPr>
                <w:rFonts w:ascii="Arial" w:cs="Arial" w:eastAsia="Arial" w:hAnsi="Arial"/>
                <w:sz w:val="16"/>
                <w:szCs w:val="16"/>
                <w:color w:val="auto"/>
              </w:rPr>
              <w:t>1</w:t>
            </w:r>
          </w:p>
        </w:tc>
        <w:tc>
          <w:tcPr>
            <w:tcW w:w="1980" w:type="dxa"/>
            <w:vAlign w:val="bottom"/>
            <w:tcBorders>
              <w:bottom w:val="single" w:sz="8" w:color="EBE6F0"/>
            </w:tcBorders>
            <w:shd w:val="clear" w:color="auto" w:fill="EBE6F0"/>
          </w:tcPr>
          <w:p>
            <w:pPr>
              <w:jc w:val="center"/>
              <w:ind w:left="239"/>
              <w:spacing w:after="0"/>
              <w:rPr>
                <w:sz w:val="20"/>
                <w:szCs w:val="20"/>
                <w:color w:val="auto"/>
              </w:rPr>
            </w:pPr>
            <w:r>
              <w:rPr>
                <w:rFonts w:ascii="Arial" w:cs="Arial" w:eastAsia="Arial" w:hAnsi="Arial"/>
                <w:sz w:val="16"/>
                <w:szCs w:val="16"/>
                <w:color w:val="auto"/>
              </w:rPr>
              <w:t>0</w:t>
            </w:r>
          </w:p>
        </w:tc>
      </w:tr>
      <w:tr>
        <w:trPr>
          <w:trHeight w:val="243"/>
        </w:trPr>
        <w:tc>
          <w:tcPr>
            <w:tcW w:w="5540" w:type="dxa"/>
            <w:vAlign w:val="bottom"/>
            <w:tcBorders>
              <w:top w:val="single" w:sz="8" w:color="582C83"/>
            </w:tcBorders>
          </w:tcPr>
          <w:p>
            <w:pPr>
              <w:ind w:left="140"/>
              <w:spacing w:after="0"/>
              <w:rPr>
                <w:sz w:val="20"/>
                <w:szCs w:val="20"/>
                <w:color w:val="auto"/>
              </w:rPr>
            </w:pPr>
            <w:r>
              <w:rPr>
                <w:rFonts w:ascii="Arial" w:cs="Arial" w:eastAsia="Arial" w:hAnsi="Arial"/>
                <w:sz w:val="16"/>
                <w:szCs w:val="16"/>
                <w:color w:val="auto"/>
              </w:rPr>
              <w:t>White</w:t>
            </w:r>
          </w:p>
        </w:tc>
        <w:tc>
          <w:tcPr>
            <w:tcW w:w="3720" w:type="dxa"/>
            <w:vAlign w:val="bottom"/>
            <w:tcBorders>
              <w:top w:val="single" w:sz="8" w:color="582C83"/>
            </w:tcBorders>
          </w:tcPr>
          <w:p>
            <w:pPr>
              <w:jc w:val="center"/>
              <w:ind w:left="2579"/>
              <w:spacing w:after="0"/>
              <w:rPr>
                <w:sz w:val="20"/>
                <w:szCs w:val="20"/>
                <w:color w:val="auto"/>
              </w:rPr>
            </w:pPr>
            <w:r>
              <w:rPr>
                <w:rFonts w:ascii="Arial" w:cs="Arial" w:eastAsia="Arial" w:hAnsi="Arial"/>
                <w:sz w:val="16"/>
                <w:szCs w:val="16"/>
                <w:color w:val="auto"/>
              </w:rPr>
              <w:t>1</w:t>
            </w:r>
          </w:p>
        </w:tc>
        <w:tc>
          <w:tcPr>
            <w:tcW w:w="1980" w:type="dxa"/>
            <w:vAlign w:val="bottom"/>
            <w:tcBorders>
              <w:top w:val="single" w:sz="8" w:color="582C83"/>
            </w:tcBorders>
          </w:tcPr>
          <w:p>
            <w:pPr>
              <w:jc w:val="center"/>
              <w:ind w:left="239"/>
              <w:spacing w:after="0"/>
              <w:rPr>
                <w:sz w:val="20"/>
                <w:szCs w:val="20"/>
                <w:color w:val="auto"/>
              </w:rPr>
            </w:pPr>
            <w:r>
              <w:rPr>
                <w:rFonts w:ascii="Arial" w:cs="Arial" w:eastAsia="Arial" w:hAnsi="Arial"/>
                <w:sz w:val="16"/>
                <w:szCs w:val="16"/>
                <w:color w:val="auto"/>
              </w:rPr>
              <w:t>5</w:t>
            </w:r>
          </w:p>
        </w:tc>
      </w:tr>
      <w:tr>
        <w:trPr>
          <w:trHeight w:val="35"/>
        </w:trPr>
        <w:tc>
          <w:tcPr>
            <w:tcW w:w="5540" w:type="dxa"/>
            <w:vAlign w:val="bottom"/>
            <w:tcBorders>
              <w:bottom w:val="single" w:sz="8" w:color="582C83"/>
            </w:tcBorders>
          </w:tcPr>
          <w:p>
            <w:pPr>
              <w:spacing w:after="0"/>
              <w:rPr>
                <w:sz w:val="3"/>
                <w:szCs w:val="3"/>
                <w:color w:val="auto"/>
              </w:rPr>
            </w:pPr>
          </w:p>
        </w:tc>
        <w:tc>
          <w:tcPr>
            <w:tcW w:w="3720" w:type="dxa"/>
            <w:vAlign w:val="bottom"/>
            <w:tcBorders>
              <w:bottom w:val="single" w:sz="8" w:color="582C83"/>
            </w:tcBorders>
          </w:tcPr>
          <w:p>
            <w:pPr>
              <w:spacing w:after="0"/>
              <w:rPr>
                <w:sz w:val="3"/>
                <w:szCs w:val="3"/>
                <w:color w:val="auto"/>
              </w:rPr>
            </w:pPr>
          </w:p>
        </w:tc>
        <w:tc>
          <w:tcPr>
            <w:tcW w:w="1980" w:type="dxa"/>
            <w:vAlign w:val="bottom"/>
            <w:tcBorders>
              <w:bottom w:val="single" w:sz="8" w:color="582C83"/>
            </w:tcBorders>
          </w:tcPr>
          <w:p>
            <w:pPr>
              <w:spacing w:after="0"/>
              <w:rPr>
                <w:sz w:val="3"/>
                <w:szCs w:val="3"/>
                <w:color w:val="auto"/>
              </w:rPr>
            </w:pPr>
          </w:p>
        </w:tc>
      </w:tr>
    </w:tbl>
    <w:p>
      <w:pPr>
        <w:spacing w:after="0" w:line="161"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Shareholder Recommendations for Director Candidates</w:t>
      </w:r>
    </w:p>
    <w:p>
      <w:pPr>
        <w:spacing w:after="0" w:line="138"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The Governance Committee will consider recommendations for director candidates submitted by shareholders. Shareholders should submit the proposed candidate’s name along with the same information required for a shareholder to nominate a candidate for election to the Board at an annual meeting. Recommendations should be sent to our Corporate Secretary in the manner set forth in the advance notice provisions of our Amended and Restated By-Laws (“By-Laws”).</w:t>
      </w:r>
    </w:p>
    <w:p>
      <w:pPr>
        <w:spacing w:after="0" w:line="58"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color w:val="auto"/>
        </w:rPr>
        <w:t>The Governance Committee evaluates director candidates recommended by shareholders using the same criteria as it uses to evaluate candidates from other sources. Following the evaluation process, the Governance Committee makes a recommendation to the Board regarding the candidate’s appointment or nomination for election to the Board, and the Board considers whether to appoint or nominate the candidate. Shareholders who nominate prospective candidates will be advised of the Board’s decision.</w:t>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Shareholders Elect Directors Annually</w:t>
      </w:r>
    </w:p>
    <w:p>
      <w:pPr>
        <w:spacing w:after="0" w:line="213"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Directors are elected annually by a majority of votes cast if the election is uncontested. The terms of all directors elected at the Annual Meeting are scheduled to end at the 2024 Annual Meeting of Shareholders or when a director’s successor has been duly elected and qualified.</w:t>
      </w:r>
    </w:p>
    <w:p>
      <w:pPr>
        <w:spacing w:after="0" w:line="126" w:lineRule="exact"/>
        <w:rPr>
          <w:sz w:val="20"/>
          <w:szCs w:val="20"/>
          <w:color w:val="auto"/>
        </w:rPr>
      </w:pPr>
    </w:p>
    <w:p>
      <w:pPr>
        <w:ind w:right="120"/>
        <w:spacing w:after="0"/>
        <w:rPr>
          <w:sz w:val="20"/>
          <w:szCs w:val="20"/>
          <w:color w:val="auto"/>
        </w:rPr>
      </w:pPr>
      <w:r>
        <w:rPr>
          <w:rFonts w:ascii="Arial" w:cs="Arial" w:eastAsia="Arial" w:hAnsi="Arial"/>
          <w:sz w:val="20"/>
          <w:szCs w:val="20"/>
          <w:color w:val="auto"/>
        </w:rPr>
        <w:t>The Governance Committee recommended, and the Board nominated for election at the Annual Meeting, the nine individuals introduced below. Ms. Mukherjee, who was appointed to the Board in January 2023, was recommended for consideration by Russell Reynolds Associates, an international executive search firm, to assist in the identification and assessment of potential director candidates. Shareholders most recently elected ten incumbent directors to one-year terms at the 2022 Annual Meeting of Shareholders. Ms. Juliber and Ms. Shi, who were re-elected by the shareholders at the 2022 Annual Meeting of Shareholders, will not stand for re-election in 2023, and the Board thanks them for their service.</w:t>
      </w:r>
    </w:p>
    <w:p>
      <w:pPr>
        <w:spacing w:after="0" w:line="135"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Each director nominee consented to being nominated for election to the Board and to serving on the Board, if elected. If</w:t>
      </w:r>
      <w:r>
        <w:rPr>
          <w:rFonts w:ascii="Times New Roman" w:cs="Times New Roman" w:eastAsia="Times New Roman" w:hAnsi="Times New Roman"/>
          <w:sz w:val="20"/>
          <w:szCs w:val="20"/>
          <w:color w:val="auto"/>
        </w:rPr>
        <w:t> </w:t>
      </w:r>
      <w:r>
        <w:rPr>
          <w:rFonts w:ascii="Arial" w:cs="Arial" w:eastAsia="Arial" w:hAnsi="Arial"/>
          <w:sz w:val="20"/>
          <w:szCs w:val="20"/>
          <w:color w:val="auto"/>
        </w:rPr>
        <w:t>a director nominee should become unavailable to serve as a director, the individuals named as proxies intend to vote the shares for a replacement director nominee designated by the Board. In lieu of naming a substitute, the Board may reduce the number of directors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4311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Director Nominees for Election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307455" cy="528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07455" cy="528320"/>
                    </a:xfrm>
                    <a:prstGeom prst="rect">
                      <a:avLst/>
                    </a:prstGeom>
                    <a:noFill/>
                  </pic:spPr>
                </pic:pic>
              </a:graphicData>
            </a:graphic>
          </wp:anchor>
        </w:drawing>
      </w:r>
    </w:p>
    <w:p>
      <w:pPr>
        <w:spacing w:after="0" w:line="354" w:lineRule="exact"/>
        <w:rPr>
          <w:sz w:val="20"/>
          <w:szCs w:val="20"/>
          <w:color w:val="auto"/>
        </w:rPr>
      </w:pPr>
    </w:p>
    <w:p>
      <w:pPr>
        <w:ind w:left="880" w:right="2420"/>
        <w:spacing w:after="0" w:line="278" w:lineRule="auto"/>
        <w:rPr>
          <w:sz w:val="20"/>
          <w:szCs w:val="20"/>
          <w:color w:val="auto"/>
        </w:rPr>
      </w:pPr>
      <w:r>
        <w:rPr>
          <w:rFonts w:ascii="Arial" w:cs="Arial" w:eastAsia="Arial" w:hAnsi="Arial"/>
          <w:sz w:val="20"/>
          <w:szCs w:val="20"/>
          <w:b w:val="1"/>
          <w:bCs w:val="1"/>
          <w:color w:val="FFFFFF"/>
        </w:rPr>
        <w:t>THE BOARD RECOMMENDS SHAREHOLDERS VOTE FOR THE ELECTION OF EACH OF THE NINE DIRECTOR NOMINEES INTRODUCED BELOW.</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information regarding each director nominee is as of March 8, 2023, unless otherwise noted.</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1040" w:type="dxa"/>
            <w:vAlign w:val="bottom"/>
            <w:tcBorders>
              <w:top w:val="single" w:sz="8" w:color="582C83"/>
              <w:left w:val="single" w:sz="8" w:color="582C83"/>
              <w:right w:val="single" w:sz="8" w:color="582C83"/>
            </w:tcBorders>
          </w:tcPr>
          <w:p>
            <w:pPr>
              <w:spacing w:after="0"/>
              <w:rPr>
                <w:sz w:val="24"/>
                <w:szCs w:val="24"/>
                <w:color w:val="auto"/>
              </w:rPr>
            </w:pPr>
          </w:p>
        </w:tc>
        <w:tc>
          <w:tcPr>
            <w:tcW w:w="3020" w:type="dxa"/>
            <w:vAlign w:val="bottom"/>
            <w:tcBorders>
              <w:top w:val="single" w:sz="8" w:color="582C83"/>
              <w:right w:val="single" w:sz="8" w:color="582C83"/>
            </w:tcBorders>
          </w:tcPr>
          <w:p>
            <w:pPr>
              <w:ind w:left="160"/>
              <w:spacing w:after="0"/>
              <w:rPr>
                <w:sz w:val="20"/>
                <w:szCs w:val="20"/>
                <w:color w:val="auto"/>
              </w:rPr>
            </w:pPr>
            <w:r>
              <w:rPr>
                <w:rFonts w:ascii="Arial" w:cs="Arial" w:eastAsia="Arial" w:hAnsi="Arial"/>
                <w:sz w:val="20"/>
                <w:szCs w:val="20"/>
                <w:b w:val="1"/>
                <w:bCs w:val="1"/>
                <w:color w:val="auto"/>
              </w:rPr>
              <w:t>Lewis W.K. Booth</w:t>
            </w:r>
          </w:p>
        </w:tc>
        <w:tc>
          <w:tcPr>
            <w:tcW w:w="206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0"/>
                <w:szCs w:val="20"/>
                <w:b w:val="1"/>
                <w:bCs w:val="1"/>
                <w:color w:val="auto"/>
                <w:w w:val="98"/>
              </w:rPr>
              <w:t>DIRECTOR SINCE:</w:t>
            </w:r>
          </w:p>
        </w:tc>
        <w:tc>
          <w:tcPr>
            <w:tcW w:w="3120" w:type="dxa"/>
            <w:vAlign w:val="bottom"/>
            <w:tcBorders>
              <w:top w:val="single" w:sz="8" w:color="582C83"/>
              <w:right w:val="single" w:sz="8" w:color="582C83"/>
            </w:tcBorders>
          </w:tcPr>
          <w:p>
            <w:pPr>
              <w:ind w:left="620"/>
              <w:spacing w:after="0"/>
              <w:rPr>
                <w:sz w:val="20"/>
                <w:szCs w:val="20"/>
                <w:color w:val="auto"/>
              </w:rPr>
            </w:pPr>
            <w:r>
              <w:rPr>
                <w:rFonts w:ascii="Arial" w:cs="Arial" w:eastAsia="Arial" w:hAnsi="Arial"/>
                <w:sz w:val="20"/>
                <w:szCs w:val="20"/>
                <w:b w:val="1"/>
                <w:bCs w:val="1"/>
                <w:color w:val="auto"/>
              </w:rPr>
              <w:t>DIRECTOR SKILLS:</w:t>
            </w:r>
          </w:p>
        </w:tc>
        <w:tc>
          <w:tcPr>
            <w:tcW w:w="202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0"/>
                <w:szCs w:val="20"/>
                <w:b w:val="1"/>
                <w:bCs w:val="1"/>
                <w:color w:val="auto"/>
              </w:rPr>
              <w:t>BOARD</w:t>
            </w:r>
          </w:p>
        </w:tc>
        <w:tc>
          <w:tcPr>
            <w:tcW w:w="0" w:type="dxa"/>
            <w:vAlign w:val="bottom"/>
          </w:tcPr>
          <w:p>
            <w:pPr>
              <w:spacing w:after="0"/>
              <w:rPr>
                <w:sz w:val="1"/>
                <w:szCs w:val="1"/>
                <w:color w:val="auto"/>
              </w:rPr>
            </w:pPr>
          </w:p>
        </w:tc>
      </w:tr>
      <w:tr>
        <w:trPr>
          <w:trHeight w:val="261"/>
        </w:trPr>
        <w:tc>
          <w:tcPr>
            <w:tcW w:w="1040" w:type="dxa"/>
            <w:vAlign w:val="bottom"/>
            <w:tcBorders>
              <w:left w:val="single" w:sz="8" w:color="582C83"/>
              <w:right w:val="single" w:sz="8" w:color="582C83"/>
            </w:tcBorders>
          </w:tcPr>
          <w:p>
            <w:pPr>
              <w:spacing w:after="0"/>
              <w:rPr>
                <w:sz w:val="22"/>
                <w:szCs w:val="22"/>
                <w:color w:val="auto"/>
              </w:rPr>
            </w:pPr>
          </w:p>
        </w:tc>
        <w:tc>
          <w:tcPr>
            <w:tcW w:w="3020" w:type="dxa"/>
            <w:vAlign w:val="bottom"/>
            <w:tcBorders>
              <w:right w:val="single" w:sz="8" w:color="582C83"/>
            </w:tcBorders>
          </w:tcPr>
          <w:p>
            <w:pPr>
              <w:ind w:left="160"/>
              <w:spacing w:after="0"/>
              <w:rPr>
                <w:sz w:val="20"/>
                <w:szCs w:val="20"/>
                <w:color w:val="auto"/>
              </w:rPr>
            </w:pPr>
            <w:r>
              <w:rPr>
                <w:rFonts w:ascii="Arial" w:cs="Arial" w:eastAsia="Arial" w:hAnsi="Arial"/>
                <w:sz w:val="20"/>
                <w:szCs w:val="20"/>
                <w:i w:val="1"/>
                <w:iCs w:val="1"/>
                <w:color w:val="auto"/>
              </w:rPr>
              <w:t>Former Executive Vice</w:t>
            </w:r>
          </w:p>
        </w:tc>
        <w:tc>
          <w:tcPr>
            <w:tcW w:w="2060" w:type="dxa"/>
            <w:vAlign w:val="bottom"/>
            <w:tcBorders>
              <w:right w:val="single" w:sz="8" w:color="582C83"/>
            </w:tcBorders>
          </w:tcPr>
          <w:p>
            <w:pPr>
              <w:jc w:val="center"/>
              <w:spacing w:after="0"/>
              <w:rPr>
                <w:sz w:val="20"/>
                <w:szCs w:val="20"/>
                <w:color w:val="auto"/>
              </w:rPr>
            </w:pPr>
            <w:r>
              <w:rPr>
                <w:rFonts w:ascii="Arial" w:cs="Arial" w:eastAsia="Arial" w:hAnsi="Arial"/>
                <w:sz w:val="20"/>
                <w:szCs w:val="20"/>
                <w:color w:val="auto"/>
                <w:w w:val="98"/>
              </w:rPr>
              <w:t>October 2012</w:t>
            </w:r>
          </w:p>
        </w:tc>
        <w:tc>
          <w:tcPr>
            <w:tcW w:w="3120" w:type="dxa"/>
            <w:vAlign w:val="bottom"/>
            <w:tcBorders>
              <w:right w:val="single" w:sz="8" w:color="582C83"/>
            </w:tcBorders>
          </w:tcPr>
          <w:p>
            <w:pPr>
              <w:spacing w:after="0"/>
              <w:rPr>
                <w:sz w:val="22"/>
                <w:szCs w:val="22"/>
                <w:color w:val="auto"/>
              </w:rPr>
            </w:pPr>
          </w:p>
        </w:tc>
        <w:tc>
          <w:tcPr>
            <w:tcW w:w="2020" w:type="dxa"/>
            <w:vAlign w:val="bottom"/>
            <w:tcBorders>
              <w:right w:val="single" w:sz="8" w:color="582C83"/>
            </w:tcBorders>
          </w:tcPr>
          <w:p>
            <w:pPr>
              <w:jc w:val="center"/>
              <w:spacing w:after="0"/>
              <w:rPr>
                <w:sz w:val="20"/>
                <w:szCs w:val="20"/>
                <w:color w:val="auto"/>
              </w:rPr>
            </w:pPr>
            <w:r>
              <w:rPr>
                <w:rFonts w:ascii="Arial" w:cs="Arial" w:eastAsia="Arial" w:hAnsi="Arial"/>
                <w:sz w:val="20"/>
                <w:szCs w:val="20"/>
                <w:b w:val="1"/>
                <w:bCs w:val="1"/>
                <w:color w:val="auto"/>
                <w:w w:val="98"/>
              </w:rPr>
              <w:t>COMMITTEES:</w:t>
            </w:r>
          </w:p>
        </w:tc>
        <w:tc>
          <w:tcPr>
            <w:tcW w:w="0" w:type="dxa"/>
            <w:vAlign w:val="bottom"/>
          </w:tcPr>
          <w:p>
            <w:pPr>
              <w:spacing w:after="0"/>
              <w:rPr>
                <w:sz w:val="1"/>
                <w:szCs w:val="1"/>
                <w:color w:val="auto"/>
              </w:rPr>
            </w:pPr>
          </w:p>
        </w:tc>
      </w:tr>
      <w:tr>
        <w:trPr>
          <w:trHeight w:val="224"/>
        </w:trPr>
        <w:tc>
          <w:tcPr>
            <w:tcW w:w="1040" w:type="dxa"/>
            <w:vAlign w:val="bottom"/>
            <w:tcBorders>
              <w:left w:val="single" w:sz="8" w:color="582C83"/>
              <w:right w:val="single" w:sz="8" w:color="582C83"/>
            </w:tcBorders>
          </w:tcPr>
          <w:p>
            <w:pPr>
              <w:spacing w:after="0"/>
              <w:rPr>
                <w:sz w:val="19"/>
                <w:szCs w:val="19"/>
                <w:color w:val="auto"/>
              </w:rPr>
            </w:pPr>
          </w:p>
        </w:tc>
        <w:tc>
          <w:tcPr>
            <w:tcW w:w="3020" w:type="dxa"/>
            <w:vAlign w:val="bottom"/>
            <w:tcBorders>
              <w:right w:val="single" w:sz="8" w:color="582C83"/>
            </w:tcBorders>
          </w:tcPr>
          <w:p>
            <w:pPr>
              <w:ind w:left="160"/>
              <w:spacing w:after="0" w:line="225" w:lineRule="exact"/>
              <w:rPr>
                <w:sz w:val="20"/>
                <w:szCs w:val="20"/>
                <w:color w:val="auto"/>
              </w:rPr>
            </w:pPr>
            <w:r>
              <w:rPr>
                <w:rFonts w:ascii="Arial" w:cs="Arial" w:eastAsia="Arial" w:hAnsi="Arial"/>
                <w:sz w:val="20"/>
                <w:szCs w:val="20"/>
                <w:i w:val="1"/>
                <w:iCs w:val="1"/>
                <w:color w:val="auto"/>
              </w:rPr>
              <w:t>President and Chief Financial</w:t>
            </w:r>
          </w:p>
        </w:tc>
        <w:tc>
          <w:tcPr>
            <w:tcW w:w="206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color w:val="auto"/>
                <w:w w:val="99"/>
              </w:rPr>
              <w:t>White/Male</w:t>
            </w:r>
          </w:p>
        </w:tc>
        <w:tc>
          <w:tcPr>
            <w:tcW w:w="3120" w:type="dxa"/>
            <w:vAlign w:val="bottom"/>
            <w:tcBorders>
              <w:right w:val="single" w:sz="8" w:color="582C83"/>
            </w:tcBorders>
          </w:tcPr>
          <w:p>
            <w:pPr>
              <w:spacing w:after="0"/>
              <w:rPr>
                <w:sz w:val="19"/>
                <w:szCs w:val="19"/>
                <w:color w:val="auto"/>
              </w:rPr>
            </w:pPr>
          </w:p>
        </w:tc>
        <w:tc>
          <w:tcPr>
            <w:tcW w:w="2020" w:type="dxa"/>
            <w:vAlign w:val="bottom"/>
            <w:tcBorders>
              <w:right w:val="single" w:sz="8" w:color="582C83"/>
            </w:tcBorders>
          </w:tcPr>
          <w:p>
            <w:pPr>
              <w:ind w:left="60"/>
              <w:spacing w:after="0" w:line="225"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Audit (Chair)</w:t>
            </w:r>
          </w:p>
        </w:tc>
        <w:tc>
          <w:tcPr>
            <w:tcW w:w="0" w:type="dxa"/>
            <w:vAlign w:val="bottom"/>
          </w:tcPr>
          <w:p>
            <w:pPr>
              <w:spacing w:after="0"/>
              <w:rPr>
                <w:sz w:val="1"/>
                <w:szCs w:val="1"/>
                <w:color w:val="auto"/>
              </w:rPr>
            </w:pPr>
          </w:p>
        </w:tc>
      </w:tr>
      <w:tr>
        <w:trPr>
          <w:trHeight w:val="235"/>
        </w:trPr>
        <w:tc>
          <w:tcPr>
            <w:tcW w:w="1040" w:type="dxa"/>
            <w:vAlign w:val="bottom"/>
            <w:tcBorders>
              <w:left w:val="single" w:sz="8" w:color="582C83"/>
              <w:right w:val="single" w:sz="8" w:color="582C83"/>
            </w:tcBorders>
          </w:tcPr>
          <w:p>
            <w:pPr>
              <w:spacing w:after="0"/>
              <w:rPr>
                <w:sz w:val="20"/>
                <w:szCs w:val="20"/>
                <w:color w:val="auto"/>
              </w:rPr>
            </w:pPr>
          </w:p>
        </w:tc>
        <w:tc>
          <w:tcPr>
            <w:tcW w:w="3020" w:type="dxa"/>
            <w:vAlign w:val="bottom"/>
            <w:tcBorders>
              <w:right w:val="single" w:sz="8" w:color="582C83"/>
            </w:tcBorders>
          </w:tcPr>
          <w:p>
            <w:pPr>
              <w:ind w:left="160"/>
              <w:spacing w:after="0"/>
              <w:rPr>
                <w:sz w:val="20"/>
                <w:szCs w:val="20"/>
                <w:color w:val="auto"/>
              </w:rPr>
            </w:pPr>
            <w:r>
              <w:rPr>
                <w:rFonts w:ascii="Arial" w:cs="Arial" w:eastAsia="Arial" w:hAnsi="Arial"/>
                <w:sz w:val="20"/>
                <w:szCs w:val="20"/>
                <w:i w:val="1"/>
                <w:iCs w:val="1"/>
                <w:color w:val="auto"/>
              </w:rPr>
              <w:t>Officer, Ford Motor Company</w:t>
            </w:r>
          </w:p>
        </w:tc>
        <w:tc>
          <w:tcPr>
            <w:tcW w:w="2060" w:type="dxa"/>
            <w:vAlign w:val="bottom"/>
            <w:tcBorders>
              <w:right w:val="single" w:sz="8" w:color="582C83"/>
            </w:tcBorders>
            <w:vMerge w:val="continue"/>
          </w:tcPr>
          <w:p>
            <w:pPr>
              <w:spacing w:after="0"/>
              <w:rPr>
                <w:sz w:val="20"/>
                <w:szCs w:val="20"/>
                <w:color w:val="auto"/>
              </w:rPr>
            </w:pPr>
          </w:p>
        </w:tc>
        <w:tc>
          <w:tcPr>
            <w:tcW w:w="3120" w:type="dxa"/>
            <w:vAlign w:val="bottom"/>
            <w:tcBorders>
              <w:right w:val="single" w:sz="8" w:color="582C83"/>
            </w:tcBorders>
          </w:tcPr>
          <w:p>
            <w:pPr>
              <w:spacing w:after="0"/>
              <w:rPr>
                <w:sz w:val="20"/>
                <w:szCs w:val="20"/>
                <w:color w:val="auto"/>
              </w:rPr>
            </w:pPr>
          </w:p>
        </w:tc>
        <w:tc>
          <w:tcPr>
            <w:tcW w:w="2020" w:type="dxa"/>
            <w:vAlign w:val="bottom"/>
            <w:tcBorders>
              <w:right w:val="single" w:sz="8" w:color="582C83"/>
            </w:tcBorders>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Finance</w:t>
            </w:r>
          </w:p>
        </w:tc>
        <w:tc>
          <w:tcPr>
            <w:tcW w:w="0" w:type="dxa"/>
            <w:vAlign w:val="bottom"/>
          </w:tcPr>
          <w:p>
            <w:pPr>
              <w:spacing w:after="0"/>
              <w:rPr>
                <w:sz w:val="1"/>
                <w:szCs w:val="1"/>
                <w:color w:val="auto"/>
              </w:rPr>
            </w:pPr>
          </w:p>
        </w:tc>
      </w:tr>
      <w:tr>
        <w:trPr>
          <w:trHeight w:val="264"/>
        </w:trPr>
        <w:tc>
          <w:tcPr>
            <w:tcW w:w="1040" w:type="dxa"/>
            <w:vAlign w:val="bottom"/>
            <w:tcBorders>
              <w:left w:val="single" w:sz="8" w:color="582C83"/>
              <w:right w:val="single" w:sz="8" w:color="582C83"/>
            </w:tcBorders>
          </w:tcPr>
          <w:p>
            <w:pPr>
              <w:spacing w:after="0"/>
              <w:rPr>
                <w:sz w:val="22"/>
                <w:szCs w:val="22"/>
                <w:color w:val="auto"/>
              </w:rPr>
            </w:pPr>
          </w:p>
        </w:tc>
        <w:tc>
          <w:tcPr>
            <w:tcW w:w="3020" w:type="dxa"/>
            <w:vAlign w:val="bottom"/>
            <w:tcBorders>
              <w:right w:val="single" w:sz="8" w:color="582C83"/>
            </w:tcBorders>
            <w:vMerge w:val="restart"/>
          </w:tcPr>
          <w:p>
            <w:pPr>
              <w:ind w:left="160"/>
              <w:spacing w:after="0"/>
              <w:rPr>
                <w:sz w:val="20"/>
                <w:szCs w:val="20"/>
                <w:color w:val="auto"/>
              </w:rPr>
            </w:pPr>
            <w:r>
              <w:rPr>
                <w:rFonts w:ascii="Arial" w:cs="Arial" w:eastAsia="Arial" w:hAnsi="Arial"/>
                <w:sz w:val="20"/>
                <w:szCs w:val="20"/>
                <w:b w:val="1"/>
                <w:bCs w:val="1"/>
                <w:color w:val="582C83"/>
              </w:rPr>
              <w:t>INDEPENDENT</w:t>
            </w:r>
          </w:p>
        </w:tc>
        <w:tc>
          <w:tcPr>
            <w:tcW w:w="2060" w:type="dxa"/>
            <w:vAlign w:val="bottom"/>
            <w:tcBorders>
              <w:right w:val="single" w:sz="8" w:color="582C83"/>
            </w:tcBorders>
          </w:tcPr>
          <w:p>
            <w:pPr>
              <w:jc w:val="center"/>
              <w:spacing w:after="0"/>
              <w:rPr>
                <w:sz w:val="20"/>
                <w:szCs w:val="20"/>
                <w:color w:val="auto"/>
              </w:rPr>
            </w:pPr>
            <w:r>
              <w:rPr>
                <w:rFonts w:ascii="Arial" w:cs="Arial" w:eastAsia="Arial" w:hAnsi="Arial"/>
                <w:sz w:val="20"/>
                <w:szCs w:val="20"/>
                <w:color w:val="auto"/>
              </w:rPr>
              <w:t>Age 74</w:t>
            </w:r>
          </w:p>
        </w:tc>
        <w:tc>
          <w:tcPr>
            <w:tcW w:w="3120" w:type="dxa"/>
            <w:vAlign w:val="bottom"/>
            <w:tcBorders>
              <w:right w:val="single" w:sz="8" w:color="582C83"/>
            </w:tcBorders>
          </w:tcPr>
          <w:p>
            <w:pPr>
              <w:spacing w:after="0"/>
              <w:rPr>
                <w:sz w:val="22"/>
                <w:szCs w:val="22"/>
                <w:color w:val="auto"/>
              </w:rPr>
            </w:pPr>
          </w:p>
        </w:tc>
        <w:tc>
          <w:tcPr>
            <w:tcW w:w="2020" w:type="dxa"/>
            <w:vAlign w:val="bottom"/>
            <w:tcBorders>
              <w:right w:val="single" w:sz="8" w:color="582C83"/>
            </w:tcBorders>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040" w:type="dxa"/>
            <w:vAlign w:val="bottom"/>
            <w:tcBorders>
              <w:left w:val="single" w:sz="8" w:color="582C83"/>
              <w:right w:val="single" w:sz="8" w:color="582C83"/>
            </w:tcBorders>
          </w:tcPr>
          <w:p>
            <w:pPr>
              <w:spacing w:after="0"/>
              <w:rPr>
                <w:sz w:val="21"/>
                <w:szCs w:val="21"/>
                <w:color w:val="auto"/>
              </w:rPr>
            </w:pPr>
          </w:p>
        </w:tc>
        <w:tc>
          <w:tcPr>
            <w:tcW w:w="3020" w:type="dxa"/>
            <w:vAlign w:val="bottom"/>
            <w:tcBorders>
              <w:right w:val="single" w:sz="8" w:color="582C83"/>
            </w:tcBorders>
            <w:vMerge w:val="continue"/>
          </w:tcPr>
          <w:p>
            <w:pPr>
              <w:spacing w:after="0"/>
              <w:rPr>
                <w:sz w:val="21"/>
                <w:szCs w:val="21"/>
                <w:color w:val="auto"/>
              </w:rPr>
            </w:pPr>
          </w:p>
        </w:tc>
        <w:tc>
          <w:tcPr>
            <w:tcW w:w="2060" w:type="dxa"/>
            <w:vAlign w:val="bottom"/>
            <w:tcBorders>
              <w:right w:val="single" w:sz="8" w:color="582C83"/>
            </w:tcBorders>
          </w:tcPr>
          <w:p>
            <w:pPr>
              <w:spacing w:after="0"/>
              <w:rPr>
                <w:sz w:val="21"/>
                <w:szCs w:val="21"/>
                <w:color w:val="auto"/>
              </w:rPr>
            </w:pPr>
          </w:p>
        </w:tc>
        <w:tc>
          <w:tcPr>
            <w:tcW w:w="3120" w:type="dxa"/>
            <w:vAlign w:val="bottom"/>
            <w:tcBorders>
              <w:right w:val="single" w:sz="8" w:color="582C83"/>
            </w:tcBorders>
          </w:tcPr>
          <w:p>
            <w:pPr>
              <w:spacing w:after="0"/>
              <w:rPr>
                <w:sz w:val="21"/>
                <w:szCs w:val="21"/>
                <w:color w:val="auto"/>
              </w:rPr>
            </w:pPr>
          </w:p>
        </w:tc>
        <w:tc>
          <w:tcPr>
            <w:tcW w:w="2020" w:type="dxa"/>
            <w:vAlign w:val="bottom"/>
            <w:tcBorders>
              <w:right w:val="single" w:sz="8" w:color="582C83"/>
            </w:tcBorders>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1040" w:type="dxa"/>
            <w:vAlign w:val="bottom"/>
            <w:tcBorders>
              <w:left w:val="single" w:sz="8" w:color="582C83"/>
              <w:bottom w:val="single" w:sz="8" w:color="582C83"/>
              <w:right w:val="single" w:sz="8" w:color="582C83"/>
            </w:tcBorders>
          </w:tcPr>
          <w:p>
            <w:pPr>
              <w:spacing w:after="0"/>
              <w:rPr>
                <w:sz w:val="5"/>
                <w:szCs w:val="5"/>
                <w:color w:val="auto"/>
              </w:rPr>
            </w:pPr>
          </w:p>
        </w:tc>
        <w:tc>
          <w:tcPr>
            <w:tcW w:w="3020" w:type="dxa"/>
            <w:vAlign w:val="bottom"/>
            <w:tcBorders>
              <w:bottom w:val="single" w:sz="8" w:color="582C83"/>
              <w:right w:val="single" w:sz="8" w:color="582C83"/>
            </w:tcBorders>
          </w:tcPr>
          <w:p>
            <w:pPr>
              <w:spacing w:after="0"/>
              <w:rPr>
                <w:sz w:val="5"/>
                <w:szCs w:val="5"/>
                <w:color w:val="auto"/>
              </w:rPr>
            </w:pPr>
          </w:p>
        </w:tc>
        <w:tc>
          <w:tcPr>
            <w:tcW w:w="2060" w:type="dxa"/>
            <w:vAlign w:val="bottom"/>
            <w:tcBorders>
              <w:bottom w:val="single" w:sz="8" w:color="582C83"/>
              <w:right w:val="single" w:sz="8" w:color="582C83"/>
            </w:tcBorders>
          </w:tcPr>
          <w:p>
            <w:pPr>
              <w:spacing w:after="0"/>
              <w:rPr>
                <w:sz w:val="5"/>
                <w:szCs w:val="5"/>
                <w:color w:val="auto"/>
              </w:rPr>
            </w:pPr>
          </w:p>
        </w:tc>
        <w:tc>
          <w:tcPr>
            <w:tcW w:w="3120" w:type="dxa"/>
            <w:vAlign w:val="bottom"/>
            <w:tcBorders>
              <w:bottom w:val="single" w:sz="8" w:color="572C83"/>
              <w:right w:val="single" w:sz="8" w:color="582C83"/>
            </w:tcBorders>
          </w:tcPr>
          <w:p>
            <w:pPr>
              <w:spacing w:after="0"/>
              <w:rPr>
                <w:sz w:val="5"/>
                <w:szCs w:val="5"/>
                <w:color w:val="auto"/>
              </w:rPr>
            </w:pPr>
          </w:p>
        </w:tc>
        <w:tc>
          <w:tcPr>
            <w:tcW w:w="2020" w:type="dxa"/>
            <w:vAlign w:val="bottom"/>
            <w:tcBorders>
              <w:bottom w:val="single" w:sz="8" w:color="582C83"/>
              <w:right w:val="single" w:sz="8" w:color="582C8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43115" cy="14820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3115" cy="1482090"/>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-772160</wp:posOffset>
            </wp:positionV>
            <wp:extent cx="1237615" cy="1733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37615" cy="173355"/>
                    </a:xfrm>
                    <a:prstGeom prst="rect">
                      <a:avLst/>
                    </a:prstGeom>
                    <a:noFill/>
                  </pic:spPr>
                </pic:pic>
              </a:graphicData>
            </a:graphic>
          </wp:anchor>
        </w:drawing>
      </w:r>
    </w:p>
    <w:p>
      <w:pPr>
        <w:spacing w:after="0" w:line="2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PROFESSIONAL BACKGROUND:</w:t>
      </w:r>
    </w:p>
    <w:p>
      <w:pPr>
        <w:spacing w:after="0" w:line="14" w:lineRule="exact"/>
        <w:rPr>
          <w:sz w:val="20"/>
          <w:szCs w:val="20"/>
          <w:color w:val="auto"/>
        </w:rPr>
      </w:pPr>
    </w:p>
    <w:p>
      <w:pPr>
        <w:ind w:left="80" w:right="180"/>
        <w:spacing w:after="0" w:line="236" w:lineRule="auto"/>
        <w:rPr>
          <w:sz w:val="20"/>
          <w:szCs w:val="20"/>
          <w:color w:val="auto"/>
        </w:rPr>
      </w:pPr>
      <w:r>
        <w:rPr>
          <w:rFonts w:ascii="Arial" w:cs="Arial" w:eastAsia="Arial" w:hAnsi="Arial"/>
          <w:sz w:val="20"/>
          <w:szCs w:val="20"/>
          <w:color w:val="auto"/>
        </w:rPr>
        <w:t>Mr. Booth served as Executive Vice President and Chief Financial Officer of Ford Motor Company, a global automobile manufacturer, from 2008 until his retirement in 2012. From 2005 to 2008, he was Executive Vice President of Ford of Europe, Volvo Car Corporation, and Ford Export Operations and Global Growth Initiatives, and Executive Vice</w:t>
      </w:r>
      <w:r>
        <w:rPr>
          <w:rFonts w:ascii="Times New Roman" w:cs="Times New Roman" w:eastAsia="Times New Roman" w:hAnsi="Times New Roman"/>
          <w:sz w:val="20"/>
          <w:szCs w:val="20"/>
          <w:color w:val="auto"/>
        </w:rPr>
        <w:t> </w:t>
      </w:r>
      <w:r>
        <w:rPr>
          <w:rFonts w:ascii="Arial" w:cs="Arial" w:eastAsia="Arial" w:hAnsi="Arial"/>
          <w:sz w:val="20"/>
          <w:szCs w:val="20"/>
          <w:color w:val="auto"/>
        </w:rPr>
        <w:t>President of Ford’s Premier Automotive Group. Mr. Booth held various other executive leadership positions during his 34-year career with Ford, including Chairman and Chief Executive Officer of Ford of Europe, President of Mazda Motor Corporation, and President of Ford Asia Pacific and Africa Operations.</w:t>
      </w:r>
    </w:p>
    <w:p>
      <w:pPr>
        <w:spacing w:after="0" w:line="75" w:lineRule="exact"/>
        <w:rPr>
          <w:sz w:val="20"/>
          <w:szCs w:val="20"/>
          <w:color w:val="auto"/>
        </w:rPr>
      </w:pPr>
    </w:p>
    <w:p>
      <w:pPr>
        <w:ind w:left="80" w:right="240"/>
        <w:spacing w:after="0" w:line="268" w:lineRule="auto"/>
        <w:rPr>
          <w:sz w:val="20"/>
          <w:szCs w:val="20"/>
          <w:color w:val="auto"/>
        </w:rPr>
      </w:pPr>
      <w:r>
        <w:rPr>
          <w:rFonts w:ascii="Arial" w:cs="Arial" w:eastAsia="Arial" w:hAnsi="Arial"/>
          <w:sz w:val="20"/>
          <w:szCs w:val="20"/>
          <w:color w:val="auto"/>
        </w:rPr>
        <w:t>Mr. Booth is a Chartered Management Accountant. He was appointed Commander of the Order of the British Empire in June 2012 for his services to the United Kingdom’s automotive and manufacturing industries.</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DIRECTOR QUALIFICATIONS:</w:t>
      </w:r>
    </w:p>
    <w:p>
      <w:pPr>
        <w:spacing w:after="0" w:line="44" w:lineRule="exact"/>
        <w:rPr>
          <w:sz w:val="20"/>
          <w:szCs w:val="20"/>
          <w:color w:val="auto"/>
        </w:rPr>
      </w:pPr>
    </w:p>
    <w:p>
      <w:pPr>
        <w:ind w:left="220" w:right="180" w:hanging="159"/>
        <w:spacing w:after="0" w:line="244" w:lineRule="auto"/>
        <w:tabs>
          <w:tab w:leader="none" w:pos="220" w:val="left"/>
        </w:tabs>
        <w:numPr>
          <w:ilvl w:val="0"/>
          <w:numId w:val="12"/>
        </w:numPr>
        <w:rPr>
          <w:rFonts w:ascii="Arial" w:cs="Arial" w:eastAsia="Arial" w:hAnsi="Arial"/>
          <w:sz w:val="20"/>
          <w:szCs w:val="20"/>
          <w:color w:val="582C83"/>
        </w:rPr>
      </w:pPr>
      <w:r>
        <w:rPr>
          <w:rFonts w:ascii="Arial" w:cs="Arial" w:eastAsia="Arial" w:hAnsi="Arial"/>
          <w:sz w:val="20"/>
          <w:szCs w:val="20"/>
          <w:color w:val="auto"/>
        </w:rPr>
        <w:t>During his career at Ford, Mr. Booth gained global business experience by leading operations in Africa, Asia and Europe. In these and other roles, he successfully implemented major growth initiatives, business restructuring and cost management, and was involved in strategy, product development, marketing and operations.</w:t>
      </w:r>
    </w:p>
    <w:p>
      <w:pPr>
        <w:spacing w:after="0" w:line="5" w:lineRule="exact"/>
        <w:rPr>
          <w:rFonts w:ascii="Arial" w:cs="Arial" w:eastAsia="Arial" w:hAnsi="Arial"/>
          <w:sz w:val="20"/>
          <w:szCs w:val="20"/>
          <w:color w:val="582C83"/>
        </w:rPr>
      </w:pPr>
    </w:p>
    <w:p>
      <w:pPr>
        <w:ind w:left="220" w:right="160" w:hanging="159"/>
        <w:spacing w:after="0" w:line="259" w:lineRule="auto"/>
        <w:tabs>
          <w:tab w:leader="none" w:pos="220" w:val="left"/>
        </w:tabs>
        <w:numPr>
          <w:ilvl w:val="0"/>
          <w:numId w:val="12"/>
        </w:numPr>
        <w:rPr>
          <w:rFonts w:ascii="Arial" w:cs="Arial" w:eastAsia="Arial" w:hAnsi="Arial"/>
          <w:sz w:val="20"/>
          <w:szCs w:val="20"/>
          <w:color w:val="582C83"/>
        </w:rPr>
      </w:pPr>
      <w:r>
        <w:rPr>
          <w:rFonts w:ascii="Arial" w:cs="Arial" w:eastAsia="Arial" w:hAnsi="Arial"/>
          <w:sz w:val="20"/>
          <w:szCs w:val="20"/>
          <w:color w:val="auto"/>
        </w:rPr>
        <w:t>As Ford’s Chief Financial Officer during the 2008 financial crisis, Mr. Booth led a restructuring of Ford’s balance sheet and a return to growth and profitability.</w:t>
      </w:r>
    </w:p>
    <w:p>
      <w:pPr>
        <w:ind w:left="220" w:right="260" w:hanging="159"/>
        <w:spacing w:after="0" w:line="268" w:lineRule="auto"/>
        <w:tabs>
          <w:tab w:leader="none" w:pos="220" w:val="left"/>
        </w:tabs>
        <w:numPr>
          <w:ilvl w:val="0"/>
          <w:numId w:val="12"/>
        </w:numPr>
        <w:rPr>
          <w:rFonts w:ascii="Arial" w:cs="Arial" w:eastAsia="Arial" w:hAnsi="Arial"/>
          <w:sz w:val="20"/>
          <w:szCs w:val="20"/>
          <w:color w:val="582C83"/>
        </w:rPr>
      </w:pPr>
      <w:r>
        <w:rPr>
          <w:rFonts w:ascii="Arial" w:cs="Arial" w:eastAsia="Arial" w:hAnsi="Arial"/>
          <w:sz w:val="20"/>
          <w:szCs w:val="20"/>
          <w:color w:val="auto"/>
        </w:rPr>
        <w:t>Mr. Booth has extensive public company board and corporate governance experience. He is a former director of Gentherm Incorporated and Rolls-Royce Holdings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3549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5495" cy="7620"/>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194945</wp:posOffset>
            </wp:positionV>
            <wp:extent cx="149860" cy="165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9860" cy="165735"/>
                    </a:xfrm>
                    <a:prstGeom prst="rect">
                      <a:avLst/>
                    </a:prstGeom>
                    <a:noFill/>
                  </pic:spPr>
                </pic:pic>
              </a:graphicData>
            </a:graphic>
          </wp:anchor>
        </w:drawing>
        <w:drawing>
          <wp:anchor simplePos="0" relativeHeight="251657728" behindDoc="1" locked="0" layoutInCell="0" allowOverlap="1">
            <wp:simplePos x="0" y="0"/>
            <wp:positionH relativeFrom="column">
              <wp:posOffset>1426845</wp:posOffset>
            </wp:positionH>
            <wp:positionV relativeFrom="paragraph">
              <wp:posOffset>202565</wp:posOffset>
            </wp:positionV>
            <wp:extent cx="173355" cy="1498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3355" cy="149860"/>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179070</wp:posOffset>
            </wp:positionV>
            <wp:extent cx="196850" cy="196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194945</wp:posOffset>
            </wp:positionV>
            <wp:extent cx="157480" cy="157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7480" cy="15748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194945</wp:posOffset>
            </wp:positionV>
            <wp:extent cx="173355" cy="1574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3355" cy="157480"/>
                    </a:xfrm>
                    <a:prstGeom prst="rect">
                      <a:avLst/>
                    </a:prstGeom>
                    <a:noFill/>
                  </pic:spPr>
                </pic:pic>
              </a:graphicData>
            </a:graphic>
          </wp:anchor>
        </w:drawing>
        <w:drawing>
          <wp:anchor simplePos="0" relativeHeight="251657728" behindDoc="1" locked="0" layoutInCell="0" allowOverlap="1">
            <wp:simplePos x="0" y="0"/>
            <wp:positionH relativeFrom="column">
              <wp:posOffset>5668645</wp:posOffset>
            </wp:positionH>
            <wp:positionV relativeFrom="paragraph">
              <wp:posOffset>187325</wp:posOffset>
            </wp:positionV>
            <wp:extent cx="118110" cy="1733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8110" cy="173355"/>
                    </a:xfrm>
                    <a:prstGeom prst="rect">
                      <a:avLst/>
                    </a:prstGeom>
                    <a:noFill/>
                  </pic:spPr>
                </pic:pic>
              </a:graphicData>
            </a:graphic>
          </wp:anchor>
        </w:drawing>
        <w:drawing>
          <wp:anchor simplePos="0" relativeHeight="251657728" behindDoc="1" locked="0" layoutInCell="0" allowOverlap="1">
            <wp:simplePos x="0" y="0"/>
            <wp:positionH relativeFrom="column">
              <wp:posOffset>6661785</wp:posOffset>
            </wp:positionH>
            <wp:positionV relativeFrom="paragraph">
              <wp:posOffset>171450</wp:posOffset>
            </wp:positionV>
            <wp:extent cx="252095" cy="2127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20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20"/>
                <w:szCs w:val="20"/>
                <w:color w:val="auto"/>
              </w:rPr>
            </w:pPr>
            <w:r>
              <w:rPr>
                <w:rFonts w:ascii="Arial" w:cs="Arial" w:eastAsia="Arial" w:hAnsi="Arial"/>
                <w:sz w:val="12"/>
                <w:szCs w:val="12"/>
                <w:color w:val="auto"/>
              </w:rPr>
              <w:t>INDUSTRY EXPERIENCE</w:t>
            </w:r>
          </w:p>
        </w:tc>
        <w:tc>
          <w:tcPr>
            <w:tcW w:w="1380" w:type="dxa"/>
            <w:vAlign w:val="bottom"/>
          </w:tcPr>
          <w:p>
            <w:pPr>
              <w:jc w:val="center"/>
              <w:spacing w:after="0"/>
              <w:rPr>
                <w:sz w:val="20"/>
                <w:szCs w:val="20"/>
                <w:color w:val="auto"/>
              </w:rPr>
            </w:pPr>
            <w:r>
              <w:rPr>
                <w:rFonts w:ascii="Arial" w:cs="Arial" w:eastAsia="Arial" w:hAnsi="Arial"/>
                <w:sz w:val="12"/>
                <w:szCs w:val="12"/>
                <w:color w:val="auto"/>
              </w:rPr>
              <w:t>SIGNIFICANT</w:t>
            </w:r>
          </w:p>
        </w:tc>
        <w:tc>
          <w:tcPr>
            <w:tcW w:w="1380" w:type="dxa"/>
            <w:vAlign w:val="bottom"/>
          </w:tcPr>
          <w:p>
            <w:pPr>
              <w:jc w:val="right"/>
              <w:ind w:right="198"/>
              <w:spacing w:after="0"/>
              <w:rPr>
                <w:sz w:val="20"/>
                <w:szCs w:val="20"/>
                <w:color w:val="auto"/>
              </w:rPr>
            </w:pPr>
            <w:r>
              <w:rPr>
                <w:rFonts w:ascii="Arial" w:cs="Arial" w:eastAsia="Arial" w:hAnsi="Arial"/>
                <w:sz w:val="12"/>
                <w:szCs w:val="12"/>
                <w:color w:val="auto"/>
              </w:rPr>
              <w:t>LEADERSHIP</w:t>
            </w:r>
          </w:p>
        </w:tc>
        <w:tc>
          <w:tcPr>
            <w:tcW w:w="1860" w:type="dxa"/>
            <w:vAlign w:val="bottom"/>
          </w:tcPr>
          <w:p>
            <w:pPr>
              <w:jc w:val="center"/>
              <w:spacing w:after="0"/>
              <w:rPr>
                <w:sz w:val="20"/>
                <w:szCs w:val="20"/>
                <w:color w:val="auto"/>
              </w:rPr>
            </w:pPr>
            <w:r>
              <w:rPr>
                <w:rFonts w:ascii="Arial" w:cs="Arial" w:eastAsia="Arial" w:hAnsi="Arial"/>
                <w:sz w:val="12"/>
                <w:szCs w:val="12"/>
                <w:color w:val="auto"/>
              </w:rPr>
              <w:t>SUBSTANTIAL GLOBAL</w:t>
            </w:r>
          </w:p>
        </w:tc>
        <w:tc>
          <w:tcPr>
            <w:tcW w:w="1780" w:type="dxa"/>
            <w:vAlign w:val="bottom"/>
          </w:tcPr>
          <w:p>
            <w:pPr>
              <w:jc w:val="center"/>
              <w:spacing w:after="0"/>
              <w:rPr>
                <w:sz w:val="20"/>
                <w:szCs w:val="20"/>
                <w:color w:val="auto"/>
              </w:rPr>
            </w:pPr>
            <w:r>
              <w:rPr>
                <w:rFonts w:ascii="Arial" w:cs="Arial" w:eastAsia="Arial" w:hAnsi="Arial"/>
                <w:sz w:val="12"/>
                <w:szCs w:val="12"/>
                <w:color w:val="auto"/>
              </w:rPr>
              <w:t>ACCOUNTING AND</w:t>
            </w:r>
          </w:p>
        </w:tc>
        <w:tc>
          <w:tcPr>
            <w:tcW w:w="1800" w:type="dxa"/>
            <w:vAlign w:val="bottom"/>
          </w:tcPr>
          <w:p>
            <w:pPr>
              <w:jc w:val="center"/>
              <w:spacing w:after="0"/>
              <w:rPr>
                <w:sz w:val="20"/>
                <w:szCs w:val="20"/>
                <w:color w:val="auto"/>
              </w:rPr>
            </w:pPr>
            <w:r>
              <w:rPr>
                <w:rFonts w:ascii="Arial" w:cs="Arial" w:eastAsia="Arial" w:hAnsi="Arial"/>
                <w:sz w:val="12"/>
                <w:szCs w:val="12"/>
                <w:color w:val="auto"/>
              </w:rPr>
              <w:t>PRODUCT RESEARCH,</w:t>
            </w: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PUBLIC COMPANY</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OPERATING</w:t>
            </w:r>
          </w:p>
        </w:tc>
        <w:tc>
          <w:tcPr>
            <w:tcW w:w="1380" w:type="dxa"/>
            <w:vAlign w:val="bottom"/>
          </w:tcPr>
          <w:p>
            <w:pPr>
              <w:jc w:val="right"/>
              <w:ind w:right="198"/>
              <w:spacing w:after="0" w:line="137" w:lineRule="exact"/>
              <w:rPr>
                <w:sz w:val="20"/>
                <w:szCs w:val="20"/>
                <w:color w:val="auto"/>
              </w:rPr>
            </w:pPr>
            <w:r>
              <w:rPr>
                <w:rFonts w:ascii="Arial" w:cs="Arial" w:eastAsia="Arial" w:hAnsi="Arial"/>
                <w:sz w:val="12"/>
                <w:szCs w:val="12"/>
                <w:color w:val="auto"/>
              </w:rPr>
              <w:t>EXPERIENCE</w:t>
            </w: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BUSINESS AND OTHER</w:t>
            </w:r>
          </w:p>
        </w:tc>
        <w:tc>
          <w:tcPr>
            <w:tcW w:w="1780" w:type="dxa"/>
            <w:vAlign w:val="bottom"/>
          </w:tcPr>
          <w:p>
            <w:pPr>
              <w:jc w:val="center"/>
              <w:spacing w:after="0" w:line="137" w:lineRule="exact"/>
              <w:rPr>
                <w:sz w:val="20"/>
                <w:szCs w:val="20"/>
                <w:color w:val="auto"/>
              </w:rPr>
            </w:pPr>
            <w:r>
              <w:rPr>
                <w:rFonts w:ascii="Arial" w:cs="Arial" w:eastAsia="Arial" w:hAnsi="Arial"/>
                <w:sz w:val="12"/>
                <w:szCs w:val="12"/>
                <w:color w:val="auto"/>
              </w:rPr>
              <w:t>FINANCIAL EXPERTISE</w:t>
            </w: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DEVELOPMENT</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BOARD AND</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INTERNATIONAL</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AND MARKETING</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CORPORATE</w:t>
            </w:r>
          </w:p>
        </w:tc>
      </w:tr>
      <w:tr>
        <w:trPr>
          <w:trHeight w:val="137"/>
        </w:trPr>
        <w:tc>
          <w:tcPr>
            <w:tcW w:w="17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GOVERNANCE</w:t>
            </w:r>
          </w:p>
        </w:tc>
      </w:tr>
      <w:tr>
        <w:trPr>
          <w:trHeight w:val="164"/>
        </w:trPr>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311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1040" w:type="dxa"/>
            <w:vAlign w:val="bottom"/>
            <w:tcBorders>
              <w:top w:val="single" w:sz="8" w:color="582C83"/>
              <w:left w:val="single" w:sz="8" w:color="582C83"/>
              <w:right w:val="single" w:sz="8" w:color="582C83"/>
            </w:tcBorders>
          </w:tcPr>
          <w:p>
            <w:pPr>
              <w:spacing w:after="0"/>
              <w:rPr>
                <w:sz w:val="24"/>
                <w:szCs w:val="24"/>
                <w:color w:val="auto"/>
              </w:rPr>
            </w:pPr>
          </w:p>
        </w:tc>
        <w:tc>
          <w:tcPr>
            <w:tcW w:w="2960" w:type="dxa"/>
            <w:vAlign w:val="bottom"/>
            <w:tcBorders>
              <w:top w:val="single" w:sz="8" w:color="582C83"/>
              <w:right w:val="single" w:sz="8" w:color="582C83"/>
            </w:tcBorders>
          </w:tcPr>
          <w:p>
            <w:pPr>
              <w:ind w:left="160"/>
              <w:spacing w:after="0"/>
              <w:rPr>
                <w:sz w:val="20"/>
                <w:szCs w:val="20"/>
                <w:color w:val="auto"/>
              </w:rPr>
            </w:pPr>
            <w:r>
              <w:rPr>
                <w:rFonts w:ascii="Arial" w:cs="Arial" w:eastAsia="Arial" w:hAnsi="Arial"/>
                <w:sz w:val="20"/>
                <w:szCs w:val="20"/>
                <w:b w:val="1"/>
                <w:bCs w:val="1"/>
                <w:color w:val="auto"/>
              </w:rPr>
              <w:t>Charles E. Bunch</w:t>
            </w:r>
          </w:p>
        </w:tc>
        <w:tc>
          <w:tcPr>
            <w:tcW w:w="206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0"/>
                <w:szCs w:val="20"/>
                <w:b w:val="1"/>
                <w:bCs w:val="1"/>
                <w:color w:val="auto"/>
                <w:w w:val="98"/>
              </w:rPr>
              <w:t>DIRECTOR SINCE:</w:t>
            </w:r>
          </w:p>
        </w:tc>
        <w:tc>
          <w:tcPr>
            <w:tcW w:w="3180" w:type="dxa"/>
            <w:vAlign w:val="bottom"/>
            <w:tcBorders>
              <w:top w:val="single" w:sz="8" w:color="582C83"/>
              <w:right w:val="single" w:sz="8" w:color="582C83"/>
            </w:tcBorders>
          </w:tcPr>
          <w:p>
            <w:pPr>
              <w:ind w:left="620"/>
              <w:spacing w:after="0"/>
              <w:rPr>
                <w:sz w:val="20"/>
                <w:szCs w:val="20"/>
                <w:color w:val="auto"/>
              </w:rPr>
            </w:pPr>
            <w:r>
              <w:rPr>
                <w:rFonts w:ascii="Arial" w:cs="Arial" w:eastAsia="Arial" w:hAnsi="Arial"/>
                <w:sz w:val="20"/>
                <w:szCs w:val="20"/>
                <w:b w:val="1"/>
                <w:bCs w:val="1"/>
                <w:color w:val="auto"/>
              </w:rPr>
              <w:t>DIRECTOR SKILLS:</w:t>
            </w:r>
          </w:p>
        </w:tc>
        <w:tc>
          <w:tcPr>
            <w:tcW w:w="2020" w:type="dxa"/>
            <w:vAlign w:val="bottom"/>
            <w:tcBorders>
              <w:top w:val="single" w:sz="8" w:color="582C83"/>
              <w:right w:val="single" w:sz="8" w:color="582C83"/>
            </w:tcBorders>
          </w:tcPr>
          <w:p>
            <w:pPr>
              <w:ind w:left="620"/>
              <w:spacing w:after="0"/>
              <w:rPr>
                <w:sz w:val="20"/>
                <w:szCs w:val="20"/>
                <w:color w:val="auto"/>
              </w:rPr>
            </w:pPr>
            <w:r>
              <w:rPr>
                <w:rFonts w:ascii="Arial" w:cs="Arial" w:eastAsia="Arial" w:hAnsi="Arial"/>
                <w:sz w:val="20"/>
                <w:szCs w:val="20"/>
                <w:b w:val="1"/>
                <w:bCs w:val="1"/>
                <w:color w:val="auto"/>
              </w:rPr>
              <w:t>BOARD</w:t>
            </w:r>
          </w:p>
        </w:tc>
        <w:tc>
          <w:tcPr>
            <w:tcW w:w="0" w:type="dxa"/>
            <w:vAlign w:val="bottom"/>
          </w:tcPr>
          <w:p>
            <w:pPr>
              <w:spacing w:after="0"/>
              <w:rPr>
                <w:sz w:val="1"/>
                <w:szCs w:val="1"/>
                <w:color w:val="auto"/>
              </w:rPr>
            </w:pPr>
          </w:p>
        </w:tc>
      </w:tr>
      <w:tr>
        <w:trPr>
          <w:trHeight w:val="261"/>
        </w:trPr>
        <w:tc>
          <w:tcPr>
            <w:tcW w:w="1040" w:type="dxa"/>
            <w:vAlign w:val="bottom"/>
            <w:tcBorders>
              <w:left w:val="single" w:sz="8" w:color="582C83"/>
              <w:right w:val="single" w:sz="8" w:color="582C83"/>
            </w:tcBorders>
          </w:tcPr>
          <w:p>
            <w:pPr>
              <w:spacing w:after="0"/>
              <w:rPr>
                <w:sz w:val="22"/>
                <w:szCs w:val="22"/>
                <w:color w:val="auto"/>
              </w:rPr>
            </w:pPr>
          </w:p>
        </w:tc>
        <w:tc>
          <w:tcPr>
            <w:tcW w:w="2960" w:type="dxa"/>
            <w:vAlign w:val="bottom"/>
            <w:tcBorders>
              <w:right w:val="single" w:sz="8" w:color="582C83"/>
            </w:tcBorders>
          </w:tcPr>
          <w:p>
            <w:pPr>
              <w:ind w:left="160"/>
              <w:spacing w:after="0"/>
              <w:rPr>
                <w:sz w:val="20"/>
                <w:szCs w:val="20"/>
                <w:color w:val="auto"/>
              </w:rPr>
            </w:pPr>
            <w:r>
              <w:rPr>
                <w:rFonts w:ascii="Arial" w:cs="Arial" w:eastAsia="Arial" w:hAnsi="Arial"/>
                <w:sz w:val="20"/>
                <w:szCs w:val="20"/>
                <w:i w:val="1"/>
                <w:iCs w:val="1"/>
                <w:color w:val="auto"/>
              </w:rPr>
              <w:t>Retired Executive Chairman,</w:t>
            </w:r>
          </w:p>
        </w:tc>
        <w:tc>
          <w:tcPr>
            <w:tcW w:w="2060" w:type="dxa"/>
            <w:vAlign w:val="bottom"/>
            <w:tcBorders>
              <w:right w:val="single" w:sz="8" w:color="582C83"/>
            </w:tcBorders>
          </w:tcPr>
          <w:p>
            <w:pPr>
              <w:jc w:val="center"/>
              <w:spacing w:after="0"/>
              <w:rPr>
                <w:sz w:val="20"/>
                <w:szCs w:val="20"/>
                <w:color w:val="auto"/>
              </w:rPr>
            </w:pPr>
            <w:r>
              <w:rPr>
                <w:rFonts w:ascii="Arial" w:cs="Arial" w:eastAsia="Arial" w:hAnsi="Arial"/>
                <w:sz w:val="20"/>
                <w:szCs w:val="20"/>
                <w:color w:val="auto"/>
              </w:rPr>
              <w:t>September 2016</w:t>
            </w:r>
          </w:p>
        </w:tc>
        <w:tc>
          <w:tcPr>
            <w:tcW w:w="3180" w:type="dxa"/>
            <w:vAlign w:val="bottom"/>
            <w:tcBorders>
              <w:right w:val="single" w:sz="8" w:color="582C83"/>
            </w:tcBorders>
          </w:tcPr>
          <w:p>
            <w:pPr>
              <w:spacing w:after="0"/>
              <w:rPr>
                <w:sz w:val="22"/>
                <w:szCs w:val="22"/>
                <w:color w:val="auto"/>
              </w:rPr>
            </w:pPr>
          </w:p>
        </w:tc>
        <w:tc>
          <w:tcPr>
            <w:tcW w:w="2020" w:type="dxa"/>
            <w:vAlign w:val="bottom"/>
            <w:tcBorders>
              <w:right w:val="single" w:sz="8" w:color="582C83"/>
            </w:tcBorders>
          </w:tcPr>
          <w:p>
            <w:pPr>
              <w:ind w:left="300"/>
              <w:spacing w:after="0"/>
              <w:rPr>
                <w:sz w:val="20"/>
                <w:szCs w:val="20"/>
                <w:color w:val="auto"/>
              </w:rPr>
            </w:pPr>
            <w:r>
              <w:rPr>
                <w:rFonts w:ascii="Arial" w:cs="Arial" w:eastAsia="Arial" w:hAnsi="Arial"/>
                <w:sz w:val="20"/>
                <w:szCs w:val="20"/>
                <w:b w:val="1"/>
                <w:bCs w:val="1"/>
                <w:color w:val="auto"/>
              </w:rPr>
              <w:t>COMMITTEES:</w:t>
            </w:r>
          </w:p>
        </w:tc>
        <w:tc>
          <w:tcPr>
            <w:tcW w:w="0" w:type="dxa"/>
            <w:vAlign w:val="bottom"/>
          </w:tcPr>
          <w:p>
            <w:pPr>
              <w:spacing w:after="0"/>
              <w:rPr>
                <w:sz w:val="1"/>
                <w:szCs w:val="1"/>
                <w:color w:val="auto"/>
              </w:rPr>
            </w:pPr>
          </w:p>
        </w:tc>
      </w:tr>
      <w:tr>
        <w:trPr>
          <w:trHeight w:val="222"/>
        </w:trPr>
        <w:tc>
          <w:tcPr>
            <w:tcW w:w="1040" w:type="dxa"/>
            <w:vAlign w:val="bottom"/>
            <w:tcBorders>
              <w:left w:val="single" w:sz="8" w:color="582C83"/>
              <w:right w:val="single" w:sz="8" w:color="582C83"/>
            </w:tcBorders>
          </w:tcPr>
          <w:p>
            <w:pPr>
              <w:spacing w:after="0"/>
              <w:rPr>
                <w:sz w:val="19"/>
                <w:szCs w:val="19"/>
                <w:color w:val="auto"/>
              </w:rPr>
            </w:pPr>
          </w:p>
        </w:tc>
        <w:tc>
          <w:tcPr>
            <w:tcW w:w="2960" w:type="dxa"/>
            <w:vAlign w:val="bottom"/>
            <w:tcBorders>
              <w:right w:val="single" w:sz="8" w:color="582C83"/>
            </w:tcBorders>
          </w:tcPr>
          <w:p>
            <w:pPr>
              <w:ind w:left="160"/>
              <w:spacing w:after="0" w:line="223" w:lineRule="exact"/>
              <w:rPr>
                <w:sz w:val="20"/>
                <w:szCs w:val="20"/>
                <w:color w:val="auto"/>
              </w:rPr>
            </w:pPr>
            <w:r>
              <w:rPr>
                <w:rFonts w:ascii="Arial" w:cs="Arial" w:eastAsia="Arial" w:hAnsi="Arial"/>
                <w:sz w:val="20"/>
                <w:szCs w:val="20"/>
                <w:i w:val="1"/>
                <w:iCs w:val="1"/>
                <w:color w:val="auto"/>
              </w:rPr>
              <w:t>PPG Industries, Inc.</w:t>
            </w:r>
          </w:p>
        </w:tc>
        <w:tc>
          <w:tcPr>
            <w:tcW w:w="206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color w:val="auto"/>
                <w:w w:val="99"/>
              </w:rPr>
              <w:t>White/Male</w:t>
            </w:r>
          </w:p>
        </w:tc>
        <w:tc>
          <w:tcPr>
            <w:tcW w:w="3180" w:type="dxa"/>
            <w:vAlign w:val="bottom"/>
            <w:tcBorders>
              <w:right w:val="single" w:sz="8" w:color="582C83"/>
            </w:tcBorders>
          </w:tcPr>
          <w:p>
            <w:pPr>
              <w:spacing w:after="0"/>
              <w:rPr>
                <w:sz w:val="19"/>
                <w:szCs w:val="19"/>
                <w:color w:val="auto"/>
              </w:rPr>
            </w:pPr>
          </w:p>
        </w:tc>
        <w:tc>
          <w:tcPr>
            <w:tcW w:w="2020" w:type="dxa"/>
            <w:vAlign w:val="bottom"/>
            <w:tcBorders>
              <w:right w:val="single" w:sz="8" w:color="582C83"/>
            </w:tcBorders>
          </w:tcPr>
          <w:p>
            <w:pPr>
              <w:ind w:left="60"/>
              <w:spacing w:after="0" w:line="223"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Governance</w:t>
            </w:r>
          </w:p>
        </w:tc>
        <w:tc>
          <w:tcPr>
            <w:tcW w:w="0" w:type="dxa"/>
            <w:vAlign w:val="bottom"/>
          </w:tcPr>
          <w:p>
            <w:pPr>
              <w:spacing w:after="0"/>
              <w:rPr>
                <w:sz w:val="1"/>
                <w:szCs w:val="1"/>
                <w:color w:val="auto"/>
              </w:rPr>
            </w:pPr>
          </w:p>
        </w:tc>
      </w:tr>
      <w:tr>
        <w:trPr>
          <w:trHeight w:val="189"/>
        </w:trPr>
        <w:tc>
          <w:tcPr>
            <w:tcW w:w="1040" w:type="dxa"/>
            <w:vAlign w:val="bottom"/>
            <w:tcBorders>
              <w:left w:val="single" w:sz="8" w:color="582C83"/>
              <w:right w:val="single" w:sz="8" w:color="582C83"/>
            </w:tcBorders>
          </w:tcPr>
          <w:p>
            <w:pPr>
              <w:spacing w:after="0"/>
              <w:rPr>
                <w:sz w:val="16"/>
                <w:szCs w:val="16"/>
                <w:color w:val="auto"/>
              </w:rPr>
            </w:pPr>
          </w:p>
        </w:tc>
        <w:tc>
          <w:tcPr>
            <w:tcW w:w="2960" w:type="dxa"/>
            <w:vAlign w:val="bottom"/>
            <w:tcBorders>
              <w:right w:val="single" w:sz="8" w:color="582C83"/>
            </w:tcBorders>
          </w:tcPr>
          <w:p>
            <w:pPr>
              <w:spacing w:after="0"/>
              <w:rPr>
                <w:sz w:val="16"/>
                <w:szCs w:val="16"/>
                <w:color w:val="auto"/>
              </w:rPr>
            </w:pPr>
          </w:p>
        </w:tc>
        <w:tc>
          <w:tcPr>
            <w:tcW w:w="2060" w:type="dxa"/>
            <w:vAlign w:val="bottom"/>
            <w:tcBorders>
              <w:right w:val="single" w:sz="8" w:color="582C83"/>
            </w:tcBorders>
            <w:vMerge w:val="continue"/>
          </w:tcPr>
          <w:p>
            <w:pPr>
              <w:spacing w:after="0"/>
              <w:rPr>
                <w:sz w:val="16"/>
                <w:szCs w:val="16"/>
                <w:color w:val="auto"/>
              </w:rPr>
            </w:pPr>
          </w:p>
        </w:tc>
        <w:tc>
          <w:tcPr>
            <w:tcW w:w="3180" w:type="dxa"/>
            <w:vAlign w:val="bottom"/>
            <w:tcBorders>
              <w:right w:val="single" w:sz="8" w:color="582C83"/>
            </w:tcBorders>
          </w:tcPr>
          <w:p>
            <w:pPr>
              <w:spacing w:after="0"/>
              <w:rPr>
                <w:sz w:val="16"/>
                <w:szCs w:val="16"/>
                <w:color w:val="auto"/>
              </w:rPr>
            </w:pPr>
          </w:p>
        </w:tc>
        <w:tc>
          <w:tcPr>
            <w:tcW w:w="2020" w:type="dxa"/>
            <w:vAlign w:val="bottom"/>
            <w:tcBorders>
              <w:right w:val="single" w:sz="8" w:color="582C83"/>
            </w:tcBorders>
            <w:vMerge w:val="restart"/>
          </w:tcPr>
          <w:p>
            <w:pPr>
              <w:ind w:left="220"/>
              <w:spacing w:after="0"/>
              <w:rPr>
                <w:sz w:val="20"/>
                <w:szCs w:val="20"/>
                <w:color w:val="auto"/>
              </w:rPr>
            </w:pPr>
            <w:r>
              <w:rPr>
                <w:rFonts w:ascii="Arial" w:cs="Arial" w:eastAsia="Arial" w:hAnsi="Arial"/>
                <w:sz w:val="20"/>
                <w:szCs w:val="20"/>
                <w:color w:val="auto"/>
              </w:rPr>
              <w:t>(Chair)</w:t>
            </w:r>
          </w:p>
        </w:tc>
        <w:tc>
          <w:tcPr>
            <w:tcW w:w="0" w:type="dxa"/>
            <w:vAlign w:val="bottom"/>
          </w:tcPr>
          <w:p>
            <w:pPr>
              <w:spacing w:after="0"/>
              <w:rPr>
                <w:sz w:val="1"/>
                <w:szCs w:val="1"/>
                <w:color w:val="auto"/>
              </w:rPr>
            </w:pPr>
          </w:p>
        </w:tc>
      </w:tr>
      <w:tr>
        <w:trPr>
          <w:trHeight w:val="71"/>
        </w:trPr>
        <w:tc>
          <w:tcPr>
            <w:tcW w:w="1040" w:type="dxa"/>
            <w:vAlign w:val="bottom"/>
            <w:tcBorders>
              <w:left w:val="single" w:sz="8" w:color="582C83"/>
              <w:right w:val="single" w:sz="8" w:color="582C83"/>
            </w:tcBorders>
          </w:tcPr>
          <w:p>
            <w:pPr>
              <w:spacing w:after="0"/>
              <w:rPr>
                <w:sz w:val="6"/>
                <w:szCs w:val="6"/>
                <w:color w:val="auto"/>
              </w:rPr>
            </w:pPr>
          </w:p>
        </w:tc>
        <w:tc>
          <w:tcPr>
            <w:tcW w:w="2960" w:type="dxa"/>
            <w:vAlign w:val="bottom"/>
            <w:tcBorders>
              <w:right w:val="single" w:sz="8" w:color="582C83"/>
            </w:tcBorders>
          </w:tcPr>
          <w:p>
            <w:pPr>
              <w:spacing w:after="0"/>
              <w:rPr>
                <w:sz w:val="6"/>
                <w:szCs w:val="6"/>
                <w:color w:val="auto"/>
              </w:rPr>
            </w:pPr>
          </w:p>
        </w:tc>
        <w:tc>
          <w:tcPr>
            <w:tcW w:w="206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color w:val="auto"/>
              </w:rPr>
              <w:t>Age 73</w:t>
            </w:r>
          </w:p>
        </w:tc>
        <w:tc>
          <w:tcPr>
            <w:tcW w:w="3180" w:type="dxa"/>
            <w:vAlign w:val="bottom"/>
            <w:tcBorders>
              <w:right w:val="single" w:sz="8" w:color="582C83"/>
            </w:tcBorders>
          </w:tcPr>
          <w:p>
            <w:pPr>
              <w:spacing w:after="0"/>
              <w:rPr>
                <w:sz w:val="6"/>
                <w:szCs w:val="6"/>
                <w:color w:val="auto"/>
              </w:rPr>
            </w:pPr>
          </w:p>
        </w:tc>
        <w:tc>
          <w:tcPr>
            <w:tcW w:w="2020" w:type="dxa"/>
            <w:vAlign w:val="bottom"/>
            <w:tcBorders>
              <w:right w:val="single" w:sz="8" w:color="582C83"/>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582C83"/>
              <w:right w:val="single" w:sz="8" w:color="582C83"/>
            </w:tcBorders>
          </w:tcPr>
          <w:p>
            <w:pPr>
              <w:spacing w:after="0"/>
              <w:rPr>
                <w:sz w:val="19"/>
                <w:szCs w:val="19"/>
                <w:color w:val="auto"/>
              </w:rPr>
            </w:pPr>
          </w:p>
        </w:tc>
        <w:tc>
          <w:tcPr>
            <w:tcW w:w="2960" w:type="dxa"/>
            <w:vAlign w:val="bottom"/>
            <w:tcBorders>
              <w:right w:val="single" w:sz="8" w:color="582C83"/>
            </w:tcBorders>
          </w:tcPr>
          <w:p>
            <w:pPr>
              <w:ind w:left="160"/>
              <w:spacing w:after="0" w:line="224" w:lineRule="exact"/>
              <w:rPr>
                <w:sz w:val="20"/>
                <w:szCs w:val="20"/>
                <w:color w:val="auto"/>
              </w:rPr>
            </w:pPr>
            <w:r>
              <w:rPr>
                <w:rFonts w:ascii="Arial" w:cs="Arial" w:eastAsia="Arial" w:hAnsi="Arial"/>
                <w:sz w:val="20"/>
                <w:szCs w:val="20"/>
                <w:b w:val="1"/>
                <w:bCs w:val="1"/>
                <w:color w:val="582C83"/>
              </w:rPr>
              <w:t>INDEPENDENT</w:t>
            </w:r>
          </w:p>
        </w:tc>
        <w:tc>
          <w:tcPr>
            <w:tcW w:w="2060" w:type="dxa"/>
            <w:vAlign w:val="bottom"/>
            <w:tcBorders>
              <w:right w:val="single" w:sz="8" w:color="582C83"/>
            </w:tcBorders>
            <w:vMerge w:val="continue"/>
          </w:tcPr>
          <w:p>
            <w:pPr>
              <w:spacing w:after="0"/>
              <w:rPr>
                <w:sz w:val="19"/>
                <w:szCs w:val="19"/>
                <w:color w:val="auto"/>
              </w:rPr>
            </w:pPr>
          </w:p>
        </w:tc>
        <w:tc>
          <w:tcPr>
            <w:tcW w:w="3180" w:type="dxa"/>
            <w:vAlign w:val="bottom"/>
            <w:tcBorders>
              <w:right w:val="single" w:sz="8" w:color="582C83"/>
            </w:tcBorders>
          </w:tcPr>
          <w:p>
            <w:pPr>
              <w:spacing w:after="0"/>
              <w:rPr>
                <w:sz w:val="19"/>
                <w:szCs w:val="19"/>
                <w:color w:val="auto"/>
              </w:rPr>
            </w:pPr>
          </w:p>
        </w:tc>
        <w:tc>
          <w:tcPr>
            <w:tcW w:w="2020" w:type="dxa"/>
            <w:vAlign w:val="bottom"/>
            <w:tcBorders>
              <w:right w:val="single" w:sz="8" w:color="582C83"/>
            </w:tcBorders>
          </w:tcPr>
          <w:p>
            <w:pPr>
              <w:ind w:left="6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People and</w:t>
            </w:r>
          </w:p>
        </w:tc>
        <w:tc>
          <w:tcPr>
            <w:tcW w:w="0" w:type="dxa"/>
            <w:vAlign w:val="bottom"/>
          </w:tcPr>
          <w:p>
            <w:pPr>
              <w:spacing w:after="0"/>
              <w:rPr>
                <w:sz w:val="1"/>
                <w:szCs w:val="1"/>
                <w:color w:val="auto"/>
              </w:rPr>
            </w:pPr>
          </w:p>
        </w:tc>
      </w:tr>
      <w:tr>
        <w:trPr>
          <w:trHeight w:val="264"/>
        </w:trPr>
        <w:tc>
          <w:tcPr>
            <w:tcW w:w="1040" w:type="dxa"/>
            <w:vAlign w:val="bottom"/>
            <w:tcBorders>
              <w:left w:val="single" w:sz="8" w:color="582C83"/>
              <w:right w:val="single" w:sz="8" w:color="582C83"/>
            </w:tcBorders>
          </w:tcPr>
          <w:p>
            <w:pPr>
              <w:spacing w:after="0"/>
              <w:rPr>
                <w:sz w:val="22"/>
                <w:szCs w:val="22"/>
                <w:color w:val="auto"/>
              </w:rPr>
            </w:pPr>
          </w:p>
        </w:tc>
        <w:tc>
          <w:tcPr>
            <w:tcW w:w="2960" w:type="dxa"/>
            <w:vAlign w:val="bottom"/>
            <w:tcBorders>
              <w:right w:val="single" w:sz="8" w:color="582C83"/>
            </w:tcBorders>
          </w:tcPr>
          <w:p>
            <w:pPr>
              <w:spacing w:after="0"/>
              <w:rPr>
                <w:sz w:val="22"/>
                <w:szCs w:val="22"/>
                <w:color w:val="auto"/>
              </w:rPr>
            </w:pPr>
          </w:p>
        </w:tc>
        <w:tc>
          <w:tcPr>
            <w:tcW w:w="2060" w:type="dxa"/>
            <w:vAlign w:val="bottom"/>
            <w:tcBorders>
              <w:right w:val="single" w:sz="8" w:color="582C83"/>
            </w:tcBorders>
          </w:tcPr>
          <w:p>
            <w:pPr>
              <w:spacing w:after="0"/>
              <w:rPr>
                <w:sz w:val="22"/>
                <w:szCs w:val="22"/>
                <w:color w:val="auto"/>
              </w:rPr>
            </w:pPr>
          </w:p>
        </w:tc>
        <w:tc>
          <w:tcPr>
            <w:tcW w:w="3180" w:type="dxa"/>
            <w:vAlign w:val="bottom"/>
            <w:tcBorders>
              <w:right w:val="single" w:sz="8" w:color="582C83"/>
            </w:tcBorders>
          </w:tcPr>
          <w:p>
            <w:pPr>
              <w:spacing w:after="0"/>
              <w:rPr>
                <w:sz w:val="22"/>
                <w:szCs w:val="22"/>
                <w:color w:val="auto"/>
              </w:rPr>
            </w:pPr>
          </w:p>
        </w:tc>
        <w:tc>
          <w:tcPr>
            <w:tcW w:w="2020" w:type="dxa"/>
            <w:vAlign w:val="bottom"/>
            <w:tcBorders>
              <w:right w:val="single" w:sz="8" w:color="582C83"/>
            </w:tcBorders>
          </w:tcPr>
          <w:p>
            <w:pPr>
              <w:ind w:left="220"/>
              <w:spacing w:after="0"/>
              <w:rPr>
                <w:sz w:val="20"/>
                <w:szCs w:val="20"/>
                <w:color w:val="auto"/>
              </w:rPr>
            </w:pPr>
            <w:r>
              <w:rPr>
                <w:rFonts w:ascii="Arial" w:cs="Arial" w:eastAsia="Arial" w:hAnsi="Arial"/>
                <w:sz w:val="20"/>
                <w:szCs w:val="20"/>
                <w:color w:val="auto"/>
              </w:rPr>
              <w:t>Compensation</w:t>
            </w:r>
          </w:p>
        </w:tc>
        <w:tc>
          <w:tcPr>
            <w:tcW w:w="0" w:type="dxa"/>
            <w:vAlign w:val="bottom"/>
          </w:tcPr>
          <w:p>
            <w:pPr>
              <w:spacing w:after="0"/>
              <w:rPr>
                <w:sz w:val="1"/>
                <w:szCs w:val="1"/>
                <w:color w:val="auto"/>
              </w:rPr>
            </w:pPr>
          </w:p>
        </w:tc>
      </w:tr>
      <w:tr>
        <w:trPr>
          <w:trHeight w:val="85"/>
        </w:trPr>
        <w:tc>
          <w:tcPr>
            <w:tcW w:w="1040" w:type="dxa"/>
            <w:vAlign w:val="bottom"/>
            <w:tcBorders>
              <w:left w:val="single" w:sz="8" w:color="582C83"/>
              <w:bottom w:val="single" w:sz="8" w:color="582C83"/>
              <w:right w:val="single" w:sz="8" w:color="582C83"/>
            </w:tcBorders>
          </w:tcPr>
          <w:p>
            <w:pPr>
              <w:spacing w:after="0"/>
              <w:rPr>
                <w:sz w:val="7"/>
                <w:szCs w:val="7"/>
                <w:color w:val="auto"/>
              </w:rPr>
            </w:pPr>
          </w:p>
        </w:tc>
        <w:tc>
          <w:tcPr>
            <w:tcW w:w="2960" w:type="dxa"/>
            <w:vAlign w:val="bottom"/>
            <w:tcBorders>
              <w:bottom w:val="single" w:sz="8" w:color="582C83"/>
              <w:right w:val="single" w:sz="8" w:color="582C83"/>
            </w:tcBorders>
          </w:tcPr>
          <w:p>
            <w:pPr>
              <w:spacing w:after="0"/>
              <w:rPr>
                <w:sz w:val="7"/>
                <w:szCs w:val="7"/>
                <w:color w:val="auto"/>
              </w:rPr>
            </w:pPr>
          </w:p>
        </w:tc>
        <w:tc>
          <w:tcPr>
            <w:tcW w:w="2060" w:type="dxa"/>
            <w:vAlign w:val="bottom"/>
            <w:tcBorders>
              <w:bottom w:val="single" w:sz="8" w:color="582C83"/>
              <w:right w:val="single" w:sz="8" w:color="582C83"/>
            </w:tcBorders>
          </w:tcPr>
          <w:p>
            <w:pPr>
              <w:spacing w:after="0"/>
              <w:rPr>
                <w:sz w:val="7"/>
                <w:szCs w:val="7"/>
                <w:color w:val="auto"/>
              </w:rPr>
            </w:pPr>
          </w:p>
        </w:tc>
        <w:tc>
          <w:tcPr>
            <w:tcW w:w="3180" w:type="dxa"/>
            <w:vAlign w:val="bottom"/>
            <w:tcBorders>
              <w:bottom w:val="single" w:sz="8" w:color="572C83"/>
              <w:right w:val="single" w:sz="8" w:color="582C83"/>
            </w:tcBorders>
          </w:tcPr>
          <w:p>
            <w:pPr>
              <w:spacing w:after="0"/>
              <w:rPr>
                <w:sz w:val="7"/>
                <w:szCs w:val="7"/>
                <w:color w:val="auto"/>
              </w:rPr>
            </w:pPr>
          </w:p>
        </w:tc>
        <w:tc>
          <w:tcPr>
            <w:tcW w:w="2020" w:type="dxa"/>
            <w:vAlign w:val="bottom"/>
            <w:tcBorders>
              <w:bottom w:val="single" w:sz="8" w:color="582C83"/>
              <w:right w:val="single" w:sz="8" w:color="582C83"/>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-788035</wp:posOffset>
            </wp:positionV>
            <wp:extent cx="7143115" cy="24123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3115" cy="2412365"/>
                    </a:xfrm>
                    <a:prstGeom prst="rect">
                      <a:avLst/>
                    </a:prstGeom>
                    <a:noFill/>
                  </pic:spPr>
                </pic:pic>
              </a:graphicData>
            </a:graphic>
          </wp:anchor>
        </w:drawing>
      </w:r>
    </w:p>
    <w:p>
      <w:pPr>
        <w:spacing w:after="0" w:line="2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PROFESSIONAL BACKGROUND:</w:t>
      </w:r>
    </w:p>
    <w:p>
      <w:pPr>
        <w:spacing w:after="0" w:line="14" w:lineRule="exact"/>
        <w:rPr>
          <w:sz w:val="20"/>
          <w:szCs w:val="20"/>
          <w:color w:val="auto"/>
        </w:rPr>
      </w:pPr>
    </w:p>
    <w:p>
      <w:pPr>
        <w:ind w:left="80" w:right="140"/>
        <w:spacing w:after="0" w:line="251" w:lineRule="auto"/>
        <w:rPr>
          <w:sz w:val="20"/>
          <w:szCs w:val="20"/>
          <w:color w:val="auto"/>
        </w:rPr>
      </w:pPr>
      <w:r>
        <w:rPr>
          <w:rFonts w:ascii="Arial" w:cs="Arial" w:eastAsia="Arial" w:hAnsi="Arial"/>
          <w:sz w:val="19"/>
          <w:szCs w:val="19"/>
          <w:color w:val="auto"/>
        </w:rPr>
        <w:t>Mr. Bunch served as Executive Chairman of PPG Industries, Inc., a manufacturer and distributor of a broad range of coatings, specialty materials and glass products, from September 2015 until his retirement in August 2016. He served as Chairman, President and Chief Executive Officer of PPG from 2005 until 2015; President and Chief Executive Officer from March 2005 until July 2005; President and Chief Operating Officer from 2002 until 2005; Executive Vice President, Coatings from 2000 to 2002; and Senior Vice President, Strategic Planning and Corporate Services from 1997 to 2000. He joined PPG in 1979 and held various positions in finance and planning, marketing and general management in the United States and Europe.</w:t>
      </w:r>
    </w:p>
    <w:p>
      <w:pPr>
        <w:spacing w:after="0" w:line="62" w:lineRule="exact"/>
        <w:rPr>
          <w:sz w:val="20"/>
          <w:szCs w:val="20"/>
          <w:color w:val="auto"/>
        </w:rPr>
      </w:pPr>
    </w:p>
    <w:p>
      <w:pPr>
        <w:ind w:left="80" w:right="100"/>
        <w:spacing w:after="0" w:line="250" w:lineRule="auto"/>
        <w:rPr>
          <w:sz w:val="20"/>
          <w:szCs w:val="20"/>
          <w:color w:val="auto"/>
        </w:rPr>
      </w:pPr>
      <w:r>
        <w:rPr>
          <w:rFonts w:ascii="Arial" w:cs="Arial" w:eastAsia="Arial" w:hAnsi="Arial"/>
          <w:sz w:val="20"/>
          <w:szCs w:val="20"/>
          <w:color w:val="auto"/>
        </w:rPr>
        <w:t>Mr. Bunch is a former director and chairman of the Federal Reserve Bank of Cleveland, which gave him a deep understanding of the U.S. economy and corporate finance. He also is a former director and chairman of the National Association of Manufacturers.</w:t>
      </w:r>
    </w:p>
    <w:p>
      <w:pPr>
        <w:spacing w:after="0" w:line="27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DIRECTOR QUALIFICATIONS:</w:t>
      </w:r>
    </w:p>
    <w:p>
      <w:pPr>
        <w:spacing w:after="0" w:line="44" w:lineRule="exact"/>
        <w:rPr>
          <w:sz w:val="20"/>
          <w:szCs w:val="20"/>
          <w:color w:val="auto"/>
        </w:rPr>
      </w:pPr>
    </w:p>
    <w:p>
      <w:pPr>
        <w:ind w:left="220" w:right="220" w:hanging="159"/>
        <w:spacing w:after="0" w:line="252" w:lineRule="auto"/>
        <w:tabs>
          <w:tab w:leader="none" w:pos="220" w:val="left"/>
        </w:tabs>
        <w:numPr>
          <w:ilvl w:val="0"/>
          <w:numId w:val="13"/>
        </w:numPr>
        <w:rPr>
          <w:rFonts w:ascii="Arial" w:cs="Arial" w:eastAsia="Arial" w:hAnsi="Arial"/>
          <w:sz w:val="20"/>
          <w:szCs w:val="20"/>
          <w:color w:val="582C83"/>
        </w:rPr>
      </w:pPr>
      <w:r>
        <w:rPr>
          <w:rFonts w:ascii="Arial" w:cs="Arial" w:eastAsia="Arial" w:hAnsi="Arial"/>
          <w:sz w:val="20"/>
          <w:szCs w:val="20"/>
          <w:color w:val="auto"/>
        </w:rPr>
        <w:t>During his 37-year career at PPG, Mr. Bunch gained valuable experience in executive leadership, operations management, cost management, risk management and strategic planning.</w:t>
      </w:r>
    </w:p>
    <w:p>
      <w:pPr>
        <w:ind w:left="220" w:right="440" w:hanging="159"/>
        <w:spacing w:after="0" w:line="244" w:lineRule="auto"/>
        <w:tabs>
          <w:tab w:leader="none" w:pos="220" w:val="left"/>
        </w:tabs>
        <w:numPr>
          <w:ilvl w:val="0"/>
          <w:numId w:val="13"/>
        </w:numPr>
        <w:rPr>
          <w:rFonts w:ascii="Arial" w:cs="Arial" w:eastAsia="Arial" w:hAnsi="Arial"/>
          <w:sz w:val="20"/>
          <w:szCs w:val="20"/>
          <w:color w:val="582C83"/>
        </w:rPr>
      </w:pPr>
      <w:r>
        <w:rPr>
          <w:rFonts w:ascii="Arial" w:cs="Arial" w:eastAsia="Arial" w:hAnsi="Arial"/>
          <w:sz w:val="20"/>
          <w:szCs w:val="20"/>
          <w:color w:val="auto"/>
        </w:rPr>
        <w:t>Under Mr. Bunch’s leadership, PPG accelerated its business transformation, becoming the world’s leading paints and coatings company through strategic actions that focused its business portfolio and expanded and strengthened its international presence. During his tenure as Chairman and Chief Executive Officer, PPG made more than 30</w:t>
      </w:r>
      <w:r>
        <w:rPr>
          <w:rFonts w:ascii="Times New Roman" w:cs="Times New Roman" w:eastAsia="Times New Roman" w:hAnsi="Times New Roman"/>
          <w:sz w:val="20"/>
          <w:szCs w:val="20"/>
          <w:color w:val="auto"/>
        </w:rPr>
        <w:t> </w:t>
      </w:r>
      <w:r>
        <w:rPr>
          <w:rFonts w:ascii="Arial" w:cs="Arial" w:eastAsia="Arial" w:hAnsi="Arial"/>
          <w:sz w:val="20"/>
          <w:szCs w:val="20"/>
          <w:color w:val="auto"/>
        </w:rPr>
        <w:t>acquisitions and delivered strong growth and record financial performance.</w:t>
      </w:r>
    </w:p>
    <w:p>
      <w:pPr>
        <w:spacing w:after="0" w:line="7" w:lineRule="exact"/>
        <w:rPr>
          <w:rFonts w:ascii="Arial" w:cs="Arial" w:eastAsia="Arial" w:hAnsi="Arial"/>
          <w:sz w:val="20"/>
          <w:szCs w:val="20"/>
          <w:color w:val="582C83"/>
        </w:rPr>
      </w:pPr>
    </w:p>
    <w:p>
      <w:pPr>
        <w:ind w:left="220" w:right="160" w:hanging="159"/>
        <w:spacing w:after="0" w:line="250" w:lineRule="auto"/>
        <w:tabs>
          <w:tab w:leader="none" w:pos="220" w:val="left"/>
        </w:tabs>
        <w:numPr>
          <w:ilvl w:val="0"/>
          <w:numId w:val="13"/>
        </w:numPr>
        <w:rPr>
          <w:rFonts w:ascii="Arial" w:cs="Arial" w:eastAsia="Arial" w:hAnsi="Arial"/>
          <w:sz w:val="20"/>
          <w:szCs w:val="20"/>
          <w:color w:val="582C83"/>
        </w:rPr>
      </w:pPr>
      <w:r>
        <w:rPr>
          <w:rFonts w:ascii="Arial" w:cs="Arial" w:eastAsia="Arial" w:hAnsi="Arial"/>
          <w:sz w:val="20"/>
          <w:szCs w:val="20"/>
          <w:color w:val="auto"/>
        </w:rPr>
        <w:t>Mr. Bunch has extensive public company board and corporate governance experience. He is a director of Marathon Petroleum Corporation and a former director of ConocoPhillips, H.J. Heinz Company, PPG and The PNC Financial Services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3549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5495" cy="7620"/>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206375</wp:posOffset>
            </wp:positionV>
            <wp:extent cx="149860" cy="165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9860" cy="165735"/>
                    </a:xfrm>
                    <a:prstGeom prst="rect">
                      <a:avLst/>
                    </a:prstGeom>
                    <a:noFill/>
                  </pic:spPr>
                </pic:pic>
              </a:graphicData>
            </a:graphic>
          </wp:anchor>
        </w:drawing>
        <w:drawing>
          <wp:anchor simplePos="0" relativeHeight="251657728" behindDoc="1" locked="0" layoutInCell="0" allowOverlap="1">
            <wp:simplePos x="0" y="0"/>
            <wp:positionH relativeFrom="column">
              <wp:posOffset>1426845</wp:posOffset>
            </wp:positionH>
            <wp:positionV relativeFrom="paragraph">
              <wp:posOffset>214630</wp:posOffset>
            </wp:positionV>
            <wp:extent cx="173355" cy="1498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3355" cy="149860"/>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191135</wp:posOffset>
            </wp:positionV>
            <wp:extent cx="196850" cy="196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206375</wp:posOffset>
            </wp:positionV>
            <wp:extent cx="157480" cy="1574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7480" cy="15748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206375</wp:posOffset>
            </wp:positionV>
            <wp:extent cx="173355" cy="1574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3355" cy="157480"/>
                    </a:xfrm>
                    <a:prstGeom prst="rect">
                      <a:avLst/>
                    </a:prstGeom>
                    <a:noFill/>
                  </pic:spPr>
                </pic:pic>
              </a:graphicData>
            </a:graphic>
          </wp:anchor>
        </w:drawing>
        <w:drawing>
          <wp:anchor simplePos="0" relativeHeight="251657728" behindDoc="1" locked="0" layoutInCell="0" allowOverlap="1">
            <wp:simplePos x="0" y="0"/>
            <wp:positionH relativeFrom="column">
              <wp:posOffset>5668645</wp:posOffset>
            </wp:positionH>
            <wp:positionV relativeFrom="paragraph">
              <wp:posOffset>198755</wp:posOffset>
            </wp:positionV>
            <wp:extent cx="118110" cy="1733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8110" cy="173355"/>
                    </a:xfrm>
                    <a:prstGeom prst="rect">
                      <a:avLst/>
                    </a:prstGeom>
                    <a:noFill/>
                  </pic:spPr>
                </pic:pic>
              </a:graphicData>
            </a:graphic>
          </wp:anchor>
        </w:drawing>
        <w:drawing>
          <wp:anchor simplePos="0" relativeHeight="251657728" behindDoc="1" locked="0" layoutInCell="0" allowOverlap="1">
            <wp:simplePos x="0" y="0"/>
            <wp:positionH relativeFrom="column">
              <wp:posOffset>6661785</wp:posOffset>
            </wp:positionH>
            <wp:positionV relativeFrom="paragraph">
              <wp:posOffset>182880</wp:posOffset>
            </wp:positionV>
            <wp:extent cx="252095" cy="2127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20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20"/>
                <w:szCs w:val="20"/>
                <w:color w:val="auto"/>
              </w:rPr>
            </w:pPr>
            <w:r>
              <w:rPr>
                <w:rFonts w:ascii="Arial" w:cs="Arial" w:eastAsia="Arial" w:hAnsi="Arial"/>
                <w:sz w:val="12"/>
                <w:szCs w:val="12"/>
                <w:color w:val="auto"/>
              </w:rPr>
              <w:t>INDUSTRY EXPERIENCE</w:t>
            </w:r>
          </w:p>
        </w:tc>
        <w:tc>
          <w:tcPr>
            <w:tcW w:w="1380" w:type="dxa"/>
            <w:vAlign w:val="bottom"/>
          </w:tcPr>
          <w:p>
            <w:pPr>
              <w:jc w:val="center"/>
              <w:spacing w:after="0"/>
              <w:rPr>
                <w:sz w:val="20"/>
                <w:szCs w:val="20"/>
                <w:color w:val="auto"/>
              </w:rPr>
            </w:pPr>
            <w:r>
              <w:rPr>
                <w:rFonts w:ascii="Arial" w:cs="Arial" w:eastAsia="Arial" w:hAnsi="Arial"/>
                <w:sz w:val="12"/>
                <w:szCs w:val="12"/>
                <w:color w:val="auto"/>
              </w:rPr>
              <w:t>SIGNIFICANT</w:t>
            </w:r>
          </w:p>
        </w:tc>
        <w:tc>
          <w:tcPr>
            <w:tcW w:w="1380" w:type="dxa"/>
            <w:vAlign w:val="bottom"/>
          </w:tcPr>
          <w:p>
            <w:pPr>
              <w:jc w:val="right"/>
              <w:ind w:right="198"/>
              <w:spacing w:after="0"/>
              <w:rPr>
                <w:sz w:val="20"/>
                <w:szCs w:val="20"/>
                <w:color w:val="auto"/>
              </w:rPr>
            </w:pPr>
            <w:r>
              <w:rPr>
                <w:rFonts w:ascii="Arial" w:cs="Arial" w:eastAsia="Arial" w:hAnsi="Arial"/>
                <w:sz w:val="12"/>
                <w:szCs w:val="12"/>
                <w:color w:val="auto"/>
              </w:rPr>
              <w:t>LEADERSHIP</w:t>
            </w:r>
          </w:p>
        </w:tc>
        <w:tc>
          <w:tcPr>
            <w:tcW w:w="1860" w:type="dxa"/>
            <w:vAlign w:val="bottom"/>
          </w:tcPr>
          <w:p>
            <w:pPr>
              <w:jc w:val="center"/>
              <w:spacing w:after="0"/>
              <w:rPr>
                <w:sz w:val="20"/>
                <w:szCs w:val="20"/>
                <w:color w:val="auto"/>
              </w:rPr>
            </w:pPr>
            <w:r>
              <w:rPr>
                <w:rFonts w:ascii="Arial" w:cs="Arial" w:eastAsia="Arial" w:hAnsi="Arial"/>
                <w:sz w:val="12"/>
                <w:szCs w:val="12"/>
                <w:color w:val="auto"/>
              </w:rPr>
              <w:t>SUBSTANTIAL GLOBAL</w:t>
            </w:r>
          </w:p>
        </w:tc>
        <w:tc>
          <w:tcPr>
            <w:tcW w:w="1780" w:type="dxa"/>
            <w:vAlign w:val="bottom"/>
          </w:tcPr>
          <w:p>
            <w:pPr>
              <w:jc w:val="center"/>
              <w:spacing w:after="0"/>
              <w:rPr>
                <w:sz w:val="20"/>
                <w:szCs w:val="20"/>
                <w:color w:val="auto"/>
              </w:rPr>
            </w:pPr>
            <w:r>
              <w:rPr>
                <w:rFonts w:ascii="Arial" w:cs="Arial" w:eastAsia="Arial" w:hAnsi="Arial"/>
                <w:sz w:val="12"/>
                <w:szCs w:val="12"/>
                <w:color w:val="auto"/>
              </w:rPr>
              <w:t>ACCOUNTING AND</w:t>
            </w:r>
          </w:p>
        </w:tc>
        <w:tc>
          <w:tcPr>
            <w:tcW w:w="1800" w:type="dxa"/>
            <w:vAlign w:val="bottom"/>
          </w:tcPr>
          <w:p>
            <w:pPr>
              <w:jc w:val="center"/>
              <w:spacing w:after="0"/>
              <w:rPr>
                <w:sz w:val="20"/>
                <w:szCs w:val="20"/>
                <w:color w:val="auto"/>
              </w:rPr>
            </w:pPr>
            <w:r>
              <w:rPr>
                <w:rFonts w:ascii="Arial" w:cs="Arial" w:eastAsia="Arial" w:hAnsi="Arial"/>
                <w:sz w:val="12"/>
                <w:szCs w:val="12"/>
                <w:color w:val="auto"/>
              </w:rPr>
              <w:t>PRODUCT RESEARCH,</w:t>
            </w: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PUBLIC COMPANY</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OPERATING</w:t>
            </w:r>
          </w:p>
        </w:tc>
        <w:tc>
          <w:tcPr>
            <w:tcW w:w="1380" w:type="dxa"/>
            <w:vAlign w:val="bottom"/>
          </w:tcPr>
          <w:p>
            <w:pPr>
              <w:jc w:val="right"/>
              <w:ind w:right="198"/>
              <w:spacing w:after="0" w:line="137" w:lineRule="exact"/>
              <w:rPr>
                <w:sz w:val="20"/>
                <w:szCs w:val="20"/>
                <w:color w:val="auto"/>
              </w:rPr>
            </w:pPr>
            <w:r>
              <w:rPr>
                <w:rFonts w:ascii="Arial" w:cs="Arial" w:eastAsia="Arial" w:hAnsi="Arial"/>
                <w:sz w:val="12"/>
                <w:szCs w:val="12"/>
                <w:color w:val="auto"/>
              </w:rPr>
              <w:t>EXPERIENCE</w:t>
            </w: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BUSINESS AND OTHER</w:t>
            </w:r>
          </w:p>
        </w:tc>
        <w:tc>
          <w:tcPr>
            <w:tcW w:w="1780" w:type="dxa"/>
            <w:vAlign w:val="bottom"/>
          </w:tcPr>
          <w:p>
            <w:pPr>
              <w:jc w:val="center"/>
              <w:spacing w:after="0" w:line="137" w:lineRule="exact"/>
              <w:rPr>
                <w:sz w:val="20"/>
                <w:szCs w:val="20"/>
                <w:color w:val="auto"/>
              </w:rPr>
            </w:pPr>
            <w:r>
              <w:rPr>
                <w:rFonts w:ascii="Arial" w:cs="Arial" w:eastAsia="Arial" w:hAnsi="Arial"/>
                <w:sz w:val="12"/>
                <w:szCs w:val="12"/>
                <w:color w:val="auto"/>
              </w:rPr>
              <w:t>FINANCIAL EXPERTISE</w:t>
            </w: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DEVELOPMENT</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BOARD AND</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INTERNATIONAL</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AND MARKETING</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CORPORATE</w:t>
            </w:r>
          </w:p>
        </w:tc>
      </w:tr>
      <w:tr>
        <w:trPr>
          <w:trHeight w:val="137"/>
        </w:trPr>
        <w:tc>
          <w:tcPr>
            <w:tcW w:w="17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GOVERNANCE</w:t>
            </w:r>
          </w:p>
        </w:tc>
      </w:tr>
      <w:tr>
        <w:trPr>
          <w:trHeight w:val="164"/>
        </w:trPr>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311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311785</wp:posOffset>
            </wp:positionV>
            <wp:extent cx="7143115" cy="1151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3115" cy="1151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Arial" w:cs="Arial" w:eastAsia="Arial" w:hAnsi="Arial"/>
                <w:sz w:val="20"/>
                <w:szCs w:val="20"/>
                <w:b w:val="1"/>
                <w:bCs w:val="1"/>
                <w:color w:val="auto"/>
              </w:rPr>
              <w:t>Ertharin Cousin</w:t>
            </w:r>
          </w:p>
        </w:tc>
        <w:tc>
          <w:tcPr>
            <w:tcW w:w="2340" w:type="dxa"/>
            <w:vAlign w:val="bottom"/>
          </w:tcPr>
          <w:p>
            <w:pPr>
              <w:jc w:val="center"/>
              <w:spacing w:after="0"/>
              <w:rPr>
                <w:sz w:val="20"/>
                <w:szCs w:val="20"/>
                <w:color w:val="auto"/>
              </w:rPr>
            </w:pPr>
            <w:r>
              <w:rPr>
                <w:rFonts w:ascii="Arial" w:cs="Arial" w:eastAsia="Arial" w:hAnsi="Arial"/>
                <w:sz w:val="20"/>
                <w:szCs w:val="20"/>
                <w:b w:val="1"/>
                <w:bCs w:val="1"/>
                <w:color w:val="auto"/>
                <w:w w:val="98"/>
              </w:rPr>
              <w:t>DIRECTOR SINCE:</w:t>
            </w:r>
          </w:p>
        </w:tc>
        <w:tc>
          <w:tcPr>
            <w:tcW w:w="2440" w:type="dxa"/>
            <w:vAlign w:val="bottom"/>
          </w:tcPr>
          <w:p>
            <w:pPr>
              <w:ind w:left="300"/>
              <w:spacing w:after="0"/>
              <w:rPr>
                <w:sz w:val="20"/>
                <w:szCs w:val="20"/>
                <w:color w:val="auto"/>
              </w:rPr>
            </w:pPr>
            <w:r>
              <w:rPr>
                <w:rFonts w:ascii="Arial" w:cs="Arial" w:eastAsia="Arial" w:hAnsi="Arial"/>
                <w:sz w:val="20"/>
                <w:szCs w:val="20"/>
                <w:b w:val="1"/>
                <w:bCs w:val="1"/>
                <w:color w:val="auto"/>
              </w:rPr>
              <w:t>DIRECTOR SKILLS:</w:t>
            </w:r>
          </w:p>
        </w:tc>
        <w:tc>
          <w:tcPr>
            <w:tcW w:w="2800" w:type="dxa"/>
            <w:vAlign w:val="bottom"/>
          </w:tcPr>
          <w:p>
            <w:pPr>
              <w:jc w:val="center"/>
              <w:ind w:left="221"/>
              <w:spacing w:after="0"/>
              <w:rPr>
                <w:sz w:val="20"/>
                <w:szCs w:val="20"/>
                <w:color w:val="auto"/>
              </w:rPr>
            </w:pPr>
            <w:r>
              <w:rPr>
                <w:rFonts w:ascii="Arial" w:cs="Arial" w:eastAsia="Arial" w:hAnsi="Arial"/>
                <w:sz w:val="20"/>
                <w:szCs w:val="20"/>
                <w:b w:val="1"/>
                <w:bCs w:val="1"/>
                <w:color w:val="auto"/>
                <w:w w:val="98"/>
              </w:rPr>
              <w:t>BOARD</w:t>
            </w:r>
          </w:p>
        </w:tc>
        <w:tc>
          <w:tcPr>
            <w:tcW w:w="0" w:type="dxa"/>
            <w:vAlign w:val="bottom"/>
          </w:tcPr>
          <w:p>
            <w:pPr>
              <w:spacing w:after="0"/>
              <w:rPr>
                <w:sz w:val="1"/>
                <w:szCs w:val="1"/>
                <w:color w:val="auto"/>
              </w:rPr>
            </w:pPr>
          </w:p>
        </w:tc>
      </w:tr>
      <w:tr>
        <w:trPr>
          <w:trHeight w:val="261"/>
        </w:trPr>
        <w:tc>
          <w:tcPr>
            <w:tcW w:w="2360" w:type="dxa"/>
            <w:vAlign w:val="bottom"/>
          </w:tcPr>
          <w:p>
            <w:pPr>
              <w:spacing w:after="0"/>
              <w:rPr>
                <w:sz w:val="20"/>
                <w:szCs w:val="20"/>
                <w:color w:val="auto"/>
              </w:rPr>
            </w:pPr>
            <w:r>
              <w:rPr>
                <w:rFonts w:ascii="Arial" w:cs="Arial" w:eastAsia="Arial" w:hAnsi="Arial"/>
                <w:sz w:val="20"/>
                <w:szCs w:val="20"/>
                <w:i w:val="1"/>
                <w:iCs w:val="1"/>
                <w:color w:val="auto"/>
              </w:rPr>
              <w:t>Founder, President and</w:t>
            </w:r>
          </w:p>
        </w:tc>
        <w:tc>
          <w:tcPr>
            <w:tcW w:w="2340" w:type="dxa"/>
            <w:vAlign w:val="bottom"/>
          </w:tcPr>
          <w:p>
            <w:pPr>
              <w:jc w:val="center"/>
              <w:spacing w:after="0"/>
              <w:rPr>
                <w:sz w:val="20"/>
                <w:szCs w:val="20"/>
                <w:color w:val="auto"/>
              </w:rPr>
            </w:pPr>
            <w:r>
              <w:rPr>
                <w:rFonts w:ascii="Arial" w:cs="Arial" w:eastAsia="Arial" w:hAnsi="Arial"/>
                <w:sz w:val="20"/>
                <w:szCs w:val="20"/>
                <w:color w:val="auto"/>
                <w:w w:val="98"/>
              </w:rPr>
              <w:t>January 2022</w:t>
            </w:r>
          </w:p>
        </w:tc>
        <w:tc>
          <w:tcPr>
            <w:tcW w:w="2440" w:type="dxa"/>
            <w:vAlign w:val="bottom"/>
          </w:tcPr>
          <w:p>
            <w:pPr>
              <w:spacing w:after="0"/>
              <w:rPr>
                <w:sz w:val="22"/>
                <w:szCs w:val="22"/>
                <w:color w:val="auto"/>
              </w:rPr>
            </w:pPr>
          </w:p>
        </w:tc>
        <w:tc>
          <w:tcPr>
            <w:tcW w:w="2800" w:type="dxa"/>
            <w:vAlign w:val="bottom"/>
          </w:tcPr>
          <w:p>
            <w:pPr>
              <w:jc w:val="center"/>
              <w:ind w:left="221"/>
              <w:spacing w:after="0"/>
              <w:rPr>
                <w:sz w:val="20"/>
                <w:szCs w:val="20"/>
                <w:color w:val="auto"/>
              </w:rPr>
            </w:pPr>
            <w:r>
              <w:rPr>
                <w:rFonts w:ascii="Arial" w:cs="Arial" w:eastAsia="Arial" w:hAnsi="Arial"/>
                <w:sz w:val="20"/>
                <w:szCs w:val="20"/>
                <w:b w:val="1"/>
                <w:bCs w:val="1"/>
                <w:color w:val="auto"/>
                <w:w w:val="99"/>
              </w:rPr>
              <w:t>COMMITTEES:</w:t>
            </w:r>
          </w:p>
        </w:tc>
        <w:tc>
          <w:tcPr>
            <w:tcW w:w="0" w:type="dxa"/>
            <w:vAlign w:val="bottom"/>
          </w:tcPr>
          <w:p>
            <w:pPr>
              <w:spacing w:after="0"/>
              <w:rPr>
                <w:sz w:val="1"/>
                <w:szCs w:val="1"/>
                <w:color w:val="auto"/>
              </w:rPr>
            </w:pPr>
          </w:p>
        </w:tc>
      </w:tr>
      <w:tr>
        <w:trPr>
          <w:trHeight w:val="224"/>
        </w:trPr>
        <w:tc>
          <w:tcPr>
            <w:tcW w:w="2360" w:type="dxa"/>
            <w:vAlign w:val="bottom"/>
          </w:tcPr>
          <w:p>
            <w:pPr>
              <w:spacing w:after="0" w:line="225" w:lineRule="exact"/>
              <w:rPr>
                <w:sz w:val="20"/>
                <w:szCs w:val="20"/>
                <w:color w:val="auto"/>
              </w:rPr>
            </w:pPr>
            <w:r>
              <w:rPr>
                <w:rFonts w:ascii="Arial" w:cs="Arial" w:eastAsia="Arial" w:hAnsi="Arial"/>
                <w:sz w:val="20"/>
                <w:szCs w:val="20"/>
                <w:i w:val="1"/>
                <w:iCs w:val="1"/>
                <w:color w:val="auto"/>
              </w:rPr>
              <w:t>Chief Executive Officer,</w:t>
            </w:r>
          </w:p>
        </w:tc>
        <w:tc>
          <w:tcPr>
            <w:tcW w:w="2340" w:type="dxa"/>
            <w:vAlign w:val="bottom"/>
            <w:vMerge w:val="restart"/>
          </w:tcPr>
          <w:p>
            <w:pPr>
              <w:jc w:val="center"/>
              <w:spacing w:after="0"/>
              <w:rPr>
                <w:sz w:val="20"/>
                <w:szCs w:val="20"/>
                <w:color w:val="auto"/>
              </w:rPr>
            </w:pPr>
            <w:r>
              <w:rPr>
                <w:rFonts w:ascii="Arial" w:cs="Arial" w:eastAsia="Arial" w:hAnsi="Arial"/>
                <w:sz w:val="20"/>
                <w:szCs w:val="20"/>
                <w:color w:val="auto"/>
                <w:w w:val="99"/>
              </w:rPr>
              <w:t>Black/Female</w:t>
            </w:r>
          </w:p>
        </w:tc>
        <w:tc>
          <w:tcPr>
            <w:tcW w:w="2440" w:type="dxa"/>
            <w:vAlign w:val="bottom"/>
          </w:tcPr>
          <w:p>
            <w:pPr>
              <w:spacing w:after="0"/>
              <w:rPr>
                <w:sz w:val="19"/>
                <w:szCs w:val="19"/>
                <w:color w:val="auto"/>
              </w:rPr>
            </w:pPr>
          </w:p>
        </w:tc>
        <w:tc>
          <w:tcPr>
            <w:tcW w:w="2800" w:type="dxa"/>
            <w:vAlign w:val="bottom"/>
          </w:tcPr>
          <w:p>
            <w:pPr>
              <w:ind w:left="280"/>
              <w:spacing w:after="0" w:line="225"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Governance</w:t>
            </w:r>
          </w:p>
        </w:tc>
        <w:tc>
          <w:tcPr>
            <w:tcW w:w="0" w:type="dxa"/>
            <w:vAlign w:val="bottom"/>
          </w:tcPr>
          <w:p>
            <w:pPr>
              <w:spacing w:after="0"/>
              <w:rPr>
                <w:sz w:val="1"/>
                <w:szCs w:val="1"/>
                <w:color w:val="auto"/>
              </w:rPr>
            </w:pPr>
          </w:p>
        </w:tc>
      </w:tr>
      <w:tr>
        <w:trPr>
          <w:trHeight w:val="187"/>
        </w:trPr>
        <w:tc>
          <w:tcPr>
            <w:tcW w:w="2360" w:type="dxa"/>
            <w:vAlign w:val="bottom"/>
            <w:vMerge w:val="restart"/>
          </w:tcPr>
          <w:p>
            <w:pPr>
              <w:spacing w:after="0"/>
              <w:rPr>
                <w:sz w:val="20"/>
                <w:szCs w:val="20"/>
                <w:color w:val="auto"/>
              </w:rPr>
            </w:pPr>
            <w:r>
              <w:rPr>
                <w:rFonts w:ascii="Arial" w:cs="Arial" w:eastAsia="Arial" w:hAnsi="Arial"/>
                <w:sz w:val="20"/>
                <w:szCs w:val="20"/>
                <w:i w:val="1"/>
                <w:iCs w:val="1"/>
                <w:color w:val="auto"/>
              </w:rPr>
              <w:t>Food Systems for the</w:t>
            </w:r>
          </w:p>
        </w:tc>
        <w:tc>
          <w:tcPr>
            <w:tcW w:w="2340" w:type="dxa"/>
            <w:vAlign w:val="bottom"/>
            <w:vMerge w:val="continue"/>
          </w:tcPr>
          <w:p>
            <w:pPr>
              <w:spacing w:after="0"/>
              <w:rPr>
                <w:sz w:val="16"/>
                <w:szCs w:val="16"/>
                <w:color w:val="auto"/>
              </w:rPr>
            </w:pPr>
          </w:p>
        </w:tc>
        <w:tc>
          <w:tcPr>
            <w:tcW w:w="2440" w:type="dxa"/>
            <w:vAlign w:val="bottom"/>
          </w:tcPr>
          <w:p>
            <w:pPr>
              <w:spacing w:after="0"/>
              <w:rPr>
                <w:sz w:val="16"/>
                <w:szCs w:val="16"/>
                <w:color w:val="auto"/>
              </w:rPr>
            </w:pPr>
          </w:p>
        </w:tc>
        <w:tc>
          <w:tcPr>
            <w:tcW w:w="2800" w:type="dxa"/>
            <w:vAlign w:val="bottom"/>
            <w:vMerge w:val="restart"/>
          </w:tcPr>
          <w:p>
            <w:pPr>
              <w:jc w:val="center"/>
              <w:ind w:left="181"/>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People and Compensation</w:t>
            </w:r>
          </w:p>
        </w:tc>
        <w:tc>
          <w:tcPr>
            <w:tcW w:w="0" w:type="dxa"/>
            <w:vAlign w:val="bottom"/>
          </w:tcPr>
          <w:p>
            <w:pPr>
              <w:spacing w:after="0"/>
              <w:rPr>
                <w:sz w:val="1"/>
                <w:szCs w:val="1"/>
                <w:color w:val="auto"/>
              </w:rPr>
            </w:pPr>
          </w:p>
        </w:tc>
      </w:tr>
      <w:tr>
        <w:trPr>
          <w:trHeight w:val="48"/>
        </w:trPr>
        <w:tc>
          <w:tcPr>
            <w:tcW w:w="2360" w:type="dxa"/>
            <w:vAlign w:val="bottom"/>
            <w:vMerge w:val="continue"/>
          </w:tcPr>
          <w:p>
            <w:pPr>
              <w:spacing w:after="0"/>
              <w:rPr>
                <w:sz w:val="4"/>
                <w:szCs w:val="4"/>
                <w:color w:val="auto"/>
              </w:rPr>
            </w:pPr>
          </w:p>
        </w:tc>
        <w:tc>
          <w:tcPr>
            <w:tcW w:w="2340" w:type="dxa"/>
            <w:vAlign w:val="bottom"/>
            <w:vMerge w:val="restart"/>
          </w:tcPr>
          <w:p>
            <w:pPr>
              <w:jc w:val="center"/>
              <w:spacing w:after="0"/>
              <w:rPr>
                <w:sz w:val="20"/>
                <w:szCs w:val="20"/>
                <w:color w:val="auto"/>
              </w:rPr>
            </w:pPr>
            <w:r>
              <w:rPr>
                <w:rFonts w:ascii="Arial" w:cs="Arial" w:eastAsia="Arial" w:hAnsi="Arial"/>
                <w:sz w:val="20"/>
                <w:szCs w:val="20"/>
                <w:color w:val="auto"/>
              </w:rPr>
              <w:t>Age 65</w:t>
            </w:r>
          </w:p>
        </w:tc>
        <w:tc>
          <w:tcPr>
            <w:tcW w:w="244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360" w:type="dxa"/>
            <w:vAlign w:val="bottom"/>
          </w:tcPr>
          <w:p>
            <w:pPr>
              <w:spacing w:after="0"/>
              <w:rPr>
                <w:sz w:val="20"/>
                <w:szCs w:val="20"/>
                <w:color w:val="auto"/>
              </w:rPr>
            </w:pPr>
            <w:r>
              <w:rPr>
                <w:rFonts w:ascii="Arial" w:cs="Arial" w:eastAsia="Arial" w:hAnsi="Arial"/>
                <w:sz w:val="20"/>
                <w:szCs w:val="20"/>
                <w:i w:val="1"/>
                <w:iCs w:val="1"/>
                <w:color w:val="auto"/>
              </w:rPr>
              <w:t>Future Institute</w:t>
            </w:r>
          </w:p>
        </w:tc>
        <w:tc>
          <w:tcPr>
            <w:tcW w:w="2340" w:type="dxa"/>
            <w:vAlign w:val="bottom"/>
            <w:vMerge w:val="continue"/>
          </w:tcPr>
          <w:p>
            <w:pPr>
              <w:spacing w:after="0"/>
              <w:rPr>
                <w:sz w:val="22"/>
                <w:szCs w:val="22"/>
                <w:color w:val="auto"/>
              </w:rPr>
            </w:pPr>
          </w:p>
        </w:tc>
        <w:tc>
          <w:tcPr>
            <w:tcW w:w="24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582C83"/>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3115" cy="21920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3115" cy="2192020"/>
                    </a:xfrm>
                    <a:prstGeom prst="rect">
                      <a:avLst/>
                    </a:prstGeom>
                    <a:noFill/>
                  </pic:spPr>
                </pic:pic>
              </a:graphicData>
            </a:graphic>
          </wp:anchor>
        </w:drawing>
      </w:r>
    </w:p>
    <w:p>
      <w:pPr>
        <w:spacing w:after="0" w:line="14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PROFESSIONAL BACKGROUND:</w:t>
      </w:r>
    </w:p>
    <w:p>
      <w:pPr>
        <w:spacing w:after="0" w:line="14" w:lineRule="exact"/>
        <w:rPr>
          <w:sz w:val="20"/>
          <w:szCs w:val="20"/>
          <w:color w:val="auto"/>
        </w:rPr>
      </w:pPr>
    </w:p>
    <w:p>
      <w:pPr>
        <w:ind w:left="80" w:right="140"/>
        <w:spacing w:after="0" w:line="235" w:lineRule="auto"/>
        <w:rPr>
          <w:sz w:val="20"/>
          <w:szCs w:val="20"/>
          <w:color w:val="auto"/>
        </w:rPr>
      </w:pPr>
      <w:r>
        <w:rPr>
          <w:rFonts w:ascii="Arial" w:cs="Arial" w:eastAsia="Arial" w:hAnsi="Arial"/>
          <w:sz w:val="20"/>
          <w:szCs w:val="20"/>
          <w:color w:val="auto"/>
        </w:rPr>
        <w:t>Since September 2019, Ms. Cousin has served as Founder, President and Chief Executive Officer of Food Systems for the Future Institute, a non-profit organization to catalyze, enable and scale market-driven agtech, foodtech and food innovations, and also as Visiting Scholar, Spogli Institute for the Study of International Relations, Center for Food and Environment at Stanford University. She has served as Distinguished Fellow of The Chicago Council on Global Affairs, a global affairs think tank, since 2017. Ms. Cousin previously served as Payne Distinguished Lecturer and Visiting Fellow at Stanford University’s Spogli Institute from 2017 to 2019. From 2012 to 2017, Ms. Cousin served as Executive Director of the United Nations World Food Programme, the food-assistance branch of the United Nations. She was Ambassador and Permanent Representative to the United Nations Food and Agriculture Agencies on behalf of the U.S.</w:t>
      </w:r>
      <w:r>
        <w:rPr>
          <w:rFonts w:ascii="Times New Roman" w:cs="Times New Roman" w:eastAsia="Times New Roman" w:hAnsi="Times New Roman"/>
          <w:sz w:val="20"/>
          <w:szCs w:val="20"/>
          <w:color w:val="auto"/>
        </w:rPr>
        <w:t> </w:t>
      </w:r>
      <w:r>
        <w:rPr>
          <w:rFonts w:ascii="Arial" w:cs="Arial" w:eastAsia="Arial" w:hAnsi="Arial"/>
          <w:sz w:val="20"/>
          <w:szCs w:val="20"/>
          <w:color w:val="auto"/>
        </w:rPr>
        <w:t>Department of State from 2009 to 2012.</w:t>
      </w:r>
    </w:p>
    <w:p>
      <w:pPr>
        <w:spacing w:after="0" w:line="77" w:lineRule="exact"/>
        <w:rPr>
          <w:sz w:val="20"/>
          <w:szCs w:val="20"/>
          <w:color w:val="auto"/>
        </w:rPr>
      </w:pPr>
    </w:p>
    <w:p>
      <w:pPr>
        <w:ind w:left="80" w:right="200"/>
        <w:spacing w:after="0" w:line="242" w:lineRule="auto"/>
        <w:rPr>
          <w:sz w:val="20"/>
          <w:szCs w:val="20"/>
          <w:color w:val="auto"/>
        </w:rPr>
      </w:pPr>
      <w:r>
        <w:rPr>
          <w:rFonts w:ascii="Arial" w:cs="Arial" w:eastAsia="Arial" w:hAnsi="Arial"/>
          <w:sz w:val="20"/>
          <w:szCs w:val="20"/>
          <w:color w:val="auto"/>
        </w:rPr>
        <w:t>Ms. Cousin previously served in a variety of executive roles between 1987 and 2009, including Founding President and Chief Executive Officer of The Polk Street Group, a management services company; Executive Vice President and Chief Operating Officer of America’s Second Harvest; Senior Vice President, Public Affairs for Albertsons Companies; White House Liaison and Special Advisor to the Secretary for the 2016 Olympics for the U.S. Department of State; and Assistant Attorney General for The State of Illinois.</w:t>
      </w:r>
    </w:p>
    <w:p>
      <w:pPr>
        <w:spacing w:after="0" w:line="28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DIRECTOR QUALIFICATIONS:</w:t>
      </w:r>
    </w:p>
    <w:p>
      <w:pPr>
        <w:spacing w:after="0" w:line="44" w:lineRule="exact"/>
        <w:rPr>
          <w:sz w:val="20"/>
          <w:szCs w:val="20"/>
          <w:color w:val="auto"/>
        </w:rPr>
      </w:pPr>
    </w:p>
    <w:p>
      <w:pPr>
        <w:ind w:left="220" w:right="560" w:hanging="159"/>
        <w:spacing w:after="0" w:line="244" w:lineRule="auto"/>
        <w:tabs>
          <w:tab w:leader="none" w:pos="220" w:val="left"/>
        </w:tabs>
        <w:numPr>
          <w:ilvl w:val="0"/>
          <w:numId w:val="14"/>
        </w:numPr>
        <w:rPr>
          <w:rFonts w:ascii="Arial" w:cs="Arial" w:eastAsia="Arial" w:hAnsi="Arial"/>
          <w:sz w:val="20"/>
          <w:szCs w:val="20"/>
          <w:color w:val="582C83"/>
        </w:rPr>
      </w:pPr>
      <w:r>
        <w:rPr>
          <w:rFonts w:ascii="Arial" w:cs="Arial" w:eastAsia="Arial" w:hAnsi="Arial"/>
          <w:sz w:val="20"/>
          <w:szCs w:val="20"/>
          <w:color w:val="auto"/>
        </w:rPr>
        <w:t>Ms. Cousin has more than 40 years of national and international non-profit, government and corporate leadership experience, including leading the world’s largest humanitarian organization, the United Nations World Food Program, in Rome.</w:t>
      </w:r>
    </w:p>
    <w:p>
      <w:pPr>
        <w:spacing w:after="0" w:line="5" w:lineRule="exact"/>
        <w:rPr>
          <w:rFonts w:ascii="Arial" w:cs="Arial" w:eastAsia="Arial" w:hAnsi="Arial"/>
          <w:sz w:val="20"/>
          <w:szCs w:val="20"/>
          <w:color w:val="582C83"/>
        </w:rPr>
      </w:pPr>
    </w:p>
    <w:p>
      <w:pPr>
        <w:ind w:left="220" w:right="120" w:hanging="159"/>
        <w:spacing w:after="0" w:line="250" w:lineRule="auto"/>
        <w:tabs>
          <w:tab w:leader="none" w:pos="220" w:val="left"/>
        </w:tabs>
        <w:numPr>
          <w:ilvl w:val="0"/>
          <w:numId w:val="14"/>
        </w:numPr>
        <w:rPr>
          <w:rFonts w:ascii="Arial" w:cs="Arial" w:eastAsia="Arial" w:hAnsi="Arial"/>
          <w:sz w:val="20"/>
          <w:szCs w:val="20"/>
          <w:color w:val="582C83"/>
        </w:rPr>
      </w:pPr>
      <w:r>
        <w:rPr>
          <w:rFonts w:ascii="Arial" w:cs="Arial" w:eastAsia="Arial" w:hAnsi="Arial"/>
          <w:sz w:val="20"/>
          <w:szCs w:val="20"/>
          <w:color w:val="auto"/>
        </w:rPr>
        <w:t>As U.S. Ambassador to the U.N. Agencies for Food and Agriculture in Rome, she represented U.S. interests in global leader discussions regarding humanitarian and development activities, and she served as the U.S. Representative for all food, agriculture and nutrition-related issues.</w:t>
      </w:r>
    </w:p>
    <w:p>
      <w:pPr>
        <w:spacing w:after="0" w:line="1" w:lineRule="exact"/>
        <w:rPr>
          <w:rFonts w:ascii="Arial" w:cs="Arial" w:eastAsia="Arial" w:hAnsi="Arial"/>
          <w:sz w:val="20"/>
          <w:szCs w:val="20"/>
          <w:color w:val="582C83"/>
        </w:rPr>
      </w:pPr>
    </w:p>
    <w:p>
      <w:pPr>
        <w:jc w:val="both"/>
        <w:ind w:left="220" w:right="260" w:hanging="159"/>
        <w:spacing w:after="0" w:line="250" w:lineRule="auto"/>
        <w:tabs>
          <w:tab w:leader="none" w:pos="220" w:val="left"/>
        </w:tabs>
        <w:numPr>
          <w:ilvl w:val="0"/>
          <w:numId w:val="14"/>
        </w:numPr>
        <w:rPr>
          <w:rFonts w:ascii="Arial" w:cs="Arial" w:eastAsia="Arial" w:hAnsi="Arial"/>
          <w:sz w:val="20"/>
          <w:szCs w:val="20"/>
          <w:color w:val="582C83"/>
        </w:rPr>
      </w:pPr>
      <w:r>
        <w:rPr>
          <w:rFonts w:ascii="Arial" w:cs="Arial" w:eastAsia="Arial" w:hAnsi="Arial"/>
          <w:sz w:val="20"/>
          <w:szCs w:val="20"/>
          <w:color w:val="auto"/>
        </w:rPr>
        <w:t>As Executive Vice President and Chief Operating Officer, Ms. Cousin led the national operations of the largest U.S. hunger relief organization, America’s Second Harvest (now Feeding America). She also has corporate leadership experience from serving as a member of Albertsons Companies, Inc.’s executive leadership team.</w:t>
      </w:r>
    </w:p>
    <w:p>
      <w:pPr>
        <w:spacing w:after="0" w:line="1" w:lineRule="exact"/>
        <w:rPr>
          <w:rFonts w:ascii="Arial" w:cs="Arial" w:eastAsia="Arial" w:hAnsi="Arial"/>
          <w:sz w:val="20"/>
          <w:szCs w:val="20"/>
          <w:color w:val="582C83"/>
        </w:rPr>
      </w:pPr>
    </w:p>
    <w:p>
      <w:pPr>
        <w:ind w:left="220" w:hanging="159"/>
        <w:spacing w:after="0"/>
        <w:tabs>
          <w:tab w:leader="none" w:pos="220" w:val="left"/>
        </w:tabs>
        <w:numPr>
          <w:ilvl w:val="0"/>
          <w:numId w:val="14"/>
        </w:numPr>
        <w:rPr>
          <w:rFonts w:ascii="Arial" w:cs="Arial" w:eastAsia="Arial" w:hAnsi="Arial"/>
          <w:sz w:val="20"/>
          <w:szCs w:val="20"/>
          <w:color w:val="582C83"/>
        </w:rPr>
      </w:pPr>
      <w:r>
        <w:rPr>
          <w:rFonts w:ascii="Arial" w:cs="Arial" w:eastAsia="Arial" w:hAnsi="Arial"/>
          <w:sz w:val="20"/>
          <w:szCs w:val="20"/>
          <w:color w:val="auto"/>
        </w:rPr>
        <w:t>Ms. Cousin has public company executive, board and corporate governance experience. She is a director of Bayer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13549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5495" cy="7620"/>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233045</wp:posOffset>
            </wp:positionV>
            <wp:extent cx="149860" cy="165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9860" cy="165735"/>
                    </a:xfrm>
                    <a:prstGeom prst="rect">
                      <a:avLst/>
                    </a:prstGeom>
                    <a:noFill/>
                  </pic:spPr>
                </pic:pic>
              </a:graphicData>
            </a:graphic>
          </wp:anchor>
        </w:drawing>
        <w:drawing>
          <wp:anchor simplePos="0" relativeHeight="251657728" behindDoc="1" locked="0" layoutInCell="0" allowOverlap="1">
            <wp:simplePos x="0" y="0"/>
            <wp:positionH relativeFrom="column">
              <wp:posOffset>1426845</wp:posOffset>
            </wp:positionH>
            <wp:positionV relativeFrom="paragraph">
              <wp:posOffset>241300</wp:posOffset>
            </wp:positionV>
            <wp:extent cx="173355" cy="1498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3355" cy="149860"/>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217170</wp:posOffset>
            </wp:positionV>
            <wp:extent cx="196850" cy="1968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233045</wp:posOffset>
            </wp:positionV>
            <wp:extent cx="157480" cy="1574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7480" cy="15748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233045</wp:posOffset>
            </wp:positionV>
            <wp:extent cx="173355" cy="1574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3355" cy="157480"/>
                    </a:xfrm>
                    <a:prstGeom prst="rect">
                      <a:avLst/>
                    </a:prstGeom>
                    <a:noFill/>
                  </pic:spPr>
                </pic:pic>
              </a:graphicData>
            </a:graphic>
          </wp:anchor>
        </w:drawing>
        <w:drawing>
          <wp:anchor simplePos="0" relativeHeight="251657728" behindDoc="1" locked="0" layoutInCell="0" allowOverlap="1">
            <wp:simplePos x="0" y="0"/>
            <wp:positionH relativeFrom="column">
              <wp:posOffset>5668645</wp:posOffset>
            </wp:positionH>
            <wp:positionV relativeFrom="paragraph">
              <wp:posOffset>225425</wp:posOffset>
            </wp:positionV>
            <wp:extent cx="118110" cy="1733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8110" cy="173355"/>
                    </a:xfrm>
                    <a:prstGeom prst="rect">
                      <a:avLst/>
                    </a:prstGeom>
                    <a:noFill/>
                  </pic:spPr>
                </pic:pic>
              </a:graphicData>
            </a:graphic>
          </wp:anchor>
        </w:drawing>
        <w:drawing>
          <wp:anchor simplePos="0" relativeHeight="251657728" behindDoc="1" locked="0" layoutInCell="0" allowOverlap="1">
            <wp:simplePos x="0" y="0"/>
            <wp:positionH relativeFrom="column">
              <wp:posOffset>6661785</wp:posOffset>
            </wp:positionH>
            <wp:positionV relativeFrom="paragraph">
              <wp:posOffset>209550</wp:posOffset>
            </wp:positionV>
            <wp:extent cx="252095" cy="2127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20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20"/>
                <w:szCs w:val="20"/>
                <w:color w:val="auto"/>
              </w:rPr>
            </w:pPr>
            <w:r>
              <w:rPr>
                <w:rFonts w:ascii="Arial" w:cs="Arial" w:eastAsia="Arial" w:hAnsi="Arial"/>
                <w:sz w:val="12"/>
                <w:szCs w:val="12"/>
                <w:color w:val="auto"/>
              </w:rPr>
              <w:t>INDUSTRY EXPERIENCE</w:t>
            </w:r>
          </w:p>
        </w:tc>
        <w:tc>
          <w:tcPr>
            <w:tcW w:w="1380" w:type="dxa"/>
            <w:vAlign w:val="bottom"/>
          </w:tcPr>
          <w:p>
            <w:pPr>
              <w:jc w:val="center"/>
              <w:spacing w:after="0"/>
              <w:rPr>
                <w:sz w:val="20"/>
                <w:szCs w:val="20"/>
                <w:color w:val="auto"/>
              </w:rPr>
            </w:pPr>
            <w:r>
              <w:rPr>
                <w:rFonts w:ascii="Arial" w:cs="Arial" w:eastAsia="Arial" w:hAnsi="Arial"/>
                <w:sz w:val="12"/>
                <w:szCs w:val="12"/>
                <w:color w:val="auto"/>
              </w:rPr>
              <w:t>SIGNIFICANT</w:t>
            </w:r>
          </w:p>
        </w:tc>
        <w:tc>
          <w:tcPr>
            <w:tcW w:w="1380" w:type="dxa"/>
            <w:vAlign w:val="bottom"/>
          </w:tcPr>
          <w:p>
            <w:pPr>
              <w:jc w:val="right"/>
              <w:ind w:right="198"/>
              <w:spacing w:after="0"/>
              <w:rPr>
                <w:sz w:val="20"/>
                <w:szCs w:val="20"/>
                <w:color w:val="auto"/>
              </w:rPr>
            </w:pPr>
            <w:r>
              <w:rPr>
                <w:rFonts w:ascii="Arial" w:cs="Arial" w:eastAsia="Arial" w:hAnsi="Arial"/>
                <w:sz w:val="12"/>
                <w:szCs w:val="12"/>
                <w:color w:val="auto"/>
              </w:rPr>
              <w:t>LEADERSHIP</w:t>
            </w:r>
          </w:p>
        </w:tc>
        <w:tc>
          <w:tcPr>
            <w:tcW w:w="1860" w:type="dxa"/>
            <w:vAlign w:val="bottom"/>
          </w:tcPr>
          <w:p>
            <w:pPr>
              <w:jc w:val="center"/>
              <w:spacing w:after="0"/>
              <w:rPr>
                <w:sz w:val="20"/>
                <w:szCs w:val="20"/>
                <w:color w:val="auto"/>
              </w:rPr>
            </w:pPr>
            <w:r>
              <w:rPr>
                <w:rFonts w:ascii="Arial" w:cs="Arial" w:eastAsia="Arial" w:hAnsi="Arial"/>
                <w:sz w:val="12"/>
                <w:szCs w:val="12"/>
                <w:color w:val="auto"/>
              </w:rPr>
              <w:t>SUBSTANTIAL GLOBAL</w:t>
            </w:r>
          </w:p>
        </w:tc>
        <w:tc>
          <w:tcPr>
            <w:tcW w:w="1780" w:type="dxa"/>
            <w:vAlign w:val="bottom"/>
          </w:tcPr>
          <w:p>
            <w:pPr>
              <w:jc w:val="center"/>
              <w:spacing w:after="0"/>
              <w:rPr>
                <w:sz w:val="20"/>
                <w:szCs w:val="20"/>
                <w:color w:val="auto"/>
              </w:rPr>
            </w:pPr>
            <w:r>
              <w:rPr>
                <w:rFonts w:ascii="Arial" w:cs="Arial" w:eastAsia="Arial" w:hAnsi="Arial"/>
                <w:sz w:val="12"/>
                <w:szCs w:val="12"/>
                <w:color w:val="auto"/>
              </w:rPr>
              <w:t>ACCOUNTING AND</w:t>
            </w:r>
          </w:p>
        </w:tc>
        <w:tc>
          <w:tcPr>
            <w:tcW w:w="1800" w:type="dxa"/>
            <w:vAlign w:val="bottom"/>
          </w:tcPr>
          <w:p>
            <w:pPr>
              <w:jc w:val="center"/>
              <w:spacing w:after="0"/>
              <w:rPr>
                <w:sz w:val="20"/>
                <w:szCs w:val="20"/>
                <w:color w:val="auto"/>
              </w:rPr>
            </w:pPr>
            <w:r>
              <w:rPr>
                <w:rFonts w:ascii="Arial" w:cs="Arial" w:eastAsia="Arial" w:hAnsi="Arial"/>
                <w:sz w:val="12"/>
                <w:szCs w:val="12"/>
                <w:color w:val="auto"/>
              </w:rPr>
              <w:t>PRODUCT RESEARCH,</w:t>
            </w: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PUBLIC COMPANY</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OPERATING</w:t>
            </w:r>
          </w:p>
        </w:tc>
        <w:tc>
          <w:tcPr>
            <w:tcW w:w="1380" w:type="dxa"/>
            <w:vAlign w:val="bottom"/>
          </w:tcPr>
          <w:p>
            <w:pPr>
              <w:jc w:val="right"/>
              <w:ind w:right="198"/>
              <w:spacing w:after="0" w:line="137" w:lineRule="exact"/>
              <w:rPr>
                <w:sz w:val="20"/>
                <w:szCs w:val="20"/>
                <w:color w:val="auto"/>
              </w:rPr>
            </w:pPr>
            <w:r>
              <w:rPr>
                <w:rFonts w:ascii="Arial" w:cs="Arial" w:eastAsia="Arial" w:hAnsi="Arial"/>
                <w:sz w:val="12"/>
                <w:szCs w:val="12"/>
                <w:color w:val="auto"/>
              </w:rPr>
              <w:t>EXPERIENCE</w:t>
            </w: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BUSINESS AND OTHER</w:t>
            </w:r>
          </w:p>
        </w:tc>
        <w:tc>
          <w:tcPr>
            <w:tcW w:w="1780" w:type="dxa"/>
            <w:vAlign w:val="bottom"/>
          </w:tcPr>
          <w:p>
            <w:pPr>
              <w:jc w:val="center"/>
              <w:spacing w:after="0" w:line="137" w:lineRule="exact"/>
              <w:rPr>
                <w:sz w:val="20"/>
                <w:szCs w:val="20"/>
                <w:color w:val="auto"/>
              </w:rPr>
            </w:pPr>
            <w:r>
              <w:rPr>
                <w:rFonts w:ascii="Arial" w:cs="Arial" w:eastAsia="Arial" w:hAnsi="Arial"/>
                <w:sz w:val="12"/>
                <w:szCs w:val="12"/>
                <w:color w:val="auto"/>
              </w:rPr>
              <w:t>FINANCIAL EXPERTISE</w:t>
            </w: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DEVELOPMENT</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BOARD AND</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INTERNATIONAL</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AND MARKETING</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CORPORATE</w:t>
            </w:r>
          </w:p>
        </w:tc>
      </w:tr>
      <w:tr>
        <w:trPr>
          <w:trHeight w:val="137"/>
        </w:trPr>
        <w:tc>
          <w:tcPr>
            <w:tcW w:w="17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GOVERNANCE</w:t>
            </w:r>
          </w:p>
        </w:tc>
      </w:tr>
      <w:tr>
        <w:trPr>
          <w:trHeight w:val="164"/>
        </w:trPr>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311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1040" w:type="dxa"/>
            <w:vAlign w:val="bottom"/>
            <w:tcBorders>
              <w:top w:val="single" w:sz="8" w:color="582C83"/>
              <w:left w:val="single" w:sz="8" w:color="582C83"/>
              <w:right w:val="single" w:sz="8" w:color="582C83"/>
            </w:tcBorders>
          </w:tcPr>
          <w:p>
            <w:pPr>
              <w:spacing w:after="0"/>
              <w:rPr>
                <w:sz w:val="24"/>
                <w:szCs w:val="24"/>
                <w:color w:val="auto"/>
              </w:rPr>
            </w:pPr>
          </w:p>
        </w:tc>
        <w:tc>
          <w:tcPr>
            <w:tcW w:w="3020" w:type="dxa"/>
            <w:vAlign w:val="bottom"/>
            <w:tcBorders>
              <w:top w:val="single" w:sz="8" w:color="582C83"/>
              <w:right w:val="single" w:sz="8" w:color="582C83"/>
            </w:tcBorders>
          </w:tcPr>
          <w:p>
            <w:pPr>
              <w:ind w:left="160"/>
              <w:spacing w:after="0"/>
              <w:rPr>
                <w:sz w:val="20"/>
                <w:szCs w:val="20"/>
                <w:color w:val="auto"/>
              </w:rPr>
            </w:pPr>
            <w:r>
              <w:rPr>
                <w:rFonts w:ascii="Arial" w:cs="Arial" w:eastAsia="Arial" w:hAnsi="Arial"/>
                <w:sz w:val="20"/>
                <w:szCs w:val="20"/>
                <w:b w:val="1"/>
                <w:bCs w:val="1"/>
                <w:color w:val="auto"/>
              </w:rPr>
              <w:t>Jorge S. Mesquita</w:t>
            </w:r>
          </w:p>
        </w:tc>
        <w:tc>
          <w:tcPr>
            <w:tcW w:w="204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0"/>
                <w:szCs w:val="20"/>
                <w:b w:val="1"/>
                <w:bCs w:val="1"/>
                <w:color w:val="auto"/>
                <w:w w:val="98"/>
              </w:rPr>
              <w:t>DIRECTOR SINCE:</w:t>
            </w:r>
          </w:p>
        </w:tc>
        <w:tc>
          <w:tcPr>
            <w:tcW w:w="3160" w:type="dxa"/>
            <w:vAlign w:val="bottom"/>
            <w:tcBorders>
              <w:top w:val="single" w:sz="8" w:color="582C83"/>
              <w:right w:val="single" w:sz="8" w:color="582C83"/>
            </w:tcBorders>
          </w:tcPr>
          <w:p>
            <w:pPr>
              <w:ind w:left="620"/>
              <w:spacing w:after="0"/>
              <w:rPr>
                <w:sz w:val="20"/>
                <w:szCs w:val="20"/>
                <w:color w:val="auto"/>
              </w:rPr>
            </w:pPr>
            <w:r>
              <w:rPr>
                <w:rFonts w:ascii="Arial" w:cs="Arial" w:eastAsia="Arial" w:hAnsi="Arial"/>
                <w:sz w:val="20"/>
                <w:szCs w:val="20"/>
                <w:b w:val="1"/>
                <w:bCs w:val="1"/>
                <w:color w:val="auto"/>
              </w:rPr>
              <w:t>DIRECTOR SKILLS:</w:t>
            </w:r>
          </w:p>
        </w:tc>
        <w:tc>
          <w:tcPr>
            <w:tcW w:w="200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0"/>
                <w:szCs w:val="20"/>
                <w:b w:val="1"/>
                <w:bCs w:val="1"/>
                <w:color w:val="auto"/>
                <w:w w:val="98"/>
              </w:rPr>
              <w:t>BOARD</w:t>
            </w:r>
          </w:p>
        </w:tc>
        <w:tc>
          <w:tcPr>
            <w:tcW w:w="0" w:type="dxa"/>
            <w:vAlign w:val="bottom"/>
          </w:tcPr>
          <w:p>
            <w:pPr>
              <w:spacing w:after="0"/>
              <w:rPr>
                <w:sz w:val="1"/>
                <w:szCs w:val="1"/>
                <w:color w:val="auto"/>
              </w:rPr>
            </w:pPr>
          </w:p>
        </w:tc>
      </w:tr>
      <w:tr>
        <w:trPr>
          <w:trHeight w:val="261"/>
        </w:trPr>
        <w:tc>
          <w:tcPr>
            <w:tcW w:w="1040" w:type="dxa"/>
            <w:vAlign w:val="bottom"/>
            <w:tcBorders>
              <w:left w:val="single" w:sz="8" w:color="582C83"/>
              <w:right w:val="single" w:sz="8" w:color="582C83"/>
            </w:tcBorders>
          </w:tcPr>
          <w:p>
            <w:pPr>
              <w:spacing w:after="0"/>
              <w:rPr>
                <w:sz w:val="22"/>
                <w:szCs w:val="22"/>
                <w:color w:val="auto"/>
              </w:rPr>
            </w:pPr>
          </w:p>
        </w:tc>
        <w:tc>
          <w:tcPr>
            <w:tcW w:w="3020" w:type="dxa"/>
            <w:vAlign w:val="bottom"/>
            <w:tcBorders>
              <w:right w:val="single" w:sz="8" w:color="582C83"/>
            </w:tcBorders>
          </w:tcPr>
          <w:p>
            <w:pPr>
              <w:ind w:left="160"/>
              <w:spacing w:after="0"/>
              <w:rPr>
                <w:sz w:val="20"/>
                <w:szCs w:val="20"/>
                <w:color w:val="auto"/>
              </w:rPr>
            </w:pPr>
            <w:r>
              <w:rPr>
                <w:rFonts w:ascii="Arial" w:cs="Arial" w:eastAsia="Arial" w:hAnsi="Arial"/>
                <w:sz w:val="20"/>
                <w:szCs w:val="20"/>
                <w:i w:val="1"/>
                <w:iCs w:val="1"/>
                <w:color w:val="auto"/>
              </w:rPr>
              <w:t>Former Chief Executive Officer,</w:t>
            </w:r>
          </w:p>
        </w:tc>
        <w:tc>
          <w:tcPr>
            <w:tcW w:w="2040" w:type="dxa"/>
            <w:vAlign w:val="bottom"/>
            <w:tcBorders>
              <w:right w:val="single" w:sz="8" w:color="582C83"/>
            </w:tcBorders>
          </w:tcPr>
          <w:p>
            <w:pPr>
              <w:jc w:val="center"/>
              <w:spacing w:after="0"/>
              <w:rPr>
                <w:sz w:val="20"/>
                <w:szCs w:val="20"/>
                <w:color w:val="auto"/>
              </w:rPr>
            </w:pPr>
            <w:r>
              <w:rPr>
                <w:rFonts w:ascii="Arial" w:cs="Arial" w:eastAsia="Arial" w:hAnsi="Arial"/>
                <w:sz w:val="20"/>
                <w:szCs w:val="20"/>
                <w:color w:val="auto"/>
              </w:rPr>
              <w:t>May 2012</w:t>
            </w:r>
          </w:p>
        </w:tc>
        <w:tc>
          <w:tcPr>
            <w:tcW w:w="3160" w:type="dxa"/>
            <w:vAlign w:val="bottom"/>
            <w:tcBorders>
              <w:right w:val="single" w:sz="8" w:color="582C83"/>
            </w:tcBorders>
          </w:tcPr>
          <w:p>
            <w:pPr>
              <w:spacing w:after="0"/>
              <w:rPr>
                <w:sz w:val="22"/>
                <w:szCs w:val="22"/>
                <w:color w:val="auto"/>
              </w:rPr>
            </w:pPr>
          </w:p>
        </w:tc>
        <w:tc>
          <w:tcPr>
            <w:tcW w:w="2000" w:type="dxa"/>
            <w:vAlign w:val="bottom"/>
            <w:tcBorders>
              <w:right w:val="single" w:sz="8" w:color="582C83"/>
            </w:tcBorders>
          </w:tcPr>
          <w:p>
            <w:pPr>
              <w:jc w:val="center"/>
              <w:spacing w:after="0"/>
              <w:rPr>
                <w:sz w:val="20"/>
                <w:szCs w:val="20"/>
                <w:color w:val="auto"/>
              </w:rPr>
            </w:pPr>
            <w:r>
              <w:rPr>
                <w:rFonts w:ascii="Arial" w:cs="Arial" w:eastAsia="Arial" w:hAnsi="Arial"/>
                <w:sz w:val="20"/>
                <w:szCs w:val="20"/>
                <w:b w:val="1"/>
                <w:bCs w:val="1"/>
                <w:color w:val="auto"/>
                <w:w w:val="99"/>
              </w:rPr>
              <w:t>COMMITTEES:</w:t>
            </w:r>
          </w:p>
        </w:tc>
        <w:tc>
          <w:tcPr>
            <w:tcW w:w="0" w:type="dxa"/>
            <w:vAlign w:val="bottom"/>
          </w:tcPr>
          <w:p>
            <w:pPr>
              <w:spacing w:after="0"/>
              <w:rPr>
                <w:sz w:val="1"/>
                <w:szCs w:val="1"/>
                <w:color w:val="auto"/>
              </w:rPr>
            </w:pPr>
          </w:p>
        </w:tc>
      </w:tr>
      <w:tr>
        <w:trPr>
          <w:trHeight w:val="260"/>
        </w:trPr>
        <w:tc>
          <w:tcPr>
            <w:tcW w:w="1040" w:type="dxa"/>
            <w:vAlign w:val="bottom"/>
            <w:tcBorders>
              <w:left w:val="single" w:sz="8" w:color="582C83"/>
              <w:right w:val="single" w:sz="8" w:color="582C83"/>
            </w:tcBorders>
          </w:tcPr>
          <w:p>
            <w:pPr>
              <w:spacing w:after="0"/>
              <w:rPr>
                <w:sz w:val="22"/>
                <w:szCs w:val="22"/>
                <w:color w:val="auto"/>
              </w:rPr>
            </w:pPr>
          </w:p>
        </w:tc>
        <w:tc>
          <w:tcPr>
            <w:tcW w:w="3020" w:type="dxa"/>
            <w:vAlign w:val="bottom"/>
            <w:tcBorders>
              <w:right w:val="single" w:sz="8" w:color="582C83"/>
            </w:tcBorders>
          </w:tcPr>
          <w:p>
            <w:pPr>
              <w:ind w:left="160"/>
              <w:spacing w:after="0"/>
              <w:rPr>
                <w:sz w:val="20"/>
                <w:szCs w:val="20"/>
                <w:color w:val="auto"/>
              </w:rPr>
            </w:pPr>
            <w:r>
              <w:rPr>
                <w:rFonts w:ascii="Arial" w:cs="Arial" w:eastAsia="Arial" w:hAnsi="Arial"/>
                <w:sz w:val="20"/>
                <w:szCs w:val="20"/>
                <w:i w:val="1"/>
                <w:iCs w:val="1"/>
                <w:color w:val="auto"/>
              </w:rPr>
              <w:t>BlueTriton Brands,</w:t>
            </w:r>
            <w:r>
              <w:rPr>
                <w:rFonts w:ascii="Times New Roman" w:cs="Times New Roman" w:eastAsia="Times New Roman" w:hAnsi="Times New Roman"/>
                <w:sz w:val="20"/>
                <w:szCs w:val="20"/>
                <w:i w:val="1"/>
                <w:iCs w:val="1"/>
                <w:color w:val="auto"/>
              </w:rPr>
              <w:t> </w:t>
            </w:r>
            <w:r>
              <w:rPr>
                <w:rFonts w:ascii="Arial" w:cs="Arial" w:eastAsia="Arial" w:hAnsi="Arial"/>
                <w:sz w:val="20"/>
                <w:szCs w:val="20"/>
                <w:i w:val="1"/>
                <w:iCs w:val="1"/>
                <w:color w:val="auto"/>
              </w:rPr>
              <w:t>Inc</w:t>
            </w:r>
          </w:p>
        </w:tc>
        <w:tc>
          <w:tcPr>
            <w:tcW w:w="204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color w:val="auto"/>
                <w:w w:val="99"/>
              </w:rPr>
              <w:t>White/Male</w:t>
            </w:r>
          </w:p>
        </w:tc>
        <w:tc>
          <w:tcPr>
            <w:tcW w:w="3160" w:type="dxa"/>
            <w:vAlign w:val="bottom"/>
            <w:tcBorders>
              <w:right w:val="single" w:sz="8" w:color="582C83"/>
            </w:tcBorders>
          </w:tcPr>
          <w:p>
            <w:pPr>
              <w:spacing w:after="0"/>
              <w:rPr>
                <w:sz w:val="22"/>
                <w:szCs w:val="22"/>
                <w:color w:val="auto"/>
              </w:rPr>
            </w:pPr>
          </w:p>
        </w:tc>
        <w:tc>
          <w:tcPr>
            <w:tcW w:w="2000" w:type="dxa"/>
            <w:vAlign w:val="bottom"/>
            <w:tcBorders>
              <w:right w:val="single" w:sz="8" w:color="582C83"/>
            </w:tcBorders>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Audit</w:t>
            </w:r>
          </w:p>
        </w:tc>
        <w:tc>
          <w:tcPr>
            <w:tcW w:w="0" w:type="dxa"/>
            <w:vAlign w:val="bottom"/>
          </w:tcPr>
          <w:p>
            <w:pPr>
              <w:spacing w:after="0"/>
              <w:rPr>
                <w:sz w:val="1"/>
                <w:szCs w:val="1"/>
                <w:color w:val="auto"/>
              </w:rPr>
            </w:pPr>
          </w:p>
        </w:tc>
      </w:tr>
      <w:tr>
        <w:trPr>
          <w:trHeight w:val="152"/>
        </w:trPr>
        <w:tc>
          <w:tcPr>
            <w:tcW w:w="1040" w:type="dxa"/>
            <w:vAlign w:val="bottom"/>
            <w:tcBorders>
              <w:left w:val="single" w:sz="8" w:color="582C83"/>
              <w:right w:val="single" w:sz="8" w:color="582C83"/>
            </w:tcBorders>
          </w:tcPr>
          <w:p>
            <w:pPr>
              <w:spacing w:after="0"/>
              <w:rPr>
                <w:sz w:val="13"/>
                <w:szCs w:val="13"/>
                <w:color w:val="auto"/>
              </w:rPr>
            </w:pPr>
          </w:p>
        </w:tc>
        <w:tc>
          <w:tcPr>
            <w:tcW w:w="3020" w:type="dxa"/>
            <w:vAlign w:val="bottom"/>
            <w:tcBorders>
              <w:right w:val="single" w:sz="8" w:color="582C83"/>
            </w:tcBorders>
          </w:tcPr>
          <w:p>
            <w:pPr>
              <w:spacing w:after="0"/>
              <w:rPr>
                <w:sz w:val="13"/>
                <w:szCs w:val="13"/>
                <w:color w:val="auto"/>
              </w:rPr>
            </w:pPr>
          </w:p>
        </w:tc>
        <w:tc>
          <w:tcPr>
            <w:tcW w:w="2040" w:type="dxa"/>
            <w:vAlign w:val="bottom"/>
            <w:tcBorders>
              <w:right w:val="single" w:sz="8" w:color="582C83"/>
            </w:tcBorders>
            <w:vMerge w:val="continue"/>
          </w:tcPr>
          <w:p>
            <w:pPr>
              <w:spacing w:after="0"/>
              <w:rPr>
                <w:sz w:val="13"/>
                <w:szCs w:val="13"/>
                <w:color w:val="auto"/>
              </w:rPr>
            </w:pPr>
          </w:p>
        </w:tc>
        <w:tc>
          <w:tcPr>
            <w:tcW w:w="3160" w:type="dxa"/>
            <w:vAlign w:val="bottom"/>
            <w:tcBorders>
              <w:right w:val="single" w:sz="8" w:color="582C83"/>
            </w:tcBorders>
          </w:tcPr>
          <w:p>
            <w:pPr>
              <w:spacing w:after="0"/>
              <w:rPr>
                <w:sz w:val="13"/>
                <w:szCs w:val="13"/>
                <w:color w:val="auto"/>
              </w:rPr>
            </w:pPr>
          </w:p>
        </w:tc>
        <w:tc>
          <w:tcPr>
            <w:tcW w:w="2000" w:type="dxa"/>
            <w:vAlign w:val="bottom"/>
            <w:tcBorders>
              <w:right w:val="single" w:sz="8" w:color="582C83"/>
            </w:tcBorders>
            <w:vMerge w:val="restart"/>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Finance</w:t>
            </w:r>
          </w:p>
        </w:tc>
        <w:tc>
          <w:tcPr>
            <w:tcW w:w="0" w:type="dxa"/>
            <w:vAlign w:val="bottom"/>
          </w:tcPr>
          <w:p>
            <w:pPr>
              <w:spacing w:after="0"/>
              <w:rPr>
                <w:sz w:val="1"/>
                <w:szCs w:val="1"/>
                <w:color w:val="auto"/>
              </w:rPr>
            </w:pPr>
          </w:p>
        </w:tc>
      </w:tr>
      <w:tr>
        <w:trPr>
          <w:trHeight w:val="112"/>
        </w:trPr>
        <w:tc>
          <w:tcPr>
            <w:tcW w:w="1040" w:type="dxa"/>
            <w:vAlign w:val="bottom"/>
            <w:tcBorders>
              <w:left w:val="single" w:sz="8" w:color="582C83"/>
              <w:right w:val="single" w:sz="8" w:color="582C83"/>
            </w:tcBorders>
          </w:tcPr>
          <w:p>
            <w:pPr>
              <w:spacing w:after="0"/>
              <w:rPr>
                <w:sz w:val="9"/>
                <w:szCs w:val="9"/>
                <w:color w:val="auto"/>
              </w:rPr>
            </w:pPr>
          </w:p>
        </w:tc>
        <w:tc>
          <w:tcPr>
            <w:tcW w:w="3020" w:type="dxa"/>
            <w:vAlign w:val="bottom"/>
            <w:tcBorders>
              <w:right w:val="single" w:sz="8" w:color="582C83"/>
            </w:tcBorders>
            <w:vMerge w:val="restart"/>
          </w:tcPr>
          <w:p>
            <w:pPr>
              <w:ind w:left="160"/>
              <w:spacing w:after="0"/>
              <w:rPr>
                <w:sz w:val="20"/>
                <w:szCs w:val="20"/>
                <w:color w:val="auto"/>
              </w:rPr>
            </w:pPr>
            <w:r>
              <w:rPr>
                <w:rFonts w:ascii="Arial" w:cs="Arial" w:eastAsia="Arial" w:hAnsi="Arial"/>
                <w:sz w:val="20"/>
                <w:szCs w:val="20"/>
                <w:b w:val="1"/>
                <w:bCs w:val="1"/>
                <w:color w:val="582C83"/>
              </w:rPr>
              <w:t>INDEPENDENT</w:t>
            </w:r>
          </w:p>
        </w:tc>
        <w:tc>
          <w:tcPr>
            <w:tcW w:w="204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color w:val="auto"/>
                <w:w w:val="97"/>
              </w:rPr>
              <w:t>Age 61</w:t>
            </w:r>
          </w:p>
        </w:tc>
        <w:tc>
          <w:tcPr>
            <w:tcW w:w="3160" w:type="dxa"/>
            <w:vAlign w:val="bottom"/>
            <w:tcBorders>
              <w:right w:val="single" w:sz="8" w:color="582C83"/>
            </w:tcBorders>
          </w:tcPr>
          <w:p>
            <w:pPr>
              <w:spacing w:after="0"/>
              <w:rPr>
                <w:sz w:val="9"/>
                <w:szCs w:val="9"/>
                <w:color w:val="auto"/>
              </w:rPr>
            </w:pPr>
          </w:p>
        </w:tc>
        <w:tc>
          <w:tcPr>
            <w:tcW w:w="2000" w:type="dxa"/>
            <w:vAlign w:val="bottom"/>
            <w:tcBorders>
              <w:right w:val="single" w:sz="8" w:color="582C8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1040" w:type="dxa"/>
            <w:vAlign w:val="bottom"/>
            <w:tcBorders>
              <w:left w:val="single" w:sz="8" w:color="582C83"/>
              <w:right w:val="single" w:sz="8" w:color="582C83"/>
            </w:tcBorders>
          </w:tcPr>
          <w:p>
            <w:pPr>
              <w:spacing w:after="0"/>
              <w:rPr>
                <w:sz w:val="19"/>
                <w:szCs w:val="19"/>
                <w:color w:val="auto"/>
              </w:rPr>
            </w:pPr>
          </w:p>
        </w:tc>
        <w:tc>
          <w:tcPr>
            <w:tcW w:w="3020" w:type="dxa"/>
            <w:vAlign w:val="bottom"/>
            <w:tcBorders>
              <w:right w:val="single" w:sz="8" w:color="582C83"/>
            </w:tcBorders>
            <w:vMerge w:val="continue"/>
          </w:tcPr>
          <w:p>
            <w:pPr>
              <w:spacing w:after="0"/>
              <w:rPr>
                <w:sz w:val="19"/>
                <w:szCs w:val="19"/>
                <w:color w:val="auto"/>
              </w:rPr>
            </w:pPr>
          </w:p>
        </w:tc>
        <w:tc>
          <w:tcPr>
            <w:tcW w:w="2040" w:type="dxa"/>
            <w:vAlign w:val="bottom"/>
            <w:tcBorders>
              <w:right w:val="single" w:sz="8" w:color="582C83"/>
            </w:tcBorders>
            <w:vMerge w:val="continue"/>
          </w:tcPr>
          <w:p>
            <w:pPr>
              <w:spacing w:after="0"/>
              <w:rPr>
                <w:sz w:val="19"/>
                <w:szCs w:val="19"/>
                <w:color w:val="auto"/>
              </w:rPr>
            </w:pPr>
          </w:p>
        </w:tc>
        <w:tc>
          <w:tcPr>
            <w:tcW w:w="3160" w:type="dxa"/>
            <w:vAlign w:val="bottom"/>
            <w:tcBorders>
              <w:right w:val="single" w:sz="8" w:color="582C83"/>
            </w:tcBorders>
          </w:tcPr>
          <w:p>
            <w:pPr>
              <w:spacing w:after="0"/>
              <w:rPr>
                <w:sz w:val="19"/>
                <w:szCs w:val="19"/>
                <w:color w:val="auto"/>
              </w:rPr>
            </w:pPr>
          </w:p>
        </w:tc>
        <w:tc>
          <w:tcPr>
            <w:tcW w:w="2000" w:type="dxa"/>
            <w:vAlign w:val="bottom"/>
            <w:tcBorders>
              <w:right w:val="single" w:sz="8" w:color="582C83"/>
            </w:tcBorders>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1040" w:type="dxa"/>
            <w:vAlign w:val="bottom"/>
            <w:tcBorders>
              <w:left w:val="single" w:sz="8" w:color="582C83"/>
              <w:bottom w:val="single" w:sz="8" w:color="582C83"/>
              <w:right w:val="single" w:sz="8" w:color="582C83"/>
            </w:tcBorders>
          </w:tcPr>
          <w:p>
            <w:pPr>
              <w:spacing w:after="0"/>
              <w:rPr>
                <w:sz w:val="5"/>
                <w:szCs w:val="5"/>
                <w:color w:val="auto"/>
              </w:rPr>
            </w:pPr>
          </w:p>
        </w:tc>
        <w:tc>
          <w:tcPr>
            <w:tcW w:w="3020" w:type="dxa"/>
            <w:vAlign w:val="bottom"/>
            <w:tcBorders>
              <w:bottom w:val="single" w:sz="8" w:color="582C83"/>
              <w:right w:val="single" w:sz="8" w:color="582C83"/>
            </w:tcBorders>
          </w:tcPr>
          <w:p>
            <w:pPr>
              <w:spacing w:after="0"/>
              <w:rPr>
                <w:sz w:val="5"/>
                <w:szCs w:val="5"/>
                <w:color w:val="auto"/>
              </w:rPr>
            </w:pPr>
          </w:p>
        </w:tc>
        <w:tc>
          <w:tcPr>
            <w:tcW w:w="2040" w:type="dxa"/>
            <w:vAlign w:val="bottom"/>
            <w:tcBorders>
              <w:bottom w:val="single" w:sz="8" w:color="582C83"/>
              <w:right w:val="single" w:sz="8" w:color="582C83"/>
            </w:tcBorders>
          </w:tcPr>
          <w:p>
            <w:pPr>
              <w:spacing w:after="0"/>
              <w:rPr>
                <w:sz w:val="5"/>
                <w:szCs w:val="5"/>
                <w:color w:val="auto"/>
              </w:rPr>
            </w:pPr>
          </w:p>
        </w:tc>
        <w:tc>
          <w:tcPr>
            <w:tcW w:w="3160" w:type="dxa"/>
            <w:vAlign w:val="bottom"/>
            <w:tcBorders>
              <w:bottom w:val="single" w:sz="8" w:color="572C83"/>
              <w:right w:val="single" w:sz="8" w:color="582C83"/>
            </w:tcBorders>
          </w:tcPr>
          <w:p>
            <w:pPr>
              <w:spacing w:after="0"/>
              <w:rPr>
                <w:sz w:val="5"/>
                <w:szCs w:val="5"/>
                <w:color w:val="auto"/>
              </w:rPr>
            </w:pPr>
          </w:p>
        </w:tc>
        <w:tc>
          <w:tcPr>
            <w:tcW w:w="2000" w:type="dxa"/>
            <w:vAlign w:val="bottom"/>
            <w:tcBorders>
              <w:bottom w:val="single" w:sz="8" w:color="582C83"/>
              <w:right w:val="single" w:sz="8" w:color="582C8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-645795</wp:posOffset>
            </wp:positionV>
            <wp:extent cx="7143115" cy="24123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3115" cy="2412365"/>
                    </a:xfrm>
                    <a:prstGeom prst="rect">
                      <a:avLst/>
                    </a:prstGeom>
                    <a:noFill/>
                  </pic:spPr>
                </pic:pic>
              </a:graphicData>
            </a:graphic>
          </wp:anchor>
        </w:drawing>
      </w:r>
    </w:p>
    <w:p>
      <w:pPr>
        <w:spacing w:after="0" w:line="2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PROFESSIONAL BACKGROUND:</w:t>
      </w:r>
    </w:p>
    <w:p>
      <w:pPr>
        <w:spacing w:after="0" w:line="14" w:lineRule="exact"/>
        <w:rPr>
          <w:sz w:val="20"/>
          <w:szCs w:val="20"/>
          <w:color w:val="auto"/>
        </w:rPr>
      </w:pPr>
    </w:p>
    <w:p>
      <w:pPr>
        <w:ind w:left="80" w:right="120"/>
        <w:spacing w:after="0" w:line="237" w:lineRule="auto"/>
        <w:rPr>
          <w:sz w:val="20"/>
          <w:szCs w:val="20"/>
          <w:color w:val="auto"/>
        </w:rPr>
      </w:pPr>
      <w:r>
        <w:rPr>
          <w:rFonts w:ascii="Arial" w:cs="Arial" w:eastAsia="Arial" w:hAnsi="Arial"/>
          <w:sz w:val="20"/>
          <w:szCs w:val="20"/>
          <w:color w:val="auto"/>
        </w:rPr>
        <w:t>Mr. Mesquita served as Chief Executive Officer of BlueTriton Brands, a beverage company that offers regional spring water and national purified water brands, from July 2021 to March 2022. Prior to that, he was Executive Vice President and Worldwide Chairman, Consumer of Johnson &amp; Johnson, a global healthcare products company, from 2014 until 2019. He also served on J&amp;J’s Executive Committee and led the Consumer Group Operating Committee. Mr. Mesquita was an advisor to Cinven, a U.K. private equity firm, from 2020 to 2021.</w:t>
      </w:r>
    </w:p>
    <w:p>
      <w:pPr>
        <w:spacing w:after="0" w:line="74" w:lineRule="exact"/>
        <w:rPr>
          <w:sz w:val="20"/>
          <w:szCs w:val="20"/>
          <w:color w:val="auto"/>
        </w:rPr>
      </w:pPr>
    </w:p>
    <w:p>
      <w:pPr>
        <w:ind w:left="80" w:right="340"/>
        <w:spacing w:after="0" w:line="241" w:lineRule="auto"/>
        <w:rPr>
          <w:sz w:val="20"/>
          <w:szCs w:val="20"/>
          <w:color w:val="auto"/>
        </w:rPr>
      </w:pPr>
      <w:r>
        <w:rPr>
          <w:rFonts w:ascii="Arial" w:cs="Arial" w:eastAsia="Arial" w:hAnsi="Arial"/>
          <w:sz w:val="20"/>
          <w:szCs w:val="20"/>
          <w:color w:val="auto"/>
        </w:rPr>
        <w:t>Mr. Mesquita was employed by Proctor &amp; Gamble, a global marketer of consumer products, in various marketing and leadership capacities for 29 years from 1984 to 2013. During his tenure at P&amp;G, he served as Group President – New Business Creation and Innovation from 2012 until 2013; Group President – Special Assignment from January 2012 until March</w:t>
      </w:r>
      <w:r>
        <w:rPr>
          <w:rFonts w:ascii="Times New Roman" w:cs="Times New Roman" w:eastAsia="Times New Roman" w:hAnsi="Times New Roman"/>
          <w:sz w:val="20"/>
          <w:szCs w:val="20"/>
          <w:color w:val="auto"/>
        </w:rPr>
        <w:t> </w:t>
      </w:r>
      <w:r>
        <w:rPr>
          <w:rFonts w:ascii="Arial" w:cs="Arial" w:eastAsia="Arial" w:hAnsi="Arial"/>
          <w:sz w:val="20"/>
          <w:szCs w:val="20"/>
          <w:color w:val="auto"/>
        </w:rPr>
        <w:t>2012; Group President, Global Fabric Care from 2007 to 2011; President, Global Home Care from 2001 to 2007; and President of Commercial Products and President of P&amp;G Professional from 2006 to 2007.</w:t>
      </w: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DIRECTOR QUALIFICATIONS:</w:t>
      </w:r>
    </w:p>
    <w:p>
      <w:pPr>
        <w:spacing w:after="0" w:line="44" w:lineRule="exact"/>
        <w:rPr>
          <w:sz w:val="20"/>
          <w:szCs w:val="20"/>
          <w:color w:val="auto"/>
        </w:rPr>
      </w:pPr>
    </w:p>
    <w:p>
      <w:pPr>
        <w:jc w:val="both"/>
        <w:ind w:left="220" w:right="540" w:hanging="159"/>
        <w:spacing w:after="0" w:line="244" w:lineRule="auto"/>
        <w:tabs>
          <w:tab w:leader="none" w:pos="220" w:val="left"/>
        </w:tabs>
        <w:numPr>
          <w:ilvl w:val="0"/>
          <w:numId w:val="15"/>
        </w:numPr>
        <w:rPr>
          <w:rFonts w:ascii="Arial" w:cs="Arial" w:eastAsia="Arial" w:hAnsi="Arial"/>
          <w:sz w:val="20"/>
          <w:szCs w:val="20"/>
          <w:color w:val="582C83"/>
        </w:rPr>
      </w:pPr>
      <w:r>
        <w:rPr>
          <w:rFonts w:ascii="Arial" w:cs="Arial" w:eastAsia="Arial" w:hAnsi="Arial"/>
          <w:sz w:val="20"/>
          <w:szCs w:val="20"/>
          <w:color w:val="auto"/>
        </w:rPr>
        <w:t>Mr. Mesquita brings extensive experience leading major global company business units. In these roles, he has a strong track record of building and marketing global brands, including the reinvention of key brands, leading strategic business transformations, and driving strong, profitable growth.</w:t>
      </w:r>
    </w:p>
    <w:p>
      <w:pPr>
        <w:spacing w:after="0" w:line="5" w:lineRule="exact"/>
        <w:rPr>
          <w:rFonts w:ascii="Arial" w:cs="Arial" w:eastAsia="Arial" w:hAnsi="Arial"/>
          <w:sz w:val="20"/>
          <w:szCs w:val="20"/>
          <w:color w:val="582C83"/>
        </w:rPr>
      </w:pPr>
    </w:p>
    <w:p>
      <w:pPr>
        <w:ind w:left="220" w:right="340" w:hanging="159"/>
        <w:spacing w:after="0" w:line="263" w:lineRule="auto"/>
        <w:tabs>
          <w:tab w:leader="none" w:pos="220" w:val="left"/>
        </w:tabs>
        <w:numPr>
          <w:ilvl w:val="0"/>
          <w:numId w:val="15"/>
        </w:numPr>
        <w:rPr>
          <w:rFonts w:ascii="Arial" w:cs="Arial" w:eastAsia="Arial" w:hAnsi="Arial"/>
          <w:sz w:val="19"/>
          <w:szCs w:val="19"/>
          <w:color w:val="582C83"/>
        </w:rPr>
      </w:pPr>
      <w:r>
        <w:rPr>
          <w:rFonts w:ascii="Arial" w:cs="Arial" w:eastAsia="Arial" w:hAnsi="Arial"/>
          <w:sz w:val="19"/>
          <w:szCs w:val="19"/>
          <w:color w:val="auto"/>
        </w:rPr>
        <w:t>As CEO of BlueTriton Brands, he embarked on growth and innovation initiatives. As Procter &amp; Gamble’s Group President, New Business Creation and Innovation, Mr. Mesquita redesigned the business development organization and worked across the company with technology, marketing and finance leaders to develop groundbreaking innovation capabilities.</w:t>
      </w:r>
    </w:p>
    <w:p>
      <w:pPr>
        <w:spacing w:after="0" w:line="1" w:lineRule="exact"/>
        <w:rPr>
          <w:rFonts w:ascii="Arial" w:cs="Arial" w:eastAsia="Arial" w:hAnsi="Arial"/>
          <w:sz w:val="19"/>
          <w:szCs w:val="19"/>
          <w:color w:val="582C83"/>
        </w:rPr>
      </w:pPr>
    </w:p>
    <w:p>
      <w:pPr>
        <w:ind w:left="220" w:right="1060" w:hanging="159"/>
        <w:spacing w:after="0" w:line="259" w:lineRule="auto"/>
        <w:tabs>
          <w:tab w:leader="none" w:pos="220" w:val="left"/>
        </w:tabs>
        <w:numPr>
          <w:ilvl w:val="0"/>
          <w:numId w:val="15"/>
        </w:numPr>
        <w:rPr>
          <w:rFonts w:ascii="Arial" w:cs="Arial" w:eastAsia="Arial" w:hAnsi="Arial"/>
          <w:sz w:val="20"/>
          <w:szCs w:val="20"/>
          <w:color w:val="582C83"/>
        </w:rPr>
      </w:pPr>
      <w:r>
        <w:rPr>
          <w:rFonts w:ascii="Arial" w:cs="Arial" w:eastAsia="Arial" w:hAnsi="Arial"/>
          <w:sz w:val="20"/>
          <w:szCs w:val="20"/>
          <w:color w:val="auto"/>
        </w:rPr>
        <w:t>Mr. Mesquita was born and raised in Mozambique, Africa. He has lived and worked in several countries, including Venezuela, Mexico, Brazil and the United States. He is fluent in Portuguese, Spanish and English.</w:t>
      </w:r>
    </w:p>
    <w:p>
      <w:pPr>
        <w:ind w:left="220" w:hanging="159"/>
        <w:spacing w:after="0"/>
        <w:tabs>
          <w:tab w:leader="none" w:pos="220" w:val="left"/>
        </w:tabs>
        <w:numPr>
          <w:ilvl w:val="0"/>
          <w:numId w:val="15"/>
        </w:numPr>
        <w:rPr>
          <w:rFonts w:ascii="Arial" w:cs="Arial" w:eastAsia="Arial" w:hAnsi="Arial"/>
          <w:sz w:val="20"/>
          <w:szCs w:val="20"/>
          <w:color w:val="582C83"/>
        </w:rPr>
      </w:pPr>
      <w:r>
        <w:rPr>
          <w:rFonts w:ascii="Arial" w:cs="Arial" w:eastAsia="Arial" w:hAnsi="Arial"/>
          <w:sz w:val="20"/>
          <w:szCs w:val="20"/>
          <w:color w:val="auto"/>
        </w:rPr>
        <w:t>Mr. Mesquita has public company board and corporate governance experience. He is a director of Humana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13549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5495" cy="7620"/>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233045</wp:posOffset>
            </wp:positionV>
            <wp:extent cx="149860" cy="165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9860" cy="165735"/>
                    </a:xfrm>
                    <a:prstGeom prst="rect">
                      <a:avLst/>
                    </a:prstGeom>
                    <a:noFill/>
                  </pic:spPr>
                </pic:pic>
              </a:graphicData>
            </a:graphic>
          </wp:anchor>
        </w:drawing>
        <w:drawing>
          <wp:anchor simplePos="0" relativeHeight="251657728" behindDoc="1" locked="0" layoutInCell="0" allowOverlap="1">
            <wp:simplePos x="0" y="0"/>
            <wp:positionH relativeFrom="column">
              <wp:posOffset>1426845</wp:posOffset>
            </wp:positionH>
            <wp:positionV relativeFrom="paragraph">
              <wp:posOffset>241300</wp:posOffset>
            </wp:positionV>
            <wp:extent cx="173355" cy="1498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3355" cy="149860"/>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217170</wp:posOffset>
            </wp:positionV>
            <wp:extent cx="196850" cy="1968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233045</wp:posOffset>
            </wp:positionV>
            <wp:extent cx="157480" cy="1574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7480" cy="15748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233045</wp:posOffset>
            </wp:positionV>
            <wp:extent cx="173355" cy="1574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3355" cy="157480"/>
                    </a:xfrm>
                    <a:prstGeom prst="rect">
                      <a:avLst/>
                    </a:prstGeom>
                    <a:noFill/>
                  </pic:spPr>
                </pic:pic>
              </a:graphicData>
            </a:graphic>
          </wp:anchor>
        </w:drawing>
        <w:drawing>
          <wp:anchor simplePos="0" relativeHeight="251657728" behindDoc="1" locked="0" layoutInCell="0" allowOverlap="1">
            <wp:simplePos x="0" y="0"/>
            <wp:positionH relativeFrom="column">
              <wp:posOffset>5668645</wp:posOffset>
            </wp:positionH>
            <wp:positionV relativeFrom="paragraph">
              <wp:posOffset>225425</wp:posOffset>
            </wp:positionV>
            <wp:extent cx="118110" cy="1733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8110" cy="173355"/>
                    </a:xfrm>
                    <a:prstGeom prst="rect">
                      <a:avLst/>
                    </a:prstGeom>
                    <a:noFill/>
                  </pic:spPr>
                </pic:pic>
              </a:graphicData>
            </a:graphic>
          </wp:anchor>
        </w:drawing>
        <w:drawing>
          <wp:anchor simplePos="0" relativeHeight="251657728" behindDoc="1" locked="0" layoutInCell="0" allowOverlap="1">
            <wp:simplePos x="0" y="0"/>
            <wp:positionH relativeFrom="column">
              <wp:posOffset>6661785</wp:posOffset>
            </wp:positionH>
            <wp:positionV relativeFrom="paragraph">
              <wp:posOffset>209550</wp:posOffset>
            </wp:positionV>
            <wp:extent cx="252095" cy="2127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20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20"/>
                <w:szCs w:val="20"/>
                <w:color w:val="auto"/>
              </w:rPr>
            </w:pPr>
            <w:r>
              <w:rPr>
                <w:rFonts w:ascii="Arial" w:cs="Arial" w:eastAsia="Arial" w:hAnsi="Arial"/>
                <w:sz w:val="12"/>
                <w:szCs w:val="12"/>
                <w:color w:val="auto"/>
              </w:rPr>
              <w:t>INDUSTRY EXPERIENCE</w:t>
            </w:r>
          </w:p>
        </w:tc>
        <w:tc>
          <w:tcPr>
            <w:tcW w:w="1380" w:type="dxa"/>
            <w:vAlign w:val="bottom"/>
          </w:tcPr>
          <w:p>
            <w:pPr>
              <w:jc w:val="center"/>
              <w:spacing w:after="0"/>
              <w:rPr>
                <w:sz w:val="20"/>
                <w:szCs w:val="20"/>
                <w:color w:val="auto"/>
              </w:rPr>
            </w:pPr>
            <w:r>
              <w:rPr>
                <w:rFonts w:ascii="Arial" w:cs="Arial" w:eastAsia="Arial" w:hAnsi="Arial"/>
                <w:sz w:val="12"/>
                <w:szCs w:val="12"/>
                <w:color w:val="auto"/>
              </w:rPr>
              <w:t>SIGNIFICANT</w:t>
            </w:r>
          </w:p>
        </w:tc>
        <w:tc>
          <w:tcPr>
            <w:tcW w:w="1380" w:type="dxa"/>
            <w:vAlign w:val="bottom"/>
          </w:tcPr>
          <w:p>
            <w:pPr>
              <w:jc w:val="right"/>
              <w:ind w:right="198"/>
              <w:spacing w:after="0"/>
              <w:rPr>
                <w:sz w:val="20"/>
                <w:szCs w:val="20"/>
                <w:color w:val="auto"/>
              </w:rPr>
            </w:pPr>
            <w:r>
              <w:rPr>
                <w:rFonts w:ascii="Arial" w:cs="Arial" w:eastAsia="Arial" w:hAnsi="Arial"/>
                <w:sz w:val="12"/>
                <w:szCs w:val="12"/>
                <w:color w:val="auto"/>
              </w:rPr>
              <w:t>LEADERSHIP</w:t>
            </w:r>
          </w:p>
        </w:tc>
        <w:tc>
          <w:tcPr>
            <w:tcW w:w="1860" w:type="dxa"/>
            <w:vAlign w:val="bottom"/>
          </w:tcPr>
          <w:p>
            <w:pPr>
              <w:jc w:val="center"/>
              <w:spacing w:after="0"/>
              <w:rPr>
                <w:sz w:val="20"/>
                <w:szCs w:val="20"/>
                <w:color w:val="auto"/>
              </w:rPr>
            </w:pPr>
            <w:r>
              <w:rPr>
                <w:rFonts w:ascii="Arial" w:cs="Arial" w:eastAsia="Arial" w:hAnsi="Arial"/>
                <w:sz w:val="12"/>
                <w:szCs w:val="12"/>
                <w:color w:val="auto"/>
              </w:rPr>
              <w:t>SUBSTANTIAL GLOBAL</w:t>
            </w:r>
          </w:p>
        </w:tc>
        <w:tc>
          <w:tcPr>
            <w:tcW w:w="1780" w:type="dxa"/>
            <w:vAlign w:val="bottom"/>
          </w:tcPr>
          <w:p>
            <w:pPr>
              <w:jc w:val="center"/>
              <w:spacing w:after="0"/>
              <w:rPr>
                <w:sz w:val="20"/>
                <w:szCs w:val="20"/>
                <w:color w:val="auto"/>
              </w:rPr>
            </w:pPr>
            <w:r>
              <w:rPr>
                <w:rFonts w:ascii="Arial" w:cs="Arial" w:eastAsia="Arial" w:hAnsi="Arial"/>
                <w:sz w:val="12"/>
                <w:szCs w:val="12"/>
                <w:color w:val="auto"/>
              </w:rPr>
              <w:t>ACCOUNTING AND</w:t>
            </w:r>
          </w:p>
        </w:tc>
        <w:tc>
          <w:tcPr>
            <w:tcW w:w="1800" w:type="dxa"/>
            <w:vAlign w:val="bottom"/>
          </w:tcPr>
          <w:p>
            <w:pPr>
              <w:jc w:val="center"/>
              <w:spacing w:after="0"/>
              <w:rPr>
                <w:sz w:val="20"/>
                <w:szCs w:val="20"/>
                <w:color w:val="auto"/>
              </w:rPr>
            </w:pPr>
            <w:r>
              <w:rPr>
                <w:rFonts w:ascii="Arial" w:cs="Arial" w:eastAsia="Arial" w:hAnsi="Arial"/>
                <w:sz w:val="12"/>
                <w:szCs w:val="12"/>
                <w:color w:val="auto"/>
              </w:rPr>
              <w:t>PRODUCT RESEARCH,</w:t>
            </w: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PUBLIC COMPANY</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OPERATING</w:t>
            </w:r>
          </w:p>
        </w:tc>
        <w:tc>
          <w:tcPr>
            <w:tcW w:w="1380" w:type="dxa"/>
            <w:vAlign w:val="bottom"/>
          </w:tcPr>
          <w:p>
            <w:pPr>
              <w:jc w:val="right"/>
              <w:ind w:right="198"/>
              <w:spacing w:after="0" w:line="137" w:lineRule="exact"/>
              <w:rPr>
                <w:sz w:val="20"/>
                <w:szCs w:val="20"/>
                <w:color w:val="auto"/>
              </w:rPr>
            </w:pPr>
            <w:r>
              <w:rPr>
                <w:rFonts w:ascii="Arial" w:cs="Arial" w:eastAsia="Arial" w:hAnsi="Arial"/>
                <w:sz w:val="12"/>
                <w:szCs w:val="12"/>
                <w:color w:val="auto"/>
              </w:rPr>
              <w:t>EXPERIENCE</w:t>
            </w: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BUSINESS AND OTHER</w:t>
            </w:r>
          </w:p>
        </w:tc>
        <w:tc>
          <w:tcPr>
            <w:tcW w:w="1780" w:type="dxa"/>
            <w:vAlign w:val="bottom"/>
          </w:tcPr>
          <w:p>
            <w:pPr>
              <w:jc w:val="center"/>
              <w:spacing w:after="0" w:line="137" w:lineRule="exact"/>
              <w:rPr>
                <w:sz w:val="20"/>
                <w:szCs w:val="20"/>
                <w:color w:val="auto"/>
              </w:rPr>
            </w:pPr>
            <w:r>
              <w:rPr>
                <w:rFonts w:ascii="Arial" w:cs="Arial" w:eastAsia="Arial" w:hAnsi="Arial"/>
                <w:sz w:val="12"/>
                <w:szCs w:val="12"/>
                <w:color w:val="auto"/>
              </w:rPr>
              <w:t>FINANCIAL EXPERTISE</w:t>
            </w: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DEVELOPMENT</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BOARD AND</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INTERNATIONAL</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AND MARKETING</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CORPORATE</w:t>
            </w:r>
          </w:p>
        </w:tc>
      </w:tr>
      <w:tr>
        <w:trPr>
          <w:trHeight w:val="137"/>
        </w:trPr>
        <w:tc>
          <w:tcPr>
            <w:tcW w:w="17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GOVERNANCE</w:t>
            </w:r>
          </w:p>
        </w:tc>
      </w:tr>
      <w:tr>
        <w:trPr>
          <w:trHeight w:val="164"/>
        </w:trPr>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311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1040" w:type="dxa"/>
            <w:vAlign w:val="bottom"/>
            <w:tcBorders>
              <w:top w:val="single" w:sz="8" w:color="582C83"/>
              <w:left w:val="single" w:sz="8" w:color="582C83"/>
              <w:right w:val="single" w:sz="8" w:color="582C83"/>
            </w:tcBorders>
          </w:tcPr>
          <w:p>
            <w:pPr>
              <w:spacing w:after="0"/>
              <w:rPr>
                <w:sz w:val="24"/>
                <w:szCs w:val="24"/>
                <w:color w:val="auto"/>
              </w:rPr>
            </w:pPr>
          </w:p>
        </w:tc>
        <w:tc>
          <w:tcPr>
            <w:tcW w:w="2960" w:type="dxa"/>
            <w:vAlign w:val="bottom"/>
            <w:tcBorders>
              <w:top w:val="single" w:sz="8" w:color="582C83"/>
              <w:right w:val="single" w:sz="8" w:color="582C83"/>
            </w:tcBorders>
          </w:tcPr>
          <w:p>
            <w:pPr>
              <w:ind w:left="160"/>
              <w:spacing w:after="0"/>
              <w:rPr>
                <w:sz w:val="20"/>
                <w:szCs w:val="20"/>
                <w:color w:val="auto"/>
              </w:rPr>
            </w:pPr>
            <w:r>
              <w:rPr>
                <w:rFonts w:ascii="Arial" w:cs="Arial" w:eastAsia="Arial" w:hAnsi="Arial"/>
                <w:sz w:val="20"/>
                <w:szCs w:val="20"/>
                <w:b w:val="1"/>
                <w:bCs w:val="1"/>
                <w:color w:val="auto"/>
              </w:rPr>
              <w:t>Anindita Mukherjee</w:t>
            </w:r>
          </w:p>
        </w:tc>
        <w:tc>
          <w:tcPr>
            <w:tcW w:w="206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0"/>
                <w:szCs w:val="20"/>
                <w:b w:val="1"/>
                <w:bCs w:val="1"/>
                <w:color w:val="auto"/>
                <w:w w:val="98"/>
              </w:rPr>
              <w:t>DIRECTOR SINCE:</w:t>
            </w:r>
          </w:p>
        </w:tc>
        <w:tc>
          <w:tcPr>
            <w:tcW w:w="3180" w:type="dxa"/>
            <w:vAlign w:val="bottom"/>
            <w:tcBorders>
              <w:top w:val="single" w:sz="8" w:color="582C83"/>
              <w:right w:val="single" w:sz="8" w:color="582C83"/>
            </w:tcBorders>
          </w:tcPr>
          <w:p>
            <w:pPr>
              <w:ind w:left="620"/>
              <w:spacing w:after="0"/>
              <w:rPr>
                <w:sz w:val="20"/>
                <w:szCs w:val="20"/>
                <w:color w:val="auto"/>
              </w:rPr>
            </w:pPr>
            <w:r>
              <w:rPr>
                <w:rFonts w:ascii="Arial" w:cs="Arial" w:eastAsia="Arial" w:hAnsi="Arial"/>
                <w:sz w:val="20"/>
                <w:szCs w:val="20"/>
                <w:b w:val="1"/>
                <w:bCs w:val="1"/>
                <w:color w:val="auto"/>
              </w:rPr>
              <w:t>DIRECTOR SKILLS:</w:t>
            </w:r>
          </w:p>
        </w:tc>
        <w:tc>
          <w:tcPr>
            <w:tcW w:w="202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0"/>
                <w:szCs w:val="20"/>
                <w:b w:val="1"/>
                <w:bCs w:val="1"/>
                <w:color w:val="auto"/>
              </w:rPr>
              <w:t>BOARD</w:t>
            </w:r>
          </w:p>
        </w:tc>
        <w:tc>
          <w:tcPr>
            <w:tcW w:w="0" w:type="dxa"/>
            <w:vAlign w:val="bottom"/>
          </w:tcPr>
          <w:p>
            <w:pPr>
              <w:spacing w:after="0"/>
              <w:rPr>
                <w:sz w:val="1"/>
                <w:szCs w:val="1"/>
                <w:color w:val="auto"/>
              </w:rPr>
            </w:pPr>
          </w:p>
        </w:tc>
      </w:tr>
      <w:tr>
        <w:trPr>
          <w:trHeight w:val="261"/>
        </w:trPr>
        <w:tc>
          <w:tcPr>
            <w:tcW w:w="1040" w:type="dxa"/>
            <w:vAlign w:val="bottom"/>
            <w:tcBorders>
              <w:left w:val="single" w:sz="8" w:color="582C83"/>
              <w:right w:val="single" w:sz="8" w:color="582C83"/>
            </w:tcBorders>
          </w:tcPr>
          <w:p>
            <w:pPr>
              <w:spacing w:after="0"/>
              <w:rPr>
                <w:sz w:val="22"/>
                <w:szCs w:val="22"/>
                <w:color w:val="auto"/>
              </w:rPr>
            </w:pPr>
          </w:p>
        </w:tc>
        <w:tc>
          <w:tcPr>
            <w:tcW w:w="2960" w:type="dxa"/>
            <w:vAlign w:val="bottom"/>
            <w:tcBorders>
              <w:right w:val="single" w:sz="8" w:color="582C83"/>
            </w:tcBorders>
          </w:tcPr>
          <w:p>
            <w:pPr>
              <w:ind w:left="160"/>
              <w:spacing w:after="0"/>
              <w:rPr>
                <w:sz w:val="20"/>
                <w:szCs w:val="20"/>
                <w:color w:val="auto"/>
              </w:rPr>
            </w:pPr>
            <w:r>
              <w:rPr>
                <w:rFonts w:ascii="Arial" w:cs="Arial" w:eastAsia="Arial" w:hAnsi="Arial"/>
                <w:sz w:val="20"/>
                <w:szCs w:val="20"/>
                <w:i w:val="1"/>
                <w:iCs w:val="1"/>
                <w:color w:val="auto"/>
              </w:rPr>
              <w:t>Chairwoman and Chief</w:t>
            </w:r>
          </w:p>
        </w:tc>
        <w:tc>
          <w:tcPr>
            <w:tcW w:w="2060" w:type="dxa"/>
            <w:vAlign w:val="bottom"/>
            <w:tcBorders>
              <w:right w:val="single" w:sz="8" w:color="582C83"/>
            </w:tcBorders>
          </w:tcPr>
          <w:p>
            <w:pPr>
              <w:jc w:val="center"/>
              <w:spacing w:after="0"/>
              <w:rPr>
                <w:sz w:val="20"/>
                <w:szCs w:val="20"/>
                <w:color w:val="auto"/>
              </w:rPr>
            </w:pPr>
            <w:r>
              <w:rPr>
                <w:rFonts w:ascii="Arial" w:cs="Arial" w:eastAsia="Arial" w:hAnsi="Arial"/>
                <w:sz w:val="20"/>
                <w:szCs w:val="20"/>
                <w:color w:val="auto"/>
                <w:w w:val="98"/>
              </w:rPr>
              <w:t>January 2023</w:t>
            </w:r>
          </w:p>
        </w:tc>
        <w:tc>
          <w:tcPr>
            <w:tcW w:w="3180" w:type="dxa"/>
            <w:vAlign w:val="bottom"/>
            <w:tcBorders>
              <w:right w:val="single" w:sz="8" w:color="582C83"/>
            </w:tcBorders>
          </w:tcPr>
          <w:p>
            <w:pPr>
              <w:spacing w:after="0"/>
              <w:rPr>
                <w:sz w:val="22"/>
                <w:szCs w:val="22"/>
                <w:color w:val="auto"/>
              </w:rPr>
            </w:pPr>
          </w:p>
        </w:tc>
        <w:tc>
          <w:tcPr>
            <w:tcW w:w="2020" w:type="dxa"/>
            <w:vAlign w:val="bottom"/>
            <w:tcBorders>
              <w:right w:val="single" w:sz="8" w:color="582C83"/>
            </w:tcBorders>
          </w:tcPr>
          <w:p>
            <w:pPr>
              <w:jc w:val="center"/>
              <w:spacing w:after="0"/>
              <w:rPr>
                <w:sz w:val="20"/>
                <w:szCs w:val="20"/>
                <w:color w:val="auto"/>
              </w:rPr>
            </w:pPr>
            <w:r>
              <w:rPr>
                <w:rFonts w:ascii="Arial" w:cs="Arial" w:eastAsia="Arial" w:hAnsi="Arial"/>
                <w:sz w:val="20"/>
                <w:szCs w:val="20"/>
                <w:b w:val="1"/>
                <w:bCs w:val="1"/>
                <w:color w:val="auto"/>
                <w:w w:val="98"/>
              </w:rPr>
              <w:t>COMMITTEES:</w:t>
            </w:r>
          </w:p>
        </w:tc>
        <w:tc>
          <w:tcPr>
            <w:tcW w:w="0" w:type="dxa"/>
            <w:vAlign w:val="bottom"/>
          </w:tcPr>
          <w:p>
            <w:pPr>
              <w:spacing w:after="0"/>
              <w:rPr>
                <w:sz w:val="1"/>
                <w:szCs w:val="1"/>
                <w:color w:val="auto"/>
              </w:rPr>
            </w:pPr>
          </w:p>
        </w:tc>
      </w:tr>
      <w:tr>
        <w:trPr>
          <w:trHeight w:val="224"/>
        </w:trPr>
        <w:tc>
          <w:tcPr>
            <w:tcW w:w="1040" w:type="dxa"/>
            <w:vAlign w:val="bottom"/>
            <w:tcBorders>
              <w:left w:val="single" w:sz="8" w:color="582C83"/>
              <w:right w:val="single" w:sz="8" w:color="582C83"/>
            </w:tcBorders>
          </w:tcPr>
          <w:p>
            <w:pPr>
              <w:spacing w:after="0"/>
              <w:rPr>
                <w:sz w:val="19"/>
                <w:szCs w:val="19"/>
                <w:color w:val="auto"/>
              </w:rPr>
            </w:pPr>
          </w:p>
        </w:tc>
        <w:tc>
          <w:tcPr>
            <w:tcW w:w="2960" w:type="dxa"/>
            <w:vAlign w:val="bottom"/>
            <w:tcBorders>
              <w:right w:val="single" w:sz="8" w:color="582C83"/>
            </w:tcBorders>
          </w:tcPr>
          <w:p>
            <w:pPr>
              <w:ind w:left="160"/>
              <w:spacing w:after="0" w:line="225" w:lineRule="exact"/>
              <w:rPr>
                <w:sz w:val="20"/>
                <w:szCs w:val="20"/>
                <w:color w:val="auto"/>
              </w:rPr>
            </w:pPr>
            <w:r>
              <w:rPr>
                <w:rFonts w:ascii="Arial" w:cs="Arial" w:eastAsia="Arial" w:hAnsi="Arial"/>
                <w:sz w:val="20"/>
                <w:szCs w:val="20"/>
                <w:i w:val="1"/>
                <w:iCs w:val="1"/>
                <w:color w:val="auto"/>
              </w:rPr>
              <w:t>Executive Officer of Pernod</w:t>
            </w:r>
          </w:p>
        </w:tc>
        <w:tc>
          <w:tcPr>
            <w:tcW w:w="206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color w:val="auto"/>
                <w:w w:val="98"/>
              </w:rPr>
              <w:t>Asian/Female</w:t>
            </w:r>
          </w:p>
        </w:tc>
        <w:tc>
          <w:tcPr>
            <w:tcW w:w="3180" w:type="dxa"/>
            <w:vAlign w:val="bottom"/>
            <w:tcBorders>
              <w:right w:val="single" w:sz="8" w:color="582C83"/>
            </w:tcBorders>
          </w:tcPr>
          <w:p>
            <w:pPr>
              <w:spacing w:after="0"/>
              <w:rPr>
                <w:sz w:val="19"/>
                <w:szCs w:val="19"/>
                <w:color w:val="auto"/>
              </w:rPr>
            </w:pPr>
          </w:p>
        </w:tc>
        <w:tc>
          <w:tcPr>
            <w:tcW w:w="2020" w:type="dxa"/>
            <w:vAlign w:val="bottom"/>
            <w:tcBorders>
              <w:right w:val="single" w:sz="8" w:color="582C83"/>
            </w:tcBorders>
          </w:tcPr>
          <w:p>
            <w:pPr>
              <w:ind w:left="60"/>
              <w:spacing w:after="0" w:line="225"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Governance</w:t>
            </w:r>
          </w:p>
        </w:tc>
        <w:tc>
          <w:tcPr>
            <w:tcW w:w="0" w:type="dxa"/>
            <w:vAlign w:val="bottom"/>
          </w:tcPr>
          <w:p>
            <w:pPr>
              <w:spacing w:after="0"/>
              <w:rPr>
                <w:sz w:val="1"/>
                <w:szCs w:val="1"/>
                <w:color w:val="auto"/>
              </w:rPr>
            </w:pPr>
          </w:p>
        </w:tc>
      </w:tr>
      <w:tr>
        <w:trPr>
          <w:trHeight w:val="187"/>
        </w:trPr>
        <w:tc>
          <w:tcPr>
            <w:tcW w:w="1040" w:type="dxa"/>
            <w:vAlign w:val="bottom"/>
            <w:tcBorders>
              <w:left w:val="single" w:sz="8" w:color="582C83"/>
              <w:right w:val="single" w:sz="8" w:color="582C83"/>
            </w:tcBorders>
          </w:tcPr>
          <w:p>
            <w:pPr>
              <w:spacing w:after="0"/>
              <w:rPr>
                <w:sz w:val="16"/>
                <w:szCs w:val="16"/>
                <w:color w:val="auto"/>
              </w:rPr>
            </w:pPr>
          </w:p>
        </w:tc>
        <w:tc>
          <w:tcPr>
            <w:tcW w:w="2960" w:type="dxa"/>
            <w:vAlign w:val="bottom"/>
            <w:tcBorders>
              <w:right w:val="single" w:sz="8" w:color="582C83"/>
            </w:tcBorders>
            <w:vMerge w:val="restart"/>
          </w:tcPr>
          <w:p>
            <w:pPr>
              <w:ind w:left="160"/>
              <w:spacing w:after="0"/>
              <w:rPr>
                <w:sz w:val="20"/>
                <w:szCs w:val="20"/>
                <w:color w:val="auto"/>
              </w:rPr>
            </w:pPr>
            <w:r>
              <w:rPr>
                <w:rFonts w:ascii="Arial" w:cs="Arial" w:eastAsia="Arial" w:hAnsi="Arial"/>
                <w:sz w:val="20"/>
                <w:szCs w:val="20"/>
                <w:i w:val="1"/>
                <w:iCs w:val="1"/>
                <w:color w:val="auto"/>
              </w:rPr>
              <w:t>Ricard North America</w:t>
            </w:r>
          </w:p>
        </w:tc>
        <w:tc>
          <w:tcPr>
            <w:tcW w:w="2060" w:type="dxa"/>
            <w:vAlign w:val="bottom"/>
            <w:tcBorders>
              <w:right w:val="single" w:sz="8" w:color="582C83"/>
            </w:tcBorders>
            <w:vMerge w:val="continue"/>
          </w:tcPr>
          <w:p>
            <w:pPr>
              <w:spacing w:after="0"/>
              <w:rPr>
                <w:sz w:val="16"/>
                <w:szCs w:val="16"/>
                <w:color w:val="auto"/>
              </w:rPr>
            </w:pPr>
          </w:p>
        </w:tc>
        <w:tc>
          <w:tcPr>
            <w:tcW w:w="3180" w:type="dxa"/>
            <w:vAlign w:val="bottom"/>
            <w:tcBorders>
              <w:right w:val="single" w:sz="8" w:color="582C83"/>
            </w:tcBorders>
          </w:tcPr>
          <w:p>
            <w:pPr>
              <w:spacing w:after="0"/>
              <w:rPr>
                <w:sz w:val="16"/>
                <w:szCs w:val="16"/>
                <w:color w:val="auto"/>
              </w:rPr>
            </w:pPr>
          </w:p>
        </w:tc>
        <w:tc>
          <w:tcPr>
            <w:tcW w:w="2020" w:type="dxa"/>
            <w:vAlign w:val="bottom"/>
            <w:tcBorders>
              <w:right w:val="single" w:sz="8" w:color="582C83"/>
            </w:tcBorders>
            <w:vMerge w:val="restart"/>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People and</w:t>
            </w:r>
          </w:p>
        </w:tc>
        <w:tc>
          <w:tcPr>
            <w:tcW w:w="0" w:type="dxa"/>
            <w:vAlign w:val="bottom"/>
          </w:tcPr>
          <w:p>
            <w:pPr>
              <w:spacing w:after="0"/>
              <w:rPr>
                <w:sz w:val="1"/>
                <w:szCs w:val="1"/>
                <w:color w:val="auto"/>
              </w:rPr>
            </w:pPr>
          </w:p>
        </w:tc>
      </w:tr>
      <w:tr>
        <w:trPr>
          <w:trHeight w:val="71"/>
        </w:trPr>
        <w:tc>
          <w:tcPr>
            <w:tcW w:w="1040" w:type="dxa"/>
            <w:vAlign w:val="bottom"/>
            <w:tcBorders>
              <w:left w:val="single" w:sz="8" w:color="582C83"/>
              <w:right w:val="single" w:sz="8" w:color="582C83"/>
            </w:tcBorders>
          </w:tcPr>
          <w:p>
            <w:pPr>
              <w:spacing w:after="0"/>
              <w:rPr>
                <w:sz w:val="6"/>
                <w:szCs w:val="6"/>
                <w:color w:val="auto"/>
              </w:rPr>
            </w:pPr>
          </w:p>
        </w:tc>
        <w:tc>
          <w:tcPr>
            <w:tcW w:w="2960" w:type="dxa"/>
            <w:vAlign w:val="bottom"/>
            <w:tcBorders>
              <w:right w:val="single" w:sz="8" w:color="582C83"/>
            </w:tcBorders>
            <w:vMerge w:val="continue"/>
          </w:tcPr>
          <w:p>
            <w:pPr>
              <w:spacing w:after="0"/>
              <w:rPr>
                <w:sz w:val="6"/>
                <w:szCs w:val="6"/>
                <w:color w:val="auto"/>
              </w:rPr>
            </w:pPr>
          </w:p>
        </w:tc>
        <w:tc>
          <w:tcPr>
            <w:tcW w:w="206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color w:val="auto"/>
              </w:rPr>
              <w:t>Age 57</w:t>
            </w:r>
          </w:p>
        </w:tc>
        <w:tc>
          <w:tcPr>
            <w:tcW w:w="3180" w:type="dxa"/>
            <w:vAlign w:val="bottom"/>
            <w:tcBorders>
              <w:right w:val="single" w:sz="8" w:color="582C83"/>
            </w:tcBorders>
          </w:tcPr>
          <w:p>
            <w:pPr>
              <w:spacing w:after="0"/>
              <w:rPr>
                <w:sz w:val="6"/>
                <w:szCs w:val="6"/>
                <w:color w:val="auto"/>
              </w:rPr>
            </w:pPr>
          </w:p>
        </w:tc>
        <w:tc>
          <w:tcPr>
            <w:tcW w:w="2020" w:type="dxa"/>
            <w:vAlign w:val="bottom"/>
            <w:tcBorders>
              <w:right w:val="single" w:sz="8" w:color="582C83"/>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1040" w:type="dxa"/>
            <w:vAlign w:val="bottom"/>
            <w:tcBorders>
              <w:left w:val="single" w:sz="8" w:color="582C83"/>
              <w:right w:val="single" w:sz="8" w:color="582C83"/>
            </w:tcBorders>
          </w:tcPr>
          <w:p>
            <w:pPr>
              <w:spacing w:after="0"/>
              <w:rPr>
                <w:sz w:val="22"/>
                <w:szCs w:val="22"/>
                <w:color w:val="auto"/>
              </w:rPr>
            </w:pPr>
          </w:p>
        </w:tc>
        <w:tc>
          <w:tcPr>
            <w:tcW w:w="2960" w:type="dxa"/>
            <w:vAlign w:val="bottom"/>
            <w:tcBorders>
              <w:right w:val="single" w:sz="8" w:color="582C83"/>
            </w:tcBorders>
            <w:vMerge w:val="restart"/>
          </w:tcPr>
          <w:p>
            <w:pPr>
              <w:ind w:left="160"/>
              <w:spacing w:after="0"/>
              <w:rPr>
                <w:sz w:val="20"/>
                <w:szCs w:val="20"/>
                <w:color w:val="auto"/>
              </w:rPr>
            </w:pPr>
            <w:r>
              <w:rPr>
                <w:rFonts w:ascii="Arial" w:cs="Arial" w:eastAsia="Arial" w:hAnsi="Arial"/>
                <w:sz w:val="20"/>
                <w:szCs w:val="20"/>
                <w:b w:val="1"/>
                <w:bCs w:val="1"/>
                <w:color w:val="582C83"/>
              </w:rPr>
              <w:t>INDEPENDENT</w:t>
            </w:r>
          </w:p>
        </w:tc>
        <w:tc>
          <w:tcPr>
            <w:tcW w:w="2060" w:type="dxa"/>
            <w:vAlign w:val="bottom"/>
            <w:tcBorders>
              <w:right w:val="single" w:sz="8" w:color="582C83"/>
            </w:tcBorders>
            <w:vMerge w:val="continue"/>
          </w:tcPr>
          <w:p>
            <w:pPr>
              <w:spacing w:after="0"/>
              <w:rPr>
                <w:sz w:val="22"/>
                <w:szCs w:val="22"/>
                <w:color w:val="auto"/>
              </w:rPr>
            </w:pPr>
          </w:p>
        </w:tc>
        <w:tc>
          <w:tcPr>
            <w:tcW w:w="3180" w:type="dxa"/>
            <w:vAlign w:val="bottom"/>
            <w:tcBorders>
              <w:right w:val="single" w:sz="8" w:color="582C83"/>
            </w:tcBorders>
          </w:tcPr>
          <w:p>
            <w:pPr>
              <w:spacing w:after="0"/>
              <w:rPr>
                <w:sz w:val="22"/>
                <w:szCs w:val="22"/>
                <w:color w:val="auto"/>
              </w:rPr>
            </w:pPr>
          </w:p>
        </w:tc>
        <w:tc>
          <w:tcPr>
            <w:tcW w:w="2020" w:type="dxa"/>
            <w:vAlign w:val="bottom"/>
            <w:tcBorders>
              <w:right w:val="single" w:sz="8" w:color="582C83"/>
            </w:tcBorders>
          </w:tcPr>
          <w:p>
            <w:pPr>
              <w:ind w:left="220"/>
              <w:spacing w:after="0"/>
              <w:rPr>
                <w:sz w:val="20"/>
                <w:szCs w:val="20"/>
                <w:color w:val="auto"/>
              </w:rPr>
            </w:pPr>
            <w:r>
              <w:rPr>
                <w:rFonts w:ascii="Arial" w:cs="Arial" w:eastAsia="Arial" w:hAnsi="Arial"/>
                <w:sz w:val="20"/>
                <w:szCs w:val="20"/>
                <w:color w:val="auto"/>
              </w:rPr>
              <w:t>Compensation</w:t>
            </w:r>
          </w:p>
        </w:tc>
        <w:tc>
          <w:tcPr>
            <w:tcW w:w="0" w:type="dxa"/>
            <w:vAlign w:val="bottom"/>
          </w:tcPr>
          <w:p>
            <w:pPr>
              <w:spacing w:after="0"/>
              <w:rPr>
                <w:sz w:val="1"/>
                <w:szCs w:val="1"/>
                <w:color w:val="auto"/>
              </w:rPr>
            </w:pPr>
          </w:p>
        </w:tc>
      </w:tr>
      <w:tr>
        <w:trPr>
          <w:trHeight w:val="221"/>
        </w:trPr>
        <w:tc>
          <w:tcPr>
            <w:tcW w:w="1040" w:type="dxa"/>
            <w:vAlign w:val="bottom"/>
            <w:tcBorders>
              <w:left w:val="single" w:sz="8" w:color="582C83"/>
              <w:right w:val="single" w:sz="8" w:color="582C83"/>
            </w:tcBorders>
          </w:tcPr>
          <w:p>
            <w:pPr>
              <w:spacing w:after="0"/>
              <w:rPr>
                <w:sz w:val="19"/>
                <w:szCs w:val="19"/>
                <w:color w:val="auto"/>
              </w:rPr>
            </w:pPr>
          </w:p>
        </w:tc>
        <w:tc>
          <w:tcPr>
            <w:tcW w:w="2960" w:type="dxa"/>
            <w:vAlign w:val="bottom"/>
            <w:tcBorders>
              <w:right w:val="single" w:sz="8" w:color="582C83"/>
            </w:tcBorders>
            <w:vMerge w:val="continue"/>
          </w:tcPr>
          <w:p>
            <w:pPr>
              <w:spacing w:after="0"/>
              <w:rPr>
                <w:sz w:val="19"/>
                <w:szCs w:val="19"/>
                <w:color w:val="auto"/>
              </w:rPr>
            </w:pPr>
          </w:p>
        </w:tc>
        <w:tc>
          <w:tcPr>
            <w:tcW w:w="2060" w:type="dxa"/>
            <w:vAlign w:val="bottom"/>
            <w:tcBorders>
              <w:right w:val="single" w:sz="8" w:color="582C83"/>
            </w:tcBorders>
          </w:tcPr>
          <w:p>
            <w:pPr>
              <w:spacing w:after="0"/>
              <w:rPr>
                <w:sz w:val="19"/>
                <w:szCs w:val="19"/>
                <w:color w:val="auto"/>
              </w:rPr>
            </w:pPr>
          </w:p>
        </w:tc>
        <w:tc>
          <w:tcPr>
            <w:tcW w:w="3180" w:type="dxa"/>
            <w:vAlign w:val="bottom"/>
            <w:tcBorders>
              <w:right w:val="single" w:sz="8" w:color="582C83"/>
            </w:tcBorders>
          </w:tcPr>
          <w:p>
            <w:pPr>
              <w:spacing w:after="0"/>
              <w:rPr>
                <w:sz w:val="19"/>
                <w:szCs w:val="19"/>
                <w:color w:val="auto"/>
              </w:rPr>
            </w:pPr>
          </w:p>
        </w:tc>
        <w:tc>
          <w:tcPr>
            <w:tcW w:w="2020" w:type="dxa"/>
            <w:vAlign w:val="bottom"/>
            <w:tcBorders>
              <w:right w:val="single" w:sz="8" w:color="582C83"/>
            </w:tcBorders>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1040" w:type="dxa"/>
            <w:vAlign w:val="bottom"/>
            <w:tcBorders>
              <w:left w:val="single" w:sz="8" w:color="582C83"/>
              <w:bottom w:val="single" w:sz="8" w:color="582C83"/>
              <w:right w:val="single" w:sz="8" w:color="582C83"/>
            </w:tcBorders>
          </w:tcPr>
          <w:p>
            <w:pPr>
              <w:spacing w:after="0"/>
              <w:rPr>
                <w:sz w:val="5"/>
                <w:szCs w:val="5"/>
                <w:color w:val="auto"/>
              </w:rPr>
            </w:pPr>
          </w:p>
        </w:tc>
        <w:tc>
          <w:tcPr>
            <w:tcW w:w="2960" w:type="dxa"/>
            <w:vAlign w:val="bottom"/>
            <w:tcBorders>
              <w:bottom w:val="single" w:sz="8" w:color="582C83"/>
              <w:right w:val="single" w:sz="8" w:color="582C83"/>
            </w:tcBorders>
          </w:tcPr>
          <w:p>
            <w:pPr>
              <w:spacing w:after="0"/>
              <w:rPr>
                <w:sz w:val="5"/>
                <w:szCs w:val="5"/>
                <w:color w:val="auto"/>
              </w:rPr>
            </w:pPr>
          </w:p>
        </w:tc>
        <w:tc>
          <w:tcPr>
            <w:tcW w:w="2060" w:type="dxa"/>
            <w:vAlign w:val="bottom"/>
            <w:tcBorders>
              <w:bottom w:val="single" w:sz="8" w:color="582C83"/>
              <w:right w:val="single" w:sz="8" w:color="582C83"/>
            </w:tcBorders>
          </w:tcPr>
          <w:p>
            <w:pPr>
              <w:spacing w:after="0"/>
              <w:rPr>
                <w:sz w:val="5"/>
                <w:szCs w:val="5"/>
                <w:color w:val="auto"/>
              </w:rPr>
            </w:pPr>
          </w:p>
        </w:tc>
        <w:tc>
          <w:tcPr>
            <w:tcW w:w="3180" w:type="dxa"/>
            <w:vAlign w:val="bottom"/>
            <w:tcBorders>
              <w:bottom w:val="single" w:sz="8" w:color="572C83"/>
              <w:right w:val="single" w:sz="8" w:color="582C83"/>
            </w:tcBorders>
          </w:tcPr>
          <w:p>
            <w:pPr>
              <w:spacing w:after="0"/>
              <w:rPr>
                <w:sz w:val="5"/>
                <w:szCs w:val="5"/>
                <w:color w:val="auto"/>
              </w:rPr>
            </w:pPr>
          </w:p>
        </w:tc>
        <w:tc>
          <w:tcPr>
            <w:tcW w:w="2020" w:type="dxa"/>
            <w:vAlign w:val="bottom"/>
            <w:tcBorders>
              <w:bottom w:val="single" w:sz="8" w:color="582C83"/>
              <w:right w:val="single" w:sz="8" w:color="582C8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-772160</wp:posOffset>
            </wp:positionV>
            <wp:extent cx="7143115" cy="21837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3115" cy="2183765"/>
                    </a:xfrm>
                    <a:prstGeom prst="rect">
                      <a:avLst/>
                    </a:prstGeom>
                    <a:noFill/>
                  </pic:spPr>
                </pic:pic>
              </a:graphicData>
            </a:graphic>
          </wp:anchor>
        </w:drawing>
      </w:r>
    </w:p>
    <w:p>
      <w:pPr>
        <w:spacing w:after="0" w:line="2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PROFESSIONAL BACKGROUND:</w:t>
      </w:r>
    </w:p>
    <w:p>
      <w:pPr>
        <w:spacing w:after="0" w:line="14" w:lineRule="exact"/>
        <w:rPr>
          <w:sz w:val="20"/>
          <w:szCs w:val="20"/>
          <w:color w:val="auto"/>
        </w:rPr>
      </w:pPr>
    </w:p>
    <w:p>
      <w:pPr>
        <w:ind w:left="80" w:right="180"/>
        <w:spacing w:after="0" w:line="235" w:lineRule="auto"/>
        <w:rPr>
          <w:sz w:val="20"/>
          <w:szCs w:val="20"/>
          <w:color w:val="auto"/>
        </w:rPr>
      </w:pPr>
      <w:r>
        <w:rPr>
          <w:rFonts w:ascii="Arial" w:cs="Arial" w:eastAsia="Arial" w:hAnsi="Arial"/>
          <w:sz w:val="20"/>
          <w:szCs w:val="20"/>
          <w:color w:val="auto"/>
        </w:rPr>
        <w:t xml:space="preserve">Ms. Mukherjee has served as Chairwoman and Chief Executive Officer of Pernod Ricard North America, a global leader in wine and spirits, since December 2019. Previously, she served as Global Chief Commercial Officer and Global Chief Marketing Officer for S.C. Johnson &amp; Son, Inc., a multinational consumer product manufacturer from 2015 to 2019. Earlier, she held several senior positions with PepsiCo, Inc., a global food and beverage corporation, including President, Global Snacks Group and Global Insights, and Senior Vice President and Chief Marketing Officer, Frito-Lay, Inc., a subsidiary of PepsiCo. Ms. Mukherjee started her career at Citibank Diners Club in the New Product Department, and then spent nearly 11 years with the Kraft Foods Group managing a number of key brands, including </w:t>
      </w:r>
      <w:r>
        <w:rPr>
          <w:rFonts w:ascii="Arial" w:cs="Arial" w:eastAsia="Arial" w:hAnsi="Arial"/>
          <w:sz w:val="20"/>
          <w:szCs w:val="20"/>
          <w:i w:val="1"/>
          <w:iCs w:val="1"/>
          <w:color w:val="auto"/>
        </w:rPr>
        <w:t>Kraft Mac &amp; Cheese</w:t>
      </w:r>
      <w:r>
        <w:rPr>
          <w:rFonts w:ascii="Arial" w:cs="Arial" w:eastAsia="Arial" w:hAnsi="Arial"/>
          <w:sz w:val="20"/>
          <w:szCs w:val="20"/>
          <w:color w:val="auto"/>
        </w:rPr>
        <w:t xml:space="preserve">, </w:t>
      </w:r>
      <w:r>
        <w:rPr>
          <w:rFonts w:ascii="Arial" w:cs="Arial" w:eastAsia="Arial" w:hAnsi="Arial"/>
          <w:sz w:val="20"/>
          <w:szCs w:val="20"/>
          <w:i w:val="1"/>
          <w:iCs w:val="1"/>
          <w:color w:val="auto"/>
        </w:rPr>
        <w:t>Kraft Singles</w:t>
      </w:r>
      <w:r>
        <w:rPr>
          <w:rFonts w:ascii="Arial" w:cs="Arial" w:eastAsia="Arial" w:hAnsi="Arial"/>
          <w:sz w:val="20"/>
          <w:szCs w:val="20"/>
          <w:color w:val="auto"/>
        </w:rPr>
        <w:t xml:space="preserve"> and </w:t>
      </w:r>
      <w:r>
        <w:rPr>
          <w:rFonts w:ascii="Arial" w:cs="Arial" w:eastAsia="Arial" w:hAnsi="Arial"/>
          <w:sz w:val="20"/>
          <w:szCs w:val="20"/>
          <w:i w:val="1"/>
          <w:iCs w:val="1"/>
          <w:color w:val="auto"/>
        </w:rPr>
        <w:t>Minute</w:t>
      </w:r>
      <w:r>
        <w:rPr>
          <w:rFonts w:ascii="Arial" w:cs="Arial" w:eastAsia="Arial" w:hAnsi="Arial"/>
          <w:sz w:val="20"/>
          <w:szCs w:val="20"/>
          <w:color w:val="auto"/>
        </w:rPr>
        <w:t xml:space="preserve"> </w:t>
      </w:r>
      <w:r>
        <w:rPr>
          <w:rFonts w:ascii="Arial" w:cs="Arial" w:eastAsia="Arial" w:hAnsi="Arial"/>
          <w:sz w:val="20"/>
          <w:szCs w:val="20"/>
          <w:i w:val="1"/>
          <w:iCs w:val="1"/>
          <w:color w:val="auto"/>
        </w:rPr>
        <w:t>Rice</w:t>
      </w:r>
      <w:r>
        <w:rPr>
          <w:rFonts w:ascii="Arial" w:cs="Arial" w:eastAsia="Arial" w:hAnsi="Arial"/>
          <w:sz w:val="20"/>
          <w:szCs w:val="20"/>
          <w:color w:val="auto"/>
        </w:rPr>
        <w:t>.</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DIRECTOR QUALIFICATIONS:</w:t>
      </w:r>
    </w:p>
    <w:p>
      <w:pPr>
        <w:spacing w:after="0" w:line="44" w:lineRule="exact"/>
        <w:rPr>
          <w:sz w:val="20"/>
          <w:szCs w:val="20"/>
          <w:color w:val="auto"/>
        </w:rPr>
      </w:pPr>
    </w:p>
    <w:p>
      <w:pPr>
        <w:ind w:left="220" w:right="140" w:hanging="159"/>
        <w:spacing w:after="0" w:line="252" w:lineRule="auto"/>
        <w:tabs>
          <w:tab w:leader="none" w:pos="220" w:val="left"/>
        </w:tabs>
        <w:numPr>
          <w:ilvl w:val="0"/>
          <w:numId w:val="16"/>
        </w:numPr>
        <w:rPr>
          <w:rFonts w:ascii="Arial" w:cs="Arial" w:eastAsia="Arial" w:hAnsi="Arial"/>
          <w:sz w:val="20"/>
          <w:szCs w:val="20"/>
          <w:color w:val="582C83"/>
        </w:rPr>
      </w:pPr>
      <w:r>
        <w:rPr>
          <w:rFonts w:ascii="Arial" w:cs="Arial" w:eastAsia="Arial" w:hAnsi="Arial"/>
          <w:sz w:val="20"/>
          <w:szCs w:val="20"/>
          <w:color w:val="auto"/>
        </w:rPr>
        <w:t>Ms. Mukherjee has a strong track record in leading and advising multinational consumer packaged goods companies, which gives her expertise in consumer insights, commercial execution and brand innovation.</w:t>
      </w:r>
    </w:p>
    <w:p>
      <w:pPr>
        <w:ind w:left="220" w:right="580" w:hanging="159"/>
        <w:spacing w:after="0" w:line="259" w:lineRule="auto"/>
        <w:tabs>
          <w:tab w:leader="none" w:pos="220" w:val="left"/>
        </w:tabs>
        <w:numPr>
          <w:ilvl w:val="0"/>
          <w:numId w:val="16"/>
        </w:numPr>
        <w:rPr>
          <w:rFonts w:ascii="Arial" w:cs="Arial" w:eastAsia="Arial" w:hAnsi="Arial"/>
          <w:sz w:val="20"/>
          <w:szCs w:val="20"/>
          <w:color w:val="582C83"/>
        </w:rPr>
      </w:pPr>
      <w:r>
        <w:rPr>
          <w:rFonts w:ascii="Arial" w:cs="Arial" w:eastAsia="Arial" w:hAnsi="Arial"/>
          <w:sz w:val="20"/>
          <w:szCs w:val="20"/>
          <w:color w:val="auto"/>
        </w:rPr>
        <w:t>Ms. Mukherjee was named one of Forbes Top 50 most influential CMOs and also was named “Marketer of the Year” by Brand Week and was inducted into the Marketing Hall of Fame from the American Marketing Association in 2022.</w:t>
      </w:r>
    </w:p>
    <w:p>
      <w:pPr>
        <w:ind w:left="220" w:right="380" w:hanging="159"/>
        <w:spacing w:after="0" w:line="268" w:lineRule="auto"/>
        <w:tabs>
          <w:tab w:leader="none" w:pos="220" w:val="left"/>
        </w:tabs>
        <w:numPr>
          <w:ilvl w:val="0"/>
          <w:numId w:val="16"/>
        </w:numPr>
        <w:rPr>
          <w:rFonts w:ascii="Arial" w:cs="Arial" w:eastAsia="Arial" w:hAnsi="Arial"/>
          <w:sz w:val="20"/>
          <w:szCs w:val="20"/>
          <w:color w:val="582C83"/>
        </w:rPr>
      </w:pPr>
      <w:r>
        <w:rPr>
          <w:rFonts w:ascii="Arial" w:cs="Arial" w:eastAsia="Arial" w:hAnsi="Arial"/>
          <w:sz w:val="20"/>
          <w:szCs w:val="20"/>
          <w:color w:val="auto"/>
        </w:rPr>
        <w:t>Ms. Mukherjee has public company board and corporate governance experience. She is a former director of Hertz Global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3549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5495" cy="7620"/>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194945</wp:posOffset>
            </wp:positionV>
            <wp:extent cx="149860" cy="165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9860" cy="165735"/>
                    </a:xfrm>
                    <a:prstGeom prst="rect">
                      <a:avLst/>
                    </a:prstGeom>
                    <a:noFill/>
                  </pic:spPr>
                </pic:pic>
              </a:graphicData>
            </a:graphic>
          </wp:anchor>
        </w:drawing>
        <w:drawing>
          <wp:anchor simplePos="0" relativeHeight="251657728" behindDoc="1" locked="0" layoutInCell="0" allowOverlap="1">
            <wp:simplePos x="0" y="0"/>
            <wp:positionH relativeFrom="column">
              <wp:posOffset>1426845</wp:posOffset>
            </wp:positionH>
            <wp:positionV relativeFrom="paragraph">
              <wp:posOffset>202565</wp:posOffset>
            </wp:positionV>
            <wp:extent cx="173355" cy="149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3355" cy="149860"/>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179070</wp:posOffset>
            </wp:positionV>
            <wp:extent cx="196850" cy="1968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194945</wp:posOffset>
            </wp:positionV>
            <wp:extent cx="157480" cy="1574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7480" cy="15748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194945</wp:posOffset>
            </wp:positionV>
            <wp:extent cx="173355" cy="1574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3355" cy="157480"/>
                    </a:xfrm>
                    <a:prstGeom prst="rect">
                      <a:avLst/>
                    </a:prstGeom>
                    <a:noFill/>
                  </pic:spPr>
                </pic:pic>
              </a:graphicData>
            </a:graphic>
          </wp:anchor>
        </w:drawing>
        <w:drawing>
          <wp:anchor simplePos="0" relativeHeight="251657728" behindDoc="1" locked="0" layoutInCell="0" allowOverlap="1">
            <wp:simplePos x="0" y="0"/>
            <wp:positionH relativeFrom="column">
              <wp:posOffset>5668645</wp:posOffset>
            </wp:positionH>
            <wp:positionV relativeFrom="paragraph">
              <wp:posOffset>187325</wp:posOffset>
            </wp:positionV>
            <wp:extent cx="118110" cy="1733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8110" cy="173355"/>
                    </a:xfrm>
                    <a:prstGeom prst="rect">
                      <a:avLst/>
                    </a:prstGeom>
                    <a:noFill/>
                  </pic:spPr>
                </pic:pic>
              </a:graphicData>
            </a:graphic>
          </wp:anchor>
        </w:drawing>
        <w:drawing>
          <wp:anchor simplePos="0" relativeHeight="251657728" behindDoc="1" locked="0" layoutInCell="0" allowOverlap="1">
            <wp:simplePos x="0" y="0"/>
            <wp:positionH relativeFrom="column">
              <wp:posOffset>6661785</wp:posOffset>
            </wp:positionH>
            <wp:positionV relativeFrom="paragraph">
              <wp:posOffset>171450</wp:posOffset>
            </wp:positionV>
            <wp:extent cx="252095" cy="2127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20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20"/>
                <w:szCs w:val="20"/>
                <w:color w:val="auto"/>
              </w:rPr>
            </w:pPr>
            <w:r>
              <w:rPr>
                <w:rFonts w:ascii="Arial" w:cs="Arial" w:eastAsia="Arial" w:hAnsi="Arial"/>
                <w:sz w:val="12"/>
                <w:szCs w:val="12"/>
                <w:color w:val="auto"/>
              </w:rPr>
              <w:t>INDUSTRY EXPERIENCE</w:t>
            </w:r>
          </w:p>
        </w:tc>
        <w:tc>
          <w:tcPr>
            <w:tcW w:w="1380" w:type="dxa"/>
            <w:vAlign w:val="bottom"/>
          </w:tcPr>
          <w:p>
            <w:pPr>
              <w:jc w:val="center"/>
              <w:spacing w:after="0"/>
              <w:rPr>
                <w:sz w:val="20"/>
                <w:szCs w:val="20"/>
                <w:color w:val="auto"/>
              </w:rPr>
            </w:pPr>
            <w:r>
              <w:rPr>
                <w:rFonts w:ascii="Arial" w:cs="Arial" w:eastAsia="Arial" w:hAnsi="Arial"/>
                <w:sz w:val="12"/>
                <w:szCs w:val="12"/>
                <w:color w:val="auto"/>
              </w:rPr>
              <w:t>SIGNIFICANT</w:t>
            </w:r>
          </w:p>
        </w:tc>
        <w:tc>
          <w:tcPr>
            <w:tcW w:w="1380" w:type="dxa"/>
            <w:vAlign w:val="bottom"/>
          </w:tcPr>
          <w:p>
            <w:pPr>
              <w:jc w:val="right"/>
              <w:ind w:right="198"/>
              <w:spacing w:after="0"/>
              <w:rPr>
                <w:sz w:val="20"/>
                <w:szCs w:val="20"/>
                <w:color w:val="auto"/>
              </w:rPr>
            </w:pPr>
            <w:r>
              <w:rPr>
                <w:rFonts w:ascii="Arial" w:cs="Arial" w:eastAsia="Arial" w:hAnsi="Arial"/>
                <w:sz w:val="12"/>
                <w:szCs w:val="12"/>
                <w:color w:val="auto"/>
              </w:rPr>
              <w:t>LEADERSHIP</w:t>
            </w:r>
          </w:p>
        </w:tc>
        <w:tc>
          <w:tcPr>
            <w:tcW w:w="1860" w:type="dxa"/>
            <w:vAlign w:val="bottom"/>
          </w:tcPr>
          <w:p>
            <w:pPr>
              <w:jc w:val="center"/>
              <w:spacing w:after="0"/>
              <w:rPr>
                <w:sz w:val="20"/>
                <w:szCs w:val="20"/>
                <w:color w:val="auto"/>
              </w:rPr>
            </w:pPr>
            <w:r>
              <w:rPr>
                <w:rFonts w:ascii="Arial" w:cs="Arial" w:eastAsia="Arial" w:hAnsi="Arial"/>
                <w:sz w:val="12"/>
                <w:szCs w:val="12"/>
                <w:color w:val="auto"/>
              </w:rPr>
              <w:t>SUBSTANTIAL GLOBAL</w:t>
            </w:r>
          </w:p>
        </w:tc>
        <w:tc>
          <w:tcPr>
            <w:tcW w:w="1780" w:type="dxa"/>
            <w:vAlign w:val="bottom"/>
          </w:tcPr>
          <w:p>
            <w:pPr>
              <w:jc w:val="center"/>
              <w:spacing w:after="0"/>
              <w:rPr>
                <w:sz w:val="20"/>
                <w:szCs w:val="20"/>
                <w:color w:val="auto"/>
              </w:rPr>
            </w:pPr>
            <w:r>
              <w:rPr>
                <w:rFonts w:ascii="Arial" w:cs="Arial" w:eastAsia="Arial" w:hAnsi="Arial"/>
                <w:sz w:val="12"/>
                <w:szCs w:val="12"/>
                <w:color w:val="auto"/>
              </w:rPr>
              <w:t>ACCOUNTING AND</w:t>
            </w:r>
          </w:p>
        </w:tc>
        <w:tc>
          <w:tcPr>
            <w:tcW w:w="1800" w:type="dxa"/>
            <w:vAlign w:val="bottom"/>
          </w:tcPr>
          <w:p>
            <w:pPr>
              <w:jc w:val="center"/>
              <w:spacing w:after="0"/>
              <w:rPr>
                <w:sz w:val="20"/>
                <w:szCs w:val="20"/>
                <w:color w:val="auto"/>
              </w:rPr>
            </w:pPr>
            <w:r>
              <w:rPr>
                <w:rFonts w:ascii="Arial" w:cs="Arial" w:eastAsia="Arial" w:hAnsi="Arial"/>
                <w:sz w:val="12"/>
                <w:szCs w:val="12"/>
                <w:color w:val="auto"/>
              </w:rPr>
              <w:t>PRODUCT RESEARCH,</w:t>
            </w: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PUBLIC COMPANY</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OPERATING</w:t>
            </w:r>
          </w:p>
        </w:tc>
        <w:tc>
          <w:tcPr>
            <w:tcW w:w="1380" w:type="dxa"/>
            <w:vAlign w:val="bottom"/>
          </w:tcPr>
          <w:p>
            <w:pPr>
              <w:jc w:val="right"/>
              <w:ind w:right="198"/>
              <w:spacing w:after="0" w:line="137" w:lineRule="exact"/>
              <w:rPr>
                <w:sz w:val="20"/>
                <w:szCs w:val="20"/>
                <w:color w:val="auto"/>
              </w:rPr>
            </w:pPr>
            <w:r>
              <w:rPr>
                <w:rFonts w:ascii="Arial" w:cs="Arial" w:eastAsia="Arial" w:hAnsi="Arial"/>
                <w:sz w:val="12"/>
                <w:szCs w:val="12"/>
                <w:color w:val="auto"/>
              </w:rPr>
              <w:t>EXPERIENCE</w:t>
            </w: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BUSINESS AND OTHER</w:t>
            </w:r>
          </w:p>
        </w:tc>
        <w:tc>
          <w:tcPr>
            <w:tcW w:w="1780" w:type="dxa"/>
            <w:vAlign w:val="bottom"/>
          </w:tcPr>
          <w:p>
            <w:pPr>
              <w:jc w:val="center"/>
              <w:spacing w:after="0" w:line="137" w:lineRule="exact"/>
              <w:rPr>
                <w:sz w:val="20"/>
                <w:szCs w:val="20"/>
                <w:color w:val="auto"/>
              </w:rPr>
            </w:pPr>
            <w:r>
              <w:rPr>
                <w:rFonts w:ascii="Arial" w:cs="Arial" w:eastAsia="Arial" w:hAnsi="Arial"/>
                <w:sz w:val="12"/>
                <w:szCs w:val="12"/>
                <w:color w:val="auto"/>
              </w:rPr>
              <w:t>FINANCIAL EXPERTISE</w:t>
            </w: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DEVELOPMENT</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BOARD AND</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INTERNATIONAL</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AND MARKETING</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CORPORATE</w:t>
            </w:r>
          </w:p>
        </w:tc>
      </w:tr>
      <w:tr>
        <w:trPr>
          <w:trHeight w:val="137"/>
        </w:trPr>
        <w:tc>
          <w:tcPr>
            <w:tcW w:w="17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GOVERNANCE</w:t>
            </w:r>
          </w:p>
        </w:tc>
      </w:tr>
      <w:tr>
        <w:trPr>
          <w:trHeight w:val="164"/>
        </w:trPr>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311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1040" w:type="dxa"/>
            <w:vAlign w:val="bottom"/>
            <w:tcBorders>
              <w:top w:val="single" w:sz="8" w:color="582C83"/>
              <w:left w:val="single" w:sz="8" w:color="582C83"/>
              <w:right w:val="single" w:sz="8" w:color="582C83"/>
            </w:tcBorders>
          </w:tcPr>
          <w:p>
            <w:pPr>
              <w:spacing w:after="0"/>
              <w:rPr>
                <w:sz w:val="24"/>
                <w:szCs w:val="24"/>
                <w:color w:val="auto"/>
              </w:rPr>
            </w:pPr>
          </w:p>
        </w:tc>
        <w:tc>
          <w:tcPr>
            <w:tcW w:w="2980" w:type="dxa"/>
            <w:vAlign w:val="bottom"/>
            <w:tcBorders>
              <w:top w:val="single" w:sz="8" w:color="582C83"/>
              <w:right w:val="single" w:sz="8" w:color="582C83"/>
            </w:tcBorders>
          </w:tcPr>
          <w:p>
            <w:pPr>
              <w:ind w:left="160"/>
              <w:spacing w:after="0"/>
              <w:rPr>
                <w:sz w:val="20"/>
                <w:szCs w:val="20"/>
                <w:color w:val="auto"/>
              </w:rPr>
            </w:pPr>
            <w:r>
              <w:rPr>
                <w:rFonts w:ascii="Arial" w:cs="Arial" w:eastAsia="Arial" w:hAnsi="Arial"/>
                <w:sz w:val="20"/>
                <w:szCs w:val="20"/>
                <w:b w:val="1"/>
                <w:bCs w:val="1"/>
                <w:color w:val="auto"/>
              </w:rPr>
              <w:t>Jane Hamilton Nielsen</w:t>
            </w:r>
          </w:p>
        </w:tc>
        <w:tc>
          <w:tcPr>
            <w:tcW w:w="206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0"/>
                <w:szCs w:val="20"/>
                <w:b w:val="1"/>
                <w:bCs w:val="1"/>
                <w:color w:val="auto"/>
                <w:w w:val="98"/>
              </w:rPr>
              <w:t>DIRECTOR SINCE:</w:t>
            </w:r>
          </w:p>
        </w:tc>
        <w:tc>
          <w:tcPr>
            <w:tcW w:w="3160" w:type="dxa"/>
            <w:vAlign w:val="bottom"/>
            <w:tcBorders>
              <w:top w:val="single" w:sz="8" w:color="582C83"/>
              <w:right w:val="single" w:sz="8" w:color="582C83"/>
            </w:tcBorders>
          </w:tcPr>
          <w:p>
            <w:pPr>
              <w:ind w:left="620"/>
              <w:spacing w:after="0"/>
              <w:rPr>
                <w:sz w:val="20"/>
                <w:szCs w:val="20"/>
                <w:color w:val="auto"/>
              </w:rPr>
            </w:pPr>
            <w:r>
              <w:rPr>
                <w:rFonts w:ascii="Arial" w:cs="Arial" w:eastAsia="Arial" w:hAnsi="Arial"/>
                <w:sz w:val="20"/>
                <w:szCs w:val="20"/>
                <w:b w:val="1"/>
                <w:bCs w:val="1"/>
                <w:color w:val="auto"/>
              </w:rPr>
              <w:t>DIRECTOR SKILLS:</w:t>
            </w:r>
          </w:p>
        </w:tc>
        <w:tc>
          <w:tcPr>
            <w:tcW w:w="202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0"/>
                <w:szCs w:val="20"/>
                <w:b w:val="1"/>
                <w:bCs w:val="1"/>
                <w:color w:val="auto"/>
                <w:w w:val="98"/>
              </w:rPr>
              <w:t>BOARD</w:t>
            </w:r>
          </w:p>
        </w:tc>
        <w:tc>
          <w:tcPr>
            <w:tcW w:w="0" w:type="dxa"/>
            <w:vAlign w:val="bottom"/>
          </w:tcPr>
          <w:p>
            <w:pPr>
              <w:spacing w:after="0"/>
              <w:rPr>
                <w:sz w:val="1"/>
                <w:szCs w:val="1"/>
                <w:color w:val="auto"/>
              </w:rPr>
            </w:pPr>
          </w:p>
        </w:tc>
      </w:tr>
      <w:tr>
        <w:trPr>
          <w:trHeight w:val="261"/>
        </w:trPr>
        <w:tc>
          <w:tcPr>
            <w:tcW w:w="1040" w:type="dxa"/>
            <w:vAlign w:val="bottom"/>
            <w:tcBorders>
              <w:left w:val="single" w:sz="8" w:color="582C83"/>
              <w:right w:val="single" w:sz="8" w:color="582C83"/>
            </w:tcBorders>
          </w:tcPr>
          <w:p>
            <w:pPr>
              <w:spacing w:after="0"/>
              <w:rPr>
                <w:sz w:val="22"/>
                <w:szCs w:val="22"/>
                <w:color w:val="auto"/>
              </w:rPr>
            </w:pPr>
          </w:p>
        </w:tc>
        <w:tc>
          <w:tcPr>
            <w:tcW w:w="2980" w:type="dxa"/>
            <w:vAlign w:val="bottom"/>
            <w:tcBorders>
              <w:right w:val="single" w:sz="8" w:color="582C83"/>
            </w:tcBorders>
          </w:tcPr>
          <w:p>
            <w:pPr>
              <w:ind w:left="160"/>
              <w:spacing w:after="0"/>
              <w:rPr>
                <w:sz w:val="20"/>
                <w:szCs w:val="20"/>
                <w:color w:val="auto"/>
              </w:rPr>
            </w:pPr>
            <w:r>
              <w:rPr>
                <w:rFonts w:ascii="Arial" w:cs="Arial" w:eastAsia="Arial" w:hAnsi="Arial"/>
                <w:sz w:val="20"/>
                <w:szCs w:val="20"/>
                <w:i w:val="1"/>
                <w:iCs w:val="1"/>
                <w:color w:val="auto"/>
              </w:rPr>
              <w:t>Chief Operating Officer and</w:t>
            </w:r>
          </w:p>
        </w:tc>
        <w:tc>
          <w:tcPr>
            <w:tcW w:w="2060" w:type="dxa"/>
            <w:vAlign w:val="bottom"/>
            <w:tcBorders>
              <w:right w:val="single" w:sz="8" w:color="582C83"/>
            </w:tcBorders>
          </w:tcPr>
          <w:p>
            <w:pPr>
              <w:jc w:val="center"/>
              <w:spacing w:after="0"/>
              <w:rPr>
                <w:sz w:val="20"/>
                <w:szCs w:val="20"/>
                <w:color w:val="auto"/>
              </w:rPr>
            </w:pPr>
            <w:r>
              <w:rPr>
                <w:rFonts w:ascii="Arial" w:cs="Arial" w:eastAsia="Arial" w:hAnsi="Arial"/>
                <w:sz w:val="20"/>
                <w:szCs w:val="20"/>
                <w:color w:val="auto"/>
              </w:rPr>
              <w:t>May 2021</w:t>
            </w:r>
          </w:p>
        </w:tc>
        <w:tc>
          <w:tcPr>
            <w:tcW w:w="3160" w:type="dxa"/>
            <w:vAlign w:val="bottom"/>
            <w:tcBorders>
              <w:right w:val="single" w:sz="8" w:color="582C83"/>
            </w:tcBorders>
          </w:tcPr>
          <w:p>
            <w:pPr>
              <w:spacing w:after="0"/>
              <w:rPr>
                <w:sz w:val="22"/>
                <w:szCs w:val="22"/>
                <w:color w:val="auto"/>
              </w:rPr>
            </w:pPr>
          </w:p>
        </w:tc>
        <w:tc>
          <w:tcPr>
            <w:tcW w:w="2020" w:type="dxa"/>
            <w:vAlign w:val="bottom"/>
            <w:tcBorders>
              <w:right w:val="single" w:sz="8" w:color="582C83"/>
            </w:tcBorders>
          </w:tcPr>
          <w:p>
            <w:pPr>
              <w:jc w:val="center"/>
              <w:spacing w:after="0"/>
              <w:rPr>
                <w:sz w:val="20"/>
                <w:szCs w:val="20"/>
                <w:color w:val="auto"/>
              </w:rPr>
            </w:pPr>
            <w:r>
              <w:rPr>
                <w:rFonts w:ascii="Arial" w:cs="Arial" w:eastAsia="Arial" w:hAnsi="Arial"/>
                <w:sz w:val="20"/>
                <w:szCs w:val="20"/>
                <w:b w:val="1"/>
                <w:bCs w:val="1"/>
                <w:color w:val="auto"/>
                <w:w w:val="99"/>
              </w:rPr>
              <w:t>COMMITTEES:</w:t>
            </w:r>
          </w:p>
        </w:tc>
        <w:tc>
          <w:tcPr>
            <w:tcW w:w="0" w:type="dxa"/>
            <w:vAlign w:val="bottom"/>
          </w:tcPr>
          <w:p>
            <w:pPr>
              <w:spacing w:after="0"/>
              <w:rPr>
                <w:sz w:val="1"/>
                <w:szCs w:val="1"/>
                <w:color w:val="auto"/>
              </w:rPr>
            </w:pPr>
          </w:p>
        </w:tc>
      </w:tr>
      <w:tr>
        <w:trPr>
          <w:trHeight w:val="224"/>
        </w:trPr>
        <w:tc>
          <w:tcPr>
            <w:tcW w:w="1040" w:type="dxa"/>
            <w:vAlign w:val="bottom"/>
            <w:tcBorders>
              <w:left w:val="single" w:sz="8" w:color="582C83"/>
              <w:right w:val="single" w:sz="8" w:color="582C83"/>
            </w:tcBorders>
          </w:tcPr>
          <w:p>
            <w:pPr>
              <w:spacing w:after="0"/>
              <w:rPr>
                <w:sz w:val="19"/>
                <w:szCs w:val="19"/>
                <w:color w:val="auto"/>
              </w:rPr>
            </w:pPr>
          </w:p>
        </w:tc>
        <w:tc>
          <w:tcPr>
            <w:tcW w:w="2980" w:type="dxa"/>
            <w:vAlign w:val="bottom"/>
            <w:tcBorders>
              <w:right w:val="single" w:sz="8" w:color="582C83"/>
            </w:tcBorders>
          </w:tcPr>
          <w:p>
            <w:pPr>
              <w:ind w:left="160"/>
              <w:spacing w:after="0" w:line="225" w:lineRule="exact"/>
              <w:rPr>
                <w:sz w:val="20"/>
                <w:szCs w:val="20"/>
                <w:color w:val="auto"/>
              </w:rPr>
            </w:pPr>
            <w:r>
              <w:rPr>
                <w:rFonts w:ascii="Arial" w:cs="Arial" w:eastAsia="Arial" w:hAnsi="Arial"/>
                <w:sz w:val="20"/>
                <w:szCs w:val="20"/>
                <w:i w:val="1"/>
                <w:iCs w:val="1"/>
                <w:color w:val="auto"/>
              </w:rPr>
              <w:t>Chief Financial Officer, Ralph</w:t>
            </w:r>
          </w:p>
        </w:tc>
        <w:tc>
          <w:tcPr>
            <w:tcW w:w="206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color w:val="auto"/>
                <w:w w:val="98"/>
              </w:rPr>
              <w:t>White/Female</w:t>
            </w:r>
          </w:p>
        </w:tc>
        <w:tc>
          <w:tcPr>
            <w:tcW w:w="3160" w:type="dxa"/>
            <w:vAlign w:val="bottom"/>
            <w:tcBorders>
              <w:right w:val="single" w:sz="8" w:color="582C83"/>
            </w:tcBorders>
          </w:tcPr>
          <w:p>
            <w:pPr>
              <w:spacing w:after="0"/>
              <w:rPr>
                <w:sz w:val="19"/>
                <w:szCs w:val="19"/>
                <w:color w:val="auto"/>
              </w:rPr>
            </w:pPr>
          </w:p>
        </w:tc>
        <w:tc>
          <w:tcPr>
            <w:tcW w:w="2020" w:type="dxa"/>
            <w:vAlign w:val="bottom"/>
            <w:tcBorders>
              <w:right w:val="single" w:sz="8" w:color="582C83"/>
            </w:tcBorders>
          </w:tcPr>
          <w:p>
            <w:pPr>
              <w:ind w:left="80"/>
              <w:spacing w:after="0" w:line="225"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Audit</w:t>
            </w:r>
          </w:p>
        </w:tc>
        <w:tc>
          <w:tcPr>
            <w:tcW w:w="0" w:type="dxa"/>
            <w:vAlign w:val="bottom"/>
          </w:tcPr>
          <w:p>
            <w:pPr>
              <w:spacing w:after="0"/>
              <w:rPr>
                <w:sz w:val="1"/>
                <w:szCs w:val="1"/>
                <w:color w:val="auto"/>
              </w:rPr>
            </w:pPr>
          </w:p>
        </w:tc>
      </w:tr>
      <w:tr>
        <w:trPr>
          <w:trHeight w:val="187"/>
        </w:trPr>
        <w:tc>
          <w:tcPr>
            <w:tcW w:w="1040" w:type="dxa"/>
            <w:vAlign w:val="bottom"/>
            <w:tcBorders>
              <w:left w:val="single" w:sz="8" w:color="582C83"/>
              <w:right w:val="single" w:sz="8" w:color="582C83"/>
            </w:tcBorders>
          </w:tcPr>
          <w:p>
            <w:pPr>
              <w:spacing w:after="0"/>
              <w:rPr>
                <w:sz w:val="16"/>
                <w:szCs w:val="16"/>
                <w:color w:val="auto"/>
              </w:rPr>
            </w:pPr>
          </w:p>
        </w:tc>
        <w:tc>
          <w:tcPr>
            <w:tcW w:w="2980" w:type="dxa"/>
            <w:vAlign w:val="bottom"/>
            <w:tcBorders>
              <w:right w:val="single" w:sz="8" w:color="582C83"/>
            </w:tcBorders>
            <w:vMerge w:val="restart"/>
          </w:tcPr>
          <w:p>
            <w:pPr>
              <w:ind w:left="160"/>
              <w:spacing w:after="0"/>
              <w:rPr>
                <w:sz w:val="20"/>
                <w:szCs w:val="20"/>
                <w:color w:val="auto"/>
              </w:rPr>
            </w:pPr>
            <w:r>
              <w:rPr>
                <w:rFonts w:ascii="Arial" w:cs="Arial" w:eastAsia="Arial" w:hAnsi="Arial"/>
                <w:sz w:val="20"/>
                <w:szCs w:val="20"/>
                <w:i w:val="1"/>
                <w:iCs w:val="1"/>
                <w:color w:val="auto"/>
              </w:rPr>
              <w:t>Lauren Corporation</w:t>
            </w:r>
          </w:p>
        </w:tc>
        <w:tc>
          <w:tcPr>
            <w:tcW w:w="2060" w:type="dxa"/>
            <w:vAlign w:val="bottom"/>
            <w:tcBorders>
              <w:right w:val="single" w:sz="8" w:color="582C83"/>
            </w:tcBorders>
            <w:vMerge w:val="continue"/>
          </w:tcPr>
          <w:p>
            <w:pPr>
              <w:spacing w:after="0"/>
              <w:rPr>
                <w:sz w:val="16"/>
                <w:szCs w:val="16"/>
                <w:color w:val="auto"/>
              </w:rPr>
            </w:pPr>
          </w:p>
        </w:tc>
        <w:tc>
          <w:tcPr>
            <w:tcW w:w="3160" w:type="dxa"/>
            <w:vAlign w:val="bottom"/>
            <w:tcBorders>
              <w:right w:val="single" w:sz="8" w:color="582C83"/>
            </w:tcBorders>
          </w:tcPr>
          <w:p>
            <w:pPr>
              <w:spacing w:after="0"/>
              <w:rPr>
                <w:sz w:val="16"/>
                <w:szCs w:val="16"/>
                <w:color w:val="auto"/>
              </w:rPr>
            </w:pPr>
          </w:p>
        </w:tc>
        <w:tc>
          <w:tcPr>
            <w:tcW w:w="2020" w:type="dxa"/>
            <w:vAlign w:val="bottom"/>
            <w:tcBorders>
              <w:right w:val="single" w:sz="8" w:color="582C83"/>
            </w:tcBorders>
            <w:vMerge w:val="restart"/>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Finance</w:t>
            </w:r>
          </w:p>
        </w:tc>
        <w:tc>
          <w:tcPr>
            <w:tcW w:w="0" w:type="dxa"/>
            <w:vAlign w:val="bottom"/>
          </w:tcPr>
          <w:p>
            <w:pPr>
              <w:spacing w:after="0"/>
              <w:rPr>
                <w:sz w:val="1"/>
                <w:szCs w:val="1"/>
                <w:color w:val="auto"/>
              </w:rPr>
            </w:pPr>
          </w:p>
        </w:tc>
      </w:tr>
      <w:tr>
        <w:trPr>
          <w:trHeight w:val="112"/>
        </w:trPr>
        <w:tc>
          <w:tcPr>
            <w:tcW w:w="1040" w:type="dxa"/>
            <w:vAlign w:val="bottom"/>
            <w:tcBorders>
              <w:left w:val="single" w:sz="8" w:color="582C83"/>
              <w:right w:val="single" w:sz="8" w:color="582C83"/>
            </w:tcBorders>
          </w:tcPr>
          <w:p>
            <w:pPr>
              <w:spacing w:after="0"/>
              <w:rPr>
                <w:sz w:val="9"/>
                <w:szCs w:val="9"/>
                <w:color w:val="auto"/>
              </w:rPr>
            </w:pPr>
          </w:p>
        </w:tc>
        <w:tc>
          <w:tcPr>
            <w:tcW w:w="2980" w:type="dxa"/>
            <w:vAlign w:val="bottom"/>
            <w:tcBorders>
              <w:right w:val="single" w:sz="8" w:color="582C83"/>
            </w:tcBorders>
            <w:vMerge w:val="continue"/>
          </w:tcPr>
          <w:p>
            <w:pPr>
              <w:spacing w:after="0"/>
              <w:rPr>
                <w:sz w:val="9"/>
                <w:szCs w:val="9"/>
                <w:color w:val="auto"/>
              </w:rPr>
            </w:pPr>
          </w:p>
        </w:tc>
        <w:tc>
          <w:tcPr>
            <w:tcW w:w="206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color w:val="auto"/>
                <w:w w:val="97"/>
              </w:rPr>
              <w:t>Age 58</w:t>
            </w:r>
          </w:p>
        </w:tc>
        <w:tc>
          <w:tcPr>
            <w:tcW w:w="3160" w:type="dxa"/>
            <w:vAlign w:val="bottom"/>
            <w:tcBorders>
              <w:right w:val="single" w:sz="8" w:color="582C83"/>
            </w:tcBorders>
          </w:tcPr>
          <w:p>
            <w:pPr>
              <w:spacing w:after="0"/>
              <w:rPr>
                <w:sz w:val="9"/>
                <w:szCs w:val="9"/>
                <w:color w:val="auto"/>
              </w:rPr>
            </w:pPr>
          </w:p>
        </w:tc>
        <w:tc>
          <w:tcPr>
            <w:tcW w:w="2020" w:type="dxa"/>
            <w:vAlign w:val="bottom"/>
            <w:tcBorders>
              <w:right w:val="single" w:sz="8" w:color="582C8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040" w:type="dxa"/>
            <w:vAlign w:val="bottom"/>
            <w:tcBorders>
              <w:left w:val="single" w:sz="8" w:color="582C83"/>
              <w:right w:val="single" w:sz="8" w:color="582C83"/>
            </w:tcBorders>
          </w:tcPr>
          <w:p>
            <w:pPr>
              <w:spacing w:after="0"/>
              <w:rPr>
                <w:sz w:val="14"/>
                <w:szCs w:val="14"/>
                <w:color w:val="auto"/>
              </w:rPr>
            </w:pPr>
          </w:p>
        </w:tc>
        <w:tc>
          <w:tcPr>
            <w:tcW w:w="2980" w:type="dxa"/>
            <w:vAlign w:val="bottom"/>
            <w:tcBorders>
              <w:right w:val="single" w:sz="8" w:color="582C83"/>
            </w:tcBorders>
          </w:tcPr>
          <w:p>
            <w:pPr>
              <w:spacing w:after="0"/>
              <w:rPr>
                <w:sz w:val="14"/>
                <w:szCs w:val="14"/>
                <w:color w:val="auto"/>
              </w:rPr>
            </w:pPr>
          </w:p>
        </w:tc>
        <w:tc>
          <w:tcPr>
            <w:tcW w:w="2060" w:type="dxa"/>
            <w:vAlign w:val="bottom"/>
            <w:tcBorders>
              <w:right w:val="single" w:sz="8" w:color="582C83"/>
            </w:tcBorders>
            <w:vMerge w:val="continue"/>
          </w:tcPr>
          <w:p>
            <w:pPr>
              <w:spacing w:after="0"/>
              <w:rPr>
                <w:sz w:val="14"/>
                <w:szCs w:val="14"/>
                <w:color w:val="auto"/>
              </w:rPr>
            </w:pPr>
          </w:p>
        </w:tc>
        <w:tc>
          <w:tcPr>
            <w:tcW w:w="3160" w:type="dxa"/>
            <w:vAlign w:val="bottom"/>
            <w:tcBorders>
              <w:right w:val="single" w:sz="8" w:color="582C83"/>
            </w:tcBorders>
          </w:tcPr>
          <w:p>
            <w:pPr>
              <w:spacing w:after="0"/>
              <w:rPr>
                <w:sz w:val="14"/>
                <w:szCs w:val="14"/>
                <w:color w:val="auto"/>
              </w:rPr>
            </w:pPr>
          </w:p>
        </w:tc>
        <w:tc>
          <w:tcPr>
            <w:tcW w:w="2020" w:type="dxa"/>
            <w:vAlign w:val="bottom"/>
            <w:tcBorders>
              <w:right w:val="single" w:sz="8" w:color="582C83"/>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1040" w:type="dxa"/>
            <w:vAlign w:val="bottom"/>
            <w:tcBorders>
              <w:left w:val="single" w:sz="8" w:color="582C83"/>
              <w:right w:val="single" w:sz="8" w:color="582C83"/>
            </w:tcBorders>
          </w:tcPr>
          <w:p>
            <w:pPr>
              <w:spacing w:after="0"/>
              <w:rPr>
                <w:sz w:val="24"/>
                <w:szCs w:val="24"/>
                <w:color w:val="auto"/>
              </w:rPr>
            </w:pPr>
          </w:p>
        </w:tc>
        <w:tc>
          <w:tcPr>
            <w:tcW w:w="2980" w:type="dxa"/>
            <w:vAlign w:val="bottom"/>
            <w:tcBorders>
              <w:right w:val="single" w:sz="8" w:color="582C83"/>
            </w:tcBorders>
          </w:tcPr>
          <w:p>
            <w:pPr>
              <w:ind w:left="160"/>
              <w:spacing w:after="0"/>
              <w:rPr>
                <w:sz w:val="20"/>
                <w:szCs w:val="20"/>
                <w:color w:val="auto"/>
              </w:rPr>
            </w:pPr>
            <w:r>
              <w:rPr>
                <w:rFonts w:ascii="Arial" w:cs="Arial" w:eastAsia="Arial" w:hAnsi="Arial"/>
                <w:sz w:val="20"/>
                <w:szCs w:val="20"/>
                <w:b w:val="1"/>
                <w:bCs w:val="1"/>
                <w:color w:val="582C83"/>
              </w:rPr>
              <w:t>INDEPENDENT</w:t>
            </w:r>
          </w:p>
        </w:tc>
        <w:tc>
          <w:tcPr>
            <w:tcW w:w="2060" w:type="dxa"/>
            <w:vAlign w:val="bottom"/>
            <w:tcBorders>
              <w:right w:val="single" w:sz="8" w:color="582C83"/>
            </w:tcBorders>
          </w:tcPr>
          <w:p>
            <w:pPr>
              <w:spacing w:after="0"/>
              <w:rPr>
                <w:sz w:val="24"/>
                <w:szCs w:val="24"/>
                <w:color w:val="auto"/>
              </w:rPr>
            </w:pPr>
          </w:p>
        </w:tc>
        <w:tc>
          <w:tcPr>
            <w:tcW w:w="3160" w:type="dxa"/>
            <w:vAlign w:val="bottom"/>
            <w:tcBorders>
              <w:right w:val="single" w:sz="8" w:color="582C83"/>
            </w:tcBorders>
          </w:tcPr>
          <w:p>
            <w:pPr>
              <w:spacing w:after="0"/>
              <w:rPr>
                <w:sz w:val="24"/>
                <w:szCs w:val="24"/>
                <w:color w:val="auto"/>
              </w:rPr>
            </w:pPr>
          </w:p>
        </w:tc>
        <w:tc>
          <w:tcPr>
            <w:tcW w:w="2020" w:type="dxa"/>
            <w:vAlign w:val="bottom"/>
            <w:tcBorders>
              <w:right w:val="single" w:sz="8" w:color="582C83"/>
            </w:tcBorders>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040" w:type="dxa"/>
            <w:vAlign w:val="bottom"/>
            <w:tcBorders>
              <w:left w:val="single" w:sz="8" w:color="582C83"/>
              <w:bottom w:val="single" w:sz="8" w:color="582C83"/>
              <w:right w:val="single" w:sz="8" w:color="582C83"/>
            </w:tcBorders>
          </w:tcPr>
          <w:p>
            <w:pPr>
              <w:spacing w:after="0"/>
              <w:rPr>
                <w:sz w:val="5"/>
                <w:szCs w:val="5"/>
                <w:color w:val="auto"/>
              </w:rPr>
            </w:pPr>
          </w:p>
        </w:tc>
        <w:tc>
          <w:tcPr>
            <w:tcW w:w="2980" w:type="dxa"/>
            <w:vAlign w:val="bottom"/>
            <w:tcBorders>
              <w:bottom w:val="single" w:sz="8" w:color="582C83"/>
              <w:right w:val="single" w:sz="8" w:color="582C83"/>
            </w:tcBorders>
          </w:tcPr>
          <w:p>
            <w:pPr>
              <w:spacing w:after="0"/>
              <w:rPr>
                <w:sz w:val="5"/>
                <w:szCs w:val="5"/>
                <w:color w:val="auto"/>
              </w:rPr>
            </w:pPr>
          </w:p>
        </w:tc>
        <w:tc>
          <w:tcPr>
            <w:tcW w:w="2060" w:type="dxa"/>
            <w:vAlign w:val="bottom"/>
            <w:tcBorders>
              <w:bottom w:val="single" w:sz="8" w:color="582C83"/>
              <w:right w:val="single" w:sz="8" w:color="582C83"/>
            </w:tcBorders>
          </w:tcPr>
          <w:p>
            <w:pPr>
              <w:spacing w:after="0"/>
              <w:rPr>
                <w:sz w:val="5"/>
                <w:szCs w:val="5"/>
                <w:color w:val="auto"/>
              </w:rPr>
            </w:pPr>
          </w:p>
        </w:tc>
        <w:tc>
          <w:tcPr>
            <w:tcW w:w="3160" w:type="dxa"/>
            <w:vAlign w:val="bottom"/>
            <w:tcBorders>
              <w:bottom w:val="single" w:sz="8" w:color="572C83"/>
              <w:right w:val="single" w:sz="8" w:color="582C83"/>
            </w:tcBorders>
          </w:tcPr>
          <w:p>
            <w:pPr>
              <w:spacing w:after="0"/>
              <w:rPr>
                <w:sz w:val="5"/>
                <w:szCs w:val="5"/>
                <w:color w:val="auto"/>
              </w:rPr>
            </w:pPr>
          </w:p>
        </w:tc>
        <w:tc>
          <w:tcPr>
            <w:tcW w:w="2020" w:type="dxa"/>
            <w:vAlign w:val="bottom"/>
            <w:tcBorders>
              <w:bottom w:val="single" w:sz="8" w:color="582C83"/>
              <w:right w:val="single" w:sz="8" w:color="582C8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-772160</wp:posOffset>
            </wp:positionV>
            <wp:extent cx="7143115" cy="21837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3115" cy="2183765"/>
                    </a:xfrm>
                    <a:prstGeom prst="rect">
                      <a:avLst/>
                    </a:prstGeom>
                    <a:noFill/>
                  </pic:spPr>
                </pic:pic>
              </a:graphicData>
            </a:graphic>
          </wp:anchor>
        </w:drawing>
      </w:r>
    </w:p>
    <w:p>
      <w:pPr>
        <w:spacing w:after="0" w:line="2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PROFESSIONAL BACKGROUND:</w:t>
      </w:r>
    </w:p>
    <w:p>
      <w:pPr>
        <w:spacing w:after="0" w:line="14" w:lineRule="exact"/>
        <w:rPr>
          <w:sz w:val="20"/>
          <w:szCs w:val="20"/>
          <w:color w:val="auto"/>
        </w:rPr>
      </w:pPr>
    </w:p>
    <w:p>
      <w:pPr>
        <w:ind w:left="80" w:right="240"/>
        <w:spacing w:after="0" w:line="235" w:lineRule="auto"/>
        <w:rPr>
          <w:sz w:val="20"/>
          <w:szCs w:val="20"/>
          <w:color w:val="auto"/>
        </w:rPr>
      </w:pPr>
      <w:r>
        <w:rPr>
          <w:rFonts w:ascii="Arial" w:cs="Arial" w:eastAsia="Arial" w:hAnsi="Arial"/>
          <w:sz w:val="20"/>
          <w:szCs w:val="20"/>
          <w:color w:val="auto"/>
        </w:rPr>
        <w:t xml:space="preserve">Ms. Nielsen has served as Chief Financial Officer of Ralph Lauren Corporation, a global leader in the design, marketing and distribution of premium lifestyle products, since 2016 and as Chief Operating Officer since 2019. She leads Ralph </w:t>
      </w:r>
      <w:r>
        <w:rPr>
          <w:rFonts w:ascii="Times New Roman" w:cs="Times New Roman" w:eastAsia="Times New Roman" w:hAnsi="Times New Roman"/>
          <w:sz w:val="20"/>
          <w:szCs w:val="20"/>
          <w:color w:val="auto"/>
        </w:rPr>
        <w:t> </w:t>
      </w:r>
      <w:r>
        <w:rPr>
          <w:rFonts w:ascii="Arial" w:cs="Arial" w:eastAsia="Arial" w:hAnsi="Arial"/>
          <w:sz w:val="20"/>
          <w:szCs w:val="20"/>
          <w:color w:val="auto"/>
        </w:rPr>
        <w:t>Lauren’s global technology, finance, business development, integrated business and inventory planning, logistics, and real estate organizations. She previously served as Chief Financial Officer of Coach, Inc., a leading design house of modern luxury accessories and lifestyle collections, from 2011 to 2016. Prior to that, Ms. Nielsen spent 15 years at PepsiCo, Inc. and Pepsi Bottling Group, a global food and beverage corporation, in various senior financial roles, including Senior Vice President and Chief Financial Officer of PepsiCo Beverages Americas and the Global Nutrition Group, and she has experience in the areas of mergers &amp; integration, investor relations and strategic planning.</w:t>
      </w:r>
    </w:p>
    <w:p>
      <w:pPr>
        <w:spacing w:after="0" w:line="28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DIRECTOR QUALIFICATIONS:</w:t>
      </w:r>
    </w:p>
    <w:p>
      <w:pPr>
        <w:spacing w:after="0" w:line="44" w:lineRule="exact"/>
        <w:rPr>
          <w:sz w:val="20"/>
          <w:szCs w:val="20"/>
          <w:color w:val="auto"/>
        </w:rPr>
      </w:pPr>
    </w:p>
    <w:p>
      <w:pPr>
        <w:ind w:left="220" w:right="500" w:hanging="159"/>
        <w:spacing w:after="0" w:line="265" w:lineRule="auto"/>
        <w:tabs>
          <w:tab w:leader="none" w:pos="220" w:val="left"/>
        </w:tabs>
        <w:numPr>
          <w:ilvl w:val="0"/>
          <w:numId w:val="17"/>
        </w:numPr>
        <w:rPr>
          <w:rFonts w:ascii="Arial" w:cs="Arial" w:eastAsia="Arial" w:hAnsi="Arial"/>
          <w:sz w:val="19"/>
          <w:szCs w:val="19"/>
          <w:color w:val="582C83"/>
        </w:rPr>
      </w:pPr>
      <w:r>
        <w:rPr>
          <w:rFonts w:ascii="Arial" w:cs="Arial" w:eastAsia="Arial" w:hAnsi="Arial"/>
          <w:sz w:val="19"/>
          <w:szCs w:val="19"/>
          <w:color w:val="auto"/>
        </w:rPr>
        <w:t>Ms. Nielsen has extensive financial experience gained during her service as Chief Operating Officer and Chief Financial Officer at Ralph Lauren, as Chief Financial Officer at Coach, and in 15 years in PepsiCo’s financial organization.</w:t>
      </w:r>
    </w:p>
    <w:p>
      <w:pPr>
        <w:spacing w:after="0" w:line="1" w:lineRule="exact"/>
        <w:rPr>
          <w:rFonts w:ascii="Arial" w:cs="Arial" w:eastAsia="Arial" w:hAnsi="Arial"/>
          <w:sz w:val="19"/>
          <w:szCs w:val="19"/>
          <w:color w:val="582C83"/>
        </w:rPr>
      </w:pPr>
    </w:p>
    <w:p>
      <w:pPr>
        <w:ind w:left="220" w:right="240" w:hanging="159"/>
        <w:spacing w:after="0" w:line="244" w:lineRule="auto"/>
        <w:tabs>
          <w:tab w:leader="none" w:pos="220" w:val="left"/>
        </w:tabs>
        <w:numPr>
          <w:ilvl w:val="0"/>
          <w:numId w:val="17"/>
        </w:numPr>
        <w:rPr>
          <w:rFonts w:ascii="Arial" w:cs="Arial" w:eastAsia="Arial" w:hAnsi="Arial"/>
          <w:sz w:val="20"/>
          <w:szCs w:val="20"/>
          <w:color w:val="582C83"/>
        </w:rPr>
      </w:pPr>
      <w:r>
        <w:rPr>
          <w:rFonts w:ascii="Arial" w:cs="Arial" w:eastAsia="Arial" w:hAnsi="Arial"/>
          <w:sz w:val="20"/>
          <w:szCs w:val="20"/>
          <w:color w:val="auto"/>
        </w:rPr>
        <w:t>Ms. Nielsen brings to the Board a global perspective and many years of experience in the food and consumer products industries. Throughout her tenure at Ralph Lauren, Ms. Nielsen has driven operational efficiency, digital transformation and investment in omni-channel capability. She worked on numerous acquisitions and integrations while at PepsiCo, including the acquisition of Quaker Oats.</w:t>
      </w:r>
    </w:p>
    <w:p>
      <w:pPr>
        <w:spacing w:after="0" w:line="8" w:lineRule="exact"/>
        <w:rPr>
          <w:rFonts w:ascii="Arial" w:cs="Arial" w:eastAsia="Arial" w:hAnsi="Arial"/>
          <w:sz w:val="20"/>
          <w:szCs w:val="20"/>
          <w:color w:val="582C83"/>
        </w:rPr>
      </w:pPr>
    </w:p>
    <w:p>
      <w:pPr>
        <w:ind w:left="220" w:right="380" w:hanging="159"/>
        <w:spacing w:after="0" w:line="268" w:lineRule="auto"/>
        <w:tabs>
          <w:tab w:leader="none" w:pos="220" w:val="left"/>
        </w:tabs>
        <w:numPr>
          <w:ilvl w:val="0"/>
          <w:numId w:val="17"/>
        </w:numPr>
        <w:rPr>
          <w:rFonts w:ascii="Arial" w:cs="Arial" w:eastAsia="Arial" w:hAnsi="Arial"/>
          <w:sz w:val="20"/>
          <w:szCs w:val="20"/>
          <w:color w:val="582C83"/>
        </w:rPr>
      </w:pPr>
      <w:r>
        <w:rPr>
          <w:rFonts w:ascii="Arial" w:cs="Arial" w:eastAsia="Arial" w:hAnsi="Arial"/>
          <w:sz w:val="20"/>
          <w:szCs w:val="20"/>
          <w:color w:val="auto"/>
        </w:rPr>
        <w:t>Ms. Nielsen has public company board and corporate governance experience. She is a former director of Pinnacle Foods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3549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5495" cy="7620"/>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194945</wp:posOffset>
            </wp:positionV>
            <wp:extent cx="149860" cy="165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9860" cy="165735"/>
                    </a:xfrm>
                    <a:prstGeom prst="rect">
                      <a:avLst/>
                    </a:prstGeom>
                    <a:noFill/>
                  </pic:spPr>
                </pic:pic>
              </a:graphicData>
            </a:graphic>
          </wp:anchor>
        </w:drawing>
        <w:drawing>
          <wp:anchor simplePos="0" relativeHeight="251657728" behindDoc="1" locked="0" layoutInCell="0" allowOverlap="1">
            <wp:simplePos x="0" y="0"/>
            <wp:positionH relativeFrom="column">
              <wp:posOffset>1426845</wp:posOffset>
            </wp:positionH>
            <wp:positionV relativeFrom="paragraph">
              <wp:posOffset>202565</wp:posOffset>
            </wp:positionV>
            <wp:extent cx="173355" cy="1498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3355" cy="149860"/>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179070</wp:posOffset>
            </wp:positionV>
            <wp:extent cx="196850" cy="1968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194945</wp:posOffset>
            </wp:positionV>
            <wp:extent cx="157480" cy="1574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7480" cy="15748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194945</wp:posOffset>
            </wp:positionV>
            <wp:extent cx="173355" cy="1574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3355" cy="157480"/>
                    </a:xfrm>
                    <a:prstGeom prst="rect">
                      <a:avLst/>
                    </a:prstGeom>
                    <a:noFill/>
                  </pic:spPr>
                </pic:pic>
              </a:graphicData>
            </a:graphic>
          </wp:anchor>
        </w:drawing>
        <w:drawing>
          <wp:anchor simplePos="0" relativeHeight="251657728" behindDoc="1" locked="0" layoutInCell="0" allowOverlap="1">
            <wp:simplePos x="0" y="0"/>
            <wp:positionH relativeFrom="column">
              <wp:posOffset>5668645</wp:posOffset>
            </wp:positionH>
            <wp:positionV relativeFrom="paragraph">
              <wp:posOffset>187325</wp:posOffset>
            </wp:positionV>
            <wp:extent cx="118110" cy="1733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8110" cy="173355"/>
                    </a:xfrm>
                    <a:prstGeom prst="rect">
                      <a:avLst/>
                    </a:prstGeom>
                    <a:noFill/>
                  </pic:spPr>
                </pic:pic>
              </a:graphicData>
            </a:graphic>
          </wp:anchor>
        </w:drawing>
        <w:drawing>
          <wp:anchor simplePos="0" relativeHeight="251657728" behindDoc="1" locked="0" layoutInCell="0" allowOverlap="1">
            <wp:simplePos x="0" y="0"/>
            <wp:positionH relativeFrom="column">
              <wp:posOffset>6661785</wp:posOffset>
            </wp:positionH>
            <wp:positionV relativeFrom="paragraph">
              <wp:posOffset>171450</wp:posOffset>
            </wp:positionV>
            <wp:extent cx="252095" cy="2127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20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20"/>
                <w:szCs w:val="20"/>
                <w:color w:val="auto"/>
              </w:rPr>
            </w:pPr>
            <w:r>
              <w:rPr>
                <w:rFonts w:ascii="Arial" w:cs="Arial" w:eastAsia="Arial" w:hAnsi="Arial"/>
                <w:sz w:val="12"/>
                <w:szCs w:val="12"/>
                <w:color w:val="auto"/>
              </w:rPr>
              <w:t>INDUSTRY EXPERIENCE</w:t>
            </w:r>
          </w:p>
        </w:tc>
        <w:tc>
          <w:tcPr>
            <w:tcW w:w="1380" w:type="dxa"/>
            <w:vAlign w:val="bottom"/>
          </w:tcPr>
          <w:p>
            <w:pPr>
              <w:jc w:val="center"/>
              <w:spacing w:after="0"/>
              <w:rPr>
                <w:sz w:val="20"/>
                <w:szCs w:val="20"/>
                <w:color w:val="auto"/>
              </w:rPr>
            </w:pPr>
            <w:r>
              <w:rPr>
                <w:rFonts w:ascii="Arial" w:cs="Arial" w:eastAsia="Arial" w:hAnsi="Arial"/>
                <w:sz w:val="12"/>
                <w:szCs w:val="12"/>
                <w:color w:val="auto"/>
              </w:rPr>
              <w:t>SIGNIFICANT</w:t>
            </w:r>
          </w:p>
        </w:tc>
        <w:tc>
          <w:tcPr>
            <w:tcW w:w="1380" w:type="dxa"/>
            <w:vAlign w:val="bottom"/>
          </w:tcPr>
          <w:p>
            <w:pPr>
              <w:jc w:val="right"/>
              <w:ind w:right="198"/>
              <w:spacing w:after="0"/>
              <w:rPr>
                <w:sz w:val="20"/>
                <w:szCs w:val="20"/>
                <w:color w:val="auto"/>
              </w:rPr>
            </w:pPr>
            <w:r>
              <w:rPr>
                <w:rFonts w:ascii="Arial" w:cs="Arial" w:eastAsia="Arial" w:hAnsi="Arial"/>
                <w:sz w:val="12"/>
                <w:szCs w:val="12"/>
                <w:color w:val="auto"/>
              </w:rPr>
              <w:t>LEADERSHIP</w:t>
            </w:r>
          </w:p>
        </w:tc>
        <w:tc>
          <w:tcPr>
            <w:tcW w:w="1860" w:type="dxa"/>
            <w:vAlign w:val="bottom"/>
          </w:tcPr>
          <w:p>
            <w:pPr>
              <w:jc w:val="center"/>
              <w:spacing w:after="0"/>
              <w:rPr>
                <w:sz w:val="20"/>
                <w:szCs w:val="20"/>
                <w:color w:val="auto"/>
              </w:rPr>
            </w:pPr>
            <w:r>
              <w:rPr>
                <w:rFonts w:ascii="Arial" w:cs="Arial" w:eastAsia="Arial" w:hAnsi="Arial"/>
                <w:sz w:val="12"/>
                <w:szCs w:val="12"/>
                <w:color w:val="auto"/>
              </w:rPr>
              <w:t>SUBSTANTIAL GLOBAL</w:t>
            </w:r>
          </w:p>
        </w:tc>
        <w:tc>
          <w:tcPr>
            <w:tcW w:w="1780" w:type="dxa"/>
            <w:vAlign w:val="bottom"/>
          </w:tcPr>
          <w:p>
            <w:pPr>
              <w:jc w:val="center"/>
              <w:spacing w:after="0"/>
              <w:rPr>
                <w:sz w:val="20"/>
                <w:szCs w:val="20"/>
                <w:color w:val="auto"/>
              </w:rPr>
            </w:pPr>
            <w:r>
              <w:rPr>
                <w:rFonts w:ascii="Arial" w:cs="Arial" w:eastAsia="Arial" w:hAnsi="Arial"/>
                <w:sz w:val="12"/>
                <w:szCs w:val="12"/>
                <w:color w:val="auto"/>
              </w:rPr>
              <w:t>ACCOUNTING AND</w:t>
            </w:r>
          </w:p>
        </w:tc>
        <w:tc>
          <w:tcPr>
            <w:tcW w:w="1800" w:type="dxa"/>
            <w:vAlign w:val="bottom"/>
          </w:tcPr>
          <w:p>
            <w:pPr>
              <w:jc w:val="center"/>
              <w:spacing w:after="0"/>
              <w:rPr>
                <w:sz w:val="20"/>
                <w:szCs w:val="20"/>
                <w:color w:val="auto"/>
              </w:rPr>
            </w:pPr>
            <w:r>
              <w:rPr>
                <w:rFonts w:ascii="Arial" w:cs="Arial" w:eastAsia="Arial" w:hAnsi="Arial"/>
                <w:sz w:val="12"/>
                <w:szCs w:val="12"/>
                <w:color w:val="auto"/>
              </w:rPr>
              <w:t>PRODUCT RESEARCH,</w:t>
            </w: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PUBLIC COMPANY</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OPERATING</w:t>
            </w:r>
          </w:p>
        </w:tc>
        <w:tc>
          <w:tcPr>
            <w:tcW w:w="1380" w:type="dxa"/>
            <w:vAlign w:val="bottom"/>
          </w:tcPr>
          <w:p>
            <w:pPr>
              <w:jc w:val="right"/>
              <w:ind w:right="198"/>
              <w:spacing w:after="0" w:line="137" w:lineRule="exact"/>
              <w:rPr>
                <w:sz w:val="20"/>
                <w:szCs w:val="20"/>
                <w:color w:val="auto"/>
              </w:rPr>
            </w:pPr>
            <w:r>
              <w:rPr>
                <w:rFonts w:ascii="Arial" w:cs="Arial" w:eastAsia="Arial" w:hAnsi="Arial"/>
                <w:sz w:val="12"/>
                <w:szCs w:val="12"/>
                <w:color w:val="auto"/>
              </w:rPr>
              <w:t>EXPERIENCE</w:t>
            </w: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BUSINESS AND OTHER</w:t>
            </w:r>
          </w:p>
        </w:tc>
        <w:tc>
          <w:tcPr>
            <w:tcW w:w="1780" w:type="dxa"/>
            <w:vAlign w:val="bottom"/>
          </w:tcPr>
          <w:p>
            <w:pPr>
              <w:jc w:val="center"/>
              <w:spacing w:after="0" w:line="137" w:lineRule="exact"/>
              <w:rPr>
                <w:sz w:val="20"/>
                <w:szCs w:val="20"/>
                <w:color w:val="auto"/>
              </w:rPr>
            </w:pPr>
            <w:r>
              <w:rPr>
                <w:rFonts w:ascii="Arial" w:cs="Arial" w:eastAsia="Arial" w:hAnsi="Arial"/>
                <w:sz w:val="12"/>
                <w:szCs w:val="12"/>
                <w:color w:val="auto"/>
              </w:rPr>
              <w:t>FINANCIAL EXPERTISE</w:t>
            </w: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DEVELOPMENT</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BOARD AND</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INTERNATIONAL</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AND MARKETING</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CORPORATE</w:t>
            </w:r>
          </w:p>
        </w:tc>
      </w:tr>
      <w:tr>
        <w:trPr>
          <w:trHeight w:val="137"/>
        </w:trPr>
        <w:tc>
          <w:tcPr>
            <w:tcW w:w="17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GOVERNANCE</w:t>
            </w:r>
          </w:p>
        </w:tc>
      </w:tr>
      <w:tr>
        <w:trPr>
          <w:trHeight w:val="164"/>
        </w:trPr>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311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1040" w:type="dxa"/>
            <w:vAlign w:val="bottom"/>
            <w:tcBorders>
              <w:top w:val="single" w:sz="8" w:color="582C83"/>
              <w:left w:val="single" w:sz="8" w:color="582C83"/>
              <w:right w:val="single" w:sz="8" w:color="582C83"/>
            </w:tcBorders>
          </w:tcPr>
          <w:p>
            <w:pPr>
              <w:spacing w:after="0"/>
              <w:rPr>
                <w:sz w:val="24"/>
                <w:szCs w:val="24"/>
                <w:color w:val="auto"/>
              </w:rPr>
            </w:pPr>
          </w:p>
        </w:tc>
        <w:tc>
          <w:tcPr>
            <w:tcW w:w="2940" w:type="dxa"/>
            <w:vAlign w:val="bottom"/>
            <w:tcBorders>
              <w:top w:val="single" w:sz="8" w:color="582C83"/>
              <w:right w:val="single" w:sz="8" w:color="582C83"/>
            </w:tcBorders>
          </w:tcPr>
          <w:p>
            <w:pPr>
              <w:ind w:left="160"/>
              <w:spacing w:after="0"/>
              <w:rPr>
                <w:sz w:val="20"/>
                <w:szCs w:val="20"/>
                <w:color w:val="auto"/>
              </w:rPr>
            </w:pPr>
            <w:r>
              <w:rPr>
                <w:rFonts w:ascii="Arial" w:cs="Arial" w:eastAsia="Arial" w:hAnsi="Arial"/>
                <w:sz w:val="20"/>
                <w:szCs w:val="20"/>
                <w:b w:val="1"/>
                <w:bCs w:val="1"/>
                <w:color w:val="auto"/>
              </w:rPr>
              <w:t>Patrick T. Siewert</w:t>
            </w:r>
          </w:p>
        </w:tc>
        <w:tc>
          <w:tcPr>
            <w:tcW w:w="204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0"/>
                <w:szCs w:val="20"/>
                <w:b w:val="1"/>
                <w:bCs w:val="1"/>
                <w:color w:val="auto"/>
              </w:rPr>
              <w:t>DIRECTOR SINCE:</w:t>
            </w:r>
          </w:p>
        </w:tc>
        <w:tc>
          <w:tcPr>
            <w:tcW w:w="3240" w:type="dxa"/>
            <w:vAlign w:val="bottom"/>
            <w:tcBorders>
              <w:top w:val="single" w:sz="8" w:color="582C83"/>
              <w:right w:val="single" w:sz="8" w:color="582C83"/>
            </w:tcBorders>
          </w:tcPr>
          <w:p>
            <w:pPr>
              <w:ind w:left="680"/>
              <w:spacing w:after="0"/>
              <w:rPr>
                <w:sz w:val="20"/>
                <w:szCs w:val="20"/>
                <w:color w:val="auto"/>
              </w:rPr>
            </w:pPr>
            <w:r>
              <w:rPr>
                <w:rFonts w:ascii="Arial" w:cs="Arial" w:eastAsia="Arial" w:hAnsi="Arial"/>
                <w:sz w:val="20"/>
                <w:szCs w:val="20"/>
                <w:b w:val="1"/>
                <w:bCs w:val="1"/>
                <w:color w:val="auto"/>
              </w:rPr>
              <w:t>DIRECTOR SKILLS:</w:t>
            </w:r>
          </w:p>
        </w:tc>
        <w:tc>
          <w:tcPr>
            <w:tcW w:w="2000" w:type="dxa"/>
            <w:vAlign w:val="bottom"/>
            <w:tcBorders>
              <w:top w:val="single" w:sz="8" w:color="582C83"/>
              <w:right w:val="single" w:sz="8" w:color="582C83"/>
            </w:tcBorders>
          </w:tcPr>
          <w:p>
            <w:pPr>
              <w:ind w:left="620"/>
              <w:spacing w:after="0"/>
              <w:rPr>
                <w:sz w:val="20"/>
                <w:szCs w:val="20"/>
                <w:color w:val="auto"/>
              </w:rPr>
            </w:pPr>
            <w:r>
              <w:rPr>
                <w:rFonts w:ascii="Arial" w:cs="Arial" w:eastAsia="Arial" w:hAnsi="Arial"/>
                <w:sz w:val="20"/>
                <w:szCs w:val="20"/>
                <w:b w:val="1"/>
                <w:bCs w:val="1"/>
                <w:color w:val="auto"/>
              </w:rPr>
              <w:t>BOARD</w:t>
            </w:r>
          </w:p>
        </w:tc>
        <w:tc>
          <w:tcPr>
            <w:tcW w:w="0" w:type="dxa"/>
            <w:vAlign w:val="bottom"/>
          </w:tcPr>
          <w:p>
            <w:pPr>
              <w:spacing w:after="0"/>
              <w:rPr>
                <w:sz w:val="1"/>
                <w:szCs w:val="1"/>
                <w:color w:val="auto"/>
              </w:rPr>
            </w:pPr>
          </w:p>
        </w:tc>
      </w:tr>
      <w:tr>
        <w:trPr>
          <w:trHeight w:val="262"/>
        </w:trPr>
        <w:tc>
          <w:tcPr>
            <w:tcW w:w="1040" w:type="dxa"/>
            <w:vAlign w:val="bottom"/>
            <w:tcBorders>
              <w:left w:val="single" w:sz="8" w:color="582C83"/>
              <w:right w:val="single" w:sz="8" w:color="582C83"/>
            </w:tcBorders>
          </w:tcPr>
          <w:p>
            <w:pPr>
              <w:spacing w:after="0"/>
              <w:rPr>
                <w:sz w:val="22"/>
                <w:szCs w:val="22"/>
                <w:color w:val="auto"/>
              </w:rPr>
            </w:pPr>
          </w:p>
        </w:tc>
        <w:tc>
          <w:tcPr>
            <w:tcW w:w="2940" w:type="dxa"/>
            <w:vAlign w:val="bottom"/>
            <w:tcBorders>
              <w:right w:val="single" w:sz="8" w:color="582C83"/>
            </w:tcBorders>
          </w:tcPr>
          <w:p>
            <w:pPr>
              <w:ind w:left="160"/>
              <w:spacing w:after="0"/>
              <w:rPr>
                <w:sz w:val="20"/>
                <w:szCs w:val="20"/>
                <w:color w:val="auto"/>
              </w:rPr>
            </w:pPr>
            <w:r>
              <w:rPr>
                <w:rFonts w:ascii="Arial" w:cs="Arial" w:eastAsia="Arial" w:hAnsi="Arial"/>
                <w:sz w:val="20"/>
                <w:szCs w:val="20"/>
                <w:i w:val="1"/>
                <w:iCs w:val="1"/>
                <w:color w:val="auto"/>
              </w:rPr>
              <w:t>Managing Director and</w:t>
            </w:r>
          </w:p>
        </w:tc>
        <w:tc>
          <w:tcPr>
            <w:tcW w:w="204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color w:val="auto"/>
              </w:rPr>
              <w:t>October 2012</w:t>
            </w:r>
          </w:p>
        </w:tc>
        <w:tc>
          <w:tcPr>
            <w:tcW w:w="3240" w:type="dxa"/>
            <w:vAlign w:val="bottom"/>
            <w:tcBorders>
              <w:right w:val="single" w:sz="8" w:color="582C83"/>
            </w:tcBorders>
          </w:tcPr>
          <w:p>
            <w:pPr>
              <w:spacing w:after="0"/>
              <w:rPr>
                <w:sz w:val="22"/>
                <w:szCs w:val="22"/>
                <w:color w:val="auto"/>
              </w:rPr>
            </w:pPr>
          </w:p>
        </w:tc>
        <w:tc>
          <w:tcPr>
            <w:tcW w:w="2000" w:type="dxa"/>
            <w:vAlign w:val="bottom"/>
            <w:tcBorders>
              <w:right w:val="single" w:sz="8" w:color="582C83"/>
            </w:tcBorders>
          </w:tcPr>
          <w:p>
            <w:pPr>
              <w:ind w:left="300"/>
              <w:spacing w:after="0"/>
              <w:rPr>
                <w:sz w:val="20"/>
                <w:szCs w:val="20"/>
                <w:color w:val="auto"/>
              </w:rPr>
            </w:pPr>
            <w:r>
              <w:rPr>
                <w:rFonts w:ascii="Arial" w:cs="Arial" w:eastAsia="Arial" w:hAnsi="Arial"/>
                <w:sz w:val="20"/>
                <w:szCs w:val="20"/>
                <w:b w:val="1"/>
                <w:bCs w:val="1"/>
                <w:color w:val="auto"/>
              </w:rPr>
              <w:t>COMMITTEES:</w:t>
            </w:r>
          </w:p>
        </w:tc>
        <w:tc>
          <w:tcPr>
            <w:tcW w:w="0" w:type="dxa"/>
            <w:vAlign w:val="bottom"/>
          </w:tcPr>
          <w:p>
            <w:pPr>
              <w:spacing w:after="0"/>
              <w:rPr>
                <w:sz w:val="1"/>
                <w:szCs w:val="1"/>
                <w:color w:val="auto"/>
              </w:rPr>
            </w:pPr>
          </w:p>
        </w:tc>
      </w:tr>
      <w:tr>
        <w:trPr>
          <w:trHeight w:val="113"/>
        </w:trPr>
        <w:tc>
          <w:tcPr>
            <w:tcW w:w="1040" w:type="dxa"/>
            <w:vAlign w:val="bottom"/>
            <w:tcBorders>
              <w:left w:val="single" w:sz="8" w:color="582C83"/>
              <w:right w:val="single" w:sz="8" w:color="582C83"/>
            </w:tcBorders>
          </w:tcPr>
          <w:p>
            <w:pPr>
              <w:spacing w:after="0"/>
              <w:rPr>
                <w:sz w:val="9"/>
                <w:szCs w:val="9"/>
                <w:color w:val="auto"/>
              </w:rPr>
            </w:pPr>
          </w:p>
        </w:tc>
        <w:tc>
          <w:tcPr>
            <w:tcW w:w="2940" w:type="dxa"/>
            <w:vAlign w:val="bottom"/>
            <w:tcBorders>
              <w:right w:val="single" w:sz="8" w:color="582C83"/>
            </w:tcBorders>
            <w:vMerge w:val="restart"/>
          </w:tcPr>
          <w:p>
            <w:pPr>
              <w:ind w:left="160"/>
              <w:spacing w:after="0"/>
              <w:rPr>
                <w:sz w:val="20"/>
                <w:szCs w:val="20"/>
                <w:color w:val="auto"/>
              </w:rPr>
            </w:pPr>
            <w:r>
              <w:rPr>
                <w:rFonts w:ascii="Arial" w:cs="Arial" w:eastAsia="Arial" w:hAnsi="Arial"/>
                <w:sz w:val="20"/>
                <w:szCs w:val="20"/>
                <w:i w:val="1"/>
                <w:iCs w:val="1"/>
                <w:color w:val="auto"/>
              </w:rPr>
              <w:t>Partner, The Carlyle Group,</w:t>
            </w:r>
          </w:p>
        </w:tc>
        <w:tc>
          <w:tcPr>
            <w:tcW w:w="2040" w:type="dxa"/>
            <w:vAlign w:val="bottom"/>
            <w:tcBorders>
              <w:right w:val="single" w:sz="8" w:color="582C83"/>
            </w:tcBorders>
            <w:vMerge w:val="continue"/>
          </w:tcPr>
          <w:p>
            <w:pPr>
              <w:spacing w:after="0"/>
              <w:rPr>
                <w:sz w:val="9"/>
                <w:szCs w:val="9"/>
                <w:color w:val="auto"/>
              </w:rPr>
            </w:pPr>
          </w:p>
        </w:tc>
        <w:tc>
          <w:tcPr>
            <w:tcW w:w="3240" w:type="dxa"/>
            <w:vAlign w:val="bottom"/>
            <w:tcBorders>
              <w:right w:val="single" w:sz="8" w:color="582C83"/>
            </w:tcBorders>
          </w:tcPr>
          <w:p>
            <w:pPr>
              <w:spacing w:after="0"/>
              <w:rPr>
                <w:sz w:val="9"/>
                <w:szCs w:val="9"/>
                <w:color w:val="auto"/>
              </w:rPr>
            </w:pPr>
          </w:p>
        </w:tc>
        <w:tc>
          <w:tcPr>
            <w:tcW w:w="2000" w:type="dxa"/>
            <w:vAlign w:val="bottom"/>
            <w:tcBorders>
              <w:right w:val="single" w:sz="8" w:color="582C83"/>
            </w:tcBorders>
            <w:vMerge w:val="restart"/>
          </w:tcPr>
          <w:p>
            <w:pPr>
              <w:ind w:left="80"/>
              <w:spacing w:after="0"/>
              <w:rPr>
                <w:sz w:val="20"/>
                <w:szCs w:val="20"/>
                <w:color w:val="auto"/>
              </w:rPr>
            </w:pPr>
            <w:r>
              <w:rPr>
                <w:rFonts w:ascii="Arial" w:cs="Arial" w:eastAsia="Arial" w:hAnsi="Arial"/>
                <w:sz w:val="20"/>
                <w:szCs w:val="20"/>
                <w:color w:val="auto"/>
              </w:rPr>
              <w:t xml:space="preserve">as lead director, </w:t>
            </w:r>
            <w:r>
              <w:rPr>
                <w:rFonts w:ascii="Arial" w:cs="Arial" w:eastAsia="Arial" w:hAnsi="Arial"/>
                <w:sz w:val="20"/>
                <w:szCs w:val="20"/>
                <w:i w:val="1"/>
                <w:iCs w:val="1"/>
                <w:color w:val="auto"/>
              </w:rPr>
              <w:t>ex-</w:t>
            </w:r>
          </w:p>
        </w:tc>
        <w:tc>
          <w:tcPr>
            <w:tcW w:w="0" w:type="dxa"/>
            <w:vAlign w:val="bottom"/>
          </w:tcPr>
          <w:p>
            <w:pPr>
              <w:spacing w:after="0"/>
              <w:rPr>
                <w:sz w:val="1"/>
                <w:szCs w:val="1"/>
                <w:color w:val="auto"/>
              </w:rPr>
            </w:pPr>
          </w:p>
        </w:tc>
      </w:tr>
      <w:tr>
        <w:trPr>
          <w:trHeight w:val="135"/>
        </w:trPr>
        <w:tc>
          <w:tcPr>
            <w:tcW w:w="1040" w:type="dxa"/>
            <w:vAlign w:val="bottom"/>
            <w:tcBorders>
              <w:left w:val="single" w:sz="8" w:color="582C83"/>
              <w:right w:val="single" w:sz="8" w:color="582C83"/>
            </w:tcBorders>
          </w:tcPr>
          <w:p>
            <w:pPr>
              <w:spacing w:after="0"/>
              <w:rPr>
                <w:sz w:val="11"/>
                <w:szCs w:val="11"/>
                <w:color w:val="auto"/>
              </w:rPr>
            </w:pPr>
          </w:p>
        </w:tc>
        <w:tc>
          <w:tcPr>
            <w:tcW w:w="2940" w:type="dxa"/>
            <w:vAlign w:val="bottom"/>
            <w:tcBorders>
              <w:right w:val="single" w:sz="8" w:color="582C83"/>
            </w:tcBorders>
            <w:vMerge w:val="continue"/>
          </w:tcPr>
          <w:p>
            <w:pPr>
              <w:spacing w:after="0"/>
              <w:rPr>
                <w:sz w:val="11"/>
                <w:szCs w:val="11"/>
                <w:color w:val="auto"/>
              </w:rPr>
            </w:pPr>
          </w:p>
        </w:tc>
        <w:tc>
          <w:tcPr>
            <w:tcW w:w="204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b w:val="1"/>
                <w:bCs w:val="1"/>
                <w:color w:val="auto"/>
                <w:w w:val="98"/>
              </w:rPr>
              <w:t>LEAD DIRECTOR</w:t>
            </w:r>
          </w:p>
        </w:tc>
        <w:tc>
          <w:tcPr>
            <w:tcW w:w="3240" w:type="dxa"/>
            <w:vAlign w:val="bottom"/>
            <w:tcBorders>
              <w:right w:val="single" w:sz="8" w:color="582C83"/>
            </w:tcBorders>
          </w:tcPr>
          <w:p>
            <w:pPr>
              <w:spacing w:after="0"/>
              <w:rPr>
                <w:sz w:val="11"/>
                <w:szCs w:val="11"/>
                <w:color w:val="auto"/>
              </w:rPr>
            </w:pPr>
          </w:p>
        </w:tc>
        <w:tc>
          <w:tcPr>
            <w:tcW w:w="2000" w:type="dxa"/>
            <w:vAlign w:val="bottom"/>
            <w:tcBorders>
              <w:right w:val="single" w:sz="8" w:color="582C83"/>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582C83"/>
              <w:right w:val="single" w:sz="8" w:color="582C83"/>
            </w:tcBorders>
          </w:tcPr>
          <w:p>
            <w:pPr>
              <w:spacing w:after="0"/>
              <w:rPr>
                <w:sz w:val="19"/>
                <w:szCs w:val="19"/>
                <w:color w:val="auto"/>
              </w:rPr>
            </w:pPr>
          </w:p>
        </w:tc>
        <w:tc>
          <w:tcPr>
            <w:tcW w:w="2940" w:type="dxa"/>
            <w:vAlign w:val="bottom"/>
            <w:tcBorders>
              <w:right w:val="single" w:sz="8" w:color="582C83"/>
            </w:tcBorders>
          </w:tcPr>
          <w:p>
            <w:pPr>
              <w:ind w:left="160"/>
              <w:spacing w:after="0" w:line="224" w:lineRule="exact"/>
              <w:rPr>
                <w:sz w:val="20"/>
                <w:szCs w:val="20"/>
                <w:color w:val="auto"/>
              </w:rPr>
            </w:pPr>
            <w:r>
              <w:rPr>
                <w:rFonts w:ascii="Arial" w:cs="Arial" w:eastAsia="Arial" w:hAnsi="Arial"/>
                <w:sz w:val="20"/>
                <w:szCs w:val="20"/>
                <w:i w:val="1"/>
                <w:iCs w:val="1"/>
                <w:color w:val="auto"/>
              </w:rPr>
              <w:t>L.P.</w:t>
            </w:r>
          </w:p>
        </w:tc>
        <w:tc>
          <w:tcPr>
            <w:tcW w:w="2040" w:type="dxa"/>
            <w:vAlign w:val="bottom"/>
            <w:tcBorders>
              <w:right w:val="single" w:sz="8" w:color="582C83"/>
            </w:tcBorders>
            <w:vMerge w:val="continue"/>
          </w:tcPr>
          <w:p>
            <w:pPr>
              <w:spacing w:after="0"/>
              <w:rPr>
                <w:sz w:val="19"/>
                <w:szCs w:val="19"/>
                <w:color w:val="auto"/>
              </w:rPr>
            </w:pPr>
          </w:p>
        </w:tc>
        <w:tc>
          <w:tcPr>
            <w:tcW w:w="3240" w:type="dxa"/>
            <w:vAlign w:val="bottom"/>
            <w:tcBorders>
              <w:right w:val="single" w:sz="8" w:color="582C83"/>
            </w:tcBorders>
          </w:tcPr>
          <w:p>
            <w:pPr>
              <w:spacing w:after="0"/>
              <w:rPr>
                <w:sz w:val="19"/>
                <w:szCs w:val="19"/>
                <w:color w:val="auto"/>
              </w:rPr>
            </w:pPr>
          </w:p>
        </w:tc>
        <w:tc>
          <w:tcPr>
            <w:tcW w:w="2000" w:type="dxa"/>
            <w:vAlign w:val="bottom"/>
            <w:tcBorders>
              <w:right w:val="single" w:sz="8" w:color="582C83"/>
            </w:tcBorders>
          </w:tcPr>
          <w:p>
            <w:pPr>
              <w:ind w:left="80"/>
              <w:spacing w:after="0" w:line="224" w:lineRule="exact"/>
              <w:rPr>
                <w:sz w:val="20"/>
                <w:szCs w:val="20"/>
                <w:color w:val="auto"/>
              </w:rPr>
            </w:pPr>
            <w:r>
              <w:rPr>
                <w:rFonts w:ascii="Arial" w:cs="Arial" w:eastAsia="Arial" w:hAnsi="Arial"/>
                <w:sz w:val="20"/>
                <w:szCs w:val="20"/>
                <w:i w:val="1"/>
                <w:iCs w:val="1"/>
                <w:color w:val="auto"/>
              </w:rPr>
              <w:t xml:space="preserve">officio </w:t>
            </w:r>
            <w:r>
              <w:rPr>
                <w:rFonts w:ascii="Arial" w:cs="Arial" w:eastAsia="Arial" w:hAnsi="Arial"/>
                <w:sz w:val="20"/>
                <w:szCs w:val="20"/>
                <w:color w:val="auto"/>
              </w:rPr>
              <w:t>non-voting</w:t>
            </w:r>
          </w:p>
        </w:tc>
        <w:tc>
          <w:tcPr>
            <w:tcW w:w="0" w:type="dxa"/>
            <w:vAlign w:val="bottom"/>
          </w:tcPr>
          <w:p>
            <w:pPr>
              <w:spacing w:after="0"/>
              <w:rPr>
                <w:sz w:val="1"/>
                <w:szCs w:val="1"/>
                <w:color w:val="auto"/>
              </w:rPr>
            </w:pPr>
          </w:p>
        </w:tc>
      </w:tr>
      <w:tr>
        <w:trPr>
          <w:trHeight w:val="247"/>
        </w:trPr>
        <w:tc>
          <w:tcPr>
            <w:tcW w:w="1040" w:type="dxa"/>
            <w:vAlign w:val="bottom"/>
            <w:tcBorders>
              <w:left w:val="single" w:sz="8" w:color="582C83"/>
              <w:right w:val="single" w:sz="8" w:color="582C83"/>
            </w:tcBorders>
          </w:tcPr>
          <w:p>
            <w:pPr>
              <w:spacing w:after="0"/>
              <w:rPr>
                <w:sz w:val="21"/>
                <w:szCs w:val="21"/>
                <w:color w:val="auto"/>
              </w:rPr>
            </w:pPr>
          </w:p>
        </w:tc>
        <w:tc>
          <w:tcPr>
            <w:tcW w:w="2940" w:type="dxa"/>
            <w:vAlign w:val="bottom"/>
            <w:tcBorders>
              <w:right w:val="single" w:sz="8" w:color="582C83"/>
            </w:tcBorders>
          </w:tcPr>
          <w:p>
            <w:pPr>
              <w:spacing w:after="0"/>
              <w:rPr>
                <w:sz w:val="21"/>
                <w:szCs w:val="21"/>
                <w:color w:val="auto"/>
              </w:rPr>
            </w:pPr>
          </w:p>
        </w:tc>
        <w:tc>
          <w:tcPr>
            <w:tcW w:w="2040" w:type="dxa"/>
            <w:vAlign w:val="bottom"/>
            <w:tcBorders>
              <w:right w:val="single" w:sz="8" w:color="582C83"/>
            </w:tcBorders>
          </w:tcPr>
          <w:p>
            <w:pPr>
              <w:jc w:val="center"/>
              <w:spacing w:after="0"/>
              <w:rPr>
                <w:sz w:val="20"/>
                <w:szCs w:val="20"/>
                <w:color w:val="auto"/>
              </w:rPr>
            </w:pPr>
            <w:r>
              <w:rPr>
                <w:rFonts w:ascii="Arial" w:cs="Arial" w:eastAsia="Arial" w:hAnsi="Arial"/>
                <w:sz w:val="20"/>
                <w:szCs w:val="20"/>
                <w:color w:val="auto"/>
                <w:w w:val="97"/>
              </w:rPr>
              <w:t>May 2022</w:t>
            </w:r>
          </w:p>
        </w:tc>
        <w:tc>
          <w:tcPr>
            <w:tcW w:w="3240" w:type="dxa"/>
            <w:vAlign w:val="bottom"/>
            <w:tcBorders>
              <w:right w:val="single" w:sz="8" w:color="582C83"/>
            </w:tcBorders>
          </w:tcPr>
          <w:p>
            <w:pPr>
              <w:spacing w:after="0"/>
              <w:rPr>
                <w:sz w:val="21"/>
                <w:szCs w:val="21"/>
                <w:color w:val="auto"/>
              </w:rPr>
            </w:pPr>
          </w:p>
        </w:tc>
        <w:tc>
          <w:tcPr>
            <w:tcW w:w="2000" w:type="dxa"/>
            <w:vAlign w:val="bottom"/>
            <w:tcBorders>
              <w:right w:val="single" w:sz="8" w:color="582C83"/>
            </w:tcBorders>
          </w:tcPr>
          <w:p>
            <w:pPr>
              <w:ind w:left="80"/>
              <w:spacing w:after="0"/>
              <w:rPr>
                <w:sz w:val="20"/>
                <w:szCs w:val="20"/>
                <w:color w:val="auto"/>
              </w:rPr>
            </w:pPr>
            <w:r>
              <w:rPr>
                <w:rFonts w:ascii="Arial" w:cs="Arial" w:eastAsia="Arial" w:hAnsi="Arial"/>
                <w:sz w:val="20"/>
                <w:szCs w:val="20"/>
                <w:color w:val="auto"/>
              </w:rPr>
              <w:t>member of all</w:t>
            </w:r>
          </w:p>
        </w:tc>
        <w:tc>
          <w:tcPr>
            <w:tcW w:w="0" w:type="dxa"/>
            <w:vAlign w:val="bottom"/>
          </w:tcPr>
          <w:p>
            <w:pPr>
              <w:spacing w:after="0"/>
              <w:rPr>
                <w:sz w:val="1"/>
                <w:szCs w:val="1"/>
                <w:color w:val="auto"/>
              </w:rPr>
            </w:pPr>
          </w:p>
        </w:tc>
      </w:tr>
      <w:tr>
        <w:trPr>
          <w:trHeight w:val="264"/>
        </w:trPr>
        <w:tc>
          <w:tcPr>
            <w:tcW w:w="1040" w:type="dxa"/>
            <w:vAlign w:val="bottom"/>
            <w:tcBorders>
              <w:left w:val="single" w:sz="8" w:color="582C83"/>
              <w:right w:val="single" w:sz="8" w:color="582C83"/>
            </w:tcBorders>
          </w:tcPr>
          <w:p>
            <w:pPr>
              <w:spacing w:after="0"/>
              <w:rPr>
                <w:sz w:val="22"/>
                <w:szCs w:val="22"/>
                <w:color w:val="auto"/>
              </w:rPr>
            </w:pPr>
          </w:p>
        </w:tc>
        <w:tc>
          <w:tcPr>
            <w:tcW w:w="2940" w:type="dxa"/>
            <w:vAlign w:val="bottom"/>
            <w:tcBorders>
              <w:right w:val="single" w:sz="8" w:color="582C83"/>
            </w:tcBorders>
            <w:vMerge w:val="restart"/>
          </w:tcPr>
          <w:p>
            <w:pPr>
              <w:ind w:left="160"/>
              <w:spacing w:after="0"/>
              <w:rPr>
                <w:sz w:val="20"/>
                <w:szCs w:val="20"/>
                <w:color w:val="auto"/>
              </w:rPr>
            </w:pPr>
            <w:r>
              <w:rPr>
                <w:rFonts w:ascii="Arial" w:cs="Arial" w:eastAsia="Arial" w:hAnsi="Arial"/>
                <w:sz w:val="20"/>
                <w:szCs w:val="20"/>
                <w:b w:val="1"/>
                <w:bCs w:val="1"/>
                <w:color w:val="582C83"/>
              </w:rPr>
              <w:t>INDEPENDENT</w:t>
            </w:r>
          </w:p>
        </w:tc>
        <w:tc>
          <w:tcPr>
            <w:tcW w:w="204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color w:val="auto"/>
                <w:w w:val="97"/>
              </w:rPr>
              <w:t>White/Male</w:t>
            </w:r>
          </w:p>
        </w:tc>
        <w:tc>
          <w:tcPr>
            <w:tcW w:w="3240" w:type="dxa"/>
            <w:vAlign w:val="bottom"/>
            <w:tcBorders>
              <w:right w:val="single" w:sz="8" w:color="582C83"/>
            </w:tcBorders>
          </w:tcPr>
          <w:p>
            <w:pPr>
              <w:spacing w:after="0"/>
              <w:rPr>
                <w:sz w:val="22"/>
                <w:szCs w:val="22"/>
                <w:color w:val="auto"/>
              </w:rPr>
            </w:pPr>
          </w:p>
        </w:tc>
        <w:tc>
          <w:tcPr>
            <w:tcW w:w="2000" w:type="dxa"/>
            <w:vAlign w:val="bottom"/>
            <w:tcBorders>
              <w:right w:val="single" w:sz="8" w:color="582C83"/>
            </w:tcBorders>
          </w:tcPr>
          <w:p>
            <w:pPr>
              <w:ind w:left="80"/>
              <w:spacing w:after="0"/>
              <w:rPr>
                <w:sz w:val="20"/>
                <w:szCs w:val="20"/>
                <w:color w:val="auto"/>
              </w:rPr>
            </w:pPr>
            <w:r>
              <w:rPr>
                <w:rFonts w:ascii="Arial" w:cs="Arial" w:eastAsia="Arial" w:hAnsi="Arial"/>
                <w:sz w:val="20"/>
                <w:szCs w:val="20"/>
                <w:color w:val="auto"/>
              </w:rPr>
              <w:t>committees</w:t>
            </w:r>
          </w:p>
        </w:tc>
        <w:tc>
          <w:tcPr>
            <w:tcW w:w="0" w:type="dxa"/>
            <w:vAlign w:val="bottom"/>
          </w:tcPr>
          <w:p>
            <w:pPr>
              <w:spacing w:after="0"/>
              <w:rPr>
                <w:sz w:val="1"/>
                <w:szCs w:val="1"/>
                <w:color w:val="auto"/>
              </w:rPr>
            </w:pPr>
          </w:p>
        </w:tc>
      </w:tr>
      <w:tr>
        <w:trPr>
          <w:trHeight w:val="112"/>
        </w:trPr>
        <w:tc>
          <w:tcPr>
            <w:tcW w:w="1040" w:type="dxa"/>
            <w:vAlign w:val="bottom"/>
            <w:tcBorders>
              <w:left w:val="single" w:sz="8" w:color="582C83"/>
              <w:right w:val="single" w:sz="8" w:color="582C83"/>
            </w:tcBorders>
          </w:tcPr>
          <w:p>
            <w:pPr>
              <w:spacing w:after="0"/>
              <w:rPr>
                <w:sz w:val="9"/>
                <w:szCs w:val="9"/>
                <w:color w:val="auto"/>
              </w:rPr>
            </w:pPr>
          </w:p>
        </w:tc>
        <w:tc>
          <w:tcPr>
            <w:tcW w:w="2940" w:type="dxa"/>
            <w:vAlign w:val="bottom"/>
            <w:tcBorders>
              <w:right w:val="single" w:sz="8" w:color="582C83"/>
            </w:tcBorders>
            <w:vMerge w:val="continue"/>
          </w:tcPr>
          <w:p>
            <w:pPr>
              <w:spacing w:after="0"/>
              <w:rPr>
                <w:sz w:val="9"/>
                <w:szCs w:val="9"/>
                <w:color w:val="auto"/>
              </w:rPr>
            </w:pPr>
          </w:p>
        </w:tc>
        <w:tc>
          <w:tcPr>
            <w:tcW w:w="2040" w:type="dxa"/>
            <w:vAlign w:val="bottom"/>
            <w:tcBorders>
              <w:right w:val="single" w:sz="8" w:color="582C83"/>
            </w:tcBorders>
            <w:vMerge w:val="continue"/>
          </w:tcPr>
          <w:p>
            <w:pPr>
              <w:spacing w:after="0"/>
              <w:rPr>
                <w:sz w:val="9"/>
                <w:szCs w:val="9"/>
                <w:color w:val="auto"/>
              </w:rPr>
            </w:pPr>
          </w:p>
        </w:tc>
        <w:tc>
          <w:tcPr>
            <w:tcW w:w="3240" w:type="dxa"/>
            <w:vAlign w:val="bottom"/>
            <w:tcBorders>
              <w:right w:val="single" w:sz="8" w:color="582C83"/>
            </w:tcBorders>
          </w:tcPr>
          <w:p>
            <w:pPr>
              <w:spacing w:after="0"/>
              <w:rPr>
                <w:sz w:val="9"/>
                <w:szCs w:val="9"/>
                <w:color w:val="auto"/>
              </w:rPr>
            </w:pPr>
          </w:p>
        </w:tc>
        <w:tc>
          <w:tcPr>
            <w:tcW w:w="2000" w:type="dxa"/>
            <w:vAlign w:val="bottom"/>
            <w:tcBorders>
              <w:right w:val="single" w:sz="8" w:color="582C83"/>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40" w:type="dxa"/>
            <w:vAlign w:val="bottom"/>
            <w:tcBorders>
              <w:left w:val="single" w:sz="8" w:color="582C83"/>
              <w:right w:val="single" w:sz="8" w:color="582C83"/>
            </w:tcBorders>
          </w:tcPr>
          <w:p>
            <w:pPr>
              <w:spacing w:after="0"/>
              <w:rPr>
                <w:sz w:val="9"/>
                <w:szCs w:val="9"/>
                <w:color w:val="auto"/>
              </w:rPr>
            </w:pPr>
          </w:p>
        </w:tc>
        <w:tc>
          <w:tcPr>
            <w:tcW w:w="2940" w:type="dxa"/>
            <w:vAlign w:val="bottom"/>
            <w:tcBorders>
              <w:right w:val="single" w:sz="8" w:color="582C83"/>
            </w:tcBorders>
            <w:vMerge w:val="continue"/>
          </w:tcPr>
          <w:p>
            <w:pPr>
              <w:spacing w:after="0"/>
              <w:rPr>
                <w:sz w:val="9"/>
                <w:szCs w:val="9"/>
                <w:color w:val="auto"/>
              </w:rPr>
            </w:pPr>
          </w:p>
        </w:tc>
        <w:tc>
          <w:tcPr>
            <w:tcW w:w="204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color w:val="auto"/>
                <w:w w:val="97"/>
              </w:rPr>
              <w:t>Age 67</w:t>
            </w:r>
          </w:p>
        </w:tc>
        <w:tc>
          <w:tcPr>
            <w:tcW w:w="3240" w:type="dxa"/>
            <w:vAlign w:val="bottom"/>
            <w:tcBorders>
              <w:right w:val="single" w:sz="8" w:color="582C83"/>
            </w:tcBorders>
          </w:tcPr>
          <w:p>
            <w:pPr>
              <w:spacing w:after="0"/>
              <w:rPr>
                <w:sz w:val="9"/>
                <w:szCs w:val="9"/>
                <w:color w:val="auto"/>
              </w:rPr>
            </w:pPr>
          </w:p>
        </w:tc>
        <w:tc>
          <w:tcPr>
            <w:tcW w:w="2000" w:type="dxa"/>
            <w:vAlign w:val="bottom"/>
            <w:tcBorders>
              <w:right w:val="single" w:sz="8" w:color="582C83"/>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040" w:type="dxa"/>
            <w:vAlign w:val="bottom"/>
            <w:tcBorders>
              <w:left w:val="single" w:sz="8" w:color="582C83"/>
              <w:right w:val="single" w:sz="8" w:color="582C83"/>
            </w:tcBorders>
          </w:tcPr>
          <w:p>
            <w:pPr>
              <w:spacing w:after="0"/>
              <w:rPr>
                <w:sz w:val="14"/>
                <w:szCs w:val="14"/>
                <w:color w:val="auto"/>
              </w:rPr>
            </w:pPr>
          </w:p>
        </w:tc>
        <w:tc>
          <w:tcPr>
            <w:tcW w:w="2940" w:type="dxa"/>
            <w:vAlign w:val="bottom"/>
            <w:tcBorders>
              <w:right w:val="single" w:sz="8" w:color="582C83"/>
            </w:tcBorders>
          </w:tcPr>
          <w:p>
            <w:pPr>
              <w:spacing w:after="0"/>
              <w:rPr>
                <w:sz w:val="14"/>
                <w:szCs w:val="14"/>
                <w:color w:val="auto"/>
              </w:rPr>
            </w:pPr>
          </w:p>
        </w:tc>
        <w:tc>
          <w:tcPr>
            <w:tcW w:w="2040" w:type="dxa"/>
            <w:vAlign w:val="bottom"/>
            <w:tcBorders>
              <w:right w:val="single" w:sz="8" w:color="582C83"/>
            </w:tcBorders>
            <w:vMerge w:val="continue"/>
          </w:tcPr>
          <w:p>
            <w:pPr>
              <w:spacing w:after="0"/>
              <w:rPr>
                <w:sz w:val="14"/>
                <w:szCs w:val="14"/>
                <w:color w:val="auto"/>
              </w:rPr>
            </w:pPr>
          </w:p>
        </w:tc>
        <w:tc>
          <w:tcPr>
            <w:tcW w:w="3240" w:type="dxa"/>
            <w:vAlign w:val="bottom"/>
            <w:tcBorders>
              <w:right w:val="single" w:sz="8" w:color="582C83"/>
            </w:tcBorders>
          </w:tcPr>
          <w:p>
            <w:pPr>
              <w:spacing w:after="0"/>
              <w:rPr>
                <w:sz w:val="14"/>
                <w:szCs w:val="14"/>
                <w:color w:val="auto"/>
              </w:rPr>
            </w:pPr>
          </w:p>
        </w:tc>
        <w:tc>
          <w:tcPr>
            <w:tcW w:w="2000" w:type="dxa"/>
            <w:vAlign w:val="bottom"/>
            <w:tcBorders>
              <w:right w:val="single" w:sz="8" w:color="582C83"/>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040" w:type="dxa"/>
            <w:vAlign w:val="bottom"/>
            <w:tcBorders>
              <w:left w:val="single" w:sz="8" w:color="582C83"/>
              <w:bottom w:val="single" w:sz="8" w:color="582C83"/>
              <w:right w:val="single" w:sz="8" w:color="582C83"/>
            </w:tcBorders>
          </w:tcPr>
          <w:p>
            <w:pPr>
              <w:spacing w:after="0"/>
              <w:rPr>
                <w:sz w:val="5"/>
                <w:szCs w:val="5"/>
                <w:color w:val="auto"/>
              </w:rPr>
            </w:pPr>
          </w:p>
        </w:tc>
        <w:tc>
          <w:tcPr>
            <w:tcW w:w="2940" w:type="dxa"/>
            <w:vAlign w:val="bottom"/>
            <w:tcBorders>
              <w:bottom w:val="single" w:sz="8" w:color="582C83"/>
              <w:right w:val="single" w:sz="8" w:color="582C83"/>
            </w:tcBorders>
          </w:tcPr>
          <w:p>
            <w:pPr>
              <w:spacing w:after="0"/>
              <w:rPr>
                <w:sz w:val="5"/>
                <w:szCs w:val="5"/>
                <w:color w:val="auto"/>
              </w:rPr>
            </w:pPr>
          </w:p>
        </w:tc>
        <w:tc>
          <w:tcPr>
            <w:tcW w:w="2040" w:type="dxa"/>
            <w:vAlign w:val="bottom"/>
            <w:tcBorders>
              <w:bottom w:val="single" w:sz="8" w:color="582C83"/>
              <w:right w:val="single" w:sz="8" w:color="582C83"/>
            </w:tcBorders>
          </w:tcPr>
          <w:p>
            <w:pPr>
              <w:spacing w:after="0"/>
              <w:rPr>
                <w:sz w:val="5"/>
                <w:szCs w:val="5"/>
                <w:color w:val="auto"/>
              </w:rPr>
            </w:pPr>
          </w:p>
        </w:tc>
        <w:tc>
          <w:tcPr>
            <w:tcW w:w="3240" w:type="dxa"/>
            <w:vAlign w:val="bottom"/>
            <w:tcBorders>
              <w:bottom w:val="single" w:sz="8" w:color="572C83"/>
              <w:right w:val="single" w:sz="8" w:color="582C83"/>
            </w:tcBorders>
          </w:tcPr>
          <w:p>
            <w:pPr>
              <w:spacing w:after="0"/>
              <w:rPr>
                <w:sz w:val="5"/>
                <w:szCs w:val="5"/>
                <w:color w:val="auto"/>
              </w:rPr>
            </w:pPr>
          </w:p>
        </w:tc>
        <w:tc>
          <w:tcPr>
            <w:tcW w:w="2000" w:type="dxa"/>
            <w:vAlign w:val="bottom"/>
            <w:tcBorders>
              <w:bottom w:val="single" w:sz="8" w:color="582C83"/>
              <w:right w:val="single" w:sz="8" w:color="582C8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-1024255</wp:posOffset>
            </wp:positionV>
            <wp:extent cx="7143115" cy="24364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3115" cy="2436495"/>
                    </a:xfrm>
                    <a:prstGeom prst="rect">
                      <a:avLst/>
                    </a:prstGeom>
                    <a:noFill/>
                  </pic:spPr>
                </pic:pic>
              </a:graphicData>
            </a:graphic>
          </wp:anchor>
        </w:drawing>
      </w:r>
    </w:p>
    <w:p>
      <w:pPr>
        <w:spacing w:after="0" w:line="2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PROFESSIONAL BACKGROUND:</w:t>
      </w:r>
    </w:p>
    <w:p>
      <w:pPr>
        <w:spacing w:after="0" w:line="14" w:lineRule="exact"/>
        <w:rPr>
          <w:sz w:val="20"/>
          <w:szCs w:val="20"/>
          <w:color w:val="auto"/>
        </w:rPr>
      </w:pPr>
    </w:p>
    <w:p>
      <w:pPr>
        <w:ind w:left="80" w:right="1220"/>
        <w:spacing w:after="0" w:line="247" w:lineRule="auto"/>
        <w:rPr>
          <w:sz w:val="20"/>
          <w:szCs w:val="20"/>
          <w:color w:val="auto"/>
        </w:rPr>
      </w:pPr>
      <w:r>
        <w:rPr>
          <w:rFonts w:ascii="Arial" w:cs="Arial" w:eastAsia="Arial" w:hAnsi="Arial"/>
          <w:sz w:val="20"/>
          <w:szCs w:val="20"/>
          <w:color w:val="auto"/>
        </w:rPr>
        <w:t>Mr. Siewert has served as a Managing Director and Partner for The Carlyle Group, L.P., a global alternative asset management firm, since 2007.</w:t>
      </w:r>
    </w:p>
    <w:p>
      <w:pPr>
        <w:spacing w:after="0" w:line="65" w:lineRule="exact"/>
        <w:rPr>
          <w:sz w:val="20"/>
          <w:szCs w:val="20"/>
          <w:color w:val="auto"/>
        </w:rPr>
      </w:pPr>
    </w:p>
    <w:p>
      <w:pPr>
        <w:ind w:left="80" w:right="300"/>
        <w:spacing w:after="0" w:line="268" w:lineRule="auto"/>
        <w:rPr>
          <w:sz w:val="20"/>
          <w:szCs w:val="20"/>
          <w:color w:val="auto"/>
        </w:rPr>
      </w:pPr>
      <w:r>
        <w:rPr>
          <w:rFonts w:ascii="Arial" w:cs="Arial" w:eastAsia="Arial" w:hAnsi="Arial"/>
          <w:sz w:val="20"/>
          <w:szCs w:val="20"/>
          <w:color w:val="auto"/>
        </w:rPr>
        <w:t>From 2001 to 2007, Mr. Siewert held a variety of roles with The Coca-Cola Company, a global beverage company, including Group President and Chief Operating Officer, Asia, and was a member of the Global Executive Committee.</w:t>
      </w:r>
    </w:p>
    <w:p>
      <w:pPr>
        <w:spacing w:after="0" w:line="45" w:lineRule="exact"/>
        <w:rPr>
          <w:sz w:val="20"/>
          <w:szCs w:val="20"/>
          <w:color w:val="auto"/>
        </w:rPr>
      </w:pPr>
    </w:p>
    <w:p>
      <w:pPr>
        <w:ind w:left="80" w:right="280"/>
        <w:spacing w:after="0" w:line="250" w:lineRule="auto"/>
        <w:rPr>
          <w:sz w:val="20"/>
          <w:szCs w:val="20"/>
          <w:color w:val="auto"/>
        </w:rPr>
      </w:pPr>
      <w:r>
        <w:rPr>
          <w:rFonts w:ascii="Arial" w:cs="Arial" w:eastAsia="Arial" w:hAnsi="Arial"/>
          <w:sz w:val="20"/>
          <w:szCs w:val="20"/>
          <w:color w:val="auto"/>
        </w:rPr>
        <w:t>From 1974 to 2001, he held a variety of roles with Eastman Kodak Company, a technology company focused on imaging products and services, including Chief Operating Officer, Consumer Imaging and Senior Vice President and President of the Kodak Professional Division.</w:t>
      </w:r>
    </w:p>
    <w:p>
      <w:pPr>
        <w:spacing w:after="0" w:line="28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DIRECTOR QUALIFICATIONS:</w:t>
      </w:r>
    </w:p>
    <w:p>
      <w:pPr>
        <w:spacing w:after="0" w:line="56" w:lineRule="exact"/>
        <w:rPr>
          <w:sz w:val="20"/>
          <w:szCs w:val="20"/>
          <w:color w:val="auto"/>
        </w:rPr>
      </w:pPr>
    </w:p>
    <w:p>
      <w:pPr>
        <w:ind w:left="240" w:right="640" w:hanging="166"/>
        <w:spacing w:after="0" w:line="259" w:lineRule="auto"/>
        <w:tabs>
          <w:tab w:leader="none" w:pos="240" w:val="left"/>
        </w:tabs>
        <w:numPr>
          <w:ilvl w:val="0"/>
          <w:numId w:val="18"/>
        </w:numPr>
        <w:rPr>
          <w:rFonts w:ascii="Arial" w:cs="Arial" w:eastAsia="Arial" w:hAnsi="Arial"/>
          <w:sz w:val="20"/>
          <w:szCs w:val="20"/>
          <w:color w:val="582C83"/>
        </w:rPr>
      </w:pPr>
      <w:r>
        <w:rPr>
          <w:rFonts w:ascii="Arial" w:cs="Arial" w:eastAsia="Arial" w:hAnsi="Arial"/>
          <w:sz w:val="20"/>
          <w:szCs w:val="20"/>
          <w:color w:val="auto"/>
        </w:rPr>
        <w:t>While working at Coca-Cola, Eastman Kodak and Carlyle, Mr. Siewert developed extensive knowledge in the food and beverage and consumer products industries, especially insights into consumer trends and routes-to-market.</w:t>
      </w:r>
    </w:p>
    <w:p>
      <w:pPr>
        <w:ind w:left="240" w:right="460" w:hanging="166"/>
        <w:spacing w:after="0" w:line="259" w:lineRule="auto"/>
        <w:tabs>
          <w:tab w:leader="none" w:pos="240" w:val="left"/>
        </w:tabs>
        <w:numPr>
          <w:ilvl w:val="0"/>
          <w:numId w:val="18"/>
        </w:numPr>
        <w:rPr>
          <w:rFonts w:ascii="Arial" w:cs="Arial" w:eastAsia="Arial" w:hAnsi="Arial"/>
          <w:sz w:val="20"/>
          <w:szCs w:val="20"/>
          <w:color w:val="582C83"/>
        </w:rPr>
      </w:pPr>
      <w:r>
        <w:rPr>
          <w:rFonts w:ascii="Arial" w:cs="Arial" w:eastAsia="Arial" w:hAnsi="Arial"/>
          <w:sz w:val="20"/>
          <w:szCs w:val="20"/>
          <w:color w:val="auto"/>
        </w:rPr>
        <w:t>Mr. Siewert led business operations globally and in the Americas, Europe, Africa, the Middle East and Asia. He currently focuses on investments in Asian markets and select global opportunities.</w:t>
      </w:r>
    </w:p>
    <w:p>
      <w:pPr>
        <w:ind w:left="240" w:right="260" w:hanging="166"/>
        <w:spacing w:after="0" w:line="268" w:lineRule="auto"/>
        <w:tabs>
          <w:tab w:leader="none" w:pos="240" w:val="left"/>
        </w:tabs>
        <w:numPr>
          <w:ilvl w:val="0"/>
          <w:numId w:val="18"/>
        </w:numPr>
        <w:rPr>
          <w:rFonts w:ascii="Arial" w:cs="Arial" w:eastAsia="Arial" w:hAnsi="Arial"/>
          <w:sz w:val="20"/>
          <w:szCs w:val="20"/>
          <w:color w:val="582C83"/>
        </w:rPr>
      </w:pPr>
      <w:r>
        <w:rPr>
          <w:rFonts w:ascii="Arial" w:cs="Arial" w:eastAsia="Arial" w:hAnsi="Arial"/>
          <w:sz w:val="20"/>
          <w:szCs w:val="20"/>
          <w:color w:val="auto"/>
        </w:rPr>
        <w:t>Mr. Siewert has extensive public company board and corporate governance experience. He is lead director of the Board of Directors of Avery Dennison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3549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5495" cy="7620"/>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194945</wp:posOffset>
            </wp:positionV>
            <wp:extent cx="149860" cy="165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49860" cy="165735"/>
                    </a:xfrm>
                    <a:prstGeom prst="rect">
                      <a:avLst/>
                    </a:prstGeom>
                    <a:noFill/>
                  </pic:spPr>
                </pic:pic>
              </a:graphicData>
            </a:graphic>
          </wp:anchor>
        </w:drawing>
        <w:drawing>
          <wp:anchor simplePos="0" relativeHeight="251657728" behindDoc="1" locked="0" layoutInCell="0" allowOverlap="1">
            <wp:simplePos x="0" y="0"/>
            <wp:positionH relativeFrom="column">
              <wp:posOffset>1426845</wp:posOffset>
            </wp:positionH>
            <wp:positionV relativeFrom="paragraph">
              <wp:posOffset>202565</wp:posOffset>
            </wp:positionV>
            <wp:extent cx="173355" cy="1498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3355" cy="149860"/>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179070</wp:posOffset>
            </wp:positionV>
            <wp:extent cx="196850" cy="1968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194945</wp:posOffset>
            </wp:positionV>
            <wp:extent cx="157480" cy="1574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7480" cy="15748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194945</wp:posOffset>
            </wp:positionV>
            <wp:extent cx="173355" cy="1574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3355" cy="157480"/>
                    </a:xfrm>
                    <a:prstGeom prst="rect">
                      <a:avLst/>
                    </a:prstGeom>
                    <a:noFill/>
                  </pic:spPr>
                </pic:pic>
              </a:graphicData>
            </a:graphic>
          </wp:anchor>
        </w:drawing>
        <w:drawing>
          <wp:anchor simplePos="0" relativeHeight="251657728" behindDoc="1" locked="0" layoutInCell="0" allowOverlap="1">
            <wp:simplePos x="0" y="0"/>
            <wp:positionH relativeFrom="column">
              <wp:posOffset>5668645</wp:posOffset>
            </wp:positionH>
            <wp:positionV relativeFrom="paragraph">
              <wp:posOffset>187325</wp:posOffset>
            </wp:positionV>
            <wp:extent cx="118110" cy="1733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8110" cy="173355"/>
                    </a:xfrm>
                    <a:prstGeom prst="rect">
                      <a:avLst/>
                    </a:prstGeom>
                    <a:noFill/>
                  </pic:spPr>
                </pic:pic>
              </a:graphicData>
            </a:graphic>
          </wp:anchor>
        </w:drawing>
        <w:drawing>
          <wp:anchor simplePos="0" relativeHeight="251657728" behindDoc="1" locked="0" layoutInCell="0" allowOverlap="1">
            <wp:simplePos x="0" y="0"/>
            <wp:positionH relativeFrom="column">
              <wp:posOffset>6661785</wp:posOffset>
            </wp:positionH>
            <wp:positionV relativeFrom="paragraph">
              <wp:posOffset>171450</wp:posOffset>
            </wp:positionV>
            <wp:extent cx="252095" cy="2127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20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20"/>
                <w:szCs w:val="20"/>
                <w:color w:val="auto"/>
              </w:rPr>
            </w:pPr>
            <w:r>
              <w:rPr>
                <w:rFonts w:ascii="Arial" w:cs="Arial" w:eastAsia="Arial" w:hAnsi="Arial"/>
                <w:sz w:val="12"/>
                <w:szCs w:val="12"/>
                <w:color w:val="auto"/>
              </w:rPr>
              <w:t>INDUSTRY EXPERIENCE</w:t>
            </w:r>
          </w:p>
        </w:tc>
        <w:tc>
          <w:tcPr>
            <w:tcW w:w="1380" w:type="dxa"/>
            <w:vAlign w:val="bottom"/>
          </w:tcPr>
          <w:p>
            <w:pPr>
              <w:jc w:val="center"/>
              <w:spacing w:after="0"/>
              <w:rPr>
                <w:sz w:val="20"/>
                <w:szCs w:val="20"/>
                <w:color w:val="auto"/>
              </w:rPr>
            </w:pPr>
            <w:r>
              <w:rPr>
                <w:rFonts w:ascii="Arial" w:cs="Arial" w:eastAsia="Arial" w:hAnsi="Arial"/>
                <w:sz w:val="12"/>
                <w:szCs w:val="12"/>
                <w:color w:val="auto"/>
              </w:rPr>
              <w:t>SIGNIFICANT</w:t>
            </w:r>
          </w:p>
        </w:tc>
        <w:tc>
          <w:tcPr>
            <w:tcW w:w="1380" w:type="dxa"/>
            <w:vAlign w:val="bottom"/>
          </w:tcPr>
          <w:p>
            <w:pPr>
              <w:jc w:val="right"/>
              <w:ind w:right="198"/>
              <w:spacing w:after="0"/>
              <w:rPr>
                <w:sz w:val="20"/>
                <w:szCs w:val="20"/>
                <w:color w:val="auto"/>
              </w:rPr>
            </w:pPr>
            <w:r>
              <w:rPr>
                <w:rFonts w:ascii="Arial" w:cs="Arial" w:eastAsia="Arial" w:hAnsi="Arial"/>
                <w:sz w:val="12"/>
                <w:szCs w:val="12"/>
                <w:color w:val="auto"/>
              </w:rPr>
              <w:t>LEADERSHIP</w:t>
            </w:r>
          </w:p>
        </w:tc>
        <w:tc>
          <w:tcPr>
            <w:tcW w:w="1860" w:type="dxa"/>
            <w:vAlign w:val="bottom"/>
          </w:tcPr>
          <w:p>
            <w:pPr>
              <w:jc w:val="center"/>
              <w:spacing w:after="0"/>
              <w:rPr>
                <w:sz w:val="20"/>
                <w:szCs w:val="20"/>
                <w:color w:val="auto"/>
              </w:rPr>
            </w:pPr>
            <w:r>
              <w:rPr>
                <w:rFonts w:ascii="Arial" w:cs="Arial" w:eastAsia="Arial" w:hAnsi="Arial"/>
                <w:sz w:val="12"/>
                <w:szCs w:val="12"/>
                <w:color w:val="auto"/>
              </w:rPr>
              <w:t>SUBSTANTIAL GLOBAL</w:t>
            </w:r>
          </w:p>
        </w:tc>
        <w:tc>
          <w:tcPr>
            <w:tcW w:w="1780" w:type="dxa"/>
            <w:vAlign w:val="bottom"/>
          </w:tcPr>
          <w:p>
            <w:pPr>
              <w:jc w:val="center"/>
              <w:spacing w:after="0"/>
              <w:rPr>
                <w:sz w:val="20"/>
                <w:szCs w:val="20"/>
                <w:color w:val="auto"/>
              </w:rPr>
            </w:pPr>
            <w:r>
              <w:rPr>
                <w:rFonts w:ascii="Arial" w:cs="Arial" w:eastAsia="Arial" w:hAnsi="Arial"/>
                <w:sz w:val="12"/>
                <w:szCs w:val="12"/>
                <w:color w:val="auto"/>
              </w:rPr>
              <w:t>ACCOUNTING AND</w:t>
            </w:r>
          </w:p>
        </w:tc>
        <w:tc>
          <w:tcPr>
            <w:tcW w:w="1800" w:type="dxa"/>
            <w:vAlign w:val="bottom"/>
          </w:tcPr>
          <w:p>
            <w:pPr>
              <w:jc w:val="center"/>
              <w:spacing w:after="0"/>
              <w:rPr>
                <w:sz w:val="20"/>
                <w:szCs w:val="20"/>
                <w:color w:val="auto"/>
              </w:rPr>
            </w:pPr>
            <w:r>
              <w:rPr>
                <w:rFonts w:ascii="Arial" w:cs="Arial" w:eastAsia="Arial" w:hAnsi="Arial"/>
                <w:sz w:val="12"/>
                <w:szCs w:val="12"/>
                <w:color w:val="auto"/>
              </w:rPr>
              <w:t>PRODUCT RESEARCH,</w:t>
            </w: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PUBLIC COMPANY</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OPERATING</w:t>
            </w:r>
          </w:p>
        </w:tc>
        <w:tc>
          <w:tcPr>
            <w:tcW w:w="1380" w:type="dxa"/>
            <w:vAlign w:val="bottom"/>
          </w:tcPr>
          <w:p>
            <w:pPr>
              <w:jc w:val="right"/>
              <w:ind w:right="198"/>
              <w:spacing w:after="0" w:line="137" w:lineRule="exact"/>
              <w:rPr>
                <w:sz w:val="20"/>
                <w:szCs w:val="20"/>
                <w:color w:val="auto"/>
              </w:rPr>
            </w:pPr>
            <w:r>
              <w:rPr>
                <w:rFonts w:ascii="Arial" w:cs="Arial" w:eastAsia="Arial" w:hAnsi="Arial"/>
                <w:sz w:val="12"/>
                <w:szCs w:val="12"/>
                <w:color w:val="auto"/>
              </w:rPr>
              <w:t>EXPERIENCE</w:t>
            </w: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BUSINESS AND OTHER</w:t>
            </w:r>
          </w:p>
        </w:tc>
        <w:tc>
          <w:tcPr>
            <w:tcW w:w="1780" w:type="dxa"/>
            <w:vAlign w:val="bottom"/>
          </w:tcPr>
          <w:p>
            <w:pPr>
              <w:jc w:val="center"/>
              <w:spacing w:after="0" w:line="137" w:lineRule="exact"/>
              <w:rPr>
                <w:sz w:val="20"/>
                <w:szCs w:val="20"/>
                <w:color w:val="auto"/>
              </w:rPr>
            </w:pPr>
            <w:r>
              <w:rPr>
                <w:rFonts w:ascii="Arial" w:cs="Arial" w:eastAsia="Arial" w:hAnsi="Arial"/>
                <w:sz w:val="12"/>
                <w:szCs w:val="12"/>
                <w:color w:val="auto"/>
              </w:rPr>
              <w:t>FINANCIAL EXPERTISE</w:t>
            </w: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DEVELOPMENT</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BOARD AND</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INTERNATIONAL</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AND MARKETING</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CORPORATE</w:t>
            </w:r>
          </w:p>
        </w:tc>
      </w:tr>
      <w:tr>
        <w:trPr>
          <w:trHeight w:val="137"/>
        </w:trPr>
        <w:tc>
          <w:tcPr>
            <w:tcW w:w="17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GOVERNANCE</w:t>
            </w:r>
          </w:p>
        </w:tc>
      </w:tr>
      <w:tr>
        <w:trPr>
          <w:trHeight w:val="164"/>
        </w:trPr>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311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1040" w:type="dxa"/>
            <w:vAlign w:val="bottom"/>
            <w:tcBorders>
              <w:top w:val="single" w:sz="8" w:color="582C83"/>
              <w:left w:val="single" w:sz="8" w:color="582C83"/>
              <w:right w:val="single" w:sz="8" w:color="582C83"/>
            </w:tcBorders>
          </w:tcPr>
          <w:p>
            <w:pPr>
              <w:spacing w:after="0"/>
              <w:rPr>
                <w:sz w:val="24"/>
                <w:szCs w:val="24"/>
                <w:color w:val="auto"/>
              </w:rPr>
            </w:pPr>
          </w:p>
        </w:tc>
        <w:tc>
          <w:tcPr>
            <w:tcW w:w="2940" w:type="dxa"/>
            <w:vAlign w:val="bottom"/>
            <w:tcBorders>
              <w:top w:val="single" w:sz="8" w:color="582C83"/>
              <w:right w:val="single" w:sz="8" w:color="582C83"/>
            </w:tcBorders>
          </w:tcPr>
          <w:p>
            <w:pPr>
              <w:ind w:left="160"/>
              <w:spacing w:after="0"/>
              <w:rPr>
                <w:sz w:val="20"/>
                <w:szCs w:val="20"/>
                <w:color w:val="auto"/>
              </w:rPr>
            </w:pPr>
            <w:r>
              <w:rPr>
                <w:rFonts w:ascii="Arial" w:cs="Arial" w:eastAsia="Arial" w:hAnsi="Arial"/>
                <w:sz w:val="20"/>
                <w:szCs w:val="20"/>
                <w:b w:val="1"/>
                <w:bCs w:val="1"/>
                <w:color w:val="auto"/>
              </w:rPr>
              <w:t>Michael A. Todman</w:t>
            </w:r>
          </w:p>
        </w:tc>
        <w:tc>
          <w:tcPr>
            <w:tcW w:w="204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0"/>
                <w:szCs w:val="20"/>
                <w:b w:val="1"/>
                <w:bCs w:val="1"/>
                <w:color w:val="auto"/>
              </w:rPr>
              <w:t>DIRECTOR SINCE:</w:t>
            </w:r>
          </w:p>
        </w:tc>
        <w:tc>
          <w:tcPr>
            <w:tcW w:w="3240" w:type="dxa"/>
            <w:vAlign w:val="bottom"/>
            <w:tcBorders>
              <w:top w:val="single" w:sz="8" w:color="582C83"/>
              <w:right w:val="single" w:sz="8" w:color="582C83"/>
            </w:tcBorders>
          </w:tcPr>
          <w:p>
            <w:pPr>
              <w:ind w:left="680"/>
              <w:spacing w:after="0"/>
              <w:rPr>
                <w:sz w:val="20"/>
                <w:szCs w:val="20"/>
                <w:color w:val="auto"/>
              </w:rPr>
            </w:pPr>
            <w:r>
              <w:rPr>
                <w:rFonts w:ascii="Arial" w:cs="Arial" w:eastAsia="Arial" w:hAnsi="Arial"/>
                <w:sz w:val="20"/>
                <w:szCs w:val="20"/>
                <w:b w:val="1"/>
                <w:bCs w:val="1"/>
                <w:color w:val="auto"/>
              </w:rPr>
              <w:t>DIRECTOR SKILLS:</w:t>
            </w:r>
          </w:p>
        </w:tc>
        <w:tc>
          <w:tcPr>
            <w:tcW w:w="200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0"/>
                <w:szCs w:val="20"/>
                <w:b w:val="1"/>
                <w:bCs w:val="1"/>
                <w:color w:val="auto"/>
              </w:rPr>
              <w:t>BOARD</w:t>
            </w:r>
          </w:p>
        </w:tc>
        <w:tc>
          <w:tcPr>
            <w:tcW w:w="0" w:type="dxa"/>
            <w:vAlign w:val="bottom"/>
          </w:tcPr>
          <w:p>
            <w:pPr>
              <w:spacing w:after="0"/>
              <w:rPr>
                <w:sz w:val="1"/>
                <w:szCs w:val="1"/>
                <w:color w:val="auto"/>
              </w:rPr>
            </w:pPr>
          </w:p>
        </w:tc>
      </w:tr>
      <w:tr>
        <w:trPr>
          <w:trHeight w:val="261"/>
        </w:trPr>
        <w:tc>
          <w:tcPr>
            <w:tcW w:w="1040" w:type="dxa"/>
            <w:vAlign w:val="bottom"/>
            <w:tcBorders>
              <w:left w:val="single" w:sz="8" w:color="582C83"/>
              <w:right w:val="single" w:sz="8" w:color="582C83"/>
            </w:tcBorders>
          </w:tcPr>
          <w:p>
            <w:pPr>
              <w:spacing w:after="0"/>
              <w:rPr>
                <w:sz w:val="22"/>
                <w:szCs w:val="22"/>
                <w:color w:val="auto"/>
              </w:rPr>
            </w:pPr>
          </w:p>
        </w:tc>
        <w:tc>
          <w:tcPr>
            <w:tcW w:w="2940" w:type="dxa"/>
            <w:vAlign w:val="bottom"/>
            <w:tcBorders>
              <w:right w:val="single" w:sz="8" w:color="582C83"/>
            </w:tcBorders>
          </w:tcPr>
          <w:p>
            <w:pPr>
              <w:ind w:left="160"/>
              <w:spacing w:after="0"/>
              <w:rPr>
                <w:sz w:val="20"/>
                <w:szCs w:val="20"/>
                <w:color w:val="auto"/>
              </w:rPr>
            </w:pPr>
            <w:r>
              <w:rPr>
                <w:rFonts w:ascii="Arial" w:cs="Arial" w:eastAsia="Arial" w:hAnsi="Arial"/>
                <w:sz w:val="20"/>
                <w:szCs w:val="20"/>
                <w:i w:val="1"/>
                <w:iCs w:val="1"/>
                <w:color w:val="auto"/>
              </w:rPr>
              <w:t>Former Vice Chairman,</w:t>
            </w:r>
          </w:p>
        </w:tc>
        <w:tc>
          <w:tcPr>
            <w:tcW w:w="2040" w:type="dxa"/>
            <w:vAlign w:val="bottom"/>
            <w:tcBorders>
              <w:right w:val="single" w:sz="8" w:color="582C83"/>
            </w:tcBorders>
          </w:tcPr>
          <w:p>
            <w:pPr>
              <w:jc w:val="center"/>
              <w:spacing w:after="0"/>
              <w:rPr>
                <w:sz w:val="20"/>
                <w:szCs w:val="20"/>
                <w:color w:val="auto"/>
              </w:rPr>
            </w:pPr>
            <w:r>
              <w:rPr>
                <w:rFonts w:ascii="Arial" w:cs="Arial" w:eastAsia="Arial" w:hAnsi="Arial"/>
                <w:sz w:val="20"/>
                <w:szCs w:val="20"/>
                <w:color w:val="auto"/>
                <w:w w:val="97"/>
              </w:rPr>
              <w:t>May 2020</w:t>
            </w:r>
          </w:p>
        </w:tc>
        <w:tc>
          <w:tcPr>
            <w:tcW w:w="3240" w:type="dxa"/>
            <w:vAlign w:val="bottom"/>
            <w:tcBorders>
              <w:right w:val="single" w:sz="8" w:color="582C83"/>
            </w:tcBorders>
          </w:tcPr>
          <w:p>
            <w:pPr>
              <w:spacing w:after="0"/>
              <w:rPr>
                <w:sz w:val="22"/>
                <w:szCs w:val="22"/>
                <w:color w:val="auto"/>
              </w:rPr>
            </w:pPr>
          </w:p>
        </w:tc>
        <w:tc>
          <w:tcPr>
            <w:tcW w:w="2000" w:type="dxa"/>
            <w:vAlign w:val="bottom"/>
            <w:tcBorders>
              <w:right w:val="single" w:sz="8" w:color="582C83"/>
            </w:tcBorders>
          </w:tcPr>
          <w:p>
            <w:pPr>
              <w:jc w:val="center"/>
              <w:spacing w:after="0"/>
              <w:rPr>
                <w:sz w:val="20"/>
                <w:szCs w:val="20"/>
                <w:color w:val="auto"/>
              </w:rPr>
            </w:pPr>
            <w:r>
              <w:rPr>
                <w:rFonts w:ascii="Arial" w:cs="Arial" w:eastAsia="Arial" w:hAnsi="Arial"/>
                <w:sz w:val="20"/>
                <w:szCs w:val="20"/>
                <w:b w:val="1"/>
                <w:bCs w:val="1"/>
                <w:color w:val="auto"/>
                <w:w w:val="98"/>
              </w:rPr>
              <w:t>COMMITTEES:</w:t>
            </w:r>
          </w:p>
        </w:tc>
        <w:tc>
          <w:tcPr>
            <w:tcW w:w="0" w:type="dxa"/>
            <w:vAlign w:val="bottom"/>
          </w:tcPr>
          <w:p>
            <w:pPr>
              <w:spacing w:after="0"/>
              <w:rPr>
                <w:sz w:val="1"/>
                <w:szCs w:val="1"/>
                <w:color w:val="auto"/>
              </w:rPr>
            </w:pPr>
          </w:p>
        </w:tc>
      </w:tr>
      <w:tr>
        <w:trPr>
          <w:trHeight w:val="260"/>
        </w:trPr>
        <w:tc>
          <w:tcPr>
            <w:tcW w:w="1040" w:type="dxa"/>
            <w:vAlign w:val="bottom"/>
            <w:tcBorders>
              <w:left w:val="single" w:sz="8" w:color="582C83"/>
              <w:right w:val="single" w:sz="8" w:color="582C83"/>
            </w:tcBorders>
          </w:tcPr>
          <w:p>
            <w:pPr>
              <w:spacing w:after="0"/>
              <w:rPr>
                <w:sz w:val="22"/>
                <w:szCs w:val="22"/>
                <w:color w:val="auto"/>
              </w:rPr>
            </w:pPr>
          </w:p>
        </w:tc>
        <w:tc>
          <w:tcPr>
            <w:tcW w:w="2940" w:type="dxa"/>
            <w:vAlign w:val="bottom"/>
            <w:tcBorders>
              <w:right w:val="single" w:sz="8" w:color="582C83"/>
            </w:tcBorders>
          </w:tcPr>
          <w:p>
            <w:pPr>
              <w:ind w:left="160"/>
              <w:spacing w:after="0"/>
              <w:rPr>
                <w:sz w:val="20"/>
                <w:szCs w:val="20"/>
                <w:color w:val="auto"/>
              </w:rPr>
            </w:pPr>
            <w:r>
              <w:rPr>
                <w:rFonts w:ascii="Arial" w:cs="Arial" w:eastAsia="Arial" w:hAnsi="Arial"/>
                <w:sz w:val="20"/>
                <w:szCs w:val="20"/>
                <w:i w:val="1"/>
                <w:iCs w:val="1"/>
                <w:color w:val="auto"/>
              </w:rPr>
              <w:t>Whirlpool Corporation</w:t>
            </w:r>
          </w:p>
        </w:tc>
        <w:tc>
          <w:tcPr>
            <w:tcW w:w="204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color w:val="auto"/>
              </w:rPr>
              <w:t>Black/Male</w:t>
            </w:r>
          </w:p>
        </w:tc>
        <w:tc>
          <w:tcPr>
            <w:tcW w:w="3240" w:type="dxa"/>
            <w:vAlign w:val="bottom"/>
            <w:tcBorders>
              <w:right w:val="single" w:sz="8" w:color="582C83"/>
            </w:tcBorders>
          </w:tcPr>
          <w:p>
            <w:pPr>
              <w:spacing w:after="0"/>
              <w:rPr>
                <w:sz w:val="22"/>
                <w:szCs w:val="22"/>
                <w:color w:val="auto"/>
              </w:rPr>
            </w:pPr>
          </w:p>
        </w:tc>
        <w:tc>
          <w:tcPr>
            <w:tcW w:w="2000" w:type="dxa"/>
            <w:vAlign w:val="bottom"/>
            <w:tcBorders>
              <w:right w:val="single" w:sz="8" w:color="582C83"/>
            </w:tcBorders>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Audit</w:t>
            </w:r>
          </w:p>
        </w:tc>
        <w:tc>
          <w:tcPr>
            <w:tcW w:w="0" w:type="dxa"/>
            <w:vAlign w:val="bottom"/>
          </w:tcPr>
          <w:p>
            <w:pPr>
              <w:spacing w:after="0"/>
              <w:rPr>
                <w:sz w:val="1"/>
                <w:szCs w:val="1"/>
                <w:color w:val="auto"/>
              </w:rPr>
            </w:pPr>
          </w:p>
        </w:tc>
      </w:tr>
      <w:tr>
        <w:trPr>
          <w:trHeight w:val="152"/>
        </w:trPr>
        <w:tc>
          <w:tcPr>
            <w:tcW w:w="1040" w:type="dxa"/>
            <w:vAlign w:val="bottom"/>
            <w:tcBorders>
              <w:left w:val="single" w:sz="8" w:color="582C83"/>
              <w:right w:val="single" w:sz="8" w:color="582C83"/>
            </w:tcBorders>
          </w:tcPr>
          <w:p>
            <w:pPr>
              <w:spacing w:after="0"/>
              <w:rPr>
                <w:sz w:val="13"/>
                <w:szCs w:val="13"/>
                <w:color w:val="auto"/>
              </w:rPr>
            </w:pPr>
          </w:p>
        </w:tc>
        <w:tc>
          <w:tcPr>
            <w:tcW w:w="2940" w:type="dxa"/>
            <w:vAlign w:val="bottom"/>
            <w:tcBorders>
              <w:right w:val="single" w:sz="8" w:color="582C83"/>
            </w:tcBorders>
          </w:tcPr>
          <w:p>
            <w:pPr>
              <w:spacing w:after="0"/>
              <w:rPr>
                <w:sz w:val="13"/>
                <w:szCs w:val="13"/>
                <w:color w:val="auto"/>
              </w:rPr>
            </w:pPr>
          </w:p>
        </w:tc>
        <w:tc>
          <w:tcPr>
            <w:tcW w:w="2040" w:type="dxa"/>
            <w:vAlign w:val="bottom"/>
            <w:tcBorders>
              <w:right w:val="single" w:sz="8" w:color="582C83"/>
            </w:tcBorders>
            <w:vMerge w:val="continue"/>
          </w:tcPr>
          <w:p>
            <w:pPr>
              <w:spacing w:after="0"/>
              <w:rPr>
                <w:sz w:val="13"/>
                <w:szCs w:val="13"/>
                <w:color w:val="auto"/>
              </w:rPr>
            </w:pPr>
          </w:p>
        </w:tc>
        <w:tc>
          <w:tcPr>
            <w:tcW w:w="3240" w:type="dxa"/>
            <w:vAlign w:val="bottom"/>
            <w:tcBorders>
              <w:right w:val="single" w:sz="8" w:color="582C83"/>
            </w:tcBorders>
          </w:tcPr>
          <w:p>
            <w:pPr>
              <w:spacing w:after="0"/>
              <w:rPr>
                <w:sz w:val="13"/>
                <w:szCs w:val="13"/>
                <w:color w:val="auto"/>
              </w:rPr>
            </w:pPr>
          </w:p>
        </w:tc>
        <w:tc>
          <w:tcPr>
            <w:tcW w:w="2000" w:type="dxa"/>
            <w:vAlign w:val="bottom"/>
            <w:tcBorders>
              <w:right w:val="single" w:sz="8" w:color="582C83"/>
            </w:tcBorders>
            <w:vMerge w:val="restart"/>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Finance (Chair)</w:t>
            </w:r>
          </w:p>
        </w:tc>
        <w:tc>
          <w:tcPr>
            <w:tcW w:w="0" w:type="dxa"/>
            <w:vAlign w:val="bottom"/>
          </w:tcPr>
          <w:p>
            <w:pPr>
              <w:spacing w:after="0"/>
              <w:rPr>
                <w:sz w:val="1"/>
                <w:szCs w:val="1"/>
                <w:color w:val="auto"/>
              </w:rPr>
            </w:pPr>
          </w:p>
        </w:tc>
      </w:tr>
      <w:tr>
        <w:trPr>
          <w:trHeight w:val="112"/>
        </w:trPr>
        <w:tc>
          <w:tcPr>
            <w:tcW w:w="1040" w:type="dxa"/>
            <w:vAlign w:val="bottom"/>
            <w:tcBorders>
              <w:left w:val="single" w:sz="8" w:color="582C83"/>
              <w:right w:val="single" w:sz="8" w:color="582C83"/>
            </w:tcBorders>
          </w:tcPr>
          <w:p>
            <w:pPr>
              <w:spacing w:after="0"/>
              <w:rPr>
                <w:sz w:val="9"/>
                <w:szCs w:val="9"/>
                <w:color w:val="auto"/>
              </w:rPr>
            </w:pPr>
          </w:p>
        </w:tc>
        <w:tc>
          <w:tcPr>
            <w:tcW w:w="2940" w:type="dxa"/>
            <w:vAlign w:val="bottom"/>
            <w:tcBorders>
              <w:right w:val="single" w:sz="8" w:color="582C83"/>
            </w:tcBorders>
            <w:vMerge w:val="restart"/>
          </w:tcPr>
          <w:p>
            <w:pPr>
              <w:ind w:left="160"/>
              <w:spacing w:after="0"/>
              <w:rPr>
                <w:sz w:val="20"/>
                <w:szCs w:val="20"/>
                <w:color w:val="auto"/>
              </w:rPr>
            </w:pPr>
            <w:r>
              <w:rPr>
                <w:rFonts w:ascii="Arial" w:cs="Arial" w:eastAsia="Arial" w:hAnsi="Arial"/>
                <w:sz w:val="20"/>
                <w:szCs w:val="20"/>
                <w:b w:val="1"/>
                <w:bCs w:val="1"/>
                <w:color w:val="582C83"/>
              </w:rPr>
              <w:t>INDEPENDENT</w:t>
            </w:r>
          </w:p>
        </w:tc>
        <w:tc>
          <w:tcPr>
            <w:tcW w:w="204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color w:val="auto"/>
                <w:w w:val="97"/>
              </w:rPr>
              <w:t>Age 65</w:t>
            </w:r>
          </w:p>
        </w:tc>
        <w:tc>
          <w:tcPr>
            <w:tcW w:w="3240" w:type="dxa"/>
            <w:vAlign w:val="bottom"/>
            <w:tcBorders>
              <w:right w:val="single" w:sz="8" w:color="582C83"/>
            </w:tcBorders>
          </w:tcPr>
          <w:p>
            <w:pPr>
              <w:spacing w:after="0"/>
              <w:rPr>
                <w:sz w:val="9"/>
                <w:szCs w:val="9"/>
                <w:color w:val="auto"/>
              </w:rPr>
            </w:pPr>
          </w:p>
        </w:tc>
        <w:tc>
          <w:tcPr>
            <w:tcW w:w="2000" w:type="dxa"/>
            <w:vAlign w:val="bottom"/>
            <w:tcBorders>
              <w:right w:val="single" w:sz="8" w:color="582C8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040" w:type="dxa"/>
            <w:vAlign w:val="bottom"/>
            <w:tcBorders>
              <w:left w:val="single" w:sz="8" w:color="582C83"/>
              <w:right w:val="single" w:sz="8" w:color="582C83"/>
            </w:tcBorders>
          </w:tcPr>
          <w:p>
            <w:pPr>
              <w:spacing w:after="0"/>
              <w:rPr>
                <w:sz w:val="20"/>
                <w:szCs w:val="20"/>
                <w:color w:val="auto"/>
              </w:rPr>
            </w:pPr>
          </w:p>
        </w:tc>
        <w:tc>
          <w:tcPr>
            <w:tcW w:w="2940" w:type="dxa"/>
            <w:vAlign w:val="bottom"/>
            <w:tcBorders>
              <w:right w:val="single" w:sz="8" w:color="582C83"/>
            </w:tcBorders>
            <w:vMerge w:val="continue"/>
          </w:tcPr>
          <w:p>
            <w:pPr>
              <w:spacing w:after="0"/>
              <w:rPr>
                <w:sz w:val="20"/>
                <w:szCs w:val="20"/>
                <w:color w:val="auto"/>
              </w:rPr>
            </w:pPr>
          </w:p>
        </w:tc>
        <w:tc>
          <w:tcPr>
            <w:tcW w:w="2040" w:type="dxa"/>
            <w:vAlign w:val="bottom"/>
            <w:tcBorders>
              <w:right w:val="single" w:sz="8" w:color="582C83"/>
            </w:tcBorders>
            <w:vMerge w:val="continue"/>
          </w:tcPr>
          <w:p>
            <w:pPr>
              <w:spacing w:after="0"/>
              <w:rPr>
                <w:sz w:val="20"/>
                <w:szCs w:val="20"/>
                <w:color w:val="auto"/>
              </w:rPr>
            </w:pPr>
          </w:p>
        </w:tc>
        <w:tc>
          <w:tcPr>
            <w:tcW w:w="3240" w:type="dxa"/>
            <w:vAlign w:val="bottom"/>
            <w:tcBorders>
              <w:right w:val="single" w:sz="8" w:color="582C83"/>
            </w:tcBorders>
          </w:tcPr>
          <w:p>
            <w:pPr>
              <w:spacing w:after="0"/>
              <w:rPr>
                <w:sz w:val="20"/>
                <w:szCs w:val="20"/>
                <w:color w:val="auto"/>
              </w:rPr>
            </w:pPr>
          </w:p>
        </w:tc>
        <w:tc>
          <w:tcPr>
            <w:tcW w:w="2000" w:type="dxa"/>
            <w:vAlign w:val="bottom"/>
            <w:tcBorders>
              <w:right w:val="single" w:sz="8" w:color="582C83"/>
            </w:tcBorders>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1040" w:type="dxa"/>
            <w:vAlign w:val="bottom"/>
            <w:tcBorders>
              <w:left w:val="single" w:sz="8" w:color="582C83"/>
              <w:bottom w:val="single" w:sz="8" w:color="582C83"/>
              <w:right w:val="single" w:sz="8" w:color="582C83"/>
            </w:tcBorders>
          </w:tcPr>
          <w:p>
            <w:pPr>
              <w:spacing w:after="0"/>
              <w:rPr>
                <w:sz w:val="5"/>
                <w:szCs w:val="5"/>
                <w:color w:val="auto"/>
              </w:rPr>
            </w:pPr>
          </w:p>
        </w:tc>
        <w:tc>
          <w:tcPr>
            <w:tcW w:w="2940" w:type="dxa"/>
            <w:vAlign w:val="bottom"/>
            <w:tcBorders>
              <w:bottom w:val="single" w:sz="8" w:color="582C83"/>
              <w:right w:val="single" w:sz="8" w:color="582C83"/>
            </w:tcBorders>
          </w:tcPr>
          <w:p>
            <w:pPr>
              <w:spacing w:after="0"/>
              <w:rPr>
                <w:sz w:val="5"/>
                <w:szCs w:val="5"/>
                <w:color w:val="auto"/>
              </w:rPr>
            </w:pPr>
          </w:p>
        </w:tc>
        <w:tc>
          <w:tcPr>
            <w:tcW w:w="2040" w:type="dxa"/>
            <w:vAlign w:val="bottom"/>
            <w:tcBorders>
              <w:bottom w:val="single" w:sz="8" w:color="582C83"/>
              <w:right w:val="single" w:sz="8" w:color="582C83"/>
            </w:tcBorders>
          </w:tcPr>
          <w:p>
            <w:pPr>
              <w:spacing w:after="0"/>
              <w:rPr>
                <w:sz w:val="5"/>
                <w:szCs w:val="5"/>
                <w:color w:val="auto"/>
              </w:rPr>
            </w:pPr>
          </w:p>
        </w:tc>
        <w:tc>
          <w:tcPr>
            <w:tcW w:w="3240" w:type="dxa"/>
            <w:vAlign w:val="bottom"/>
            <w:tcBorders>
              <w:bottom w:val="single" w:sz="8" w:color="572C83"/>
              <w:right w:val="single" w:sz="8" w:color="582C83"/>
            </w:tcBorders>
          </w:tcPr>
          <w:p>
            <w:pPr>
              <w:spacing w:after="0"/>
              <w:rPr>
                <w:sz w:val="5"/>
                <w:szCs w:val="5"/>
                <w:color w:val="auto"/>
              </w:rPr>
            </w:pPr>
          </w:p>
        </w:tc>
        <w:tc>
          <w:tcPr>
            <w:tcW w:w="2000" w:type="dxa"/>
            <w:vAlign w:val="bottom"/>
            <w:tcBorders>
              <w:bottom w:val="single" w:sz="8" w:color="582C83"/>
              <w:right w:val="single" w:sz="8" w:color="582C8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-638175</wp:posOffset>
            </wp:positionV>
            <wp:extent cx="7143115" cy="21209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3115" cy="2120900"/>
                    </a:xfrm>
                    <a:prstGeom prst="rect">
                      <a:avLst/>
                    </a:prstGeom>
                    <a:noFill/>
                  </pic:spPr>
                </pic:pic>
              </a:graphicData>
            </a:graphic>
          </wp:anchor>
        </w:drawing>
      </w:r>
    </w:p>
    <w:p>
      <w:pPr>
        <w:spacing w:after="0" w:line="2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PROFESSIONAL BACKGROUND:</w:t>
      </w:r>
    </w:p>
    <w:p>
      <w:pPr>
        <w:spacing w:after="0" w:line="14" w:lineRule="exact"/>
        <w:rPr>
          <w:sz w:val="20"/>
          <w:szCs w:val="20"/>
          <w:color w:val="auto"/>
        </w:rPr>
      </w:pPr>
    </w:p>
    <w:p>
      <w:pPr>
        <w:jc w:val="both"/>
        <w:ind w:left="80" w:right="140"/>
        <w:spacing w:after="0" w:line="245" w:lineRule="auto"/>
        <w:rPr>
          <w:sz w:val="20"/>
          <w:szCs w:val="20"/>
          <w:color w:val="auto"/>
        </w:rPr>
      </w:pPr>
      <w:r>
        <w:rPr>
          <w:rFonts w:ascii="Arial" w:cs="Arial" w:eastAsia="Arial" w:hAnsi="Arial"/>
          <w:sz w:val="19"/>
          <w:szCs w:val="19"/>
          <w:color w:val="auto"/>
        </w:rPr>
        <w:t>Mr. Todman served as Vice Chairman of Whirlpool Corporation, a global home appliance company, from November 2014 until his retirement in December 2015, and as a member of Whirlpool’s Board of Directors for nine years. Prior to that, Mr. Todman was President, Whirlpool International, from 2009 to 2014 and President, Whirlpool North America, from 2007 to 2009. Mr.</w:t>
      </w:r>
    </w:p>
    <w:p>
      <w:pPr>
        <w:spacing w:after="0" w:line="1" w:lineRule="exact"/>
        <w:rPr>
          <w:sz w:val="20"/>
          <w:szCs w:val="20"/>
          <w:color w:val="auto"/>
        </w:rPr>
      </w:pPr>
    </w:p>
    <w:p>
      <w:pPr>
        <w:ind w:left="80" w:right="360"/>
        <w:spacing w:after="0" w:line="247" w:lineRule="auto"/>
        <w:rPr>
          <w:sz w:val="20"/>
          <w:szCs w:val="20"/>
          <w:color w:val="auto"/>
        </w:rPr>
      </w:pPr>
      <w:r>
        <w:rPr>
          <w:rFonts w:ascii="Arial" w:cs="Arial" w:eastAsia="Arial" w:hAnsi="Arial"/>
          <w:sz w:val="20"/>
          <w:szCs w:val="20"/>
          <w:color w:val="auto"/>
        </w:rPr>
        <w:t>Todman joined Whirlpool in 1993 and served in various capacities, including management, operations, sales and marketing positions in North America and Europe.</w:t>
      </w:r>
    </w:p>
    <w:p>
      <w:pPr>
        <w:spacing w:after="0" w:line="65" w:lineRule="exact"/>
        <w:rPr>
          <w:sz w:val="20"/>
          <w:szCs w:val="20"/>
          <w:color w:val="auto"/>
        </w:rPr>
      </w:pPr>
    </w:p>
    <w:p>
      <w:pPr>
        <w:ind w:left="80" w:right="360"/>
        <w:spacing w:after="0" w:line="250" w:lineRule="auto"/>
        <w:rPr>
          <w:sz w:val="20"/>
          <w:szCs w:val="20"/>
          <w:color w:val="auto"/>
        </w:rPr>
      </w:pPr>
      <w:r>
        <w:rPr>
          <w:rFonts w:ascii="Arial" w:cs="Arial" w:eastAsia="Arial" w:hAnsi="Arial"/>
          <w:sz w:val="20"/>
          <w:szCs w:val="20"/>
          <w:color w:val="auto"/>
        </w:rPr>
        <w:t>Before joining Whirlpool, Mr. Todman served in a variety of roles of increasing responsibility with Wang Laboratories, Inc., a manufacturer of computer systems, from 1983 to 1993, and PricewaterhouseCoopers LLP, a multinational professional services firm, from 1979 to 1983.</w:t>
      </w:r>
    </w:p>
    <w:p>
      <w:pPr>
        <w:spacing w:after="0" w:line="28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DIRECTOR QUALIFICATIONS:</w:t>
      </w:r>
    </w:p>
    <w:p>
      <w:pPr>
        <w:spacing w:after="0" w:line="56" w:lineRule="exact"/>
        <w:rPr>
          <w:sz w:val="20"/>
          <w:szCs w:val="20"/>
          <w:color w:val="auto"/>
        </w:rPr>
      </w:pPr>
    </w:p>
    <w:p>
      <w:pPr>
        <w:ind w:left="240" w:hanging="166"/>
        <w:spacing w:after="0"/>
        <w:tabs>
          <w:tab w:leader="none" w:pos="240" w:val="left"/>
        </w:tabs>
        <w:numPr>
          <w:ilvl w:val="0"/>
          <w:numId w:val="19"/>
        </w:numPr>
        <w:rPr>
          <w:rFonts w:ascii="Arial" w:cs="Arial" w:eastAsia="Arial" w:hAnsi="Arial"/>
          <w:sz w:val="20"/>
          <w:szCs w:val="20"/>
          <w:color w:val="582C83"/>
        </w:rPr>
      </w:pPr>
      <w:r>
        <w:rPr>
          <w:rFonts w:ascii="Arial" w:cs="Arial" w:eastAsia="Arial" w:hAnsi="Arial"/>
          <w:sz w:val="20"/>
          <w:szCs w:val="20"/>
          <w:color w:val="auto"/>
        </w:rPr>
        <w:t>Mr. Todman has broad leadership experience, including leading a $10 billion international business unit at Whirlpool.</w:t>
      </w:r>
    </w:p>
    <w:p>
      <w:pPr>
        <w:spacing w:after="0" w:line="43" w:lineRule="exact"/>
        <w:rPr>
          <w:rFonts w:ascii="Arial" w:cs="Arial" w:eastAsia="Arial" w:hAnsi="Arial"/>
          <w:sz w:val="20"/>
          <w:szCs w:val="20"/>
          <w:color w:val="582C83"/>
        </w:rPr>
      </w:pPr>
    </w:p>
    <w:p>
      <w:pPr>
        <w:ind w:left="240" w:right="620" w:hanging="166"/>
        <w:spacing w:after="0" w:line="259" w:lineRule="auto"/>
        <w:tabs>
          <w:tab w:leader="none" w:pos="240" w:val="left"/>
        </w:tabs>
        <w:numPr>
          <w:ilvl w:val="0"/>
          <w:numId w:val="19"/>
        </w:numPr>
        <w:rPr>
          <w:rFonts w:ascii="Arial" w:cs="Arial" w:eastAsia="Arial" w:hAnsi="Arial"/>
          <w:sz w:val="20"/>
          <w:szCs w:val="20"/>
          <w:color w:val="582C83"/>
        </w:rPr>
      </w:pPr>
      <w:r>
        <w:rPr>
          <w:rFonts w:ascii="Arial" w:cs="Arial" w:eastAsia="Arial" w:hAnsi="Arial"/>
          <w:sz w:val="20"/>
          <w:szCs w:val="20"/>
          <w:color w:val="auto"/>
        </w:rPr>
        <w:t>Mr. Todman brings strong industry knowledge and marketing experience. He has extensive consumer experience from Whirlpool and as a director of Newell Brands and Brown-Forman.</w:t>
      </w:r>
    </w:p>
    <w:p>
      <w:pPr>
        <w:ind w:left="240" w:right="740" w:hanging="166"/>
        <w:spacing w:after="0" w:line="259" w:lineRule="auto"/>
        <w:tabs>
          <w:tab w:leader="none" w:pos="240" w:val="left"/>
        </w:tabs>
        <w:numPr>
          <w:ilvl w:val="0"/>
          <w:numId w:val="19"/>
        </w:numPr>
        <w:rPr>
          <w:rFonts w:ascii="Arial" w:cs="Arial" w:eastAsia="Arial" w:hAnsi="Arial"/>
          <w:sz w:val="20"/>
          <w:szCs w:val="20"/>
          <w:color w:val="582C83"/>
        </w:rPr>
      </w:pPr>
      <w:r>
        <w:rPr>
          <w:rFonts w:ascii="Arial" w:cs="Arial" w:eastAsia="Arial" w:hAnsi="Arial"/>
          <w:sz w:val="20"/>
          <w:szCs w:val="20"/>
          <w:color w:val="auto"/>
        </w:rPr>
        <w:t>Mr. Todman has comprehensive knowledge of emerging markets and has led strategic growth initiatives for emerging markets in Asia.</w:t>
      </w:r>
    </w:p>
    <w:p>
      <w:pPr>
        <w:ind w:left="240" w:right="200" w:hanging="166"/>
        <w:spacing w:after="0" w:line="268" w:lineRule="auto"/>
        <w:tabs>
          <w:tab w:leader="none" w:pos="240" w:val="left"/>
        </w:tabs>
        <w:numPr>
          <w:ilvl w:val="0"/>
          <w:numId w:val="19"/>
        </w:numPr>
        <w:rPr>
          <w:rFonts w:ascii="Arial" w:cs="Arial" w:eastAsia="Arial" w:hAnsi="Arial"/>
          <w:sz w:val="20"/>
          <w:szCs w:val="20"/>
          <w:color w:val="582C83"/>
        </w:rPr>
      </w:pPr>
      <w:r>
        <w:rPr>
          <w:rFonts w:ascii="Arial" w:cs="Arial" w:eastAsia="Arial" w:hAnsi="Arial"/>
          <w:sz w:val="20"/>
          <w:szCs w:val="20"/>
          <w:color w:val="auto"/>
        </w:rPr>
        <w:t>Mr. Todman has extensive public company board and corporate governance experience. He is a director of Brown-Forman, Carrier Global Corporation and Prudential, and a former director of Newell Brands and Whirlpool.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3549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5495" cy="7620"/>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194945</wp:posOffset>
            </wp:positionV>
            <wp:extent cx="149860" cy="165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9860" cy="165735"/>
                    </a:xfrm>
                    <a:prstGeom prst="rect">
                      <a:avLst/>
                    </a:prstGeom>
                    <a:noFill/>
                  </pic:spPr>
                </pic:pic>
              </a:graphicData>
            </a:graphic>
          </wp:anchor>
        </w:drawing>
        <w:drawing>
          <wp:anchor simplePos="0" relativeHeight="251657728" behindDoc="1" locked="0" layoutInCell="0" allowOverlap="1">
            <wp:simplePos x="0" y="0"/>
            <wp:positionH relativeFrom="column">
              <wp:posOffset>1426845</wp:posOffset>
            </wp:positionH>
            <wp:positionV relativeFrom="paragraph">
              <wp:posOffset>202565</wp:posOffset>
            </wp:positionV>
            <wp:extent cx="173355" cy="1498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3355" cy="149860"/>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179070</wp:posOffset>
            </wp:positionV>
            <wp:extent cx="196850" cy="1968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194945</wp:posOffset>
            </wp:positionV>
            <wp:extent cx="157480" cy="1574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7480" cy="15748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194945</wp:posOffset>
            </wp:positionV>
            <wp:extent cx="173355" cy="1574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3355" cy="157480"/>
                    </a:xfrm>
                    <a:prstGeom prst="rect">
                      <a:avLst/>
                    </a:prstGeom>
                    <a:noFill/>
                  </pic:spPr>
                </pic:pic>
              </a:graphicData>
            </a:graphic>
          </wp:anchor>
        </w:drawing>
        <w:drawing>
          <wp:anchor simplePos="0" relativeHeight="251657728" behindDoc="1" locked="0" layoutInCell="0" allowOverlap="1">
            <wp:simplePos x="0" y="0"/>
            <wp:positionH relativeFrom="column">
              <wp:posOffset>5668645</wp:posOffset>
            </wp:positionH>
            <wp:positionV relativeFrom="paragraph">
              <wp:posOffset>187325</wp:posOffset>
            </wp:positionV>
            <wp:extent cx="118110" cy="1733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8110" cy="173355"/>
                    </a:xfrm>
                    <a:prstGeom prst="rect">
                      <a:avLst/>
                    </a:prstGeom>
                    <a:noFill/>
                  </pic:spPr>
                </pic:pic>
              </a:graphicData>
            </a:graphic>
          </wp:anchor>
        </w:drawing>
        <w:drawing>
          <wp:anchor simplePos="0" relativeHeight="251657728" behindDoc="1" locked="0" layoutInCell="0" allowOverlap="1">
            <wp:simplePos x="0" y="0"/>
            <wp:positionH relativeFrom="column">
              <wp:posOffset>6661785</wp:posOffset>
            </wp:positionH>
            <wp:positionV relativeFrom="paragraph">
              <wp:posOffset>171450</wp:posOffset>
            </wp:positionV>
            <wp:extent cx="252095" cy="2127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20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20"/>
                <w:szCs w:val="20"/>
                <w:color w:val="auto"/>
              </w:rPr>
            </w:pPr>
            <w:r>
              <w:rPr>
                <w:rFonts w:ascii="Arial" w:cs="Arial" w:eastAsia="Arial" w:hAnsi="Arial"/>
                <w:sz w:val="12"/>
                <w:szCs w:val="12"/>
                <w:color w:val="auto"/>
              </w:rPr>
              <w:t>INDUSTRY EXPERIENCE</w:t>
            </w:r>
          </w:p>
        </w:tc>
        <w:tc>
          <w:tcPr>
            <w:tcW w:w="1380" w:type="dxa"/>
            <w:vAlign w:val="bottom"/>
          </w:tcPr>
          <w:p>
            <w:pPr>
              <w:jc w:val="center"/>
              <w:spacing w:after="0"/>
              <w:rPr>
                <w:sz w:val="20"/>
                <w:szCs w:val="20"/>
                <w:color w:val="auto"/>
              </w:rPr>
            </w:pPr>
            <w:r>
              <w:rPr>
                <w:rFonts w:ascii="Arial" w:cs="Arial" w:eastAsia="Arial" w:hAnsi="Arial"/>
                <w:sz w:val="12"/>
                <w:szCs w:val="12"/>
                <w:color w:val="auto"/>
              </w:rPr>
              <w:t>SIGNIFICANT</w:t>
            </w:r>
          </w:p>
        </w:tc>
        <w:tc>
          <w:tcPr>
            <w:tcW w:w="1380" w:type="dxa"/>
            <w:vAlign w:val="bottom"/>
          </w:tcPr>
          <w:p>
            <w:pPr>
              <w:jc w:val="right"/>
              <w:ind w:right="198"/>
              <w:spacing w:after="0"/>
              <w:rPr>
                <w:sz w:val="20"/>
                <w:szCs w:val="20"/>
                <w:color w:val="auto"/>
              </w:rPr>
            </w:pPr>
            <w:r>
              <w:rPr>
                <w:rFonts w:ascii="Arial" w:cs="Arial" w:eastAsia="Arial" w:hAnsi="Arial"/>
                <w:sz w:val="12"/>
                <w:szCs w:val="12"/>
                <w:color w:val="auto"/>
              </w:rPr>
              <w:t>LEADERSHIP</w:t>
            </w:r>
          </w:p>
        </w:tc>
        <w:tc>
          <w:tcPr>
            <w:tcW w:w="1860" w:type="dxa"/>
            <w:vAlign w:val="bottom"/>
          </w:tcPr>
          <w:p>
            <w:pPr>
              <w:jc w:val="center"/>
              <w:spacing w:after="0"/>
              <w:rPr>
                <w:sz w:val="20"/>
                <w:szCs w:val="20"/>
                <w:color w:val="auto"/>
              </w:rPr>
            </w:pPr>
            <w:r>
              <w:rPr>
                <w:rFonts w:ascii="Arial" w:cs="Arial" w:eastAsia="Arial" w:hAnsi="Arial"/>
                <w:sz w:val="12"/>
                <w:szCs w:val="12"/>
                <w:color w:val="auto"/>
              </w:rPr>
              <w:t>SUBSTANTIAL GLOBAL</w:t>
            </w:r>
          </w:p>
        </w:tc>
        <w:tc>
          <w:tcPr>
            <w:tcW w:w="1780" w:type="dxa"/>
            <w:vAlign w:val="bottom"/>
          </w:tcPr>
          <w:p>
            <w:pPr>
              <w:jc w:val="center"/>
              <w:spacing w:after="0"/>
              <w:rPr>
                <w:sz w:val="20"/>
                <w:szCs w:val="20"/>
                <w:color w:val="auto"/>
              </w:rPr>
            </w:pPr>
            <w:r>
              <w:rPr>
                <w:rFonts w:ascii="Arial" w:cs="Arial" w:eastAsia="Arial" w:hAnsi="Arial"/>
                <w:sz w:val="12"/>
                <w:szCs w:val="12"/>
                <w:color w:val="auto"/>
              </w:rPr>
              <w:t>ACCOUNTING AND</w:t>
            </w:r>
          </w:p>
        </w:tc>
        <w:tc>
          <w:tcPr>
            <w:tcW w:w="1800" w:type="dxa"/>
            <w:vAlign w:val="bottom"/>
          </w:tcPr>
          <w:p>
            <w:pPr>
              <w:jc w:val="center"/>
              <w:spacing w:after="0"/>
              <w:rPr>
                <w:sz w:val="20"/>
                <w:szCs w:val="20"/>
                <w:color w:val="auto"/>
              </w:rPr>
            </w:pPr>
            <w:r>
              <w:rPr>
                <w:rFonts w:ascii="Arial" w:cs="Arial" w:eastAsia="Arial" w:hAnsi="Arial"/>
                <w:sz w:val="12"/>
                <w:szCs w:val="12"/>
                <w:color w:val="auto"/>
              </w:rPr>
              <w:t>PRODUCT RESEARCH,</w:t>
            </w: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PUBLIC COMPANY</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OPERATING</w:t>
            </w:r>
          </w:p>
        </w:tc>
        <w:tc>
          <w:tcPr>
            <w:tcW w:w="1380" w:type="dxa"/>
            <w:vAlign w:val="bottom"/>
          </w:tcPr>
          <w:p>
            <w:pPr>
              <w:jc w:val="right"/>
              <w:ind w:right="198"/>
              <w:spacing w:after="0" w:line="137" w:lineRule="exact"/>
              <w:rPr>
                <w:sz w:val="20"/>
                <w:szCs w:val="20"/>
                <w:color w:val="auto"/>
              </w:rPr>
            </w:pPr>
            <w:r>
              <w:rPr>
                <w:rFonts w:ascii="Arial" w:cs="Arial" w:eastAsia="Arial" w:hAnsi="Arial"/>
                <w:sz w:val="12"/>
                <w:szCs w:val="12"/>
                <w:color w:val="auto"/>
              </w:rPr>
              <w:t>EXPERIENCE</w:t>
            </w: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BUSINESS AND OTHER</w:t>
            </w:r>
          </w:p>
        </w:tc>
        <w:tc>
          <w:tcPr>
            <w:tcW w:w="1780" w:type="dxa"/>
            <w:vAlign w:val="bottom"/>
          </w:tcPr>
          <w:p>
            <w:pPr>
              <w:jc w:val="center"/>
              <w:spacing w:after="0" w:line="137" w:lineRule="exact"/>
              <w:rPr>
                <w:sz w:val="20"/>
                <w:szCs w:val="20"/>
                <w:color w:val="auto"/>
              </w:rPr>
            </w:pPr>
            <w:r>
              <w:rPr>
                <w:rFonts w:ascii="Arial" w:cs="Arial" w:eastAsia="Arial" w:hAnsi="Arial"/>
                <w:sz w:val="12"/>
                <w:szCs w:val="12"/>
                <w:color w:val="auto"/>
              </w:rPr>
              <w:t>FINANCIAL EXPERTISE</w:t>
            </w: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DEVELOPMENT</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BOARD AND</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INTERNATIONAL</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AND MARKETING</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CORPORATE</w:t>
            </w:r>
          </w:p>
        </w:tc>
      </w:tr>
      <w:tr>
        <w:trPr>
          <w:trHeight w:val="137"/>
        </w:trPr>
        <w:tc>
          <w:tcPr>
            <w:tcW w:w="17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GOVERNANCE</w:t>
            </w:r>
          </w:p>
        </w:tc>
      </w:tr>
      <w:tr>
        <w:trPr>
          <w:trHeight w:val="164"/>
        </w:trPr>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3115"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1040" w:type="dxa"/>
            <w:vAlign w:val="bottom"/>
            <w:tcBorders>
              <w:top w:val="single" w:sz="8" w:color="582C83"/>
              <w:left w:val="single" w:sz="8" w:color="582C83"/>
              <w:right w:val="single" w:sz="8" w:color="582C83"/>
            </w:tcBorders>
          </w:tcPr>
          <w:p>
            <w:pPr>
              <w:spacing w:after="0"/>
              <w:rPr>
                <w:sz w:val="24"/>
                <w:szCs w:val="24"/>
                <w:color w:val="auto"/>
              </w:rPr>
            </w:pPr>
          </w:p>
        </w:tc>
        <w:tc>
          <w:tcPr>
            <w:tcW w:w="3360" w:type="dxa"/>
            <w:vAlign w:val="bottom"/>
            <w:tcBorders>
              <w:top w:val="single" w:sz="8" w:color="582C83"/>
              <w:right w:val="single" w:sz="8" w:color="582C83"/>
            </w:tcBorders>
          </w:tcPr>
          <w:p>
            <w:pPr>
              <w:ind w:left="160"/>
              <w:spacing w:after="0"/>
              <w:rPr>
                <w:sz w:val="20"/>
                <w:szCs w:val="20"/>
                <w:color w:val="auto"/>
              </w:rPr>
            </w:pPr>
            <w:r>
              <w:rPr>
                <w:rFonts w:ascii="Arial" w:cs="Arial" w:eastAsia="Arial" w:hAnsi="Arial"/>
                <w:sz w:val="20"/>
                <w:szCs w:val="20"/>
                <w:b w:val="1"/>
                <w:bCs w:val="1"/>
                <w:color w:val="auto"/>
              </w:rPr>
              <w:t>Dirk Van de Put</w:t>
            </w:r>
          </w:p>
        </w:tc>
        <w:tc>
          <w:tcPr>
            <w:tcW w:w="3500" w:type="dxa"/>
            <w:vAlign w:val="bottom"/>
            <w:tcBorders>
              <w:top w:val="single" w:sz="8" w:color="582C83"/>
              <w:right w:val="single" w:sz="8" w:color="582C83"/>
            </w:tcBorders>
          </w:tcPr>
          <w:p>
            <w:pPr>
              <w:ind w:left="800"/>
              <w:spacing w:after="0"/>
              <w:rPr>
                <w:sz w:val="20"/>
                <w:szCs w:val="20"/>
                <w:color w:val="auto"/>
              </w:rPr>
            </w:pPr>
            <w:r>
              <w:rPr>
                <w:rFonts w:ascii="Arial" w:cs="Arial" w:eastAsia="Arial" w:hAnsi="Arial"/>
                <w:sz w:val="20"/>
                <w:szCs w:val="20"/>
                <w:b w:val="1"/>
                <w:bCs w:val="1"/>
                <w:color w:val="auto"/>
              </w:rPr>
              <w:t>DIRECTOR SKILLS:</w:t>
            </w:r>
          </w:p>
        </w:tc>
        <w:tc>
          <w:tcPr>
            <w:tcW w:w="336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0"/>
                <w:szCs w:val="20"/>
                <w:b w:val="1"/>
                <w:bCs w:val="1"/>
                <w:color w:val="auto"/>
                <w:w w:val="99"/>
              </w:rPr>
              <w:t>DIRECTOR SINCE</w:t>
            </w:r>
            <w:r>
              <w:rPr>
                <w:rFonts w:ascii="Arial" w:cs="Arial" w:eastAsia="Arial" w:hAnsi="Arial"/>
                <w:sz w:val="20"/>
                <w:szCs w:val="20"/>
                <w:color w:val="auto"/>
                <w:w w:val="99"/>
              </w:rPr>
              <w:t>: November 2017</w:t>
            </w:r>
          </w:p>
        </w:tc>
        <w:tc>
          <w:tcPr>
            <w:tcW w:w="0" w:type="dxa"/>
            <w:vAlign w:val="bottom"/>
          </w:tcPr>
          <w:p>
            <w:pPr>
              <w:spacing w:after="0"/>
              <w:rPr>
                <w:sz w:val="1"/>
                <w:szCs w:val="1"/>
                <w:color w:val="auto"/>
              </w:rPr>
            </w:pPr>
          </w:p>
        </w:tc>
      </w:tr>
      <w:tr>
        <w:trPr>
          <w:trHeight w:val="236"/>
        </w:trPr>
        <w:tc>
          <w:tcPr>
            <w:tcW w:w="1040" w:type="dxa"/>
            <w:vAlign w:val="bottom"/>
            <w:tcBorders>
              <w:left w:val="single" w:sz="8" w:color="582C83"/>
              <w:right w:val="single" w:sz="8" w:color="582C83"/>
            </w:tcBorders>
          </w:tcPr>
          <w:p>
            <w:pPr>
              <w:spacing w:after="0"/>
              <w:rPr>
                <w:sz w:val="20"/>
                <w:szCs w:val="20"/>
                <w:color w:val="auto"/>
              </w:rPr>
            </w:pPr>
          </w:p>
        </w:tc>
        <w:tc>
          <w:tcPr>
            <w:tcW w:w="3360" w:type="dxa"/>
            <w:vAlign w:val="bottom"/>
            <w:tcBorders>
              <w:right w:val="single" w:sz="8" w:color="582C83"/>
            </w:tcBorders>
          </w:tcPr>
          <w:p>
            <w:pPr>
              <w:ind w:left="160"/>
              <w:spacing w:after="0"/>
              <w:rPr>
                <w:sz w:val="20"/>
                <w:szCs w:val="20"/>
                <w:color w:val="auto"/>
              </w:rPr>
            </w:pPr>
            <w:r>
              <w:rPr>
                <w:rFonts w:ascii="Arial" w:cs="Arial" w:eastAsia="Arial" w:hAnsi="Arial"/>
                <w:sz w:val="20"/>
                <w:szCs w:val="20"/>
                <w:i w:val="1"/>
                <w:iCs w:val="1"/>
                <w:color w:val="auto"/>
              </w:rPr>
              <w:t>Chairman and Chief Executive</w:t>
            </w:r>
          </w:p>
        </w:tc>
        <w:tc>
          <w:tcPr>
            <w:tcW w:w="3500" w:type="dxa"/>
            <w:vAlign w:val="bottom"/>
            <w:tcBorders>
              <w:right w:val="single" w:sz="8" w:color="582C83"/>
            </w:tcBorders>
          </w:tcPr>
          <w:p>
            <w:pPr>
              <w:spacing w:after="0"/>
              <w:rPr>
                <w:sz w:val="20"/>
                <w:szCs w:val="20"/>
                <w:color w:val="auto"/>
              </w:rPr>
            </w:pPr>
          </w:p>
        </w:tc>
        <w:tc>
          <w:tcPr>
            <w:tcW w:w="336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b w:val="1"/>
                <w:bCs w:val="1"/>
                <w:color w:val="auto"/>
                <w:w w:val="99"/>
              </w:rPr>
              <w:t xml:space="preserve">CHAIRMAN: </w:t>
            </w:r>
            <w:r>
              <w:rPr>
                <w:rFonts w:ascii="Arial" w:cs="Arial" w:eastAsia="Arial" w:hAnsi="Arial"/>
                <w:sz w:val="20"/>
                <w:szCs w:val="20"/>
                <w:color w:val="auto"/>
                <w:w w:val="99"/>
              </w:rPr>
              <w:t>April 2018</w:t>
            </w:r>
          </w:p>
        </w:tc>
        <w:tc>
          <w:tcPr>
            <w:tcW w:w="0" w:type="dxa"/>
            <w:vAlign w:val="bottom"/>
          </w:tcPr>
          <w:p>
            <w:pPr>
              <w:spacing w:after="0"/>
              <w:rPr>
                <w:sz w:val="1"/>
                <w:szCs w:val="1"/>
                <w:color w:val="auto"/>
              </w:rPr>
            </w:pPr>
          </w:p>
        </w:tc>
      </w:tr>
      <w:tr>
        <w:trPr>
          <w:trHeight w:val="110"/>
        </w:trPr>
        <w:tc>
          <w:tcPr>
            <w:tcW w:w="1040" w:type="dxa"/>
            <w:vAlign w:val="bottom"/>
            <w:tcBorders>
              <w:left w:val="single" w:sz="8" w:color="582C83"/>
              <w:right w:val="single" w:sz="8" w:color="582C83"/>
            </w:tcBorders>
          </w:tcPr>
          <w:p>
            <w:pPr>
              <w:spacing w:after="0"/>
              <w:rPr>
                <w:sz w:val="9"/>
                <w:szCs w:val="9"/>
                <w:color w:val="auto"/>
              </w:rPr>
            </w:pPr>
          </w:p>
        </w:tc>
        <w:tc>
          <w:tcPr>
            <w:tcW w:w="3360" w:type="dxa"/>
            <w:vAlign w:val="bottom"/>
            <w:tcBorders>
              <w:right w:val="single" w:sz="8" w:color="582C83"/>
            </w:tcBorders>
            <w:vMerge w:val="restart"/>
          </w:tcPr>
          <w:p>
            <w:pPr>
              <w:ind w:left="160"/>
              <w:spacing w:after="0"/>
              <w:rPr>
                <w:sz w:val="20"/>
                <w:szCs w:val="20"/>
                <w:color w:val="auto"/>
              </w:rPr>
            </w:pPr>
            <w:r>
              <w:rPr>
                <w:rFonts w:ascii="Arial" w:cs="Arial" w:eastAsia="Arial" w:hAnsi="Arial"/>
                <w:sz w:val="20"/>
                <w:szCs w:val="20"/>
                <w:i w:val="1"/>
                <w:iCs w:val="1"/>
                <w:color w:val="auto"/>
              </w:rPr>
              <w:t>Officer,</w:t>
            </w:r>
          </w:p>
        </w:tc>
        <w:tc>
          <w:tcPr>
            <w:tcW w:w="3500" w:type="dxa"/>
            <w:vAlign w:val="bottom"/>
            <w:tcBorders>
              <w:right w:val="single" w:sz="8" w:color="582C83"/>
            </w:tcBorders>
          </w:tcPr>
          <w:p>
            <w:pPr>
              <w:spacing w:after="0"/>
              <w:rPr>
                <w:sz w:val="9"/>
                <w:szCs w:val="9"/>
                <w:color w:val="auto"/>
              </w:rPr>
            </w:pPr>
          </w:p>
        </w:tc>
        <w:tc>
          <w:tcPr>
            <w:tcW w:w="3360" w:type="dxa"/>
            <w:vAlign w:val="bottom"/>
            <w:tcBorders>
              <w:right w:val="single" w:sz="8" w:color="582C8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40" w:type="dxa"/>
            <w:vAlign w:val="bottom"/>
            <w:tcBorders>
              <w:left w:val="single" w:sz="8" w:color="582C83"/>
              <w:right w:val="single" w:sz="8" w:color="582C83"/>
            </w:tcBorders>
          </w:tcPr>
          <w:p>
            <w:pPr>
              <w:spacing w:after="0"/>
              <w:rPr>
                <w:sz w:val="10"/>
                <w:szCs w:val="10"/>
                <w:color w:val="auto"/>
              </w:rPr>
            </w:pPr>
          </w:p>
        </w:tc>
        <w:tc>
          <w:tcPr>
            <w:tcW w:w="3360" w:type="dxa"/>
            <w:vAlign w:val="bottom"/>
            <w:tcBorders>
              <w:right w:val="single" w:sz="8" w:color="582C83"/>
            </w:tcBorders>
            <w:vMerge w:val="continue"/>
          </w:tcPr>
          <w:p>
            <w:pPr>
              <w:spacing w:after="0"/>
              <w:rPr>
                <w:sz w:val="10"/>
                <w:szCs w:val="10"/>
                <w:color w:val="auto"/>
              </w:rPr>
            </w:pPr>
          </w:p>
        </w:tc>
        <w:tc>
          <w:tcPr>
            <w:tcW w:w="3500" w:type="dxa"/>
            <w:vAlign w:val="bottom"/>
            <w:tcBorders>
              <w:right w:val="single" w:sz="8" w:color="582C83"/>
            </w:tcBorders>
          </w:tcPr>
          <w:p>
            <w:pPr>
              <w:spacing w:after="0"/>
              <w:rPr>
                <w:sz w:val="10"/>
                <w:szCs w:val="10"/>
                <w:color w:val="auto"/>
              </w:rPr>
            </w:pPr>
          </w:p>
        </w:tc>
        <w:tc>
          <w:tcPr>
            <w:tcW w:w="336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color w:val="auto"/>
                <w:w w:val="99"/>
              </w:rPr>
              <w:t>White/Male</w:t>
            </w:r>
          </w:p>
        </w:tc>
        <w:tc>
          <w:tcPr>
            <w:tcW w:w="0" w:type="dxa"/>
            <w:vAlign w:val="bottom"/>
          </w:tcPr>
          <w:p>
            <w:pPr>
              <w:spacing w:after="0"/>
              <w:rPr>
                <w:sz w:val="1"/>
                <w:szCs w:val="1"/>
                <w:color w:val="auto"/>
              </w:rPr>
            </w:pPr>
          </w:p>
        </w:tc>
      </w:tr>
      <w:tr>
        <w:trPr>
          <w:trHeight w:val="187"/>
        </w:trPr>
        <w:tc>
          <w:tcPr>
            <w:tcW w:w="1040" w:type="dxa"/>
            <w:vAlign w:val="bottom"/>
            <w:tcBorders>
              <w:left w:val="single" w:sz="8" w:color="582C83"/>
              <w:right w:val="single" w:sz="8" w:color="582C83"/>
            </w:tcBorders>
          </w:tcPr>
          <w:p>
            <w:pPr>
              <w:spacing w:after="0"/>
              <w:rPr>
                <w:sz w:val="16"/>
                <w:szCs w:val="16"/>
                <w:color w:val="auto"/>
              </w:rPr>
            </w:pPr>
          </w:p>
        </w:tc>
        <w:tc>
          <w:tcPr>
            <w:tcW w:w="3360" w:type="dxa"/>
            <w:vAlign w:val="bottom"/>
            <w:tcBorders>
              <w:right w:val="single" w:sz="8" w:color="582C83"/>
            </w:tcBorders>
            <w:vMerge w:val="restart"/>
          </w:tcPr>
          <w:p>
            <w:pPr>
              <w:ind w:left="160"/>
              <w:spacing w:after="0"/>
              <w:rPr>
                <w:sz w:val="20"/>
                <w:szCs w:val="20"/>
                <w:color w:val="auto"/>
              </w:rPr>
            </w:pPr>
            <w:r>
              <w:rPr>
                <w:rFonts w:ascii="Arial" w:cs="Arial" w:eastAsia="Arial" w:hAnsi="Arial"/>
                <w:sz w:val="20"/>
                <w:szCs w:val="20"/>
                <w:i w:val="1"/>
                <w:iCs w:val="1"/>
                <w:color w:val="auto"/>
              </w:rPr>
              <w:t>Mondelēz International, Inc.</w:t>
            </w:r>
          </w:p>
        </w:tc>
        <w:tc>
          <w:tcPr>
            <w:tcW w:w="3500" w:type="dxa"/>
            <w:vAlign w:val="bottom"/>
            <w:tcBorders>
              <w:right w:val="single" w:sz="8" w:color="582C83"/>
            </w:tcBorders>
          </w:tcPr>
          <w:p>
            <w:pPr>
              <w:spacing w:after="0"/>
              <w:rPr>
                <w:sz w:val="16"/>
                <w:szCs w:val="16"/>
                <w:color w:val="auto"/>
              </w:rPr>
            </w:pPr>
          </w:p>
        </w:tc>
        <w:tc>
          <w:tcPr>
            <w:tcW w:w="3360" w:type="dxa"/>
            <w:vAlign w:val="bottom"/>
            <w:tcBorders>
              <w:right w:val="single" w:sz="8" w:color="582C83"/>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040" w:type="dxa"/>
            <w:vAlign w:val="bottom"/>
            <w:tcBorders>
              <w:left w:val="single" w:sz="8" w:color="582C83"/>
              <w:right w:val="single" w:sz="8" w:color="582C83"/>
            </w:tcBorders>
          </w:tcPr>
          <w:p>
            <w:pPr>
              <w:spacing w:after="0"/>
              <w:rPr>
                <w:sz w:val="6"/>
                <w:szCs w:val="6"/>
                <w:color w:val="auto"/>
              </w:rPr>
            </w:pPr>
          </w:p>
        </w:tc>
        <w:tc>
          <w:tcPr>
            <w:tcW w:w="3360" w:type="dxa"/>
            <w:vAlign w:val="bottom"/>
            <w:tcBorders>
              <w:right w:val="single" w:sz="8" w:color="582C83"/>
            </w:tcBorders>
            <w:vMerge w:val="continue"/>
          </w:tcPr>
          <w:p>
            <w:pPr>
              <w:spacing w:after="0"/>
              <w:rPr>
                <w:sz w:val="6"/>
                <w:szCs w:val="6"/>
                <w:color w:val="auto"/>
              </w:rPr>
            </w:pPr>
          </w:p>
        </w:tc>
        <w:tc>
          <w:tcPr>
            <w:tcW w:w="3500" w:type="dxa"/>
            <w:vAlign w:val="bottom"/>
            <w:tcBorders>
              <w:right w:val="single" w:sz="8" w:color="582C83"/>
            </w:tcBorders>
          </w:tcPr>
          <w:p>
            <w:pPr>
              <w:spacing w:after="0"/>
              <w:rPr>
                <w:sz w:val="6"/>
                <w:szCs w:val="6"/>
                <w:color w:val="auto"/>
              </w:rPr>
            </w:pPr>
          </w:p>
        </w:tc>
        <w:tc>
          <w:tcPr>
            <w:tcW w:w="336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0"/>
                <w:szCs w:val="20"/>
                <w:color w:val="auto"/>
                <w:w w:val="97"/>
              </w:rPr>
              <w:t>Age 62</w:t>
            </w:r>
          </w:p>
        </w:tc>
        <w:tc>
          <w:tcPr>
            <w:tcW w:w="0" w:type="dxa"/>
            <w:vAlign w:val="bottom"/>
          </w:tcPr>
          <w:p>
            <w:pPr>
              <w:spacing w:after="0"/>
              <w:rPr>
                <w:sz w:val="1"/>
                <w:szCs w:val="1"/>
                <w:color w:val="auto"/>
              </w:rPr>
            </w:pPr>
          </w:p>
        </w:tc>
      </w:tr>
      <w:tr>
        <w:trPr>
          <w:trHeight w:val="199"/>
        </w:trPr>
        <w:tc>
          <w:tcPr>
            <w:tcW w:w="1040" w:type="dxa"/>
            <w:vAlign w:val="bottom"/>
            <w:tcBorders>
              <w:left w:val="single" w:sz="8" w:color="582C83"/>
              <w:right w:val="single" w:sz="8" w:color="582C83"/>
            </w:tcBorders>
          </w:tcPr>
          <w:p>
            <w:pPr>
              <w:spacing w:after="0"/>
              <w:rPr>
                <w:sz w:val="17"/>
                <w:szCs w:val="17"/>
                <w:color w:val="auto"/>
              </w:rPr>
            </w:pPr>
          </w:p>
        </w:tc>
        <w:tc>
          <w:tcPr>
            <w:tcW w:w="3360" w:type="dxa"/>
            <w:vAlign w:val="bottom"/>
            <w:tcBorders>
              <w:right w:val="single" w:sz="8" w:color="582C83"/>
            </w:tcBorders>
          </w:tcPr>
          <w:p>
            <w:pPr>
              <w:spacing w:after="0"/>
              <w:rPr>
                <w:sz w:val="17"/>
                <w:szCs w:val="17"/>
                <w:color w:val="auto"/>
              </w:rPr>
            </w:pPr>
          </w:p>
        </w:tc>
        <w:tc>
          <w:tcPr>
            <w:tcW w:w="3500" w:type="dxa"/>
            <w:vAlign w:val="bottom"/>
            <w:tcBorders>
              <w:right w:val="single" w:sz="8" w:color="582C83"/>
            </w:tcBorders>
          </w:tcPr>
          <w:p>
            <w:pPr>
              <w:spacing w:after="0"/>
              <w:rPr>
                <w:sz w:val="17"/>
                <w:szCs w:val="17"/>
                <w:color w:val="auto"/>
              </w:rPr>
            </w:pPr>
          </w:p>
        </w:tc>
        <w:tc>
          <w:tcPr>
            <w:tcW w:w="3360" w:type="dxa"/>
            <w:vAlign w:val="bottom"/>
            <w:tcBorders>
              <w:right w:val="single" w:sz="8" w:color="582C83"/>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040" w:type="dxa"/>
            <w:vAlign w:val="bottom"/>
            <w:tcBorders>
              <w:left w:val="single" w:sz="8" w:color="582C83"/>
              <w:bottom w:val="single" w:sz="8" w:color="582C83"/>
              <w:right w:val="single" w:sz="8" w:color="582C83"/>
            </w:tcBorders>
          </w:tcPr>
          <w:p>
            <w:pPr>
              <w:spacing w:after="0"/>
              <w:rPr>
                <w:sz w:val="5"/>
                <w:szCs w:val="5"/>
                <w:color w:val="auto"/>
              </w:rPr>
            </w:pPr>
          </w:p>
        </w:tc>
        <w:tc>
          <w:tcPr>
            <w:tcW w:w="3360" w:type="dxa"/>
            <w:vAlign w:val="bottom"/>
            <w:tcBorders>
              <w:bottom w:val="single" w:sz="8" w:color="582C83"/>
              <w:right w:val="single" w:sz="8" w:color="582C83"/>
            </w:tcBorders>
          </w:tcPr>
          <w:p>
            <w:pPr>
              <w:spacing w:after="0"/>
              <w:rPr>
                <w:sz w:val="5"/>
                <w:szCs w:val="5"/>
                <w:color w:val="auto"/>
              </w:rPr>
            </w:pPr>
          </w:p>
        </w:tc>
        <w:tc>
          <w:tcPr>
            <w:tcW w:w="3500" w:type="dxa"/>
            <w:vAlign w:val="bottom"/>
            <w:tcBorders>
              <w:bottom w:val="single" w:sz="8" w:color="572C83"/>
              <w:right w:val="single" w:sz="8" w:color="582C83"/>
            </w:tcBorders>
          </w:tcPr>
          <w:p>
            <w:pPr>
              <w:spacing w:after="0"/>
              <w:rPr>
                <w:sz w:val="5"/>
                <w:szCs w:val="5"/>
                <w:color w:val="auto"/>
              </w:rPr>
            </w:pPr>
          </w:p>
        </w:tc>
        <w:tc>
          <w:tcPr>
            <w:tcW w:w="3360" w:type="dxa"/>
            <w:vAlign w:val="bottom"/>
            <w:tcBorders>
              <w:bottom w:val="single" w:sz="8" w:color="582C83"/>
              <w:right w:val="single" w:sz="8" w:color="582C8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-622300</wp:posOffset>
            </wp:positionV>
            <wp:extent cx="7143115" cy="27438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3115" cy="2743835"/>
                    </a:xfrm>
                    <a:prstGeom prst="rect">
                      <a:avLst/>
                    </a:prstGeom>
                    <a:noFill/>
                  </pic:spPr>
                </pic:pic>
              </a:graphicData>
            </a:graphic>
          </wp:anchor>
        </w:drawing>
      </w:r>
    </w:p>
    <w:p>
      <w:pPr>
        <w:spacing w:after="0" w:line="2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PROFESSIONAL BACKGROUND:</w:t>
      </w:r>
    </w:p>
    <w:p>
      <w:pPr>
        <w:spacing w:after="0" w:line="14" w:lineRule="exact"/>
        <w:rPr>
          <w:sz w:val="20"/>
          <w:szCs w:val="20"/>
          <w:color w:val="auto"/>
        </w:rPr>
      </w:pPr>
    </w:p>
    <w:p>
      <w:pPr>
        <w:ind w:left="80" w:right="120"/>
        <w:spacing w:after="0" w:line="238" w:lineRule="auto"/>
        <w:rPr>
          <w:sz w:val="20"/>
          <w:szCs w:val="20"/>
          <w:color w:val="auto"/>
        </w:rPr>
      </w:pPr>
      <w:r>
        <w:rPr>
          <w:rFonts w:ascii="Arial" w:cs="Arial" w:eastAsia="Arial" w:hAnsi="Arial"/>
          <w:sz w:val="20"/>
          <w:szCs w:val="20"/>
          <w:color w:val="auto"/>
        </w:rPr>
        <w:t>Mr. Van de Put became Chief Executive Officer of Mondelēz International and joined the Company’s Board of Directors in November 2017. He became Chairman in April 2018. Mr. Van de Put served as President and Chief Executive Officer of McCain Foods Limited, a multinational frozen food provider, from 2011 to 2017, and served as its Chief Operating Officer from 2010 to 2011.</w:t>
      </w:r>
    </w:p>
    <w:p>
      <w:pPr>
        <w:spacing w:after="0" w:line="73" w:lineRule="exact"/>
        <w:rPr>
          <w:sz w:val="20"/>
          <w:szCs w:val="20"/>
          <w:color w:val="auto"/>
        </w:rPr>
      </w:pPr>
    </w:p>
    <w:p>
      <w:pPr>
        <w:ind w:left="80" w:right="100"/>
        <w:spacing w:after="0" w:line="244" w:lineRule="auto"/>
        <w:rPr>
          <w:sz w:val="20"/>
          <w:szCs w:val="20"/>
          <w:color w:val="auto"/>
        </w:rPr>
      </w:pPr>
      <w:r>
        <w:rPr>
          <w:rFonts w:ascii="Arial" w:cs="Arial" w:eastAsia="Arial" w:hAnsi="Arial"/>
          <w:sz w:val="20"/>
          <w:szCs w:val="20"/>
          <w:color w:val="auto"/>
        </w:rPr>
        <w:t>Mr. Van de Put was President and Chief Executive Officer, Global Over-the-Counter, Consumer Health Division of Novartis AG, a global healthcare company, from 2009 to 2010. From 1998 to 2009, he held a variety of roles with Groupe Danone SA, a multinational provider of packaged water, dairy and baby food products, including Executive Vice President, Fresh Dairy and Waters, Americas, and Executive Vice President, Fresh Dairy and Waters, Latin America.</w:t>
      </w:r>
    </w:p>
    <w:p>
      <w:pPr>
        <w:spacing w:after="0" w:line="70" w:lineRule="exact"/>
        <w:rPr>
          <w:sz w:val="20"/>
          <w:szCs w:val="20"/>
          <w:color w:val="auto"/>
        </w:rPr>
      </w:pPr>
    </w:p>
    <w:p>
      <w:pPr>
        <w:ind w:left="80" w:right="160"/>
        <w:spacing w:after="0" w:line="244" w:lineRule="auto"/>
        <w:rPr>
          <w:sz w:val="20"/>
          <w:szCs w:val="20"/>
          <w:color w:val="auto"/>
        </w:rPr>
      </w:pPr>
      <w:r>
        <w:rPr>
          <w:rFonts w:ascii="Arial" w:cs="Arial" w:eastAsia="Arial" w:hAnsi="Arial"/>
          <w:sz w:val="20"/>
          <w:szCs w:val="20"/>
          <w:color w:val="auto"/>
        </w:rPr>
        <w:t>From 1997 to 1998, Mr. Van de Put served as President, Coca-Cola Caribbean, and as Vice President, Value Chain Management, Coca-Cola Brazil. From 1986 to 1997, he held a variety of roles with Mars, Incorporated, a global manufacturer of confectionery, pet food and other food products and a provider of animal care services, including General Manager and President, Southern Cone Region, Mars South America and Vice President, Marketing, Latin</w:t>
      </w:r>
      <w:r>
        <w:rPr>
          <w:rFonts w:ascii="Times New Roman" w:cs="Times New Roman" w:eastAsia="Times New Roman" w:hAnsi="Times New Roman"/>
          <w:sz w:val="20"/>
          <w:szCs w:val="20"/>
          <w:color w:val="auto"/>
        </w:rPr>
        <w:t> </w:t>
      </w:r>
      <w:r>
        <w:rPr>
          <w:rFonts w:ascii="Arial" w:cs="Arial" w:eastAsia="Arial" w:hAnsi="Arial"/>
          <w:sz w:val="20"/>
          <w:szCs w:val="20"/>
          <w:color w:val="auto"/>
        </w:rPr>
        <w:t>America.</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DIRECTOR QUALIFICATIONS:</w:t>
      </w:r>
    </w:p>
    <w:p>
      <w:pPr>
        <w:spacing w:after="0" w:line="56" w:lineRule="exact"/>
        <w:rPr>
          <w:sz w:val="20"/>
          <w:szCs w:val="20"/>
          <w:color w:val="auto"/>
        </w:rPr>
      </w:pPr>
    </w:p>
    <w:p>
      <w:pPr>
        <w:ind w:left="240" w:right="260" w:hanging="166"/>
        <w:spacing w:after="0" w:line="250" w:lineRule="auto"/>
        <w:tabs>
          <w:tab w:leader="none" w:pos="240" w:val="left"/>
        </w:tabs>
        <w:numPr>
          <w:ilvl w:val="0"/>
          <w:numId w:val="20"/>
        </w:numPr>
        <w:rPr>
          <w:rFonts w:ascii="Arial" w:cs="Arial" w:eastAsia="Arial" w:hAnsi="Arial"/>
          <w:sz w:val="20"/>
          <w:szCs w:val="20"/>
          <w:color w:val="582C83"/>
        </w:rPr>
      </w:pPr>
      <w:r>
        <w:rPr>
          <w:rFonts w:ascii="Arial" w:cs="Arial" w:eastAsia="Arial" w:hAnsi="Arial"/>
          <w:sz w:val="20"/>
          <w:szCs w:val="20"/>
          <w:color w:val="auto"/>
        </w:rPr>
        <w:t>Mr. Van de Put is a seasoned global Chief Executive Officer with experience and expertise in all critical business and commercial operations in both emerging and developed markets. He brings a global perspective to the Board, having lived and worked on three different continents.</w:t>
      </w:r>
    </w:p>
    <w:p>
      <w:pPr>
        <w:spacing w:after="0" w:line="1" w:lineRule="exact"/>
        <w:rPr>
          <w:rFonts w:ascii="Arial" w:cs="Arial" w:eastAsia="Arial" w:hAnsi="Arial"/>
          <w:sz w:val="20"/>
          <w:szCs w:val="20"/>
          <w:color w:val="582C83"/>
        </w:rPr>
      </w:pPr>
    </w:p>
    <w:p>
      <w:pPr>
        <w:ind w:left="240" w:right="260" w:hanging="166"/>
        <w:spacing w:after="0" w:line="259" w:lineRule="auto"/>
        <w:tabs>
          <w:tab w:leader="none" w:pos="240" w:val="left"/>
        </w:tabs>
        <w:numPr>
          <w:ilvl w:val="0"/>
          <w:numId w:val="20"/>
        </w:numPr>
        <w:rPr>
          <w:rFonts w:ascii="Arial" w:cs="Arial" w:eastAsia="Arial" w:hAnsi="Arial"/>
          <w:sz w:val="20"/>
          <w:szCs w:val="20"/>
          <w:color w:val="582C83"/>
        </w:rPr>
      </w:pPr>
      <w:r>
        <w:rPr>
          <w:rFonts w:ascii="Arial" w:cs="Arial" w:eastAsia="Arial" w:hAnsi="Arial"/>
          <w:sz w:val="20"/>
          <w:szCs w:val="20"/>
          <w:color w:val="auto"/>
        </w:rPr>
        <w:t>Mr. Van de Put has extensive leadership experience, including 30 years of experience in the food and consumer packaged goods industry.</w:t>
      </w:r>
    </w:p>
    <w:p>
      <w:pPr>
        <w:ind w:left="240" w:hanging="166"/>
        <w:spacing w:after="0"/>
        <w:tabs>
          <w:tab w:leader="none" w:pos="240" w:val="left"/>
        </w:tabs>
        <w:numPr>
          <w:ilvl w:val="0"/>
          <w:numId w:val="20"/>
        </w:numPr>
        <w:rPr>
          <w:rFonts w:ascii="Arial" w:cs="Arial" w:eastAsia="Arial" w:hAnsi="Arial"/>
          <w:sz w:val="20"/>
          <w:szCs w:val="20"/>
          <w:color w:val="582C83"/>
        </w:rPr>
      </w:pPr>
      <w:r>
        <w:rPr>
          <w:rFonts w:ascii="Arial" w:cs="Arial" w:eastAsia="Arial" w:hAnsi="Arial"/>
          <w:sz w:val="20"/>
          <w:szCs w:val="20"/>
          <w:color w:val="auto"/>
        </w:rPr>
        <w:t>Mr. Van de Put is fluent in English, Dutch, French, Spanish and Portuguese.</w:t>
      </w:r>
    </w:p>
    <w:p>
      <w:pPr>
        <w:spacing w:after="0" w:line="43" w:lineRule="exact"/>
        <w:rPr>
          <w:rFonts w:ascii="Arial" w:cs="Arial" w:eastAsia="Arial" w:hAnsi="Arial"/>
          <w:sz w:val="20"/>
          <w:szCs w:val="20"/>
          <w:color w:val="582C83"/>
        </w:rPr>
      </w:pPr>
    </w:p>
    <w:p>
      <w:pPr>
        <w:ind w:left="240" w:right="540" w:hanging="166"/>
        <w:spacing w:after="0" w:line="250" w:lineRule="auto"/>
        <w:tabs>
          <w:tab w:leader="none" w:pos="240" w:val="left"/>
        </w:tabs>
        <w:numPr>
          <w:ilvl w:val="0"/>
          <w:numId w:val="20"/>
        </w:numPr>
        <w:rPr>
          <w:rFonts w:ascii="Arial" w:cs="Arial" w:eastAsia="Arial" w:hAnsi="Arial"/>
          <w:sz w:val="20"/>
          <w:szCs w:val="20"/>
          <w:color w:val="582C83"/>
        </w:rPr>
      </w:pPr>
      <w:r>
        <w:rPr>
          <w:rFonts w:ascii="Arial" w:cs="Arial" w:eastAsia="Arial" w:hAnsi="Arial"/>
          <w:sz w:val="20"/>
          <w:szCs w:val="20"/>
          <w:color w:val="auto"/>
        </w:rPr>
        <w:t>Mr. Van de Put has public company board and corporate governance experience. He is a former director of Keurig Dr Pepper Inc. and Mattel, Inc. AB Inbev SA/NV has announced that Mr. Van de Put has been nominated for election to its Board of Directors at its General Shareholders’ Meeting to be held on April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3549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5495" cy="7620"/>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206375</wp:posOffset>
            </wp:positionV>
            <wp:extent cx="149860" cy="165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49860" cy="165735"/>
                    </a:xfrm>
                    <a:prstGeom prst="rect">
                      <a:avLst/>
                    </a:prstGeom>
                    <a:noFill/>
                  </pic:spPr>
                </pic:pic>
              </a:graphicData>
            </a:graphic>
          </wp:anchor>
        </w:drawing>
        <w:drawing>
          <wp:anchor simplePos="0" relativeHeight="251657728" behindDoc="1" locked="0" layoutInCell="0" allowOverlap="1">
            <wp:simplePos x="0" y="0"/>
            <wp:positionH relativeFrom="column">
              <wp:posOffset>1426845</wp:posOffset>
            </wp:positionH>
            <wp:positionV relativeFrom="paragraph">
              <wp:posOffset>214630</wp:posOffset>
            </wp:positionV>
            <wp:extent cx="173355" cy="1498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3355" cy="149860"/>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191135</wp:posOffset>
            </wp:positionV>
            <wp:extent cx="196850" cy="1968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206375</wp:posOffset>
            </wp:positionV>
            <wp:extent cx="157480" cy="1574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57480" cy="15748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206375</wp:posOffset>
            </wp:positionV>
            <wp:extent cx="173355" cy="1574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3355" cy="157480"/>
                    </a:xfrm>
                    <a:prstGeom prst="rect">
                      <a:avLst/>
                    </a:prstGeom>
                    <a:noFill/>
                  </pic:spPr>
                </pic:pic>
              </a:graphicData>
            </a:graphic>
          </wp:anchor>
        </w:drawing>
        <w:drawing>
          <wp:anchor simplePos="0" relativeHeight="251657728" behindDoc="1" locked="0" layoutInCell="0" allowOverlap="1">
            <wp:simplePos x="0" y="0"/>
            <wp:positionH relativeFrom="column">
              <wp:posOffset>5668645</wp:posOffset>
            </wp:positionH>
            <wp:positionV relativeFrom="paragraph">
              <wp:posOffset>198755</wp:posOffset>
            </wp:positionV>
            <wp:extent cx="118110" cy="1733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8110" cy="173355"/>
                    </a:xfrm>
                    <a:prstGeom prst="rect">
                      <a:avLst/>
                    </a:prstGeom>
                    <a:noFill/>
                  </pic:spPr>
                </pic:pic>
              </a:graphicData>
            </a:graphic>
          </wp:anchor>
        </w:drawing>
        <w:drawing>
          <wp:anchor simplePos="0" relativeHeight="251657728" behindDoc="1" locked="0" layoutInCell="0" allowOverlap="1">
            <wp:simplePos x="0" y="0"/>
            <wp:positionH relativeFrom="column">
              <wp:posOffset>6661785</wp:posOffset>
            </wp:positionH>
            <wp:positionV relativeFrom="paragraph">
              <wp:posOffset>182880</wp:posOffset>
            </wp:positionV>
            <wp:extent cx="252095" cy="2127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20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20"/>
                <w:szCs w:val="20"/>
                <w:color w:val="auto"/>
              </w:rPr>
            </w:pPr>
            <w:r>
              <w:rPr>
                <w:rFonts w:ascii="Arial" w:cs="Arial" w:eastAsia="Arial" w:hAnsi="Arial"/>
                <w:sz w:val="12"/>
                <w:szCs w:val="12"/>
                <w:color w:val="auto"/>
              </w:rPr>
              <w:t>INDUSTRY EXPERIENCE</w:t>
            </w:r>
          </w:p>
        </w:tc>
        <w:tc>
          <w:tcPr>
            <w:tcW w:w="1380" w:type="dxa"/>
            <w:vAlign w:val="bottom"/>
          </w:tcPr>
          <w:p>
            <w:pPr>
              <w:jc w:val="center"/>
              <w:spacing w:after="0"/>
              <w:rPr>
                <w:sz w:val="20"/>
                <w:szCs w:val="20"/>
                <w:color w:val="auto"/>
              </w:rPr>
            </w:pPr>
            <w:r>
              <w:rPr>
                <w:rFonts w:ascii="Arial" w:cs="Arial" w:eastAsia="Arial" w:hAnsi="Arial"/>
                <w:sz w:val="12"/>
                <w:szCs w:val="12"/>
                <w:color w:val="auto"/>
              </w:rPr>
              <w:t>SIGNIFICANT</w:t>
            </w:r>
          </w:p>
        </w:tc>
        <w:tc>
          <w:tcPr>
            <w:tcW w:w="1380" w:type="dxa"/>
            <w:vAlign w:val="bottom"/>
          </w:tcPr>
          <w:p>
            <w:pPr>
              <w:jc w:val="right"/>
              <w:ind w:right="198"/>
              <w:spacing w:after="0"/>
              <w:rPr>
                <w:sz w:val="20"/>
                <w:szCs w:val="20"/>
                <w:color w:val="auto"/>
              </w:rPr>
            </w:pPr>
            <w:r>
              <w:rPr>
                <w:rFonts w:ascii="Arial" w:cs="Arial" w:eastAsia="Arial" w:hAnsi="Arial"/>
                <w:sz w:val="12"/>
                <w:szCs w:val="12"/>
                <w:color w:val="auto"/>
              </w:rPr>
              <w:t>LEADERSHIP</w:t>
            </w:r>
          </w:p>
        </w:tc>
        <w:tc>
          <w:tcPr>
            <w:tcW w:w="1860" w:type="dxa"/>
            <w:vAlign w:val="bottom"/>
          </w:tcPr>
          <w:p>
            <w:pPr>
              <w:jc w:val="center"/>
              <w:spacing w:after="0"/>
              <w:rPr>
                <w:sz w:val="20"/>
                <w:szCs w:val="20"/>
                <w:color w:val="auto"/>
              </w:rPr>
            </w:pPr>
            <w:r>
              <w:rPr>
                <w:rFonts w:ascii="Arial" w:cs="Arial" w:eastAsia="Arial" w:hAnsi="Arial"/>
                <w:sz w:val="12"/>
                <w:szCs w:val="12"/>
                <w:color w:val="auto"/>
              </w:rPr>
              <w:t>SUBSTANTIAL GLOBAL</w:t>
            </w:r>
          </w:p>
        </w:tc>
        <w:tc>
          <w:tcPr>
            <w:tcW w:w="1780" w:type="dxa"/>
            <w:vAlign w:val="bottom"/>
          </w:tcPr>
          <w:p>
            <w:pPr>
              <w:jc w:val="center"/>
              <w:spacing w:after="0"/>
              <w:rPr>
                <w:sz w:val="20"/>
                <w:szCs w:val="20"/>
                <w:color w:val="auto"/>
              </w:rPr>
            </w:pPr>
            <w:r>
              <w:rPr>
                <w:rFonts w:ascii="Arial" w:cs="Arial" w:eastAsia="Arial" w:hAnsi="Arial"/>
                <w:sz w:val="12"/>
                <w:szCs w:val="12"/>
                <w:color w:val="auto"/>
              </w:rPr>
              <w:t>ACCOUNTING AND</w:t>
            </w:r>
          </w:p>
        </w:tc>
        <w:tc>
          <w:tcPr>
            <w:tcW w:w="1800" w:type="dxa"/>
            <w:vAlign w:val="bottom"/>
          </w:tcPr>
          <w:p>
            <w:pPr>
              <w:jc w:val="center"/>
              <w:spacing w:after="0"/>
              <w:rPr>
                <w:sz w:val="20"/>
                <w:szCs w:val="20"/>
                <w:color w:val="auto"/>
              </w:rPr>
            </w:pPr>
            <w:r>
              <w:rPr>
                <w:rFonts w:ascii="Arial" w:cs="Arial" w:eastAsia="Arial" w:hAnsi="Arial"/>
                <w:sz w:val="12"/>
                <w:szCs w:val="12"/>
                <w:color w:val="auto"/>
              </w:rPr>
              <w:t>PRODUCT RESEARCH,</w:t>
            </w: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PUBLIC COMPANY</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OPERATING</w:t>
            </w:r>
          </w:p>
        </w:tc>
        <w:tc>
          <w:tcPr>
            <w:tcW w:w="1380" w:type="dxa"/>
            <w:vAlign w:val="bottom"/>
          </w:tcPr>
          <w:p>
            <w:pPr>
              <w:jc w:val="right"/>
              <w:ind w:right="198"/>
              <w:spacing w:after="0" w:line="137" w:lineRule="exact"/>
              <w:rPr>
                <w:sz w:val="20"/>
                <w:szCs w:val="20"/>
                <w:color w:val="auto"/>
              </w:rPr>
            </w:pPr>
            <w:r>
              <w:rPr>
                <w:rFonts w:ascii="Arial" w:cs="Arial" w:eastAsia="Arial" w:hAnsi="Arial"/>
                <w:sz w:val="12"/>
                <w:szCs w:val="12"/>
                <w:color w:val="auto"/>
              </w:rPr>
              <w:t>EXPERIENCE</w:t>
            </w: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BUSINESS AND OTHER</w:t>
            </w:r>
          </w:p>
        </w:tc>
        <w:tc>
          <w:tcPr>
            <w:tcW w:w="1780" w:type="dxa"/>
            <w:vAlign w:val="bottom"/>
          </w:tcPr>
          <w:p>
            <w:pPr>
              <w:jc w:val="center"/>
              <w:spacing w:after="0" w:line="137" w:lineRule="exact"/>
              <w:rPr>
                <w:sz w:val="20"/>
                <w:szCs w:val="20"/>
                <w:color w:val="auto"/>
              </w:rPr>
            </w:pPr>
            <w:r>
              <w:rPr>
                <w:rFonts w:ascii="Arial" w:cs="Arial" w:eastAsia="Arial" w:hAnsi="Arial"/>
                <w:sz w:val="12"/>
                <w:szCs w:val="12"/>
                <w:color w:val="auto"/>
              </w:rPr>
              <w:t>FINANCIAL EXPERTISE</w:t>
            </w: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DEVELOPMENT</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BOARD AND</w:t>
            </w:r>
          </w:p>
        </w:tc>
      </w:tr>
      <w:tr>
        <w:trPr>
          <w:trHeight w:val="137"/>
        </w:trPr>
        <w:tc>
          <w:tcPr>
            <w:tcW w:w="17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INTERNATIONAL</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AND MARKETING</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CORPORATE</w:t>
            </w:r>
          </w:p>
        </w:tc>
      </w:tr>
      <w:tr>
        <w:trPr>
          <w:trHeight w:val="137"/>
        </w:trPr>
        <w:tc>
          <w:tcPr>
            <w:tcW w:w="17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78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2"/>
                <w:szCs w:val="12"/>
                <w:color w:val="auto"/>
              </w:rPr>
              <w:t>EXPERIENCE</w:t>
            </w:r>
          </w:p>
        </w:tc>
        <w:tc>
          <w:tcPr>
            <w:tcW w:w="1320" w:type="dxa"/>
            <w:vAlign w:val="bottom"/>
          </w:tcPr>
          <w:p>
            <w:pPr>
              <w:jc w:val="center"/>
              <w:ind w:left="158"/>
              <w:spacing w:after="0" w:line="137" w:lineRule="exact"/>
              <w:rPr>
                <w:sz w:val="20"/>
                <w:szCs w:val="20"/>
                <w:color w:val="auto"/>
              </w:rPr>
            </w:pPr>
            <w:r>
              <w:rPr>
                <w:rFonts w:ascii="Arial" w:cs="Arial" w:eastAsia="Arial" w:hAnsi="Arial"/>
                <w:sz w:val="12"/>
                <w:szCs w:val="12"/>
                <w:color w:val="auto"/>
              </w:rPr>
              <w:t>GOVERNANCE</w:t>
            </w:r>
          </w:p>
        </w:tc>
      </w:tr>
      <w:tr>
        <w:trPr>
          <w:trHeight w:val="164"/>
        </w:trPr>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jc w:val="center"/>
              <w:ind w:left="158"/>
              <w:spacing w:after="0"/>
              <w:rPr>
                <w:sz w:val="20"/>
                <w:szCs w:val="20"/>
                <w:color w:val="auto"/>
              </w:rPr>
            </w:pPr>
            <w:r>
              <w:rPr>
                <w:rFonts w:ascii="Arial" w:cs="Arial" w:eastAsia="Arial" w:hAnsi="Arial"/>
                <w:sz w:val="12"/>
                <w:szCs w:val="12"/>
                <w:color w:val="auto"/>
              </w:rPr>
              <w:t>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3115"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320040</wp:posOffset>
            </wp:positionV>
            <wp:extent cx="6307455" cy="1545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60"/>
        <w:spacing w:after="0"/>
        <w:rPr>
          <w:sz w:val="20"/>
          <w:szCs w:val="20"/>
          <w:color w:val="auto"/>
        </w:rPr>
      </w:pPr>
      <w:r>
        <w:rPr>
          <w:rFonts w:ascii="Arial" w:cs="Arial" w:eastAsia="Arial" w:hAnsi="Arial"/>
          <w:sz w:val="43"/>
          <w:szCs w:val="43"/>
          <w:b w:val="1"/>
          <w:bCs w:val="1"/>
          <w:color w:val="582C8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940"/>
        <w:spacing w:after="0" w:line="262" w:lineRule="auto"/>
        <w:rPr>
          <w:sz w:val="20"/>
          <w:szCs w:val="20"/>
          <w:color w:val="auto"/>
        </w:rPr>
      </w:pPr>
      <w:r>
        <w:rPr>
          <w:rFonts w:ascii="Arial" w:cs="Arial" w:eastAsia="Arial" w:hAnsi="Arial"/>
          <w:sz w:val="19"/>
          <w:szCs w:val="19"/>
          <w:color w:val="auto"/>
        </w:rPr>
        <w:t>Our Board is committed to corporate governance practices that promote and protect the long-term interests of our shareholders. We design our corporate governance practices to provide a robust and balanced framework for the Board in performing its fiduciary duties and to promote trust in the Company. Our Board believes that having and adhering to a strong corporate governance framework is essential to our long-term success.</w:t>
      </w:r>
    </w:p>
    <w:p>
      <w:pPr>
        <w:spacing w:after="0" w:line="126" w:lineRule="exact"/>
        <w:rPr>
          <w:sz w:val="20"/>
          <w:szCs w:val="20"/>
          <w:color w:val="auto"/>
        </w:rPr>
      </w:pPr>
    </w:p>
    <w:p>
      <w:pPr>
        <w:ind w:left="660"/>
        <w:spacing w:after="0"/>
        <w:rPr>
          <w:sz w:val="20"/>
          <w:szCs w:val="20"/>
          <w:color w:val="auto"/>
        </w:rPr>
      </w:pPr>
      <w:r>
        <w:rPr>
          <w:sz w:val="1"/>
          <w:szCs w:val="1"/>
          <w:color w:val="auto"/>
        </w:rPr>
        <w:drawing>
          <wp:inline distT="0" distB="0" distL="0" distR="0">
            <wp:extent cx="157480" cy="15748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Governance Guidelines</w:t>
      </w:r>
    </w:p>
    <w:p>
      <w:pPr>
        <w:spacing w:after="0" w:line="188" w:lineRule="exact"/>
        <w:rPr>
          <w:sz w:val="20"/>
          <w:szCs w:val="20"/>
          <w:color w:val="auto"/>
        </w:rPr>
      </w:pPr>
    </w:p>
    <w:p>
      <w:pPr>
        <w:ind w:left="660" w:right="1040"/>
        <w:spacing w:after="0" w:line="288" w:lineRule="auto"/>
        <w:rPr>
          <w:sz w:val="20"/>
          <w:szCs w:val="20"/>
          <w:color w:val="auto"/>
        </w:rPr>
      </w:pPr>
      <w:r>
        <w:rPr>
          <w:rFonts w:ascii="Arial" w:cs="Arial" w:eastAsia="Arial" w:hAnsi="Arial"/>
          <w:sz w:val="22"/>
          <w:szCs w:val="22"/>
          <w:b w:val="1"/>
          <w:bCs w:val="1"/>
          <w:color w:val="582C83"/>
        </w:rPr>
        <w:t>KEY ELEMENTS OF OUR GOVERNANCE FRAMEWORK, PRACTICES AND POLICIES ENHANCE OUR BOARD’S EFFECTIVENESS AND ACCOUNTABILITY TO SHAREHOLDERS</w:t>
      </w:r>
    </w:p>
    <w:p>
      <w:pPr>
        <w:spacing w:after="0" w:line="1" w:lineRule="exact"/>
        <w:rPr>
          <w:sz w:val="20"/>
          <w:szCs w:val="20"/>
          <w:color w:val="auto"/>
        </w:rPr>
      </w:pPr>
    </w:p>
    <w:p>
      <w:pPr>
        <w:ind w:left="660" w:right="960"/>
        <w:spacing w:after="0" w:line="244" w:lineRule="auto"/>
        <w:rPr>
          <w:sz w:val="20"/>
          <w:szCs w:val="20"/>
          <w:color w:val="auto"/>
        </w:rPr>
      </w:pPr>
      <w:r>
        <w:rPr>
          <w:rFonts w:ascii="Arial" w:cs="Arial" w:eastAsia="Arial" w:hAnsi="Arial"/>
          <w:sz w:val="20"/>
          <w:szCs w:val="20"/>
          <w:color w:val="auto"/>
        </w:rPr>
        <w:t>The Guidelines articulate our governance philosophy, practices and policies in a range of areas, including the Board’s role and responsibilities, Board composition, membership criteria and structure, CEO and Board performance evaluations, and succession planning. At least annually, the Governance Committee reviews the Guidelines and recommends any changes to the Board for its consideration.</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292"/>
        </w:trPr>
        <w:tc>
          <w:tcPr>
            <w:tcW w:w="5070" w:type="dxa"/>
            <w:vAlign w:val="bottom"/>
            <w:tcBorders>
              <w:bottom w:val="single" w:sz="8" w:color="582C83"/>
            </w:tcBorders>
            <w:gridSpan w:val="2"/>
          </w:tcPr>
          <w:p>
            <w:pPr>
              <w:ind w:left="60"/>
              <w:spacing w:after="0"/>
              <w:rPr>
                <w:sz w:val="20"/>
                <w:szCs w:val="20"/>
                <w:color w:val="auto"/>
              </w:rPr>
            </w:pPr>
            <w:r>
              <w:rPr>
                <w:rFonts w:ascii="Arial" w:cs="Arial" w:eastAsia="Arial" w:hAnsi="Arial"/>
                <w:sz w:val="20"/>
                <w:szCs w:val="20"/>
                <w:b w:val="1"/>
                <w:bCs w:val="1"/>
                <w:color w:val="auto"/>
              </w:rPr>
              <w:t>Key Practice or Policy</w:t>
            </w:r>
          </w:p>
        </w:tc>
        <w:tc>
          <w:tcPr>
            <w:tcW w:w="4870" w:type="dxa"/>
            <w:vAlign w:val="bottom"/>
            <w:tcBorders>
              <w:bottom w:val="single" w:sz="8" w:color="582C83"/>
            </w:tcBorders>
          </w:tcPr>
          <w:p>
            <w:pPr>
              <w:ind w:left="50"/>
              <w:spacing w:after="0"/>
              <w:rPr>
                <w:sz w:val="20"/>
                <w:szCs w:val="20"/>
                <w:color w:val="auto"/>
              </w:rPr>
            </w:pPr>
            <w:r>
              <w:rPr>
                <w:rFonts w:ascii="Arial" w:cs="Arial" w:eastAsia="Arial" w:hAnsi="Arial"/>
                <w:sz w:val="20"/>
                <w:szCs w:val="20"/>
                <w:b w:val="1"/>
                <w:bCs w:val="1"/>
                <w:color w:val="auto"/>
              </w:rPr>
              <w:t>Benefits</w:t>
            </w:r>
          </w:p>
        </w:tc>
        <w:tc>
          <w:tcPr>
            <w:tcW w:w="0" w:type="dxa"/>
            <w:vAlign w:val="bottom"/>
          </w:tcPr>
          <w:p>
            <w:pPr>
              <w:spacing w:after="0"/>
              <w:rPr>
                <w:sz w:val="1"/>
                <w:szCs w:val="1"/>
                <w:color w:val="auto"/>
              </w:rPr>
            </w:pPr>
          </w:p>
        </w:tc>
      </w:tr>
      <w:tr>
        <w:trPr>
          <w:trHeight w:val="247"/>
        </w:trPr>
        <w:tc>
          <w:tcPr>
            <w:tcW w:w="487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582C83"/>
              </w:rPr>
              <w:t xml:space="preserve">Independent Lead Director. </w:t>
            </w:r>
            <w:r>
              <w:rPr>
                <w:rFonts w:ascii="Arial" w:cs="Arial" w:eastAsia="Arial" w:hAnsi="Arial"/>
                <w:sz w:val="20"/>
                <w:szCs w:val="20"/>
                <w:color w:val="000000"/>
              </w:rPr>
              <w:t>Our independent Lead</w:t>
            </w:r>
          </w:p>
        </w:tc>
        <w:tc>
          <w:tcPr>
            <w:tcW w:w="200" w:type="dxa"/>
            <w:vAlign w:val="bottom"/>
            <w:shd w:val="clear" w:color="auto" w:fill="EBE6F0"/>
          </w:tcPr>
          <w:p>
            <w:pPr>
              <w:spacing w:after="0"/>
              <w:rPr>
                <w:sz w:val="21"/>
                <w:szCs w:val="21"/>
                <w:color w:val="auto"/>
              </w:rPr>
            </w:pPr>
          </w:p>
        </w:tc>
        <w:tc>
          <w:tcPr>
            <w:tcW w:w="4870" w:type="dxa"/>
            <w:vAlign w:val="bottom"/>
            <w:shd w:val="clear" w:color="auto" w:fill="EBE6F0"/>
          </w:tcPr>
          <w:p>
            <w:pPr>
              <w:ind w:left="70"/>
              <w:spacing w:after="0"/>
              <w:rPr>
                <w:sz w:val="20"/>
                <w:szCs w:val="20"/>
                <w:color w:val="auto"/>
              </w:rPr>
            </w:pPr>
            <w:r>
              <w:rPr>
                <w:rFonts w:ascii="Arial" w:cs="Arial" w:eastAsia="Arial" w:hAnsi="Arial"/>
                <w:sz w:val="20"/>
                <w:szCs w:val="20"/>
                <w:color w:val="auto"/>
              </w:rPr>
              <w:t>A highly effective and engaged independent Lead</w:t>
            </w:r>
          </w:p>
        </w:tc>
        <w:tc>
          <w:tcPr>
            <w:tcW w:w="0" w:type="dxa"/>
            <w:vAlign w:val="bottom"/>
          </w:tcPr>
          <w:p>
            <w:pPr>
              <w:spacing w:after="0"/>
              <w:rPr>
                <w:sz w:val="1"/>
                <w:szCs w:val="1"/>
                <w:color w:val="auto"/>
              </w:rPr>
            </w:pPr>
          </w:p>
        </w:tc>
      </w:tr>
      <w:tr>
        <w:trPr>
          <w:trHeight w:val="223"/>
        </w:trPr>
        <w:tc>
          <w:tcPr>
            <w:tcW w:w="487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color w:val="auto"/>
              </w:rPr>
              <w:t>Director has broad and substantive duties and</w:t>
            </w:r>
          </w:p>
        </w:tc>
        <w:tc>
          <w:tcPr>
            <w:tcW w:w="200" w:type="dxa"/>
            <w:vAlign w:val="bottom"/>
            <w:shd w:val="clear" w:color="auto" w:fill="EBE6F0"/>
          </w:tcPr>
          <w:p>
            <w:pPr>
              <w:spacing w:after="0"/>
              <w:rPr>
                <w:sz w:val="19"/>
                <w:szCs w:val="19"/>
                <w:color w:val="auto"/>
              </w:rPr>
            </w:pPr>
          </w:p>
        </w:tc>
        <w:tc>
          <w:tcPr>
            <w:tcW w:w="4870" w:type="dxa"/>
            <w:vAlign w:val="bottom"/>
            <w:shd w:val="clear" w:color="auto" w:fill="EBE6F0"/>
          </w:tcPr>
          <w:p>
            <w:pPr>
              <w:ind w:left="70"/>
              <w:spacing w:after="0" w:line="224" w:lineRule="exact"/>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237"/>
        </w:trPr>
        <w:tc>
          <w:tcPr>
            <w:tcW w:w="4870" w:type="dxa"/>
            <w:vAlign w:val="bottom"/>
            <w:shd w:val="clear" w:color="auto" w:fill="EBE6F0"/>
          </w:tcPr>
          <w:p>
            <w:pPr>
              <w:ind w:left="80"/>
              <w:spacing w:after="0"/>
              <w:rPr>
                <w:sz w:val="20"/>
                <w:szCs w:val="20"/>
                <w:color w:val="auto"/>
              </w:rPr>
            </w:pPr>
            <w:r>
              <w:rPr>
                <w:rFonts w:ascii="Arial" w:cs="Arial" w:eastAsia="Arial" w:hAnsi="Arial"/>
                <w:sz w:val="20"/>
                <w:szCs w:val="20"/>
                <w:color w:val="auto"/>
              </w:rPr>
              <w:t>responsibilities that have considerable overlap with</w:t>
            </w:r>
          </w:p>
        </w:tc>
        <w:tc>
          <w:tcPr>
            <w:tcW w:w="200" w:type="dxa"/>
            <w:vAlign w:val="bottom"/>
            <w:shd w:val="clear" w:color="auto" w:fill="EBE6F0"/>
          </w:tcPr>
          <w:p>
            <w:pPr>
              <w:spacing w:after="0"/>
              <w:rPr>
                <w:sz w:val="20"/>
                <w:szCs w:val="20"/>
                <w:color w:val="auto"/>
              </w:rPr>
            </w:pPr>
          </w:p>
        </w:tc>
        <w:tc>
          <w:tcPr>
            <w:tcW w:w="487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Provides independent Board leadership and</w:t>
            </w:r>
          </w:p>
        </w:tc>
        <w:tc>
          <w:tcPr>
            <w:tcW w:w="0" w:type="dxa"/>
            <w:vAlign w:val="bottom"/>
          </w:tcPr>
          <w:p>
            <w:pPr>
              <w:spacing w:after="0"/>
              <w:rPr>
                <w:sz w:val="1"/>
                <w:szCs w:val="1"/>
                <w:color w:val="auto"/>
              </w:rPr>
            </w:pPr>
          </w:p>
        </w:tc>
      </w:tr>
      <w:tr>
        <w:trPr>
          <w:trHeight w:val="223"/>
        </w:trPr>
        <w:tc>
          <w:tcPr>
            <w:tcW w:w="487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color w:val="auto"/>
              </w:rPr>
              <w:t>those typically performed by an independent Board</w:t>
            </w:r>
          </w:p>
        </w:tc>
        <w:tc>
          <w:tcPr>
            <w:tcW w:w="200" w:type="dxa"/>
            <w:vAlign w:val="bottom"/>
            <w:shd w:val="clear" w:color="auto" w:fill="EBE6F0"/>
          </w:tcPr>
          <w:p>
            <w:pPr>
              <w:spacing w:after="0"/>
              <w:rPr>
                <w:sz w:val="19"/>
                <w:szCs w:val="19"/>
                <w:color w:val="auto"/>
              </w:rPr>
            </w:pPr>
          </w:p>
        </w:tc>
        <w:tc>
          <w:tcPr>
            <w:tcW w:w="4870" w:type="dxa"/>
            <w:vAlign w:val="bottom"/>
            <w:shd w:val="clear" w:color="auto" w:fill="EBE6F0"/>
          </w:tcPr>
          <w:p>
            <w:pPr>
              <w:ind w:left="230"/>
              <w:spacing w:after="0" w:line="224" w:lineRule="exact"/>
              <w:rPr>
                <w:sz w:val="20"/>
                <w:szCs w:val="20"/>
                <w:color w:val="auto"/>
              </w:rPr>
            </w:pPr>
            <w:r>
              <w:rPr>
                <w:rFonts w:ascii="Arial" w:cs="Arial" w:eastAsia="Arial" w:hAnsi="Arial"/>
                <w:sz w:val="20"/>
                <w:szCs w:val="20"/>
                <w:color w:val="auto"/>
              </w:rPr>
              <w:t>oversight, including with respect to business</w:t>
            </w:r>
          </w:p>
        </w:tc>
        <w:tc>
          <w:tcPr>
            <w:tcW w:w="0" w:type="dxa"/>
            <w:vAlign w:val="bottom"/>
          </w:tcPr>
          <w:p>
            <w:pPr>
              <w:spacing w:after="0"/>
              <w:rPr>
                <w:sz w:val="1"/>
                <w:szCs w:val="1"/>
                <w:color w:val="auto"/>
              </w:rPr>
            </w:pPr>
          </w:p>
        </w:tc>
      </w:tr>
      <w:tr>
        <w:trPr>
          <w:trHeight w:val="247"/>
        </w:trPr>
        <w:tc>
          <w:tcPr>
            <w:tcW w:w="4870" w:type="dxa"/>
            <w:vAlign w:val="bottom"/>
            <w:shd w:val="clear" w:color="auto" w:fill="EBE6F0"/>
          </w:tcPr>
          <w:p>
            <w:pPr>
              <w:ind w:left="80"/>
              <w:spacing w:after="0"/>
              <w:rPr>
                <w:sz w:val="20"/>
                <w:szCs w:val="20"/>
                <w:color w:val="auto"/>
              </w:rPr>
            </w:pPr>
            <w:r>
              <w:rPr>
                <w:rFonts w:ascii="Arial" w:cs="Arial" w:eastAsia="Arial" w:hAnsi="Arial"/>
                <w:sz w:val="20"/>
                <w:szCs w:val="20"/>
                <w:color w:val="auto"/>
              </w:rPr>
              <w:t>Chair, including:</w:t>
            </w:r>
          </w:p>
        </w:tc>
        <w:tc>
          <w:tcPr>
            <w:tcW w:w="200" w:type="dxa"/>
            <w:vAlign w:val="bottom"/>
            <w:shd w:val="clear" w:color="auto" w:fill="EBE6F0"/>
          </w:tcPr>
          <w:p>
            <w:pPr>
              <w:spacing w:after="0"/>
              <w:rPr>
                <w:sz w:val="21"/>
                <w:szCs w:val="21"/>
                <w:color w:val="auto"/>
              </w:rPr>
            </w:pPr>
          </w:p>
        </w:tc>
        <w:tc>
          <w:tcPr>
            <w:tcW w:w="4870" w:type="dxa"/>
            <w:vAlign w:val="bottom"/>
            <w:shd w:val="clear" w:color="auto" w:fill="EBE6F0"/>
          </w:tcPr>
          <w:p>
            <w:pPr>
              <w:ind w:left="230"/>
              <w:spacing w:after="0"/>
              <w:rPr>
                <w:sz w:val="20"/>
                <w:szCs w:val="20"/>
                <w:color w:val="auto"/>
              </w:rPr>
            </w:pPr>
            <w:r>
              <w:rPr>
                <w:rFonts w:ascii="Arial" w:cs="Arial" w:eastAsia="Arial" w:hAnsi="Arial"/>
                <w:sz w:val="20"/>
                <w:szCs w:val="20"/>
                <w:color w:val="auto"/>
              </w:rPr>
              <w:t>matters and risk management activities;</w:t>
            </w:r>
          </w:p>
        </w:tc>
        <w:tc>
          <w:tcPr>
            <w:tcW w:w="0" w:type="dxa"/>
            <w:vAlign w:val="bottom"/>
          </w:tcPr>
          <w:p>
            <w:pPr>
              <w:spacing w:after="0"/>
              <w:rPr>
                <w:sz w:val="1"/>
                <w:szCs w:val="1"/>
                <w:color w:val="auto"/>
              </w:rPr>
            </w:pPr>
          </w:p>
        </w:tc>
      </w:tr>
      <w:tr>
        <w:trPr>
          <w:trHeight w:val="237"/>
        </w:trPr>
        <w:tc>
          <w:tcPr>
            <w:tcW w:w="4870" w:type="dxa"/>
            <w:vAlign w:val="bottom"/>
            <w:shd w:val="clear" w:color="auto" w:fill="EBE6F0"/>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Engages in planning and approval of meeting</w:t>
            </w:r>
          </w:p>
        </w:tc>
        <w:tc>
          <w:tcPr>
            <w:tcW w:w="200" w:type="dxa"/>
            <w:vAlign w:val="bottom"/>
            <w:shd w:val="clear" w:color="auto" w:fill="EBE6F0"/>
          </w:tcPr>
          <w:p>
            <w:pPr>
              <w:spacing w:after="0"/>
              <w:rPr>
                <w:sz w:val="20"/>
                <w:szCs w:val="20"/>
                <w:color w:val="auto"/>
              </w:rPr>
            </w:pPr>
          </w:p>
        </w:tc>
        <w:tc>
          <w:tcPr>
            <w:tcW w:w="487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Enhances independent directors’ input and</w:t>
            </w:r>
          </w:p>
        </w:tc>
        <w:tc>
          <w:tcPr>
            <w:tcW w:w="0" w:type="dxa"/>
            <w:vAlign w:val="bottom"/>
          </w:tcPr>
          <w:p>
            <w:pPr>
              <w:spacing w:after="0"/>
              <w:rPr>
                <w:sz w:val="1"/>
                <w:szCs w:val="1"/>
                <w:color w:val="auto"/>
              </w:rPr>
            </w:pPr>
          </w:p>
        </w:tc>
      </w:tr>
      <w:tr>
        <w:trPr>
          <w:trHeight w:val="247"/>
        </w:trPr>
        <w:tc>
          <w:tcPr>
            <w:tcW w:w="4870" w:type="dxa"/>
            <w:vAlign w:val="bottom"/>
            <w:shd w:val="clear" w:color="auto" w:fill="EBE6F0"/>
          </w:tcPr>
          <w:p>
            <w:pPr>
              <w:ind w:left="240"/>
              <w:spacing w:after="0"/>
              <w:rPr>
                <w:sz w:val="20"/>
                <w:szCs w:val="20"/>
                <w:color w:val="auto"/>
              </w:rPr>
            </w:pPr>
            <w:r>
              <w:rPr>
                <w:rFonts w:ascii="Arial" w:cs="Arial" w:eastAsia="Arial" w:hAnsi="Arial"/>
                <w:sz w:val="20"/>
                <w:szCs w:val="20"/>
                <w:color w:val="auto"/>
              </w:rPr>
              <w:t>schedules and agendas;</w:t>
            </w:r>
          </w:p>
        </w:tc>
        <w:tc>
          <w:tcPr>
            <w:tcW w:w="200" w:type="dxa"/>
            <w:vAlign w:val="bottom"/>
            <w:shd w:val="clear" w:color="auto" w:fill="EBE6F0"/>
          </w:tcPr>
          <w:p>
            <w:pPr>
              <w:spacing w:after="0"/>
              <w:rPr>
                <w:sz w:val="21"/>
                <w:szCs w:val="21"/>
                <w:color w:val="auto"/>
              </w:rPr>
            </w:pPr>
          </w:p>
        </w:tc>
        <w:tc>
          <w:tcPr>
            <w:tcW w:w="4870" w:type="dxa"/>
            <w:vAlign w:val="bottom"/>
            <w:shd w:val="clear" w:color="auto" w:fill="EBE6F0"/>
          </w:tcPr>
          <w:p>
            <w:pPr>
              <w:ind w:left="230"/>
              <w:spacing w:after="0"/>
              <w:rPr>
                <w:sz w:val="20"/>
                <w:szCs w:val="20"/>
                <w:color w:val="auto"/>
              </w:rPr>
            </w:pPr>
            <w:r>
              <w:rPr>
                <w:rFonts w:ascii="Arial" w:cs="Arial" w:eastAsia="Arial" w:hAnsi="Arial"/>
                <w:sz w:val="20"/>
                <w:szCs w:val="20"/>
                <w:color w:val="auto"/>
              </w:rPr>
              <w:t>investors’ perspectives on agendas and</w:t>
            </w:r>
          </w:p>
        </w:tc>
        <w:tc>
          <w:tcPr>
            <w:tcW w:w="0" w:type="dxa"/>
            <w:vAlign w:val="bottom"/>
          </w:tcPr>
          <w:p>
            <w:pPr>
              <w:spacing w:after="0"/>
              <w:rPr>
                <w:sz w:val="1"/>
                <w:szCs w:val="1"/>
                <w:color w:val="auto"/>
              </w:rPr>
            </w:pPr>
          </w:p>
        </w:tc>
      </w:tr>
      <w:tr>
        <w:trPr>
          <w:trHeight w:val="223"/>
        </w:trPr>
        <w:tc>
          <w:tcPr>
            <w:tcW w:w="487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Presides over regular executive sessions of</w:t>
            </w:r>
          </w:p>
        </w:tc>
        <w:tc>
          <w:tcPr>
            <w:tcW w:w="200" w:type="dxa"/>
            <w:vAlign w:val="bottom"/>
            <w:shd w:val="clear" w:color="auto" w:fill="EBE6F0"/>
          </w:tcPr>
          <w:p>
            <w:pPr>
              <w:spacing w:after="0"/>
              <w:rPr>
                <w:sz w:val="19"/>
                <w:szCs w:val="19"/>
                <w:color w:val="auto"/>
              </w:rPr>
            </w:pPr>
          </w:p>
        </w:tc>
        <w:tc>
          <w:tcPr>
            <w:tcW w:w="4870" w:type="dxa"/>
            <w:vAlign w:val="bottom"/>
            <w:shd w:val="clear" w:color="auto" w:fill="EBE6F0"/>
          </w:tcPr>
          <w:p>
            <w:pPr>
              <w:ind w:left="230"/>
              <w:spacing w:after="0" w:line="224" w:lineRule="exact"/>
              <w:rPr>
                <w:sz w:val="20"/>
                <w:szCs w:val="20"/>
                <w:color w:val="auto"/>
              </w:rPr>
            </w:pPr>
            <w:r>
              <w:rPr>
                <w:rFonts w:ascii="Arial" w:cs="Arial" w:eastAsia="Arial" w:hAnsi="Arial"/>
                <w:sz w:val="20"/>
                <w:szCs w:val="20"/>
                <w:color w:val="auto"/>
              </w:rPr>
              <w:t>discussions;</w:t>
            </w:r>
          </w:p>
        </w:tc>
        <w:tc>
          <w:tcPr>
            <w:tcW w:w="0" w:type="dxa"/>
            <w:vAlign w:val="bottom"/>
          </w:tcPr>
          <w:p>
            <w:pPr>
              <w:spacing w:after="0"/>
              <w:rPr>
                <w:sz w:val="1"/>
                <w:szCs w:val="1"/>
                <w:color w:val="auto"/>
              </w:rPr>
            </w:pPr>
          </w:p>
        </w:tc>
      </w:tr>
      <w:tr>
        <w:trPr>
          <w:trHeight w:val="261"/>
        </w:trPr>
        <w:tc>
          <w:tcPr>
            <w:tcW w:w="4870" w:type="dxa"/>
            <w:vAlign w:val="bottom"/>
            <w:shd w:val="clear" w:color="auto" w:fill="EBE6F0"/>
          </w:tcPr>
          <w:p>
            <w:pPr>
              <w:ind w:left="240"/>
              <w:spacing w:after="0"/>
              <w:rPr>
                <w:sz w:val="20"/>
                <w:szCs w:val="20"/>
                <w:color w:val="auto"/>
              </w:rPr>
            </w:pPr>
            <w:r>
              <w:rPr>
                <w:rFonts w:ascii="Arial" w:cs="Arial" w:eastAsia="Arial" w:hAnsi="Arial"/>
                <w:sz w:val="20"/>
                <w:szCs w:val="20"/>
                <w:color w:val="auto"/>
              </w:rPr>
              <w:t>independent directors;</w:t>
            </w:r>
          </w:p>
        </w:tc>
        <w:tc>
          <w:tcPr>
            <w:tcW w:w="200" w:type="dxa"/>
            <w:vAlign w:val="bottom"/>
            <w:shd w:val="clear" w:color="auto" w:fill="EBE6F0"/>
          </w:tcPr>
          <w:p>
            <w:pPr>
              <w:spacing w:after="0"/>
              <w:rPr>
                <w:sz w:val="22"/>
                <w:szCs w:val="22"/>
                <w:color w:val="auto"/>
              </w:rPr>
            </w:pPr>
          </w:p>
        </w:tc>
        <w:tc>
          <w:tcPr>
            <w:tcW w:w="487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Fosters candid discussion during regular executive</w:t>
            </w:r>
          </w:p>
        </w:tc>
        <w:tc>
          <w:tcPr>
            <w:tcW w:w="0" w:type="dxa"/>
            <w:vAlign w:val="bottom"/>
          </w:tcPr>
          <w:p>
            <w:pPr>
              <w:spacing w:after="0"/>
              <w:rPr>
                <w:sz w:val="1"/>
                <w:szCs w:val="1"/>
                <w:color w:val="auto"/>
              </w:rPr>
            </w:pPr>
          </w:p>
        </w:tc>
      </w:tr>
      <w:tr>
        <w:trPr>
          <w:trHeight w:val="223"/>
        </w:trPr>
        <w:tc>
          <w:tcPr>
            <w:tcW w:w="487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Provides input into the design of the annual Board,</w:t>
            </w:r>
          </w:p>
        </w:tc>
        <w:tc>
          <w:tcPr>
            <w:tcW w:w="200" w:type="dxa"/>
            <w:vAlign w:val="bottom"/>
            <w:shd w:val="clear" w:color="auto" w:fill="EBE6F0"/>
          </w:tcPr>
          <w:p>
            <w:pPr>
              <w:spacing w:after="0"/>
              <w:rPr>
                <w:sz w:val="19"/>
                <w:szCs w:val="19"/>
                <w:color w:val="auto"/>
              </w:rPr>
            </w:pPr>
          </w:p>
        </w:tc>
        <w:tc>
          <w:tcPr>
            <w:tcW w:w="4870" w:type="dxa"/>
            <w:vAlign w:val="bottom"/>
            <w:shd w:val="clear" w:color="auto" w:fill="EBE6F0"/>
          </w:tcPr>
          <w:p>
            <w:pPr>
              <w:ind w:left="230"/>
              <w:spacing w:after="0" w:line="224" w:lineRule="exact"/>
              <w:rPr>
                <w:sz w:val="20"/>
                <w:szCs w:val="20"/>
                <w:color w:val="auto"/>
              </w:rPr>
            </w:pPr>
            <w:r>
              <w:rPr>
                <w:rFonts w:ascii="Arial" w:cs="Arial" w:eastAsia="Arial" w:hAnsi="Arial"/>
                <w:sz w:val="20"/>
                <w:szCs w:val="20"/>
                <w:color w:val="auto"/>
              </w:rPr>
              <w:t>sessions of the independent directors;</w:t>
            </w:r>
          </w:p>
        </w:tc>
        <w:tc>
          <w:tcPr>
            <w:tcW w:w="0" w:type="dxa"/>
            <w:vAlign w:val="bottom"/>
          </w:tcPr>
          <w:p>
            <w:pPr>
              <w:spacing w:after="0"/>
              <w:rPr>
                <w:sz w:val="1"/>
                <w:szCs w:val="1"/>
                <w:color w:val="auto"/>
              </w:rPr>
            </w:pPr>
          </w:p>
        </w:tc>
      </w:tr>
      <w:tr>
        <w:trPr>
          <w:trHeight w:val="237"/>
        </w:trPr>
        <w:tc>
          <w:tcPr>
            <w:tcW w:w="4870" w:type="dxa"/>
            <w:vAlign w:val="bottom"/>
            <w:shd w:val="clear" w:color="auto" w:fill="EBE6F0"/>
          </w:tcPr>
          <w:p>
            <w:pPr>
              <w:ind w:left="240"/>
              <w:spacing w:after="0"/>
              <w:rPr>
                <w:sz w:val="20"/>
                <w:szCs w:val="20"/>
                <w:color w:val="auto"/>
              </w:rPr>
            </w:pPr>
            <w:r>
              <w:rPr>
                <w:rFonts w:ascii="Arial" w:cs="Arial" w:eastAsia="Arial" w:hAnsi="Arial"/>
                <w:sz w:val="20"/>
                <w:szCs w:val="20"/>
                <w:color w:val="auto"/>
              </w:rPr>
              <w:t>committee and individual director self-evaluation</w:t>
            </w:r>
          </w:p>
        </w:tc>
        <w:tc>
          <w:tcPr>
            <w:tcW w:w="200" w:type="dxa"/>
            <w:vAlign w:val="bottom"/>
            <w:shd w:val="clear" w:color="auto" w:fill="EBE6F0"/>
          </w:tcPr>
          <w:p>
            <w:pPr>
              <w:spacing w:after="0"/>
              <w:rPr>
                <w:sz w:val="20"/>
                <w:szCs w:val="20"/>
                <w:color w:val="auto"/>
              </w:rPr>
            </w:pPr>
          </w:p>
        </w:tc>
        <w:tc>
          <w:tcPr>
            <w:tcW w:w="487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Facilitates effective communication and interaction</w:t>
            </w:r>
          </w:p>
        </w:tc>
        <w:tc>
          <w:tcPr>
            <w:tcW w:w="0" w:type="dxa"/>
            <w:vAlign w:val="bottom"/>
          </w:tcPr>
          <w:p>
            <w:pPr>
              <w:spacing w:after="0"/>
              <w:rPr>
                <w:sz w:val="1"/>
                <w:szCs w:val="1"/>
                <w:color w:val="auto"/>
              </w:rPr>
            </w:pPr>
          </w:p>
        </w:tc>
      </w:tr>
      <w:tr>
        <w:trPr>
          <w:trHeight w:val="247"/>
        </w:trPr>
        <w:tc>
          <w:tcPr>
            <w:tcW w:w="4870" w:type="dxa"/>
            <w:vAlign w:val="bottom"/>
            <w:shd w:val="clear" w:color="auto" w:fill="EBE6F0"/>
          </w:tcPr>
          <w:p>
            <w:pPr>
              <w:ind w:left="240"/>
              <w:spacing w:after="0"/>
              <w:rPr>
                <w:sz w:val="20"/>
                <w:szCs w:val="20"/>
                <w:color w:val="auto"/>
              </w:rPr>
            </w:pPr>
            <w:r>
              <w:rPr>
                <w:rFonts w:ascii="Arial" w:cs="Arial" w:eastAsia="Arial" w:hAnsi="Arial"/>
                <w:sz w:val="20"/>
                <w:szCs w:val="20"/>
                <w:color w:val="auto"/>
              </w:rPr>
              <w:t>process;</w:t>
            </w:r>
          </w:p>
        </w:tc>
        <w:tc>
          <w:tcPr>
            <w:tcW w:w="200" w:type="dxa"/>
            <w:vAlign w:val="bottom"/>
            <w:shd w:val="clear" w:color="auto" w:fill="EBE6F0"/>
          </w:tcPr>
          <w:p>
            <w:pPr>
              <w:spacing w:after="0"/>
              <w:rPr>
                <w:sz w:val="21"/>
                <w:szCs w:val="21"/>
                <w:color w:val="auto"/>
              </w:rPr>
            </w:pPr>
          </w:p>
        </w:tc>
        <w:tc>
          <w:tcPr>
            <w:tcW w:w="4870" w:type="dxa"/>
            <w:vAlign w:val="bottom"/>
            <w:shd w:val="clear" w:color="auto" w:fill="EBE6F0"/>
          </w:tcPr>
          <w:p>
            <w:pPr>
              <w:ind w:left="230"/>
              <w:spacing w:after="0"/>
              <w:rPr>
                <w:sz w:val="20"/>
                <w:szCs w:val="20"/>
                <w:color w:val="auto"/>
              </w:rPr>
            </w:pPr>
            <w:r>
              <w:rPr>
                <w:rFonts w:ascii="Arial" w:cs="Arial" w:eastAsia="Arial" w:hAnsi="Arial"/>
                <w:sz w:val="20"/>
                <w:szCs w:val="20"/>
                <w:color w:val="auto"/>
              </w:rPr>
              <w:t>between the Board and management;</w:t>
            </w:r>
          </w:p>
        </w:tc>
        <w:tc>
          <w:tcPr>
            <w:tcW w:w="0" w:type="dxa"/>
            <w:vAlign w:val="bottom"/>
          </w:tcPr>
          <w:p>
            <w:pPr>
              <w:spacing w:after="0"/>
              <w:rPr>
                <w:sz w:val="1"/>
                <w:szCs w:val="1"/>
                <w:color w:val="auto"/>
              </w:rPr>
            </w:pPr>
          </w:p>
        </w:tc>
      </w:tr>
      <w:tr>
        <w:trPr>
          <w:trHeight w:val="237"/>
        </w:trPr>
        <w:tc>
          <w:tcPr>
            <w:tcW w:w="4870" w:type="dxa"/>
            <w:vAlign w:val="bottom"/>
            <w:shd w:val="clear" w:color="auto" w:fill="EBE6F0"/>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Conducts the annual Board and individual director</w:t>
            </w:r>
          </w:p>
        </w:tc>
        <w:tc>
          <w:tcPr>
            <w:tcW w:w="200" w:type="dxa"/>
            <w:vAlign w:val="bottom"/>
            <w:shd w:val="clear" w:color="auto" w:fill="EBE6F0"/>
          </w:tcPr>
          <w:p>
            <w:pPr>
              <w:spacing w:after="0"/>
              <w:rPr>
                <w:sz w:val="20"/>
                <w:szCs w:val="20"/>
                <w:color w:val="auto"/>
              </w:rPr>
            </w:pPr>
          </w:p>
        </w:tc>
        <w:tc>
          <w:tcPr>
            <w:tcW w:w="487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Serves as a liaison between the independent</w:t>
            </w:r>
          </w:p>
        </w:tc>
        <w:tc>
          <w:tcPr>
            <w:tcW w:w="0" w:type="dxa"/>
            <w:vAlign w:val="bottom"/>
          </w:tcPr>
          <w:p>
            <w:pPr>
              <w:spacing w:after="0"/>
              <w:rPr>
                <w:sz w:val="1"/>
                <w:szCs w:val="1"/>
                <w:color w:val="auto"/>
              </w:rPr>
            </w:pPr>
          </w:p>
        </w:tc>
      </w:tr>
      <w:tr>
        <w:trPr>
          <w:trHeight w:val="223"/>
        </w:trPr>
        <w:tc>
          <w:tcPr>
            <w:tcW w:w="4870" w:type="dxa"/>
            <w:vAlign w:val="bottom"/>
            <w:shd w:val="clear" w:color="auto" w:fill="EBE6F0"/>
          </w:tcPr>
          <w:p>
            <w:pPr>
              <w:ind w:left="240"/>
              <w:spacing w:after="0" w:line="224" w:lineRule="exact"/>
              <w:rPr>
                <w:sz w:val="20"/>
                <w:szCs w:val="20"/>
                <w:color w:val="auto"/>
              </w:rPr>
            </w:pPr>
            <w:r>
              <w:rPr>
                <w:rFonts w:ascii="Arial" w:cs="Arial" w:eastAsia="Arial" w:hAnsi="Arial"/>
                <w:sz w:val="20"/>
                <w:szCs w:val="20"/>
                <w:color w:val="auto"/>
              </w:rPr>
              <w:t>self-evaluation process in coordination with the</w:t>
            </w:r>
          </w:p>
        </w:tc>
        <w:tc>
          <w:tcPr>
            <w:tcW w:w="200" w:type="dxa"/>
            <w:vAlign w:val="bottom"/>
            <w:shd w:val="clear" w:color="auto" w:fill="EBE6F0"/>
          </w:tcPr>
          <w:p>
            <w:pPr>
              <w:spacing w:after="0"/>
              <w:rPr>
                <w:sz w:val="19"/>
                <w:szCs w:val="19"/>
                <w:color w:val="auto"/>
              </w:rPr>
            </w:pPr>
          </w:p>
        </w:tc>
        <w:tc>
          <w:tcPr>
            <w:tcW w:w="4870" w:type="dxa"/>
            <w:vAlign w:val="bottom"/>
            <w:shd w:val="clear" w:color="auto" w:fill="EBE6F0"/>
          </w:tcPr>
          <w:p>
            <w:pPr>
              <w:ind w:left="230"/>
              <w:spacing w:after="0" w:line="224" w:lineRule="exact"/>
              <w:rPr>
                <w:sz w:val="20"/>
                <w:szCs w:val="20"/>
                <w:color w:val="auto"/>
              </w:rPr>
            </w:pPr>
            <w:r>
              <w:rPr>
                <w:rFonts w:ascii="Arial" w:cs="Arial" w:eastAsia="Arial" w:hAnsi="Arial"/>
                <w:sz w:val="20"/>
                <w:szCs w:val="20"/>
                <w:color w:val="auto"/>
              </w:rPr>
              <w:t>directors and the Chair and CEO; and</w:t>
            </w:r>
          </w:p>
        </w:tc>
        <w:tc>
          <w:tcPr>
            <w:tcW w:w="0" w:type="dxa"/>
            <w:vAlign w:val="bottom"/>
          </w:tcPr>
          <w:p>
            <w:pPr>
              <w:spacing w:after="0"/>
              <w:rPr>
                <w:sz w:val="1"/>
                <w:szCs w:val="1"/>
                <w:color w:val="auto"/>
              </w:rPr>
            </w:pPr>
          </w:p>
        </w:tc>
      </w:tr>
      <w:tr>
        <w:trPr>
          <w:trHeight w:val="261"/>
        </w:trPr>
        <w:tc>
          <w:tcPr>
            <w:tcW w:w="4870" w:type="dxa"/>
            <w:vAlign w:val="bottom"/>
            <w:shd w:val="clear" w:color="auto" w:fill="EBE6F0"/>
          </w:tcPr>
          <w:p>
            <w:pPr>
              <w:ind w:left="240"/>
              <w:spacing w:after="0"/>
              <w:rPr>
                <w:sz w:val="20"/>
                <w:szCs w:val="20"/>
                <w:color w:val="auto"/>
              </w:rPr>
            </w:pPr>
            <w:r>
              <w:rPr>
                <w:rFonts w:ascii="Arial" w:cs="Arial" w:eastAsia="Arial" w:hAnsi="Arial"/>
                <w:sz w:val="20"/>
                <w:szCs w:val="20"/>
                <w:color w:val="auto"/>
              </w:rPr>
              <w:t>Governance Committee; and</w:t>
            </w:r>
          </w:p>
        </w:tc>
        <w:tc>
          <w:tcPr>
            <w:tcW w:w="200" w:type="dxa"/>
            <w:vAlign w:val="bottom"/>
            <w:shd w:val="clear" w:color="auto" w:fill="EBE6F0"/>
          </w:tcPr>
          <w:p>
            <w:pPr>
              <w:spacing w:after="0"/>
              <w:rPr>
                <w:sz w:val="22"/>
                <w:szCs w:val="22"/>
                <w:color w:val="auto"/>
              </w:rPr>
            </w:pPr>
          </w:p>
        </w:tc>
        <w:tc>
          <w:tcPr>
            <w:tcW w:w="4870" w:type="dxa"/>
            <w:vAlign w:val="bottom"/>
            <w:vMerge w:val="restart"/>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Provides feedback to management regarding</w:t>
            </w:r>
          </w:p>
        </w:tc>
        <w:tc>
          <w:tcPr>
            <w:tcW w:w="0" w:type="dxa"/>
            <w:vAlign w:val="bottom"/>
          </w:tcPr>
          <w:p>
            <w:pPr>
              <w:spacing w:after="0"/>
              <w:rPr>
                <w:sz w:val="1"/>
                <w:szCs w:val="1"/>
                <w:color w:val="auto"/>
              </w:rPr>
            </w:pPr>
          </w:p>
        </w:tc>
      </w:tr>
      <w:tr>
        <w:trPr>
          <w:trHeight w:val="24"/>
        </w:trPr>
        <w:tc>
          <w:tcPr>
            <w:tcW w:w="4870" w:type="dxa"/>
            <w:vAlign w:val="bottom"/>
            <w:vMerge w:val="restart"/>
            <w:shd w:val="clear" w:color="auto" w:fill="EBE6F0"/>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Consults with major shareholders.</w:t>
            </w:r>
          </w:p>
        </w:tc>
        <w:tc>
          <w:tcPr>
            <w:tcW w:w="200" w:type="dxa"/>
            <w:vAlign w:val="bottom"/>
            <w:shd w:val="clear" w:color="auto" w:fill="EBE6F0"/>
          </w:tcPr>
          <w:p>
            <w:pPr>
              <w:spacing w:after="0"/>
              <w:rPr>
                <w:sz w:val="2"/>
                <w:szCs w:val="2"/>
                <w:color w:val="auto"/>
              </w:rPr>
            </w:pPr>
          </w:p>
        </w:tc>
        <w:tc>
          <w:tcPr>
            <w:tcW w:w="4870" w:type="dxa"/>
            <w:vAlign w:val="bottom"/>
            <w:vMerge w:val="continue"/>
            <w:shd w:val="clear" w:color="auto" w:fill="EBE6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70" w:type="dxa"/>
            <w:vAlign w:val="bottom"/>
            <w:vMerge w:val="continue"/>
            <w:shd w:val="clear" w:color="auto" w:fill="EBE6F0"/>
          </w:tcPr>
          <w:p>
            <w:pPr>
              <w:spacing w:after="0"/>
              <w:rPr>
                <w:sz w:val="22"/>
                <w:szCs w:val="22"/>
                <w:color w:val="auto"/>
              </w:rPr>
            </w:pPr>
          </w:p>
        </w:tc>
        <w:tc>
          <w:tcPr>
            <w:tcW w:w="200" w:type="dxa"/>
            <w:vAlign w:val="bottom"/>
            <w:shd w:val="clear" w:color="auto" w:fill="EBE6F0"/>
          </w:tcPr>
          <w:p>
            <w:pPr>
              <w:spacing w:after="0"/>
              <w:rPr>
                <w:sz w:val="22"/>
                <w:szCs w:val="22"/>
                <w:color w:val="auto"/>
              </w:rPr>
            </w:pPr>
          </w:p>
        </w:tc>
        <w:tc>
          <w:tcPr>
            <w:tcW w:w="4870" w:type="dxa"/>
            <w:vAlign w:val="bottom"/>
            <w:shd w:val="clear" w:color="auto" w:fill="EBE6F0"/>
          </w:tcPr>
          <w:p>
            <w:pPr>
              <w:ind w:left="230"/>
              <w:spacing w:after="0"/>
              <w:rPr>
                <w:sz w:val="20"/>
                <w:szCs w:val="20"/>
                <w:color w:val="auto"/>
              </w:rPr>
            </w:pPr>
            <w:r>
              <w:rPr>
                <w:rFonts w:ascii="Arial" w:cs="Arial" w:eastAsia="Arial" w:hAnsi="Arial"/>
                <w:sz w:val="20"/>
                <w:szCs w:val="20"/>
                <w:color w:val="auto"/>
              </w:rPr>
              <w:t>Board concerns and information needs.</w:t>
            </w:r>
          </w:p>
        </w:tc>
        <w:tc>
          <w:tcPr>
            <w:tcW w:w="0" w:type="dxa"/>
            <w:vAlign w:val="bottom"/>
          </w:tcPr>
          <w:p>
            <w:pPr>
              <w:spacing w:after="0"/>
              <w:rPr>
                <w:sz w:val="1"/>
                <w:szCs w:val="1"/>
                <w:color w:val="auto"/>
              </w:rPr>
            </w:pPr>
          </w:p>
        </w:tc>
      </w:tr>
      <w:tr>
        <w:trPr>
          <w:trHeight w:val="48"/>
        </w:trPr>
        <w:tc>
          <w:tcPr>
            <w:tcW w:w="4870" w:type="dxa"/>
            <w:vAlign w:val="bottom"/>
            <w:shd w:val="clear" w:color="auto" w:fill="EBE6F0"/>
          </w:tcPr>
          <w:p>
            <w:pPr>
              <w:spacing w:after="0"/>
              <w:rPr>
                <w:sz w:val="4"/>
                <w:szCs w:val="4"/>
                <w:color w:val="auto"/>
              </w:rPr>
            </w:pPr>
          </w:p>
        </w:tc>
        <w:tc>
          <w:tcPr>
            <w:tcW w:w="200" w:type="dxa"/>
            <w:vAlign w:val="bottom"/>
            <w:shd w:val="clear" w:color="auto" w:fill="EBE6F0"/>
          </w:tcPr>
          <w:p>
            <w:pPr>
              <w:spacing w:after="0"/>
              <w:rPr>
                <w:sz w:val="4"/>
                <w:szCs w:val="4"/>
                <w:color w:val="auto"/>
              </w:rPr>
            </w:pPr>
          </w:p>
        </w:tc>
        <w:tc>
          <w:tcPr>
            <w:tcW w:w="4870" w:type="dxa"/>
            <w:vAlign w:val="bottom"/>
            <w:shd w:val="clear" w:color="auto" w:fill="EBE6F0"/>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ectPr>
          <w:pgSz w:w="11900" w:h="16838" w:orient="portrait"/>
          <w:cols w:equalWidth="0" w:num="1">
            <w:col w:w="11240"/>
          </w:cols>
          <w:pgMar w:left="320" w:top="132" w:right="339" w:bottom="1440" w:gutter="0" w:footer="0" w:header="0"/>
        </w:sectPr>
      </w:pPr>
    </w:p>
    <w:p>
      <w:pPr>
        <w:ind w:left="720"/>
        <w:spacing w:after="0"/>
        <w:rPr>
          <w:sz w:val="20"/>
          <w:szCs w:val="20"/>
          <w:color w:val="auto"/>
        </w:rPr>
      </w:pPr>
      <w:r>
        <w:rPr>
          <w:rFonts w:ascii="Arial" w:cs="Arial" w:eastAsia="Arial" w:hAnsi="Arial"/>
          <w:sz w:val="20"/>
          <w:szCs w:val="20"/>
          <w:b w:val="1"/>
          <w:bCs w:val="1"/>
          <w:color w:val="582C83"/>
        </w:rPr>
        <w:t>Majority Independent Board.</w:t>
      </w:r>
    </w:p>
    <w:p>
      <w:pPr>
        <w:spacing w:after="0" w:line="44" w:lineRule="exact"/>
        <w:rPr>
          <w:sz w:val="20"/>
          <w:szCs w:val="20"/>
          <w:color w:val="auto"/>
        </w:rPr>
      </w:pPr>
    </w:p>
    <w:p>
      <w:pPr>
        <w:ind w:left="880" w:right="80" w:hanging="161"/>
        <w:spacing w:after="0" w:line="242" w:lineRule="auto"/>
        <w:tabs>
          <w:tab w:leader="none" w:pos="880" w:val="left"/>
        </w:tabs>
        <w:numPr>
          <w:ilvl w:val="0"/>
          <w:numId w:val="21"/>
        </w:numPr>
        <w:rPr>
          <w:rFonts w:ascii="Arial" w:cs="Arial" w:eastAsia="Arial" w:hAnsi="Arial"/>
          <w:sz w:val="20"/>
          <w:szCs w:val="20"/>
          <w:color w:val="582C83"/>
        </w:rPr>
      </w:pPr>
      <w:r>
        <w:rPr>
          <w:rFonts w:ascii="Arial" w:cs="Arial" w:eastAsia="Arial" w:hAnsi="Arial"/>
          <w:sz w:val="20"/>
          <w:szCs w:val="20"/>
          <w:color w:val="auto"/>
        </w:rPr>
        <w:t>At least 80% of our directors must meet the independence requirements prescribed by Nasdaq listing standards.</w:t>
      </w:r>
    </w:p>
    <w:p>
      <w:pPr>
        <w:spacing w:after="0" w:line="2" w:lineRule="exact"/>
        <w:rPr>
          <w:rFonts w:ascii="Arial" w:cs="Arial" w:eastAsia="Arial" w:hAnsi="Arial"/>
          <w:sz w:val="20"/>
          <w:szCs w:val="20"/>
          <w:color w:val="582C83"/>
        </w:rPr>
      </w:pPr>
    </w:p>
    <w:p>
      <w:pPr>
        <w:jc w:val="both"/>
        <w:ind w:left="880" w:hanging="161"/>
        <w:spacing w:after="0" w:line="249" w:lineRule="auto"/>
        <w:tabs>
          <w:tab w:leader="none" w:pos="880" w:val="left"/>
        </w:tabs>
        <w:numPr>
          <w:ilvl w:val="0"/>
          <w:numId w:val="21"/>
        </w:numPr>
        <w:rPr>
          <w:rFonts w:ascii="Arial" w:cs="Arial" w:eastAsia="Arial" w:hAnsi="Arial"/>
          <w:sz w:val="20"/>
          <w:szCs w:val="20"/>
          <w:color w:val="582C83"/>
        </w:rPr>
      </w:pPr>
      <w:r>
        <w:rPr>
          <w:rFonts w:ascii="Arial" w:cs="Arial" w:eastAsia="Arial" w:hAnsi="Arial"/>
          <w:sz w:val="20"/>
          <w:szCs w:val="20"/>
          <w:color w:val="auto"/>
        </w:rPr>
        <w:t>The Guidelines provide that currently the Chair and CEO should be the only member of management to serve as a director.</w:t>
      </w:r>
    </w:p>
    <w:p>
      <w:pPr>
        <w:spacing w:after="0" w:line="20" w:lineRule="exact"/>
        <w:rPr>
          <w:sz w:val="20"/>
          <w:szCs w:val="20"/>
          <w:color w:val="auto"/>
        </w:rPr>
      </w:pPr>
      <w:r>
        <w:rPr>
          <w:sz w:val="20"/>
          <w:szCs w:val="20"/>
          <w:color w:val="auto"/>
        </w:rPr>
        <w:br w:type="column"/>
      </w:r>
    </w:p>
    <w:p>
      <w:pPr>
        <w:ind w:left="175" w:right="1700" w:hanging="175"/>
        <w:spacing w:after="0" w:line="267" w:lineRule="auto"/>
        <w:tabs>
          <w:tab w:leader="none" w:pos="175" w:val="left"/>
        </w:tabs>
        <w:numPr>
          <w:ilvl w:val="0"/>
          <w:numId w:val="22"/>
        </w:numPr>
        <w:rPr>
          <w:rFonts w:ascii="Arial" w:cs="Arial" w:eastAsia="Arial" w:hAnsi="Arial"/>
          <w:sz w:val="19"/>
          <w:szCs w:val="19"/>
          <w:color w:val="582C83"/>
        </w:rPr>
      </w:pPr>
      <w:r>
        <w:rPr>
          <w:rFonts w:ascii="Arial" w:cs="Arial" w:eastAsia="Arial" w:hAnsi="Arial"/>
          <w:sz w:val="19"/>
          <w:szCs w:val="19"/>
          <w:color w:val="auto"/>
        </w:rPr>
        <w:t>Provides independent Board oversight of management on behalf of shareholders.</w:t>
      </w:r>
    </w:p>
    <w:p>
      <w:pPr>
        <w:spacing w:after="0" w:line="1" w:lineRule="exact"/>
        <w:rPr>
          <w:rFonts w:ascii="Arial" w:cs="Arial" w:eastAsia="Arial" w:hAnsi="Arial"/>
          <w:sz w:val="19"/>
          <w:szCs w:val="19"/>
          <w:color w:val="582C83"/>
        </w:rPr>
      </w:pPr>
    </w:p>
    <w:p>
      <w:pPr>
        <w:ind w:left="175" w:right="900" w:hanging="175"/>
        <w:spacing w:after="0" w:line="252" w:lineRule="auto"/>
        <w:tabs>
          <w:tab w:leader="none" w:pos="175" w:val="left"/>
        </w:tabs>
        <w:numPr>
          <w:ilvl w:val="0"/>
          <w:numId w:val="22"/>
        </w:numPr>
        <w:rPr>
          <w:rFonts w:ascii="Arial" w:cs="Arial" w:eastAsia="Arial" w:hAnsi="Arial"/>
          <w:sz w:val="20"/>
          <w:szCs w:val="20"/>
          <w:color w:val="582C83"/>
        </w:rPr>
      </w:pPr>
      <w:r>
        <w:rPr>
          <w:rFonts w:ascii="Arial" w:cs="Arial" w:eastAsia="Arial" w:hAnsi="Arial"/>
          <w:sz w:val="20"/>
          <w:szCs w:val="20"/>
          <w:color w:val="auto"/>
        </w:rPr>
        <w:t>Board composed entirely of independent directors (with the exception of the CEO).</w:t>
      </w:r>
    </w:p>
    <w:p>
      <w:pPr>
        <w:spacing w:after="0" w:line="1" w:lineRule="exact"/>
        <w:rPr>
          <w:rFonts w:ascii="Arial" w:cs="Arial" w:eastAsia="Arial" w:hAnsi="Arial"/>
          <w:sz w:val="20"/>
          <w:szCs w:val="20"/>
          <w:color w:val="582C83"/>
        </w:rPr>
      </w:pPr>
    </w:p>
    <w:p>
      <w:pPr>
        <w:ind w:left="175" w:right="980" w:hanging="175"/>
        <w:spacing w:after="0" w:line="265" w:lineRule="auto"/>
        <w:tabs>
          <w:tab w:leader="none" w:pos="175" w:val="left"/>
        </w:tabs>
        <w:numPr>
          <w:ilvl w:val="0"/>
          <w:numId w:val="22"/>
        </w:numPr>
        <w:rPr>
          <w:rFonts w:ascii="Arial" w:cs="Arial" w:eastAsia="Arial" w:hAnsi="Arial"/>
          <w:sz w:val="20"/>
          <w:szCs w:val="20"/>
          <w:color w:val="582C83"/>
        </w:rPr>
      </w:pPr>
      <w:r>
        <w:rPr>
          <w:rFonts w:ascii="Arial" w:cs="Arial" w:eastAsia="Arial" w:hAnsi="Arial"/>
          <w:sz w:val="20"/>
          <w:szCs w:val="20"/>
          <w:color w:val="auto"/>
        </w:rPr>
        <w:t>Committees composed entirely of and chaired by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267335</wp:posOffset>
            </wp:positionV>
            <wp:extent cx="7143115"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407" w:lineRule="exact"/>
        <w:rPr>
          <w:sz w:val="20"/>
          <w:szCs w:val="20"/>
          <w:color w:val="auto"/>
        </w:rPr>
      </w:pPr>
    </w:p>
    <w:p>
      <w:pPr>
        <w:sectPr>
          <w:pgSz w:w="11900" w:h="16838" w:orient="portrait"/>
          <w:cols w:equalWidth="0" w:num="2">
            <w:col w:w="5420" w:space="365"/>
            <w:col w:w="5455"/>
          </w:cols>
          <w:pgMar w:left="320" w:top="132" w:right="339" w:bottom="1440" w:gutter="0" w:footer="0" w:header="0"/>
          <w:type w:val="continuous"/>
        </w:sectPr>
      </w:pPr>
    </w:p>
    <w:p>
      <w:pPr>
        <w:spacing w:after="0" w:line="88" w:lineRule="exact"/>
        <w:rPr>
          <w:sz w:val="20"/>
          <w:szCs w:val="20"/>
          <w:color w:val="auto"/>
        </w:rPr>
      </w:pPr>
    </w:p>
    <w:p>
      <w:pPr>
        <w:ind w:left="9060"/>
        <w:spacing w:after="0"/>
        <w:rPr>
          <w:sz w:val="20"/>
          <w:szCs w:val="20"/>
          <w:color w:val="auto"/>
        </w:rPr>
      </w:pPr>
      <w:r>
        <w:rPr>
          <w:rFonts w:ascii="Arial" w:cs="Arial" w:eastAsia="Arial" w:hAnsi="Arial"/>
          <w:sz w:val="15"/>
          <w:szCs w:val="15"/>
          <w:b w:val="1"/>
          <w:bCs w:val="1"/>
          <w:color w:val="58358F"/>
        </w:rPr>
        <w:t>2023 PROXY STATEMENT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5720" w:type="dxa"/>
            <w:vAlign w:val="bottom"/>
            <w:tcBorders>
              <w:bottom w:val="single" w:sz="8" w:color="582C83"/>
            </w:tcBorders>
          </w:tcPr>
          <w:p>
            <w:pPr>
              <w:ind w:left="60"/>
              <w:spacing w:after="0"/>
              <w:rPr>
                <w:sz w:val="20"/>
                <w:szCs w:val="20"/>
                <w:color w:val="auto"/>
              </w:rPr>
            </w:pPr>
            <w:r>
              <w:rPr>
                <w:rFonts w:ascii="Arial" w:cs="Arial" w:eastAsia="Arial" w:hAnsi="Arial"/>
                <w:sz w:val="20"/>
                <w:szCs w:val="20"/>
                <w:b w:val="1"/>
                <w:bCs w:val="1"/>
                <w:color w:val="auto"/>
              </w:rPr>
              <w:t>Key Practice or Policy</w:t>
            </w:r>
          </w:p>
        </w:tc>
        <w:tc>
          <w:tcPr>
            <w:tcW w:w="5540" w:type="dxa"/>
            <w:vAlign w:val="bottom"/>
            <w:tcBorders>
              <w:bottom w:val="single" w:sz="8" w:color="582C83"/>
            </w:tcBorders>
          </w:tcPr>
          <w:p>
            <w:pPr>
              <w:ind w:left="60"/>
              <w:spacing w:after="0"/>
              <w:rPr>
                <w:sz w:val="20"/>
                <w:szCs w:val="20"/>
                <w:color w:val="auto"/>
              </w:rPr>
            </w:pPr>
            <w:r>
              <w:rPr>
                <w:rFonts w:ascii="Arial" w:cs="Arial" w:eastAsia="Arial" w:hAnsi="Arial"/>
                <w:sz w:val="20"/>
                <w:szCs w:val="20"/>
                <w:b w:val="1"/>
                <w:bCs w:val="1"/>
                <w:color w:val="auto"/>
              </w:rPr>
              <w:t>Benefits</w:t>
            </w:r>
          </w:p>
        </w:tc>
      </w:tr>
      <w:tr>
        <w:trPr>
          <w:trHeight w:val="247"/>
        </w:trPr>
        <w:tc>
          <w:tcPr>
            <w:tcW w:w="572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582C83"/>
              </w:rPr>
              <w:t xml:space="preserve">Regular Executive Sessions of Independent Directors. </w:t>
            </w:r>
            <w:r>
              <w:rPr>
                <w:rFonts w:ascii="Arial" w:cs="Arial" w:eastAsia="Arial" w:hAnsi="Arial"/>
                <w:sz w:val="20"/>
                <w:szCs w:val="20"/>
                <w:color w:val="000000"/>
              </w:rPr>
              <w:t>At</w:t>
            </w:r>
          </w:p>
        </w:tc>
        <w:tc>
          <w:tcPr>
            <w:tcW w:w="5540" w:type="dxa"/>
            <w:vAlign w:val="bottom"/>
            <w:shd w:val="clear" w:color="auto" w:fill="EBE6F0"/>
          </w:tcPr>
          <w:p>
            <w:pPr>
              <w:ind w:left="60"/>
              <w:spacing w:after="0"/>
              <w:rPr>
                <w:sz w:val="20"/>
                <w:szCs w:val="20"/>
                <w:color w:val="auto"/>
              </w:rPr>
            </w:pPr>
            <w:r>
              <w:rPr>
                <w:rFonts w:ascii="Arial" w:cs="Arial" w:eastAsia="Arial" w:hAnsi="Arial"/>
                <w:sz w:val="20"/>
                <w:szCs w:val="20"/>
                <w:color w:val="auto"/>
              </w:rPr>
              <w:t>Allows the Board to discuss substantive issues, including</w:t>
            </w:r>
          </w:p>
        </w:tc>
      </w:tr>
      <w:tr>
        <w:trPr>
          <w:trHeight w:val="223"/>
        </w:trPr>
        <w:tc>
          <w:tcPr>
            <w:tcW w:w="572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color w:val="auto"/>
              </w:rPr>
              <w:t>each in-person Board meeting, the independent directors</w:t>
            </w:r>
          </w:p>
        </w:tc>
        <w:tc>
          <w:tcPr>
            <w:tcW w:w="554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auto"/>
              </w:rPr>
              <w:t>matters concerning management, without management</w:t>
            </w:r>
          </w:p>
        </w:tc>
      </w:tr>
      <w:tr>
        <w:trPr>
          <w:trHeight w:val="223"/>
        </w:trPr>
        <w:tc>
          <w:tcPr>
            <w:tcW w:w="572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color w:val="auto"/>
              </w:rPr>
              <w:t>meet in executive session without any members of</w:t>
            </w:r>
          </w:p>
        </w:tc>
        <w:tc>
          <w:tcPr>
            <w:tcW w:w="554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auto"/>
              </w:rPr>
              <w:t>present.</w:t>
            </w:r>
          </w:p>
        </w:tc>
      </w:tr>
      <w:tr>
        <w:trPr>
          <w:trHeight w:val="223"/>
        </w:trPr>
        <w:tc>
          <w:tcPr>
            <w:tcW w:w="572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color w:val="auto"/>
              </w:rPr>
              <w:t>management present. The independent Lead Director chairs</w:t>
            </w:r>
          </w:p>
        </w:tc>
        <w:tc>
          <w:tcPr>
            <w:tcW w:w="5540" w:type="dxa"/>
            <w:vAlign w:val="bottom"/>
            <w:shd w:val="clear" w:color="auto" w:fill="EBE6F0"/>
          </w:tcPr>
          <w:p>
            <w:pPr>
              <w:spacing w:after="0"/>
              <w:rPr>
                <w:sz w:val="19"/>
                <w:szCs w:val="19"/>
                <w:color w:val="auto"/>
              </w:rPr>
            </w:pPr>
          </w:p>
        </w:tc>
      </w:tr>
      <w:tr>
        <w:trPr>
          <w:trHeight w:val="264"/>
        </w:trPr>
        <w:tc>
          <w:tcPr>
            <w:tcW w:w="5720" w:type="dxa"/>
            <w:vAlign w:val="bottom"/>
            <w:shd w:val="clear" w:color="auto" w:fill="EBE6F0"/>
          </w:tcPr>
          <w:p>
            <w:pPr>
              <w:ind w:left="80"/>
              <w:spacing w:after="0"/>
              <w:rPr>
                <w:sz w:val="20"/>
                <w:szCs w:val="20"/>
                <w:color w:val="auto"/>
              </w:rPr>
            </w:pPr>
            <w:r>
              <w:rPr>
                <w:rFonts w:ascii="Arial" w:cs="Arial" w:eastAsia="Arial" w:hAnsi="Arial"/>
                <w:sz w:val="20"/>
                <w:szCs w:val="20"/>
                <w:color w:val="auto"/>
              </w:rPr>
              <w:t>these sessions.</w:t>
            </w:r>
          </w:p>
        </w:tc>
        <w:tc>
          <w:tcPr>
            <w:tcW w:w="5540" w:type="dxa"/>
            <w:vAlign w:val="bottom"/>
            <w:shd w:val="clear" w:color="auto" w:fill="EBE6F0"/>
          </w:tcPr>
          <w:p>
            <w:pPr>
              <w:spacing w:after="0"/>
              <w:rPr>
                <w:sz w:val="22"/>
                <w:szCs w:val="22"/>
                <w:color w:val="auto"/>
              </w:rPr>
            </w:pPr>
          </w:p>
        </w:tc>
      </w:tr>
      <w:tr>
        <w:trPr>
          <w:trHeight w:val="48"/>
        </w:trPr>
        <w:tc>
          <w:tcPr>
            <w:tcW w:w="5720" w:type="dxa"/>
            <w:vAlign w:val="bottom"/>
            <w:shd w:val="clear" w:color="auto" w:fill="EBE6F0"/>
          </w:tcPr>
          <w:p>
            <w:pPr>
              <w:spacing w:after="0"/>
              <w:rPr>
                <w:sz w:val="4"/>
                <w:szCs w:val="4"/>
                <w:color w:val="auto"/>
              </w:rPr>
            </w:pPr>
          </w:p>
        </w:tc>
        <w:tc>
          <w:tcPr>
            <w:tcW w:w="5540" w:type="dxa"/>
            <w:vAlign w:val="bottom"/>
            <w:shd w:val="clear" w:color="auto" w:fill="EBE6F0"/>
          </w:tcPr>
          <w:p>
            <w:pPr>
              <w:spacing w:after="0"/>
              <w:rPr>
                <w:sz w:val="4"/>
                <w:szCs w:val="4"/>
                <w:color w:val="auto"/>
              </w:rPr>
            </w:pPr>
          </w:p>
        </w:tc>
      </w:tr>
    </w:tbl>
    <w:p>
      <w:pPr>
        <w:spacing w:after="0" w:line="24" w:lineRule="exact"/>
        <w:rPr>
          <w:sz w:val="20"/>
          <w:szCs w:val="20"/>
          <w:color w:val="auto"/>
        </w:rPr>
      </w:pPr>
    </w:p>
    <w:p>
      <w:pPr>
        <w:sectPr>
          <w:pgSz w:w="11900" w:h="16838" w:orient="portrait"/>
          <w:cols w:equalWidth="0" w:num="1">
            <w:col w:w="11260"/>
          </w:cols>
          <w:pgMar w:left="320" w:top="132" w:right="319" w:bottom="1440" w:gutter="0" w:footer="0" w:header="0"/>
        </w:sectPr>
      </w:pPr>
    </w:p>
    <w:p>
      <w:pPr>
        <w:ind w:left="60"/>
        <w:spacing w:after="0"/>
        <w:rPr>
          <w:sz w:val="20"/>
          <w:szCs w:val="20"/>
          <w:color w:val="auto"/>
        </w:rPr>
      </w:pPr>
      <w:r>
        <w:rPr>
          <w:rFonts w:ascii="Arial" w:cs="Arial" w:eastAsia="Arial" w:hAnsi="Arial"/>
          <w:sz w:val="20"/>
          <w:szCs w:val="20"/>
          <w:b w:val="1"/>
          <w:bCs w:val="1"/>
          <w:color w:val="582C83"/>
        </w:rPr>
        <w:t>Annual Board and Committee Self-Assessments.</w:t>
      </w:r>
    </w:p>
    <w:p>
      <w:pPr>
        <w:spacing w:after="0" w:line="44" w:lineRule="exact"/>
        <w:rPr>
          <w:sz w:val="20"/>
          <w:szCs w:val="20"/>
          <w:color w:val="auto"/>
        </w:rPr>
      </w:pPr>
    </w:p>
    <w:p>
      <w:pPr>
        <w:ind w:left="220" w:right="240" w:hanging="159"/>
        <w:spacing w:after="0" w:line="252" w:lineRule="auto"/>
        <w:tabs>
          <w:tab w:leader="none" w:pos="220" w:val="left"/>
        </w:tabs>
        <w:numPr>
          <w:ilvl w:val="0"/>
          <w:numId w:val="23"/>
        </w:numPr>
        <w:rPr>
          <w:rFonts w:ascii="Arial" w:cs="Arial" w:eastAsia="Arial" w:hAnsi="Arial"/>
          <w:sz w:val="19"/>
          <w:szCs w:val="19"/>
          <w:color w:val="582C83"/>
        </w:rPr>
      </w:pPr>
      <w:r>
        <w:rPr>
          <w:rFonts w:ascii="Arial" w:cs="Arial" w:eastAsia="Arial" w:hAnsi="Arial"/>
          <w:sz w:val="19"/>
          <w:szCs w:val="19"/>
          <w:color w:val="auto"/>
        </w:rPr>
        <w:t>Annual Board, committee and director self-assessments include candid, one-on-one conversations between the independent Lead Director and each director, in coordination with the Governance Committee.</w:t>
      </w:r>
    </w:p>
    <w:p>
      <w:pPr>
        <w:spacing w:after="0" w:line="3" w:lineRule="exact"/>
        <w:rPr>
          <w:rFonts w:ascii="Arial" w:cs="Arial" w:eastAsia="Arial" w:hAnsi="Arial"/>
          <w:sz w:val="19"/>
          <w:szCs w:val="19"/>
          <w:color w:val="582C83"/>
        </w:rPr>
      </w:pPr>
    </w:p>
    <w:p>
      <w:pPr>
        <w:ind w:left="220" w:hanging="159"/>
        <w:spacing w:after="0" w:line="241" w:lineRule="auto"/>
        <w:tabs>
          <w:tab w:leader="none" w:pos="220" w:val="left"/>
        </w:tabs>
        <w:numPr>
          <w:ilvl w:val="0"/>
          <w:numId w:val="23"/>
        </w:numPr>
        <w:rPr>
          <w:rFonts w:ascii="Arial" w:cs="Arial" w:eastAsia="Arial" w:hAnsi="Arial"/>
          <w:sz w:val="20"/>
          <w:szCs w:val="20"/>
          <w:color w:val="582C83"/>
        </w:rPr>
      </w:pPr>
      <w:r>
        <w:rPr>
          <w:rFonts w:ascii="Arial" w:cs="Arial" w:eastAsia="Arial" w:hAnsi="Arial"/>
          <w:sz w:val="20"/>
          <w:szCs w:val="20"/>
          <w:color w:val="auto"/>
        </w:rPr>
        <w:t>The results of these self-assessments are used in planning Board and committee meetings and agendas, fostering director accountability and committee effectiveness, analyzing Board composition, and making director recruitment and governance decisions.</w:t>
      </w:r>
    </w:p>
    <w:p>
      <w:pPr>
        <w:spacing w:after="0" w:line="20" w:lineRule="exact"/>
        <w:rPr>
          <w:sz w:val="20"/>
          <w:szCs w:val="20"/>
          <w:color w:val="auto"/>
        </w:rPr>
      </w:pPr>
      <w:r>
        <w:rPr>
          <w:sz w:val="20"/>
          <w:szCs w:val="20"/>
          <w:color w:val="auto"/>
        </w:rPr>
        <w:br w:type="column"/>
      </w:r>
    </w:p>
    <w:p>
      <w:pPr>
        <w:ind w:left="167" w:right="360" w:hanging="167"/>
        <w:spacing w:after="0" w:line="254" w:lineRule="auto"/>
        <w:tabs>
          <w:tab w:leader="none" w:pos="167" w:val="left"/>
        </w:tabs>
        <w:numPr>
          <w:ilvl w:val="0"/>
          <w:numId w:val="24"/>
        </w:numPr>
        <w:rPr>
          <w:rFonts w:ascii="Arial" w:cs="Arial" w:eastAsia="Arial" w:hAnsi="Arial"/>
          <w:sz w:val="20"/>
          <w:szCs w:val="20"/>
          <w:color w:val="582C83"/>
        </w:rPr>
      </w:pPr>
      <w:r>
        <w:rPr>
          <w:rFonts w:ascii="Arial" w:cs="Arial" w:eastAsia="Arial" w:hAnsi="Arial"/>
          <w:sz w:val="20"/>
          <w:szCs w:val="20"/>
          <w:color w:val="auto"/>
        </w:rPr>
        <w:t>Promotes continuous process improvement of the Board and committees.</w:t>
      </w:r>
    </w:p>
    <w:p>
      <w:pPr>
        <w:ind w:left="167" w:right="200" w:hanging="167"/>
        <w:spacing w:after="0" w:line="246" w:lineRule="auto"/>
        <w:tabs>
          <w:tab w:leader="none" w:pos="167" w:val="left"/>
        </w:tabs>
        <w:numPr>
          <w:ilvl w:val="0"/>
          <w:numId w:val="24"/>
        </w:numPr>
        <w:rPr>
          <w:rFonts w:ascii="Arial" w:cs="Arial" w:eastAsia="Arial" w:hAnsi="Arial"/>
          <w:sz w:val="20"/>
          <w:szCs w:val="20"/>
          <w:color w:val="582C83"/>
        </w:rPr>
      </w:pPr>
      <w:r>
        <w:rPr>
          <w:rFonts w:ascii="Arial" w:cs="Arial" w:eastAsia="Arial" w:hAnsi="Arial"/>
          <w:sz w:val="20"/>
          <w:szCs w:val="20"/>
          <w:color w:val="auto"/>
        </w:rPr>
        <w:t>Provides an opportunity to discuss individual directors’ contributions and performance and to solicit their views on improving Board and committee performance.</w:t>
      </w:r>
    </w:p>
    <w:p>
      <w:pPr>
        <w:ind w:left="167" w:right="140" w:hanging="167"/>
        <w:spacing w:after="0" w:line="265" w:lineRule="auto"/>
        <w:tabs>
          <w:tab w:leader="none" w:pos="167" w:val="left"/>
        </w:tabs>
        <w:numPr>
          <w:ilvl w:val="0"/>
          <w:numId w:val="24"/>
        </w:numPr>
        <w:rPr>
          <w:rFonts w:ascii="Arial" w:cs="Arial" w:eastAsia="Arial" w:hAnsi="Arial"/>
          <w:sz w:val="20"/>
          <w:szCs w:val="20"/>
          <w:color w:val="582C83"/>
        </w:rPr>
      </w:pPr>
      <w:r>
        <w:rPr>
          <w:rFonts w:ascii="Arial" w:cs="Arial" w:eastAsia="Arial" w:hAnsi="Arial"/>
          <w:sz w:val="20"/>
          <w:szCs w:val="20"/>
          <w:color w:val="auto"/>
        </w:rPr>
        <w:t>Provides a disciplined mechanism for director input into the Board’s evolution and succession planning process.</w:t>
      </w:r>
    </w:p>
    <w:p>
      <w:pPr>
        <w:spacing w:after="0" w:line="681" w:lineRule="exact"/>
        <w:rPr>
          <w:sz w:val="20"/>
          <w:szCs w:val="20"/>
          <w:color w:val="auto"/>
        </w:rPr>
      </w:pPr>
    </w:p>
    <w:p>
      <w:pPr>
        <w:sectPr>
          <w:pgSz w:w="11900" w:h="16838" w:orient="portrait"/>
          <w:cols w:equalWidth="0" w:num="2">
            <w:col w:w="5400" w:space="373"/>
            <w:col w:w="5487"/>
          </w:cols>
          <w:pgMar w:left="320" w:top="132" w:right="319" w:bottom="1440" w:gutter="0" w:footer="0" w:header="0"/>
          <w:type w:val="continuous"/>
        </w:sectPr>
      </w:pPr>
    </w:p>
    <w:tbl>
      <w:tblPr>
        <w:tblLayout w:type="fixed"/>
        <w:tblInd w:w="0" w:type="dxa"/>
        <w:tblCellMar>
          <w:top w:w="0" w:type="dxa"/>
          <w:left w:w="0" w:type="dxa"/>
          <w:bottom w:w="0" w:type="dxa"/>
          <w:right w:w="0" w:type="dxa"/>
        </w:tblCellMar>
      </w:tblPr>
      <w:tr>
        <w:trPr>
          <w:trHeight w:val="297"/>
        </w:trPr>
        <w:tc>
          <w:tcPr>
            <w:tcW w:w="5670" w:type="dxa"/>
            <w:vAlign w:val="bottom"/>
            <w:gridSpan w:val="2"/>
            <w:shd w:val="clear" w:color="auto" w:fill="EBE6F0"/>
          </w:tcPr>
          <w:p>
            <w:pPr>
              <w:ind w:left="80"/>
              <w:spacing w:after="0"/>
              <w:rPr>
                <w:sz w:val="20"/>
                <w:szCs w:val="20"/>
                <w:color w:val="auto"/>
              </w:rPr>
            </w:pPr>
            <w:r>
              <w:rPr>
                <w:rFonts w:ascii="Arial" w:cs="Arial" w:eastAsia="Arial" w:hAnsi="Arial"/>
                <w:sz w:val="20"/>
                <w:szCs w:val="20"/>
                <w:b w:val="1"/>
                <w:bCs w:val="1"/>
                <w:color w:val="582C83"/>
              </w:rPr>
              <w:t>Tenure and Retirement Policies.</w:t>
            </w:r>
          </w:p>
        </w:tc>
        <w:tc>
          <w:tcPr>
            <w:tcW w:w="230" w:type="dxa"/>
            <w:vAlign w:val="bottom"/>
            <w:shd w:val="clear" w:color="auto" w:fill="EBE6F0"/>
          </w:tcPr>
          <w:p>
            <w:pPr>
              <w:ind w:left="110"/>
              <w:spacing w:after="0"/>
              <w:rPr>
                <w:sz w:val="20"/>
                <w:szCs w:val="20"/>
                <w:color w:val="auto"/>
              </w:rPr>
            </w:pPr>
            <w:r>
              <w:rPr>
                <w:rFonts w:ascii="Arial" w:cs="Arial" w:eastAsia="Arial" w:hAnsi="Arial"/>
                <w:sz w:val="20"/>
                <w:szCs w:val="20"/>
                <w:color w:val="582C83"/>
              </w:rPr>
              <w:t>•</w:t>
            </w:r>
          </w:p>
        </w:tc>
        <w:tc>
          <w:tcPr>
            <w:tcW w:w="5360" w:type="dxa"/>
            <w:vAlign w:val="bottom"/>
            <w:shd w:val="clear" w:color="auto" w:fill="EBE6F0"/>
          </w:tcPr>
          <w:p>
            <w:pPr>
              <w:ind w:left="60"/>
              <w:spacing w:after="0"/>
              <w:rPr>
                <w:sz w:val="20"/>
                <w:szCs w:val="20"/>
                <w:color w:val="auto"/>
              </w:rPr>
            </w:pPr>
            <w:r>
              <w:rPr>
                <w:rFonts w:ascii="Arial" w:cs="Arial" w:eastAsia="Arial" w:hAnsi="Arial"/>
                <w:sz w:val="20"/>
                <w:szCs w:val="20"/>
                <w:color w:val="auto"/>
              </w:rPr>
              <w:t>Promotes ongoing evolution and refreshment.</w:t>
            </w:r>
          </w:p>
        </w:tc>
      </w:tr>
      <w:tr>
        <w:trPr>
          <w:trHeight w:val="223"/>
        </w:trPr>
        <w:tc>
          <w:tcPr>
            <w:tcW w:w="20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color w:val="582C83"/>
              </w:rPr>
              <w:t>•</w:t>
            </w:r>
          </w:p>
        </w:tc>
        <w:tc>
          <w:tcPr>
            <w:tcW w:w="5470" w:type="dxa"/>
            <w:vAlign w:val="bottom"/>
            <w:shd w:val="clear" w:color="auto" w:fill="EBE6F0"/>
          </w:tcPr>
          <w:p>
            <w:pPr>
              <w:ind w:left="40"/>
              <w:spacing w:after="0" w:line="224" w:lineRule="exact"/>
              <w:rPr>
                <w:sz w:val="20"/>
                <w:szCs w:val="20"/>
                <w:color w:val="auto"/>
              </w:rPr>
            </w:pPr>
            <w:r>
              <w:rPr>
                <w:rFonts w:ascii="Arial" w:cs="Arial" w:eastAsia="Arial" w:hAnsi="Arial"/>
                <w:sz w:val="20"/>
                <w:szCs w:val="20"/>
                <w:color w:val="auto"/>
              </w:rPr>
              <w:t>Non-employee directors have a term limit of 15 years.</w:t>
            </w:r>
          </w:p>
        </w:tc>
        <w:tc>
          <w:tcPr>
            <w:tcW w:w="230" w:type="dxa"/>
            <w:vAlign w:val="bottom"/>
            <w:shd w:val="clear" w:color="auto" w:fill="EBE6F0"/>
          </w:tcPr>
          <w:p>
            <w:pPr>
              <w:ind w:left="110"/>
              <w:spacing w:after="0" w:line="224" w:lineRule="exact"/>
              <w:rPr>
                <w:sz w:val="20"/>
                <w:szCs w:val="20"/>
                <w:color w:val="auto"/>
              </w:rPr>
            </w:pPr>
            <w:r>
              <w:rPr>
                <w:rFonts w:ascii="Arial" w:cs="Arial" w:eastAsia="Arial" w:hAnsi="Arial"/>
                <w:sz w:val="20"/>
                <w:szCs w:val="20"/>
                <w:color w:val="582C83"/>
              </w:rPr>
              <w:t>•</w:t>
            </w:r>
          </w:p>
        </w:tc>
        <w:tc>
          <w:tcPr>
            <w:tcW w:w="536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auto"/>
              </w:rPr>
              <w:t>Average tenure for current non-employee directors is</w:t>
            </w:r>
          </w:p>
        </w:tc>
      </w:tr>
      <w:tr>
        <w:trPr>
          <w:trHeight w:val="261"/>
        </w:trPr>
        <w:tc>
          <w:tcPr>
            <w:tcW w:w="200" w:type="dxa"/>
            <w:vAlign w:val="bottom"/>
            <w:shd w:val="clear" w:color="auto" w:fill="EBE6F0"/>
          </w:tcPr>
          <w:p>
            <w:pPr>
              <w:ind w:left="80"/>
              <w:spacing w:after="0"/>
              <w:rPr>
                <w:sz w:val="20"/>
                <w:szCs w:val="20"/>
                <w:color w:val="auto"/>
              </w:rPr>
            </w:pPr>
            <w:r>
              <w:rPr>
                <w:rFonts w:ascii="Arial" w:cs="Arial" w:eastAsia="Arial" w:hAnsi="Arial"/>
                <w:sz w:val="20"/>
                <w:szCs w:val="20"/>
                <w:color w:val="582C83"/>
              </w:rPr>
              <w:t>•</w:t>
            </w:r>
          </w:p>
        </w:tc>
        <w:tc>
          <w:tcPr>
            <w:tcW w:w="5470" w:type="dxa"/>
            <w:vAlign w:val="bottom"/>
            <w:shd w:val="clear" w:color="auto" w:fill="EBE6F0"/>
          </w:tcPr>
          <w:p>
            <w:pPr>
              <w:ind w:left="40"/>
              <w:spacing w:after="0"/>
              <w:rPr>
                <w:sz w:val="20"/>
                <w:szCs w:val="20"/>
                <w:color w:val="auto"/>
              </w:rPr>
            </w:pPr>
            <w:r>
              <w:rPr>
                <w:rFonts w:ascii="Arial" w:cs="Arial" w:eastAsia="Arial" w:hAnsi="Arial"/>
                <w:sz w:val="20"/>
                <w:szCs w:val="20"/>
                <w:color w:val="auto"/>
              </w:rPr>
              <w:t>Non-employee directors will not be nominated for election</w:t>
            </w:r>
          </w:p>
        </w:tc>
        <w:tc>
          <w:tcPr>
            <w:tcW w:w="230" w:type="dxa"/>
            <w:vAlign w:val="bottom"/>
            <w:shd w:val="clear" w:color="auto" w:fill="EBE6F0"/>
          </w:tcPr>
          <w:p>
            <w:pPr>
              <w:spacing w:after="0"/>
              <w:rPr>
                <w:sz w:val="22"/>
                <w:szCs w:val="22"/>
                <w:color w:val="auto"/>
              </w:rPr>
            </w:pPr>
          </w:p>
        </w:tc>
        <w:tc>
          <w:tcPr>
            <w:tcW w:w="5360" w:type="dxa"/>
            <w:vAlign w:val="bottom"/>
            <w:shd w:val="clear" w:color="auto" w:fill="EBE6F0"/>
          </w:tcPr>
          <w:p>
            <w:pPr>
              <w:ind w:left="60"/>
              <w:spacing w:after="0"/>
              <w:rPr>
                <w:sz w:val="20"/>
                <w:szCs w:val="20"/>
                <w:color w:val="auto"/>
              </w:rPr>
            </w:pPr>
            <w:r>
              <w:rPr>
                <w:rFonts w:ascii="Arial" w:cs="Arial" w:eastAsia="Arial" w:hAnsi="Arial"/>
                <w:sz w:val="20"/>
                <w:szCs w:val="20"/>
                <w:color w:val="auto"/>
              </w:rPr>
              <w:t>approximately six years.</w:t>
            </w:r>
          </w:p>
        </w:tc>
      </w:tr>
      <w:tr>
        <w:trPr>
          <w:trHeight w:val="264"/>
        </w:trPr>
        <w:tc>
          <w:tcPr>
            <w:tcW w:w="200" w:type="dxa"/>
            <w:vAlign w:val="bottom"/>
            <w:shd w:val="clear" w:color="auto" w:fill="EBE6F0"/>
          </w:tcPr>
          <w:p>
            <w:pPr>
              <w:spacing w:after="0"/>
              <w:rPr>
                <w:sz w:val="22"/>
                <w:szCs w:val="22"/>
                <w:color w:val="auto"/>
              </w:rPr>
            </w:pPr>
          </w:p>
        </w:tc>
        <w:tc>
          <w:tcPr>
            <w:tcW w:w="5470" w:type="dxa"/>
            <w:vAlign w:val="bottom"/>
            <w:shd w:val="clear" w:color="auto" w:fill="EBE6F0"/>
          </w:tcPr>
          <w:p>
            <w:pPr>
              <w:ind w:left="40"/>
              <w:spacing w:after="0"/>
              <w:rPr>
                <w:sz w:val="20"/>
                <w:szCs w:val="20"/>
                <w:color w:val="auto"/>
              </w:rPr>
            </w:pPr>
            <w:r>
              <w:rPr>
                <w:rFonts w:ascii="Arial" w:cs="Arial" w:eastAsia="Arial" w:hAnsi="Arial"/>
                <w:sz w:val="20"/>
                <w:szCs w:val="20"/>
                <w:color w:val="auto"/>
              </w:rPr>
              <w:t>to the Board after their 75th birthday.</w:t>
            </w:r>
          </w:p>
        </w:tc>
        <w:tc>
          <w:tcPr>
            <w:tcW w:w="230" w:type="dxa"/>
            <w:vAlign w:val="bottom"/>
            <w:shd w:val="clear" w:color="auto" w:fill="EBE6F0"/>
          </w:tcPr>
          <w:p>
            <w:pPr>
              <w:spacing w:after="0"/>
              <w:rPr>
                <w:sz w:val="22"/>
                <w:szCs w:val="22"/>
                <w:color w:val="auto"/>
              </w:rPr>
            </w:pPr>
          </w:p>
        </w:tc>
        <w:tc>
          <w:tcPr>
            <w:tcW w:w="5360" w:type="dxa"/>
            <w:vAlign w:val="bottom"/>
            <w:shd w:val="clear" w:color="auto" w:fill="EBE6F0"/>
          </w:tcPr>
          <w:p>
            <w:pPr>
              <w:spacing w:after="0"/>
              <w:rPr>
                <w:sz w:val="22"/>
                <w:szCs w:val="22"/>
                <w:color w:val="auto"/>
              </w:rPr>
            </w:pPr>
          </w:p>
        </w:tc>
      </w:tr>
      <w:tr>
        <w:trPr>
          <w:trHeight w:val="48"/>
        </w:trPr>
        <w:tc>
          <w:tcPr>
            <w:tcW w:w="200" w:type="dxa"/>
            <w:vAlign w:val="bottom"/>
            <w:shd w:val="clear" w:color="auto" w:fill="EBE6F0"/>
          </w:tcPr>
          <w:p>
            <w:pPr>
              <w:spacing w:after="0"/>
              <w:rPr>
                <w:sz w:val="4"/>
                <w:szCs w:val="4"/>
                <w:color w:val="auto"/>
              </w:rPr>
            </w:pPr>
          </w:p>
        </w:tc>
        <w:tc>
          <w:tcPr>
            <w:tcW w:w="5470" w:type="dxa"/>
            <w:vAlign w:val="bottom"/>
            <w:shd w:val="clear" w:color="auto" w:fill="EBE6F0"/>
          </w:tcPr>
          <w:p>
            <w:pPr>
              <w:spacing w:after="0"/>
              <w:rPr>
                <w:sz w:val="4"/>
                <w:szCs w:val="4"/>
                <w:color w:val="auto"/>
              </w:rPr>
            </w:pPr>
          </w:p>
        </w:tc>
        <w:tc>
          <w:tcPr>
            <w:tcW w:w="230" w:type="dxa"/>
            <w:vAlign w:val="bottom"/>
            <w:shd w:val="clear" w:color="auto" w:fill="EBE6F0"/>
          </w:tcPr>
          <w:p>
            <w:pPr>
              <w:spacing w:after="0"/>
              <w:rPr>
                <w:sz w:val="4"/>
                <w:szCs w:val="4"/>
                <w:color w:val="auto"/>
              </w:rPr>
            </w:pPr>
          </w:p>
        </w:tc>
        <w:tc>
          <w:tcPr>
            <w:tcW w:w="5360" w:type="dxa"/>
            <w:vAlign w:val="bottom"/>
            <w:shd w:val="clear" w:color="auto" w:fill="EBE6F0"/>
          </w:tcPr>
          <w:p>
            <w:pPr>
              <w:spacing w:after="0"/>
              <w:rPr>
                <w:sz w:val="4"/>
                <w:szCs w:val="4"/>
                <w:color w:val="auto"/>
              </w:rPr>
            </w:pPr>
          </w:p>
        </w:tc>
      </w:tr>
    </w:tbl>
    <w:p>
      <w:pPr>
        <w:spacing w:after="0" w:line="24" w:lineRule="exact"/>
        <w:rPr>
          <w:sz w:val="20"/>
          <w:szCs w:val="20"/>
          <w:color w:val="auto"/>
        </w:rPr>
      </w:pPr>
    </w:p>
    <w:p>
      <w:pPr>
        <w:sectPr>
          <w:pgSz w:w="11900" w:h="16838" w:orient="portrait"/>
          <w:cols w:equalWidth="0" w:num="1">
            <w:col w:w="11260"/>
          </w:cols>
          <w:pgMar w:left="320" w:top="132" w:right="319" w:bottom="1440" w:gutter="0" w:footer="0" w:header="0"/>
          <w:type w:val="continuous"/>
        </w:sectPr>
      </w:pPr>
    </w:p>
    <w:p>
      <w:pPr>
        <w:ind w:left="60"/>
        <w:spacing w:after="0" w:line="242" w:lineRule="auto"/>
        <w:rPr>
          <w:sz w:val="20"/>
          <w:szCs w:val="20"/>
          <w:color w:val="auto"/>
        </w:rPr>
      </w:pPr>
      <w:r>
        <w:rPr>
          <w:rFonts w:ascii="Arial" w:cs="Arial" w:eastAsia="Arial" w:hAnsi="Arial"/>
          <w:sz w:val="20"/>
          <w:szCs w:val="20"/>
          <w:b w:val="1"/>
          <w:bCs w:val="1"/>
          <w:color w:val="582C83"/>
        </w:rPr>
        <w:t xml:space="preserve">Ongoing Director Succession Planning. </w:t>
      </w:r>
      <w:r>
        <w:rPr>
          <w:rFonts w:ascii="Arial" w:cs="Arial" w:eastAsia="Arial" w:hAnsi="Arial"/>
          <w:sz w:val="20"/>
          <w:szCs w:val="20"/>
          <w:color w:val="000000"/>
        </w:rPr>
        <w:t>The Guidelines</w:t>
      </w:r>
      <w:r>
        <w:rPr>
          <w:rFonts w:ascii="Arial" w:cs="Arial" w:eastAsia="Arial" w:hAnsi="Arial"/>
          <w:sz w:val="20"/>
          <w:szCs w:val="20"/>
          <w:b w:val="1"/>
          <w:bCs w:val="1"/>
          <w:color w:val="582C83"/>
        </w:rPr>
        <w:t xml:space="preserve"> </w:t>
      </w:r>
      <w:r>
        <w:rPr>
          <w:rFonts w:ascii="Arial" w:cs="Arial" w:eastAsia="Arial" w:hAnsi="Arial"/>
          <w:sz w:val="20"/>
          <w:szCs w:val="20"/>
          <w:color w:val="000000"/>
        </w:rPr>
        <w:t>provide that the Governance Committee actively seeks out (and instructs any search firm it engages to provide) women and minority candidates to include in the pool from which director nominees are chosen.</w:t>
      </w:r>
    </w:p>
    <w:p>
      <w:pPr>
        <w:spacing w:after="0" w:line="20" w:lineRule="exact"/>
        <w:rPr>
          <w:sz w:val="20"/>
          <w:szCs w:val="20"/>
          <w:color w:val="auto"/>
        </w:rPr>
      </w:pPr>
      <w:r>
        <w:rPr>
          <w:sz w:val="20"/>
          <w:szCs w:val="20"/>
          <w:color w:val="auto"/>
        </w:rPr>
        <w:br w:type="column"/>
      </w:r>
    </w:p>
    <w:p>
      <w:pPr>
        <w:ind w:right="140"/>
        <w:spacing w:after="0" w:line="250" w:lineRule="auto"/>
        <w:rPr>
          <w:sz w:val="20"/>
          <w:szCs w:val="20"/>
          <w:color w:val="auto"/>
        </w:rPr>
      </w:pPr>
      <w:r>
        <w:rPr>
          <w:rFonts w:ascii="Arial" w:cs="Arial" w:eastAsia="Arial" w:hAnsi="Arial"/>
          <w:sz w:val="20"/>
          <w:szCs w:val="20"/>
          <w:color w:val="auto"/>
        </w:rPr>
        <w:t>Maintaining a diverse Board with varying backgrounds, skills, expertise, gender and race promotes diversity, equity and inclusion in decision-making and oversight.</w:t>
      </w:r>
    </w:p>
    <w:p>
      <w:pPr>
        <w:spacing w:after="0" w:line="474" w:lineRule="exact"/>
        <w:rPr>
          <w:sz w:val="20"/>
          <w:szCs w:val="20"/>
          <w:color w:val="auto"/>
        </w:rPr>
      </w:pPr>
    </w:p>
    <w:p>
      <w:pPr>
        <w:sectPr>
          <w:pgSz w:w="11900" w:h="16838" w:orient="portrait"/>
          <w:cols w:equalWidth="0" w:num="2">
            <w:col w:w="5320" w:space="460"/>
            <w:col w:w="5480"/>
          </w:cols>
          <w:pgMar w:left="320" w:top="132" w:right="31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572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582C83"/>
              </w:rPr>
              <w:t>Limitations on Other Board Service.</w:t>
            </w:r>
          </w:p>
        </w:tc>
        <w:tc>
          <w:tcPr>
            <w:tcW w:w="5540" w:type="dxa"/>
            <w:vAlign w:val="bottom"/>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Ensures that directors have sufficient time to fulfill their</w:t>
            </w:r>
          </w:p>
        </w:tc>
      </w:tr>
      <w:tr>
        <w:trPr>
          <w:trHeight w:val="261"/>
        </w:trPr>
        <w:tc>
          <w:tcPr>
            <w:tcW w:w="5720" w:type="dxa"/>
            <w:vAlign w:val="bottom"/>
            <w:shd w:val="clear" w:color="auto" w:fill="EBE6F0"/>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Directors should not serve on more than three public</w:t>
            </w:r>
          </w:p>
        </w:tc>
        <w:tc>
          <w:tcPr>
            <w:tcW w:w="5540" w:type="dxa"/>
            <w:vAlign w:val="bottom"/>
            <w:shd w:val="clear" w:color="auto" w:fill="EBE6F0"/>
          </w:tcPr>
          <w:p>
            <w:pPr>
              <w:ind w:left="240"/>
              <w:spacing w:after="0"/>
              <w:rPr>
                <w:sz w:val="20"/>
                <w:szCs w:val="20"/>
                <w:color w:val="auto"/>
              </w:rPr>
            </w:pPr>
            <w:r>
              <w:rPr>
                <w:rFonts w:ascii="Arial" w:cs="Arial" w:eastAsia="Arial" w:hAnsi="Arial"/>
                <w:sz w:val="20"/>
                <w:szCs w:val="20"/>
                <w:color w:val="auto"/>
              </w:rPr>
              <w:t>fiduciary duties to the Company.</w:t>
            </w:r>
          </w:p>
        </w:tc>
      </w:tr>
      <w:tr>
        <w:trPr>
          <w:trHeight w:val="261"/>
        </w:trPr>
        <w:tc>
          <w:tcPr>
            <w:tcW w:w="5720" w:type="dxa"/>
            <w:vAlign w:val="bottom"/>
            <w:shd w:val="clear" w:color="auto" w:fill="EBE6F0"/>
          </w:tcPr>
          <w:p>
            <w:pPr>
              <w:ind w:left="240"/>
              <w:spacing w:after="0"/>
              <w:rPr>
                <w:sz w:val="20"/>
                <w:szCs w:val="20"/>
                <w:color w:val="auto"/>
              </w:rPr>
            </w:pPr>
            <w:r>
              <w:rPr>
                <w:rFonts w:ascii="Arial" w:cs="Arial" w:eastAsia="Arial" w:hAnsi="Arial"/>
                <w:sz w:val="20"/>
                <w:szCs w:val="20"/>
                <w:color w:val="auto"/>
              </w:rPr>
              <w:t>company boards in addition to our Board.</w:t>
            </w:r>
          </w:p>
        </w:tc>
        <w:tc>
          <w:tcPr>
            <w:tcW w:w="5540" w:type="dxa"/>
            <w:vAlign w:val="bottom"/>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All directors comply with this policy.</w:t>
            </w:r>
          </w:p>
        </w:tc>
      </w:tr>
      <w:tr>
        <w:trPr>
          <w:trHeight w:val="223"/>
        </w:trPr>
        <w:tc>
          <w:tcPr>
            <w:tcW w:w="572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Directors who also serve as CEO at another public</w:t>
            </w:r>
          </w:p>
        </w:tc>
        <w:tc>
          <w:tcPr>
            <w:tcW w:w="5540" w:type="dxa"/>
            <w:vAlign w:val="bottom"/>
            <w:shd w:val="clear" w:color="auto" w:fill="EBE6F0"/>
          </w:tcPr>
          <w:p>
            <w:pPr>
              <w:spacing w:after="0"/>
              <w:rPr>
                <w:sz w:val="19"/>
                <w:szCs w:val="19"/>
                <w:color w:val="auto"/>
              </w:rPr>
            </w:pPr>
          </w:p>
        </w:tc>
      </w:tr>
      <w:tr>
        <w:trPr>
          <w:trHeight w:val="223"/>
        </w:trPr>
        <w:tc>
          <w:tcPr>
            <w:tcW w:w="5720" w:type="dxa"/>
            <w:vAlign w:val="bottom"/>
            <w:shd w:val="clear" w:color="auto" w:fill="EBE6F0"/>
          </w:tcPr>
          <w:p>
            <w:pPr>
              <w:ind w:left="240"/>
              <w:spacing w:after="0" w:line="224" w:lineRule="exact"/>
              <w:rPr>
                <w:sz w:val="20"/>
                <w:szCs w:val="20"/>
                <w:color w:val="auto"/>
              </w:rPr>
            </w:pPr>
            <w:r>
              <w:rPr>
                <w:rFonts w:ascii="Arial" w:cs="Arial" w:eastAsia="Arial" w:hAnsi="Arial"/>
                <w:sz w:val="20"/>
                <w:szCs w:val="20"/>
                <w:color w:val="auto"/>
              </w:rPr>
              <w:t>company should not serve on more than two public</w:t>
            </w:r>
          </w:p>
        </w:tc>
        <w:tc>
          <w:tcPr>
            <w:tcW w:w="5540" w:type="dxa"/>
            <w:vAlign w:val="bottom"/>
            <w:shd w:val="clear" w:color="auto" w:fill="EBE6F0"/>
          </w:tcPr>
          <w:p>
            <w:pPr>
              <w:spacing w:after="0"/>
              <w:rPr>
                <w:sz w:val="19"/>
                <w:szCs w:val="19"/>
                <w:color w:val="auto"/>
              </w:rPr>
            </w:pPr>
          </w:p>
        </w:tc>
      </w:tr>
      <w:tr>
        <w:trPr>
          <w:trHeight w:val="292"/>
        </w:trPr>
        <w:tc>
          <w:tcPr>
            <w:tcW w:w="5720" w:type="dxa"/>
            <w:vAlign w:val="bottom"/>
            <w:tcBorders>
              <w:bottom w:val="single" w:sz="8" w:color="EBE6F0"/>
            </w:tcBorders>
            <w:shd w:val="clear" w:color="auto" w:fill="EBE6F0"/>
          </w:tcPr>
          <w:p>
            <w:pPr>
              <w:ind w:left="240"/>
              <w:spacing w:after="0"/>
              <w:rPr>
                <w:sz w:val="20"/>
                <w:szCs w:val="20"/>
                <w:color w:val="auto"/>
              </w:rPr>
            </w:pPr>
            <w:r>
              <w:rPr>
                <w:rFonts w:ascii="Arial" w:cs="Arial" w:eastAsia="Arial" w:hAnsi="Arial"/>
                <w:sz w:val="20"/>
                <w:szCs w:val="20"/>
                <w:color w:val="auto"/>
              </w:rPr>
              <w:t>company boards in addition to our Board.</w:t>
            </w:r>
          </w:p>
        </w:tc>
        <w:tc>
          <w:tcPr>
            <w:tcW w:w="5540" w:type="dxa"/>
            <w:vAlign w:val="bottom"/>
            <w:tcBorders>
              <w:bottom w:val="single" w:sz="8" w:color="EBE6F0"/>
            </w:tcBorders>
            <w:shd w:val="clear" w:color="auto" w:fill="EBE6F0"/>
          </w:tcPr>
          <w:p>
            <w:pPr>
              <w:spacing w:after="0"/>
              <w:rPr>
                <w:sz w:val="24"/>
                <w:szCs w:val="24"/>
                <w:color w:val="auto"/>
              </w:rPr>
            </w:pPr>
          </w:p>
        </w:tc>
      </w:tr>
      <w:tr>
        <w:trPr>
          <w:trHeight w:val="247"/>
        </w:trPr>
        <w:tc>
          <w:tcPr>
            <w:tcW w:w="5720" w:type="dxa"/>
            <w:vAlign w:val="bottom"/>
          </w:tcPr>
          <w:p>
            <w:pPr>
              <w:ind w:left="60"/>
              <w:spacing w:after="0"/>
              <w:rPr>
                <w:sz w:val="20"/>
                <w:szCs w:val="20"/>
                <w:color w:val="auto"/>
              </w:rPr>
            </w:pPr>
            <w:r>
              <w:rPr>
                <w:rFonts w:ascii="Arial" w:cs="Arial" w:eastAsia="Arial" w:hAnsi="Arial"/>
                <w:sz w:val="20"/>
                <w:szCs w:val="20"/>
                <w:b w:val="1"/>
                <w:bCs w:val="1"/>
                <w:color w:val="582C83"/>
              </w:rPr>
              <w:t xml:space="preserve">Annual Election of Directors. </w:t>
            </w:r>
            <w:r>
              <w:rPr>
                <w:rFonts w:ascii="Arial" w:cs="Arial" w:eastAsia="Arial" w:hAnsi="Arial"/>
                <w:sz w:val="20"/>
                <w:szCs w:val="20"/>
                <w:color w:val="000000"/>
              </w:rPr>
              <w:t>Shareholders elect directors</w:t>
            </w:r>
          </w:p>
        </w:tc>
        <w:tc>
          <w:tcPr>
            <w:tcW w:w="5540" w:type="dxa"/>
            <w:vAlign w:val="bottom"/>
          </w:tcPr>
          <w:p>
            <w:pPr>
              <w:ind w:left="60"/>
              <w:spacing w:after="0"/>
              <w:rPr>
                <w:sz w:val="20"/>
                <w:szCs w:val="20"/>
                <w:color w:val="auto"/>
              </w:rPr>
            </w:pPr>
            <w:r>
              <w:rPr>
                <w:rFonts w:ascii="Arial" w:cs="Arial" w:eastAsia="Arial" w:hAnsi="Arial"/>
                <w:sz w:val="20"/>
                <w:szCs w:val="20"/>
                <w:color w:val="auto"/>
              </w:rPr>
              <w:t>Strengthens Board, committee and individual director</w:t>
            </w:r>
          </w:p>
        </w:tc>
      </w:tr>
      <w:tr>
        <w:trPr>
          <w:trHeight w:val="264"/>
        </w:trPr>
        <w:tc>
          <w:tcPr>
            <w:tcW w:w="5720" w:type="dxa"/>
            <w:vAlign w:val="bottom"/>
          </w:tcPr>
          <w:p>
            <w:pPr>
              <w:ind w:left="60"/>
              <w:spacing w:after="0"/>
              <w:rPr>
                <w:sz w:val="20"/>
                <w:szCs w:val="20"/>
                <w:color w:val="auto"/>
              </w:rPr>
            </w:pPr>
            <w:r>
              <w:rPr>
                <w:rFonts w:ascii="Arial" w:cs="Arial" w:eastAsia="Arial" w:hAnsi="Arial"/>
                <w:sz w:val="20"/>
                <w:szCs w:val="20"/>
                <w:color w:val="auto"/>
              </w:rPr>
              <w:t>annually by majority vote in uncontested elections.</w:t>
            </w:r>
          </w:p>
        </w:tc>
        <w:tc>
          <w:tcPr>
            <w:tcW w:w="5540" w:type="dxa"/>
            <w:vAlign w:val="bottom"/>
          </w:tcPr>
          <w:p>
            <w:pPr>
              <w:ind w:left="60"/>
              <w:spacing w:after="0"/>
              <w:rPr>
                <w:sz w:val="20"/>
                <w:szCs w:val="20"/>
                <w:color w:val="auto"/>
              </w:rPr>
            </w:pPr>
            <w:r>
              <w:rPr>
                <w:rFonts w:ascii="Arial" w:cs="Arial" w:eastAsia="Arial" w:hAnsi="Arial"/>
                <w:sz w:val="20"/>
                <w:szCs w:val="20"/>
                <w:color w:val="auto"/>
              </w:rPr>
              <w:t>accountability.</w:t>
            </w:r>
          </w:p>
        </w:tc>
      </w:tr>
      <w:tr>
        <w:trPr>
          <w:trHeight w:val="35"/>
        </w:trPr>
        <w:tc>
          <w:tcPr>
            <w:tcW w:w="5720" w:type="dxa"/>
            <w:vAlign w:val="bottom"/>
          </w:tcPr>
          <w:p>
            <w:pPr>
              <w:spacing w:after="0"/>
              <w:rPr>
                <w:sz w:val="3"/>
                <w:szCs w:val="3"/>
                <w:color w:val="auto"/>
              </w:rPr>
            </w:pPr>
          </w:p>
        </w:tc>
        <w:tc>
          <w:tcPr>
            <w:tcW w:w="5540" w:type="dxa"/>
            <w:vAlign w:val="bottom"/>
          </w:tcPr>
          <w:p>
            <w:pPr>
              <w:spacing w:after="0"/>
              <w:rPr>
                <w:sz w:val="3"/>
                <w:szCs w:val="3"/>
                <w:color w:val="auto"/>
              </w:rPr>
            </w:pPr>
          </w:p>
        </w:tc>
      </w:tr>
      <w:tr>
        <w:trPr>
          <w:trHeight w:val="260"/>
        </w:trPr>
        <w:tc>
          <w:tcPr>
            <w:tcW w:w="572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582C83"/>
              </w:rPr>
              <w:t xml:space="preserve">Proxy Access. </w:t>
            </w:r>
            <w:r>
              <w:rPr>
                <w:rFonts w:ascii="Arial" w:cs="Arial" w:eastAsia="Arial" w:hAnsi="Arial"/>
                <w:sz w:val="20"/>
                <w:szCs w:val="20"/>
                <w:color w:val="000000"/>
              </w:rPr>
              <w:t>Shareholders that own 3% or more of our</w:t>
            </w:r>
          </w:p>
        </w:tc>
        <w:tc>
          <w:tcPr>
            <w:tcW w:w="5540" w:type="dxa"/>
            <w:vAlign w:val="bottom"/>
            <w:shd w:val="clear" w:color="auto" w:fill="EBE6F0"/>
          </w:tcPr>
          <w:p>
            <w:pPr>
              <w:ind w:left="60"/>
              <w:spacing w:after="0"/>
              <w:rPr>
                <w:sz w:val="20"/>
                <w:szCs w:val="20"/>
                <w:color w:val="auto"/>
              </w:rPr>
            </w:pPr>
            <w:r>
              <w:rPr>
                <w:rFonts w:ascii="Arial" w:cs="Arial" w:eastAsia="Arial" w:hAnsi="Arial"/>
                <w:sz w:val="20"/>
                <w:szCs w:val="20"/>
                <w:color w:val="auto"/>
              </w:rPr>
              <w:t>Strengthens Board accountability and encourages</w:t>
            </w:r>
          </w:p>
        </w:tc>
      </w:tr>
      <w:tr>
        <w:trPr>
          <w:trHeight w:val="223"/>
        </w:trPr>
        <w:tc>
          <w:tcPr>
            <w:tcW w:w="572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color w:val="auto"/>
              </w:rPr>
              <w:t>outstanding Common Stock continuously for at least three</w:t>
            </w:r>
          </w:p>
        </w:tc>
        <w:tc>
          <w:tcPr>
            <w:tcW w:w="554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auto"/>
              </w:rPr>
              <w:t>engagement with shareholders regarding Board composition.</w:t>
            </w:r>
          </w:p>
        </w:tc>
      </w:tr>
      <w:tr>
        <w:trPr>
          <w:trHeight w:val="223"/>
        </w:trPr>
        <w:tc>
          <w:tcPr>
            <w:tcW w:w="572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color w:val="auto"/>
              </w:rPr>
              <w:t>years may nominate up to two director nominees to our</w:t>
            </w:r>
          </w:p>
        </w:tc>
        <w:tc>
          <w:tcPr>
            <w:tcW w:w="5540" w:type="dxa"/>
            <w:vAlign w:val="bottom"/>
            <w:shd w:val="clear" w:color="auto" w:fill="EBE6F0"/>
          </w:tcPr>
          <w:p>
            <w:pPr>
              <w:spacing w:after="0"/>
              <w:rPr>
                <w:sz w:val="19"/>
                <w:szCs w:val="19"/>
                <w:color w:val="auto"/>
              </w:rPr>
            </w:pPr>
          </w:p>
        </w:tc>
      </w:tr>
      <w:tr>
        <w:trPr>
          <w:trHeight w:val="264"/>
        </w:trPr>
        <w:tc>
          <w:tcPr>
            <w:tcW w:w="5720" w:type="dxa"/>
            <w:vAlign w:val="bottom"/>
            <w:shd w:val="clear" w:color="auto" w:fill="EBE6F0"/>
          </w:tcPr>
          <w:p>
            <w:pPr>
              <w:ind w:left="80"/>
              <w:spacing w:after="0"/>
              <w:rPr>
                <w:sz w:val="20"/>
                <w:szCs w:val="20"/>
                <w:color w:val="auto"/>
              </w:rPr>
            </w:pPr>
            <w:r>
              <w:rPr>
                <w:rFonts w:ascii="Arial" w:cs="Arial" w:eastAsia="Arial" w:hAnsi="Arial"/>
                <w:sz w:val="20"/>
                <w:szCs w:val="20"/>
                <w:color w:val="auto"/>
              </w:rPr>
              <w:t>Proxy Statement.</w:t>
            </w:r>
          </w:p>
        </w:tc>
        <w:tc>
          <w:tcPr>
            <w:tcW w:w="5540" w:type="dxa"/>
            <w:vAlign w:val="bottom"/>
            <w:shd w:val="clear" w:color="auto" w:fill="EBE6F0"/>
          </w:tcPr>
          <w:p>
            <w:pPr>
              <w:spacing w:after="0"/>
              <w:rPr>
                <w:sz w:val="22"/>
                <w:szCs w:val="22"/>
                <w:color w:val="auto"/>
              </w:rPr>
            </w:pPr>
          </w:p>
        </w:tc>
      </w:tr>
      <w:tr>
        <w:trPr>
          <w:trHeight w:val="48"/>
        </w:trPr>
        <w:tc>
          <w:tcPr>
            <w:tcW w:w="5720" w:type="dxa"/>
            <w:vAlign w:val="bottom"/>
            <w:shd w:val="clear" w:color="auto" w:fill="EBE6F0"/>
          </w:tcPr>
          <w:p>
            <w:pPr>
              <w:spacing w:after="0"/>
              <w:rPr>
                <w:sz w:val="4"/>
                <w:szCs w:val="4"/>
                <w:color w:val="auto"/>
              </w:rPr>
            </w:pPr>
          </w:p>
        </w:tc>
        <w:tc>
          <w:tcPr>
            <w:tcW w:w="5540" w:type="dxa"/>
            <w:vAlign w:val="bottom"/>
            <w:shd w:val="clear" w:color="auto" w:fill="EBE6F0"/>
          </w:tcPr>
          <w:p>
            <w:pPr>
              <w:spacing w:after="0"/>
              <w:rPr>
                <w:sz w:val="4"/>
                <w:szCs w:val="4"/>
                <w:color w:val="auto"/>
              </w:rPr>
            </w:pPr>
          </w:p>
        </w:tc>
      </w:tr>
    </w:tbl>
    <w:p>
      <w:pPr>
        <w:spacing w:after="0" w:line="24" w:lineRule="exact"/>
        <w:rPr>
          <w:sz w:val="20"/>
          <w:szCs w:val="20"/>
          <w:color w:val="auto"/>
        </w:rPr>
      </w:pPr>
    </w:p>
    <w:p>
      <w:pPr>
        <w:sectPr>
          <w:pgSz w:w="11900" w:h="16838" w:orient="portrait"/>
          <w:cols w:equalWidth="0" w:num="1">
            <w:col w:w="11260"/>
          </w:cols>
          <w:pgMar w:left="320" w:top="132" w:right="319" w:bottom="1440" w:gutter="0" w:footer="0" w:header="0"/>
          <w:type w:val="continuous"/>
        </w:sectPr>
      </w:pPr>
    </w:p>
    <w:p>
      <w:pPr>
        <w:jc w:val="both"/>
        <w:ind w:left="60"/>
        <w:spacing w:after="0" w:line="250" w:lineRule="auto"/>
        <w:rPr>
          <w:sz w:val="20"/>
          <w:szCs w:val="20"/>
          <w:color w:val="auto"/>
        </w:rPr>
      </w:pPr>
      <w:r>
        <w:rPr>
          <w:rFonts w:ascii="Arial" w:cs="Arial" w:eastAsia="Arial" w:hAnsi="Arial"/>
          <w:sz w:val="20"/>
          <w:szCs w:val="20"/>
          <w:b w:val="1"/>
          <w:bCs w:val="1"/>
          <w:color w:val="582C83"/>
        </w:rPr>
        <w:t xml:space="preserve">Special Meeting of Shareholders. </w:t>
      </w:r>
      <w:r>
        <w:rPr>
          <w:rFonts w:ascii="Arial" w:cs="Arial" w:eastAsia="Arial" w:hAnsi="Arial"/>
          <w:sz w:val="20"/>
          <w:szCs w:val="20"/>
          <w:color w:val="000000"/>
        </w:rPr>
        <w:t>The holders of at least</w:t>
      </w:r>
      <w:r>
        <w:rPr>
          <w:rFonts w:ascii="Arial" w:cs="Arial" w:eastAsia="Arial" w:hAnsi="Arial"/>
          <w:sz w:val="20"/>
          <w:szCs w:val="20"/>
          <w:b w:val="1"/>
          <w:bCs w:val="1"/>
          <w:color w:val="582C83"/>
        </w:rPr>
        <w:t xml:space="preserve"> </w:t>
      </w:r>
      <w:r>
        <w:rPr>
          <w:rFonts w:ascii="Arial" w:cs="Arial" w:eastAsia="Arial" w:hAnsi="Arial"/>
          <w:sz w:val="20"/>
          <w:szCs w:val="20"/>
          <w:color w:val="000000"/>
        </w:rPr>
        <w:t>20% of the voting power of the outstanding Common Stock may call a special meeting of shareholders.</w:t>
      </w:r>
    </w:p>
    <w:p>
      <w:pPr>
        <w:spacing w:after="0" w:line="20" w:lineRule="exact"/>
        <w:rPr>
          <w:sz w:val="20"/>
          <w:szCs w:val="20"/>
          <w:color w:val="auto"/>
        </w:rPr>
      </w:pPr>
      <w:r>
        <w:rPr>
          <w:sz w:val="20"/>
          <w:szCs w:val="20"/>
          <w:color w:val="auto"/>
        </w:rPr>
        <w:br w:type="column"/>
      </w:r>
    </w:p>
    <w:p>
      <w:pPr>
        <w:ind w:right="220"/>
        <w:spacing w:after="0" w:line="295" w:lineRule="auto"/>
        <w:rPr>
          <w:sz w:val="20"/>
          <w:szCs w:val="20"/>
          <w:color w:val="auto"/>
        </w:rPr>
      </w:pPr>
      <w:r>
        <w:rPr>
          <w:rFonts w:ascii="Arial" w:cs="Arial" w:eastAsia="Arial" w:hAnsi="Arial"/>
          <w:sz w:val="19"/>
          <w:szCs w:val="19"/>
          <w:color w:val="auto"/>
        </w:rPr>
        <w:t>Strengthens Board accountability and encourages engagement with shareholders regarding important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-3670300</wp:posOffset>
            </wp:positionH>
            <wp:positionV relativeFrom="paragraph">
              <wp:posOffset>368935</wp:posOffset>
            </wp:positionV>
            <wp:extent cx="7143115"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81" w:lineRule="exact"/>
        <w:rPr>
          <w:sz w:val="20"/>
          <w:szCs w:val="20"/>
          <w:color w:val="auto"/>
        </w:rPr>
      </w:pPr>
    </w:p>
    <w:p>
      <w:pPr>
        <w:sectPr>
          <w:pgSz w:w="11900" w:h="16838" w:orient="portrait"/>
          <w:cols w:equalWidth="0" w:num="2">
            <w:col w:w="5240" w:space="540"/>
            <w:col w:w="5480"/>
          </w:cols>
          <w:pgMar w:left="320" w:top="132" w:right="319" w:bottom="1440" w:gutter="0" w:footer="0" w:header="0"/>
          <w:type w:val="continuous"/>
        </w:sectPr>
      </w:pPr>
    </w:p>
    <w:p>
      <w:pPr>
        <w:spacing w:after="0" w:line="275" w:lineRule="exact"/>
        <w:rPr>
          <w:sz w:val="20"/>
          <w:szCs w:val="20"/>
          <w:color w:val="auto"/>
        </w:rPr>
      </w:pPr>
    </w:p>
    <w:p>
      <w:pPr>
        <w:ind w:left="9060"/>
        <w:spacing w:after="0"/>
        <w:rPr>
          <w:sz w:val="20"/>
          <w:szCs w:val="20"/>
          <w:color w:val="auto"/>
        </w:rPr>
      </w:pPr>
      <w:r>
        <w:rPr>
          <w:rFonts w:ascii="Arial" w:cs="Arial" w:eastAsia="Arial" w:hAnsi="Arial"/>
          <w:sz w:val="15"/>
          <w:szCs w:val="15"/>
          <w:b w:val="1"/>
          <w:bCs w:val="1"/>
          <w:color w:val="58358F"/>
        </w:rPr>
        <w:t>2023 PROXY STATEMENT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type w:val="continuous"/>
        </w:sectPr>
      </w:pPr>
    </w:p>
    <w:bookmarkStart w:id="38" w:name="page39"/>
    <w:bookmarkEnd w:id="38"/>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60"/>
        </w:trPr>
        <w:tc>
          <w:tcPr>
            <w:tcW w:w="552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582C83"/>
              </w:rPr>
              <w:t>Regular Shareholder Engagement.</w:t>
            </w:r>
          </w:p>
        </w:tc>
        <w:tc>
          <w:tcPr>
            <w:tcW w:w="200" w:type="dxa"/>
            <w:vAlign w:val="bottom"/>
            <w:shd w:val="clear" w:color="auto" w:fill="EBE6F0"/>
          </w:tcPr>
          <w:p>
            <w:pPr>
              <w:spacing w:after="0"/>
              <w:rPr>
                <w:sz w:val="22"/>
                <w:szCs w:val="22"/>
                <w:color w:val="auto"/>
              </w:rPr>
            </w:pPr>
          </w:p>
        </w:tc>
        <w:tc>
          <w:tcPr>
            <w:tcW w:w="5520" w:type="dxa"/>
            <w:vAlign w:val="bottom"/>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Following our 2022 Annual Meeting of Shareholders, we</w:t>
            </w:r>
          </w:p>
        </w:tc>
        <w:tc>
          <w:tcPr>
            <w:tcW w:w="0" w:type="dxa"/>
            <w:vAlign w:val="bottom"/>
          </w:tcPr>
          <w:p>
            <w:pPr>
              <w:spacing w:after="0"/>
              <w:rPr>
                <w:sz w:val="1"/>
                <w:szCs w:val="1"/>
                <w:color w:val="auto"/>
              </w:rPr>
            </w:pPr>
          </w:p>
        </w:tc>
      </w:tr>
      <w:tr>
        <w:trPr>
          <w:trHeight w:val="237"/>
        </w:trPr>
        <w:tc>
          <w:tcPr>
            <w:tcW w:w="5520" w:type="dxa"/>
            <w:vAlign w:val="bottom"/>
            <w:shd w:val="clear" w:color="auto" w:fill="EBE6F0"/>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We regularly engage with shareholders to seek their input</w:t>
            </w:r>
          </w:p>
        </w:tc>
        <w:tc>
          <w:tcPr>
            <w:tcW w:w="200" w:type="dxa"/>
            <w:vAlign w:val="bottom"/>
            <w:shd w:val="clear" w:color="auto" w:fill="EBE6F0"/>
          </w:tcPr>
          <w:p>
            <w:pPr>
              <w:spacing w:after="0"/>
              <w:rPr>
                <w:sz w:val="20"/>
                <w:szCs w:val="20"/>
                <w:color w:val="auto"/>
              </w:rPr>
            </w:pPr>
          </w:p>
        </w:tc>
        <w:tc>
          <w:tcPr>
            <w:tcW w:w="5520" w:type="dxa"/>
            <w:vAlign w:val="bottom"/>
            <w:shd w:val="clear" w:color="auto" w:fill="EBE6F0"/>
          </w:tcPr>
          <w:p>
            <w:pPr>
              <w:ind w:left="240"/>
              <w:spacing w:after="0"/>
              <w:rPr>
                <w:sz w:val="20"/>
                <w:szCs w:val="20"/>
                <w:color w:val="auto"/>
              </w:rPr>
            </w:pPr>
            <w:r>
              <w:rPr>
                <w:rFonts w:ascii="Arial" w:cs="Arial" w:eastAsia="Arial" w:hAnsi="Arial"/>
                <w:sz w:val="20"/>
                <w:szCs w:val="20"/>
                <w:color w:val="auto"/>
              </w:rPr>
              <w:t>reached out to shareholders representing nearly 51% of</w:t>
            </w:r>
          </w:p>
        </w:tc>
        <w:tc>
          <w:tcPr>
            <w:tcW w:w="0" w:type="dxa"/>
            <w:vAlign w:val="bottom"/>
          </w:tcPr>
          <w:p>
            <w:pPr>
              <w:spacing w:after="0"/>
              <w:rPr>
                <w:sz w:val="1"/>
                <w:szCs w:val="1"/>
                <w:color w:val="auto"/>
              </w:rPr>
            </w:pPr>
          </w:p>
        </w:tc>
      </w:tr>
      <w:tr>
        <w:trPr>
          <w:trHeight w:val="223"/>
        </w:trPr>
        <w:tc>
          <w:tcPr>
            <w:tcW w:w="5520" w:type="dxa"/>
            <w:vAlign w:val="bottom"/>
            <w:shd w:val="clear" w:color="auto" w:fill="EBE6F0"/>
          </w:tcPr>
          <w:p>
            <w:pPr>
              <w:ind w:left="240"/>
              <w:spacing w:after="0" w:line="224" w:lineRule="exact"/>
              <w:rPr>
                <w:sz w:val="20"/>
                <w:szCs w:val="20"/>
                <w:color w:val="auto"/>
              </w:rPr>
            </w:pPr>
            <w:r>
              <w:rPr>
                <w:rFonts w:ascii="Arial" w:cs="Arial" w:eastAsia="Arial" w:hAnsi="Arial"/>
                <w:sz w:val="20"/>
                <w:szCs w:val="20"/>
                <w:color w:val="auto"/>
              </w:rPr>
              <w:t>on emerging issues, address their questions and</w:t>
            </w:r>
          </w:p>
        </w:tc>
        <w:tc>
          <w:tcPr>
            <w:tcW w:w="200" w:type="dxa"/>
            <w:vAlign w:val="bottom"/>
            <w:shd w:val="clear" w:color="auto" w:fill="EBE6F0"/>
          </w:tcPr>
          <w:p>
            <w:pPr>
              <w:spacing w:after="0"/>
              <w:rPr>
                <w:sz w:val="19"/>
                <w:szCs w:val="19"/>
                <w:color w:val="auto"/>
              </w:rPr>
            </w:pPr>
          </w:p>
        </w:tc>
        <w:tc>
          <w:tcPr>
            <w:tcW w:w="5520" w:type="dxa"/>
            <w:vAlign w:val="bottom"/>
            <w:shd w:val="clear" w:color="auto" w:fill="EBE6F0"/>
          </w:tcPr>
          <w:p>
            <w:pPr>
              <w:ind w:left="240"/>
              <w:spacing w:after="0" w:line="224" w:lineRule="exact"/>
              <w:rPr>
                <w:sz w:val="20"/>
                <w:szCs w:val="20"/>
                <w:color w:val="auto"/>
              </w:rPr>
            </w:pPr>
            <w:r>
              <w:rPr>
                <w:rFonts w:ascii="Arial" w:cs="Arial" w:eastAsia="Arial" w:hAnsi="Arial"/>
                <w:sz w:val="20"/>
                <w:szCs w:val="20"/>
                <w:color w:val="auto"/>
              </w:rPr>
              <w:t>our outstanding shares, and engaged with 17 different</w:t>
            </w:r>
          </w:p>
        </w:tc>
        <w:tc>
          <w:tcPr>
            <w:tcW w:w="0" w:type="dxa"/>
            <w:vAlign w:val="bottom"/>
          </w:tcPr>
          <w:p>
            <w:pPr>
              <w:spacing w:after="0"/>
              <w:rPr>
                <w:sz w:val="1"/>
                <w:szCs w:val="1"/>
                <w:color w:val="auto"/>
              </w:rPr>
            </w:pPr>
          </w:p>
        </w:tc>
      </w:tr>
      <w:tr>
        <w:trPr>
          <w:trHeight w:val="223"/>
        </w:trPr>
        <w:tc>
          <w:tcPr>
            <w:tcW w:w="5520" w:type="dxa"/>
            <w:vAlign w:val="bottom"/>
            <w:shd w:val="clear" w:color="auto" w:fill="EBE6F0"/>
          </w:tcPr>
          <w:p>
            <w:pPr>
              <w:ind w:left="240"/>
              <w:spacing w:after="0" w:line="224" w:lineRule="exact"/>
              <w:rPr>
                <w:sz w:val="20"/>
                <w:szCs w:val="20"/>
                <w:color w:val="auto"/>
              </w:rPr>
            </w:pPr>
            <w:r>
              <w:rPr>
                <w:rFonts w:ascii="Arial" w:cs="Arial" w:eastAsia="Arial" w:hAnsi="Arial"/>
                <w:sz w:val="20"/>
                <w:szCs w:val="20"/>
                <w:color w:val="auto"/>
              </w:rPr>
              <w:t>understand their perspectives.</w:t>
            </w:r>
          </w:p>
        </w:tc>
        <w:tc>
          <w:tcPr>
            <w:tcW w:w="200" w:type="dxa"/>
            <w:vAlign w:val="bottom"/>
            <w:shd w:val="clear" w:color="auto" w:fill="EBE6F0"/>
          </w:tcPr>
          <w:p>
            <w:pPr>
              <w:spacing w:after="0"/>
              <w:rPr>
                <w:sz w:val="19"/>
                <w:szCs w:val="19"/>
                <w:color w:val="auto"/>
              </w:rPr>
            </w:pPr>
          </w:p>
        </w:tc>
        <w:tc>
          <w:tcPr>
            <w:tcW w:w="5520" w:type="dxa"/>
            <w:vAlign w:val="bottom"/>
            <w:shd w:val="clear" w:color="auto" w:fill="EBE6F0"/>
          </w:tcPr>
          <w:p>
            <w:pPr>
              <w:ind w:left="240"/>
              <w:spacing w:after="0" w:line="224" w:lineRule="exact"/>
              <w:rPr>
                <w:sz w:val="20"/>
                <w:szCs w:val="20"/>
                <w:color w:val="auto"/>
              </w:rPr>
            </w:pPr>
            <w:r>
              <w:rPr>
                <w:rFonts w:ascii="Arial" w:cs="Arial" w:eastAsia="Arial" w:hAnsi="Arial"/>
                <w:sz w:val="20"/>
                <w:szCs w:val="20"/>
                <w:color w:val="auto"/>
              </w:rPr>
              <w:t>shareholders that collectively represent approximately 30%</w:t>
            </w:r>
          </w:p>
        </w:tc>
        <w:tc>
          <w:tcPr>
            <w:tcW w:w="0" w:type="dxa"/>
            <w:vAlign w:val="bottom"/>
          </w:tcPr>
          <w:p>
            <w:pPr>
              <w:spacing w:after="0"/>
              <w:rPr>
                <w:sz w:val="1"/>
                <w:szCs w:val="1"/>
                <w:color w:val="auto"/>
              </w:rPr>
            </w:pPr>
          </w:p>
        </w:tc>
      </w:tr>
      <w:tr>
        <w:trPr>
          <w:trHeight w:val="210"/>
        </w:trPr>
        <w:tc>
          <w:tcPr>
            <w:tcW w:w="5520" w:type="dxa"/>
            <w:vAlign w:val="bottom"/>
            <w:vMerge w:val="restart"/>
            <w:shd w:val="clear" w:color="auto" w:fill="EBE6F0"/>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The independent Lead Director is available for consultation</w:t>
            </w:r>
          </w:p>
        </w:tc>
        <w:tc>
          <w:tcPr>
            <w:tcW w:w="200" w:type="dxa"/>
            <w:vAlign w:val="bottom"/>
            <w:shd w:val="clear" w:color="auto" w:fill="EBE6F0"/>
          </w:tcPr>
          <w:p>
            <w:pPr>
              <w:spacing w:after="0"/>
              <w:rPr>
                <w:sz w:val="18"/>
                <w:szCs w:val="18"/>
                <w:color w:val="auto"/>
              </w:rPr>
            </w:pPr>
          </w:p>
        </w:tc>
        <w:tc>
          <w:tcPr>
            <w:tcW w:w="5520" w:type="dxa"/>
            <w:vAlign w:val="bottom"/>
            <w:shd w:val="clear" w:color="auto" w:fill="EBE6F0"/>
          </w:tcPr>
          <w:p>
            <w:pPr>
              <w:ind w:left="240"/>
              <w:spacing w:after="0" w:line="210" w:lineRule="exact"/>
              <w:rPr>
                <w:sz w:val="20"/>
                <w:szCs w:val="20"/>
                <w:color w:val="auto"/>
              </w:rPr>
            </w:pPr>
            <w:r>
              <w:rPr>
                <w:rFonts w:ascii="Arial" w:cs="Arial" w:eastAsia="Arial" w:hAnsi="Arial"/>
                <w:sz w:val="20"/>
                <w:szCs w:val="20"/>
                <w:color w:val="auto"/>
              </w:rPr>
              <w:t>of our outstanding shares. The independent Lead Director</w:t>
            </w:r>
          </w:p>
        </w:tc>
        <w:tc>
          <w:tcPr>
            <w:tcW w:w="0" w:type="dxa"/>
            <w:vAlign w:val="bottom"/>
          </w:tcPr>
          <w:p>
            <w:pPr>
              <w:spacing w:after="0"/>
              <w:rPr>
                <w:sz w:val="1"/>
                <w:szCs w:val="1"/>
                <w:color w:val="auto"/>
              </w:rPr>
            </w:pPr>
          </w:p>
        </w:tc>
      </w:tr>
      <w:tr>
        <w:trPr>
          <w:trHeight w:val="74"/>
        </w:trPr>
        <w:tc>
          <w:tcPr>
            <w:tcW w:w="5520" w:type="dxa"/>
            <w:vAlign w:val="bottom"/>
            <w:vMerge w:val="continue"/>
            <w:shd w:val="clear" w:color="auto" w:fill="EBE6F0"/>
          </w:tcPr>
          <w:p>
            <w:pPr>
              <w:spacing w:after="0"/>
              <w:rPr>
                <w:sz w:val="6"/>
                <w:szCs w:val="6"/>
                <w:color w:val="auto"/>
              </w:rPr>
            </w:pPr>
          </w:p>
        </w:tc>
        <w:tc>
          <w:tcPr>
            <w:tcW w:w="200" w:type="dxa"/>
            <w:vAlign w:val="bottom"/>
            <w:shd w:val="clear" w:color="auto" w:fill="EBE6F0"/>
          </w:tcPr>
          <w:p>
            <w:pPr>
              <w:spacing w:after="0"/>
              <w:rPr>
                <w:sz w:val="6"/>
                <w:szCs w:val="6"/>
                <w:color w:val="auto"/>
              </w:rPr>
            </w:pPr>
          </w:p>
        </w:tc>
        <w:tc>
          <w:tcPr>
            <w:tcW w:w="5520" w:type="dxa"/>
            <w:vAlign w:val="bottom"/>
            <w:vMerge w:val="restart"/>
            <w:shd w:val="clear" w:color="auto" w:fill="EBE6F0"/>
          </w:tcPr>
          <w:p>
            <w:pPr>
              <w:ind w:left="240"/>
              <w:spacing w:after="0" w:line="224" w:lineRule="exact"/>
              <w:rPr>
                <w:sz w:val="20"/>
                <w:szCs w:val="20"/>
                <w:color w:val="auto"/>
              </w:rPr>
            </w:pPr>
            <w:r>
              <w:rPr>
                <w:rFonts w:ascii="Arial" w:cs="Arial" w:eastAsia="Arial" w:hAnsi="Arial"/>
                <w:sz w:val="20"/>
                <w:szCs w:val="20"/>
                <w:color w:val="auto"/>
              </w:rPr>
              <w:t>met with shareholders representing approximately 19% of</w:t>
            </w:r>
          </w:p>
        </w:tc>
        <w:tc>
          <w:tcPr>
            <w:tcW w:w="0" w:type="dxa"/>
            <w:vAlign w:val="bottom"/>
          </w:tcPr>
          <w:p>
            <w:pPr>
              <w:spacing w:after="0"/>
              <w:rPr>
                <w:sz w:val="1"/>
                <w:szCs w:val="1"/>
                <w:color w:val="auto"/>
              </w:rPr>
            </w:pPr>
          </w:p>
        </w:tc>
      </w:tr>
      <w:tr>
        <w:trPr>
          <w:trHeight w:val="149"/>
        </w:trPr>
        <w:tc>
          <w:tcPr>
            <w:tcW w:w="5520" w:type="dxa"/>
            <w:vAlign w:val="bottom"/>
            <w:vMerge w:val="restart"/>
            <w:shd w:val="clear" w:color="auto" w:fill="EBE6F0"/>
          </w:tcPr>
          <w:p>
            <w:pPr>
              <w:ind w:left="240"/>
              <w:spacing w:after="0"/>
              <w:rPr>
                <w:sz w:val="20"/>
                <w:szCs w:val="20"/>
                <w:color w:val="auto"/>
              </w:rPr>
            </w:pPr>
            <w:r>
              <w:rPr>
                <w:rFonts w:ascii="Arial" w:cs="Arial" w:eastAsia="Arial" w:hAnsi="Arial"/>
                <w:sz w:val="20"/>
                <w:szCs w:val="20"/>
                <w:color w:val="auto"/>
              </w:rPr>
              <w:t>with our major shareholders.</w:t>
            </w:r>
          </w:p>
        </w:tc>
        <w:tc>
          <w:tcPr>
            <w:tcW w:w="200" w:type="dxa"/>
            <w:vAlign w:val="bottom"/>
            <w:shd w:val="clear" w:color="auto" w:fill="EBE6F0"/>
          </w:tcPr>
          <w:p>
            <w:pPr>
              <w:spacing w:after="0"/>
              <w:rPr>
                <w:sz w:val="12"/>
                <w:szCs w:val="12"/>
                <w:color w:val="auto"/>
              </w:rPr>
            </w:pPr>
          </w:p>
        </w:tc>
        <w:tc>
          <w:tcPr>
            <w:tcW w:w="5520" w:type="dxa"/>
            <w:vAlign w:val="bottom"/>
            <w:vMerge w:val="continue"/>
            <w:shd w:val="clear" w:color="auto" w:fill="EBE6F0"/>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5520" w:type="dxa"/>
            <w:vAlign w:val="bottom"/>
            <w:vMerge w:val="continue"/>
            <w:shd w:val="clear" w:color="auto" w:fill="EBE6F0"/>
          </w:tcPr>
          <w:p>
            <w:pPr>
              <w:spacing w:after="0"/>
              <w:rPr>
                <w:sz w:val="9"/>
                <w:szCs w:val="9"/>
                <w:color w:val="auto"/>
              </w:rPr>
            </w:pPr>
          </w:p>
        </w:tc>
        <w:tc>
          <w:tcPr>
            <w:tcW w:w="200" w:type="dxa"/>
            <w:vAlign w:val="bottom"/>
            <w:shd w:val="clear" w:color="auto" w:fill="EBE6F0"/>
          </w:tcPr>
          <w:p>
            <w:pPr>
              <w:spacing w:after="0"/>
              <w:rPr>
                <w:sz w:val="9"/>
                <w:szCs w:val="9"/>
                <w:color w:val="auto"/>
              </w:rPr>
            </w:pPr>
          </w:p>
        </w:tc>
        <w:tc>
          <w:tcPr>
            <w:tcW w:w="5520" w:type="dxa"/>
            <w:vAlign w:val="bottom"/>
            <w:vMerge w:val="restart"/>
            <w:shd w:val="clear" w:color="auto" w:fill="EBE6F0"/>
          </w:tcPr>
          <w:p>
            <w:pPr>
              <w:ind w:left="240"/>
              <w:spacing w:after="0"/>
              <w:rPr>
                <w:sz w:val="20"/>
                <w:szCs w:val="20"/>
                <w:color w:val="auto"/>
              </w:rPr>
            </w:pPr>
            <w:r>
              <w:rPr>
                <w:rFonts w:ascii="Arial" w:cs="Arial" w:eastAsia="Arial" w:hAnsi="Arial"/>
                <w:sz w:val="20"/>
                <w:szCs w:val="20"/>
                <w:color w:val="auto"/>
              </w:rPr>
              <w:t>our outstanding shares.</w:t>
            </w:r>
          </w:p>
        </w:tc>
        <w:tc>
          <w:tcPr>
            <w:tcW w:w="0" w:type="dxa"/>
            <w:vAlign w:val="bottom"/>
          </w:tcPr>
          <w:p>
            <w:pPr>
              <w:spacing w:after="0"/>
              <w:rPr>
                <w:sz w:val="1"/>
                <w:szCs w:val="1"/>
                <w:color w:val="auto"/>
              </w:rPr>
            </w:pPr>
          </w:p>
        </w:tc>
      </w:tr>
      <w:tr>
        <w:trPr>
          <w:trHeight w:val="146"/>
        </w:trPr>
        <w:tc>
          <w:tcPr>
            <w:tcW w:w="5520" w:type="dxa"/>
            <w:vAlign w:val="bottom"/>
            <w:shd w:val="clear" w:color="auto" w:fill="EBE6F0"/>
          </w:tcPr>
          <w:p>
            <w:pPr>
              <w:spacing w:after="0"/>
              <w:rPr>
                <w:sz w:val="12"/>
                <w:szCs w:val="12"/>
                <w:color w:val="auto"/>
              </w:rPr>
            </w:pPr>
          </w:p>
        </w:tc>
        <w:tc>
          <w:tcPr>
            <w:tcW w:w="200" w:type="dxa"/>
            <w:vAlign w:val="bottom"/>
            <w:shd w:val="clear" w:color="auto" w:fill="EBE6F0"/>
          </w:tcPr>
          <w:p>
            <w:pPr>
              <w:spacing w:after="0"/>
              <w:rPr>
                <w:sz w:val="12"/>
                <w:szCs w:val="12"/>
                <w:color w:val="auto"/>
              </w:rPr>
            </w:pPr>
          </w:p>
        </w:tc>
        <w:tc>
          <w:tcPr>
            <w:tcW w:w="5520" w:type="dxa"/>
            <w:vAlign w:val="bottom"/>
            <w:vMerge w:val="continue"/>
            <w:shd w:val="clear" w:color="auto" w:fill="EBE6F0"/>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EBE6F0"/>
          </w:tcPr>
          <w:p>
            <w:pPr>
              <w:spacing w:after="0"/>
              <w:rPr>
                <w:sz w:val="19"/>
                <w:szCs w:val="19"/>
                <w:color w:val="auto"/>
              </w:rPr>
            </w:pPr>
          </w:p>
        </w:tc>
        <w:tc>
          <w:tcPr>
            <w:tcW w:w="200" w:type="dxa"/>
            <w:vAlign w:val="bottom"/>
            <w:shd w:val="clear" w:color="auto" w:fill="EBE6F0"/>
          </w:tcPr>
          <w:p>
            <w:pPr>
              <w:spacing w:after="0"/>
              <w:rPr>
                <w:sz w:val="19"/>
                <w:szCs w:val="19"/>
                <w:color w:val="auto"/>
              </w:rPr>
            </w:pPr>
          </w:p>
        </w:tc>
        <w:tc>
          <w:tcPr>
            <w:tcW w:w="552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This practice provides open channels of communication</w:t>
            </w:r>
          </w:p>
        </w:tc>
        <w:tc>
          <w:tcPr>
            <w:tcW w:w="0" w:type="dxa"/>
            <w:vAlign w:val="bottom"/>
          </w:tcPr>
          <w:p>
            <w:pPr>
              <w:spacing w:after="0"/>
              <w:rPr>
                <w:sz w:val="1"/>
                <w:szCs w:val="1"/>
                <w:color w:val="auto"/>
              </w:rPr>
            </w:pPr>
          </w:p>
        </w:tc>
      </w:tr>
      <w:tr>
        <w:trPr>
          <w:trHeight w:val="223"/>
        </w:trPr>
        <w:tc>
          <w:tcPr>
            <w:tcW w:w="5520" w:type="dxa"/>
            <w:vAlign w:val="bottom"/>
            <w:shd w:val="clear" w:color="auto" w:fill="EBE6F0"/>
          </w:tcPr>
          <w:p>
            <w:pPr>
              <w:spacing w:after="0"/>
              <w:rPr>
                <w:sz w:val="19"/>
                <w:szCs w:val="19"/>
                <w:color w:val="auto"/>
              </w:rPr>
            </w:pPr>
          </w:p>
        </w:tc>
        <w:tc>
          <w:tcPr>
            <w:tcW w:w="200" w:type="dxa"/>
            <w:vAlign w:val="bottom"/>
            <w:shd w:val="clear" w:color="auto" w:fill="EBE6F0"/>
          </w:tcPr>
          <w:p>
            <w:pPr>
              <w:spacing w:after="0"/>
              <w:rPr>
                <w:sz w:val="19"/>
                <w:szCs w:val="19"/>
                <w:color w:val="auto"/>
              </w:rPr>
            </w:pPr>
          </w:p>
        </w:tc>
        <w:tc>
          <w:tcPr>
            <w:tcW w:w="5520" w:type="dxa"/>
            <w:vAlign w:val="bottom"/>
            <w:shd w:val="clear" w:color="auto" w:fill="EBE6F0"/>
          </w:tcPr>
          <w:p>
            <w:pPr>
              <w:ind w:left="240"/>
              <w:spacing w:after="0" w:line="224" w:lineRule="exact"/>
              <w:rPr>
                <w:sz w:val="20"/>
                <w:szCs w:val="20"/>
                <w:color w:val="auto"/>
              </w:rPr>
            </w:pPr>
            <w:r>
              <w:rPr>
                <w:rFonts w:ascii="Arial" w:cs="Arial" w:eastAsia="Arial" w:hAnsi="Arial"/>
                <w:sz w:val="20"/>
                <w:szCs w:val="20"/>
                <w:color w:val="auto"/>
              </w:rPr>
              <w:t>with our shareholders and helps ensure we regularly</w:t>
            </w:r>
          </w:p>
        </w:tc>
        <w:tc>
          <w:tcPr>
            <w:tcW w:w="0" w:type="dxa"/>
            <w:vAlign w:val="bottom"/>
          </w:tcPr>
          <w:p>
            <w:pPr>
              <w:spacing w:after="0"/>
              <w:rPr>
                <w:sz w:val="1"/>
                <w:szCs w:val="1"/>
                <w:color w:val="auto"/>
              </w:rPr>
            </w:pPr>
          </w:p>
        </w:tc>
      </w:tr>
      <w:tr>
        <w:trPr>
          <w:trHeight w:val="223"/>
        </w:trPr>
        <w:tc>
          <w:tcPr>
            <w:tcW w:w="5520" w:type="dxa"/>
            <w:vAlign w:val="bottom"/>
            <w:shd w:val="clear" w:color="auto" w:fill="EBE6F0"/>
          </w:tcPr>
          <w:p>
            <w:pPr>
              <w:spacing w:after="0"/>
              <w:rPr>
                <w:sz w:val="19"/>
                <w:szCs w:val="19"/>
                <w:color w:val="auto"/>
              </w:rPr>
            </w:pPr>
          </w:p>
        </w:tc>
        <w:tc>
          <w:tcPr>
            <w:tcW w:w="200" w:type="dxa"/>
            <w:vAlign w:val="bottom"/>
            <w:shd w:val="clear" w:color="auto" w:fill="EBE6F0"/>
          </w:tcPr>
          <w:p>
            <w:pPr>
              <w:spacing w:after="0"/>
              <w:rPr>
                <w:sz w:val="19"/>
                <w:szCs w:val="19"/>
                <w:color w:val="auto"/>
              </w:rPr>
            </w:pPr>
          </w:p>
        </w:tc>
        <w:tc>
          <w:tcPr>
            <w:tcW w:w="5520" w:type="dxa"/>
            <w:vAlign w:val="bottom"/>
            <w:shd w:val="clear" w:color="auto" w:fill="EBE6F0"/>
          </w:tcPr>
          <w:p>
            <w:pPr>
              <w:ind w:left="240"/>
              <w:spacing w:after="0" w:line="224" w:lineRule="exact"/>
              <w:rPr>
                <w:sz w:val="20"/>
                <w:szCs w:val="20"/>
                <w:color w:val="auto"/>
              </w:rPr>
            </w:pPr>
            <w:r>
              <w:rPr>
                <w:rFonts w:ascii="Arial" w:cs="Arial" w:eastAsia="Arial" w:hAnsi="Arial"/>
                <w:sz w:val="20"/>
                <w:szCs w:val="20"/>
                <w:color w:val="auto"/>
              </w:rPr>
              <w:t>consider and respond to feedback on the Company’s</w:t>
            </w:r>
          </w:p>
        </w:tc>
        <w:tc>
          <w:tcPr>
            <w:tcW w:w="0" w:type="dxa"/>
            <w:vAlign w:val="bottom"/>
          </w:tcPr>
          <w:p>
            <w:pPr>
              <w:spacing w:after="0"/>
              <w:rPr>
                <w:sz w:val="1"/>
                <w:szCs w:val="1"/>
                <w:color w:val="auto"/>
              </w:rPr>
            </w:pPr>
          </w:p>
        </w:tc>
      </w:tr>
      <w:tr>
        <w:trPr>
          <w:trHeight w:val="223"/>
        </w:trPr>
        <w:tc>
          <w:tcPr>
            <w:tcW w:w="5520" w:type="dxa"/>
            <w:vAlign w:val="bottom"/>
            <w:shd w:val="clear" w:color="auto" w:fill="EBE6F0"/>
          </w:tcPr>
          <w:p>
            <w:pPr>
              <w:spacing w:after="0"/>
              <w:rPr>
                <w:sz w:val="19"/>
                <w:szCs w:val="19"/>
                <w:color w:val="auto"/>
              </w:rPr>
            </w:pPr>
          </w:p>
        </w:tc>
        <w:tc>
          <w:tcPr>
            <w:tcW w:w="200" w:type="dxa"/>
            <w:vAlign w:val="bottom"/>
            <w:shd w:val="clear" w:color="auto" w:fill="EBE6F0"/>
          </w:tcPr>
          <w:p>
            <w:pPr>
              <w:spacing w:after="0"/>
              <w:rPr>
                <w:sz w:val="19"/>
                <w:szCs w:val="19"/>
                <w:color w:val="auto"/>
              </w:rPr>
            </w:pPr>
          </w:p>
        </w:tc>
        <w:tc>
          <w:tcPr>
            <w:tcW w:w="5520" w:type="dxa"/>
            <w:vAlign w:val="bottom"/>
            <w:shd w:val="clear" w:color="auto" w:fill="EBE6F0"/>
          </w:tcPr>
          <w:p>
            <w:pPr>
              <w:ind w:left="240"/>
              <w:spacing w:after="0" w:line="224" w:lineRule="exact"/>
              <w:rPr>
                <w:sz w:val="20"/>
                <w:szCs w:val="20"/>
                <w:color w:val="auto"/>
              </w:rPr>
            </w:pPr>
            <w:r>
              <w:rPr>
                <w:rFonts w:ascii="Arial" w:cs="Arial" w:eastAsia="Arial" w:hAnsi="Arial"/>
                <w:sz w:val="20"/>
                <w:szCs w:val="20"/>
                <w:color w:val="auto"/>
              </w:rPr>
              <w:t>strategy, corporate governance, compensation and</w:t>
            </w:r>
          </w:p>
        </w:tc>
        <w:tc>
          <w:tcPr>
            <w:tcW w:w="0" w:type="dxa"/>
            <w:vAlign w:val="bottom"/>
          </w:tcPr>
          <w:p>
            <w:pPr>
              <w:spacing w:after="0"/>
              <w:rPr>
                <w:sz w:val="1"/>
                <w:szCs w:val="1"/>
                <w:color w:val="auto"/>
              </w:rPr>
            </w:pPr>
          </w:p>
        </w:tc>
      </w:tr>
      <w:tr>
        <w:trPr>
          <w:trHeight w:val="264"/>
        </w:trPr>
        <w:tc>
          <w:tcPr>
            <w:tcW w:w="5520" w:type="dxa"/>
            <w:vAlign w:val="bottom"/>
            <w:shd w:val="clear" w:color="auto" w:fill="EBE6F0"/>
          </w:tcPr>
          <w:p>
            <w:pPr>
              <w:spacing w:after="0"/>
              <w:rPr>
                <w:sz w:val="22"/>
                <w:szCs w:val="22"/>
                <w:color w:val="auto"/>
              </w:rPr>
            </w:pPr>
          </w:p>
        </w:tc>
        <w:tc>
          <w:tcPr>
            <w:tcW w:w="200" w:type="dxa"/>
            <w:vAlign w:val="bottom"/>
            <w:shd w:val="clear" w:color="auto" w:fill="EBE6F0"/>
          </w:tcPr>
          <w:p>
            <w:pPr>
              <w:spacing w:after="0"/>
              <w:rPr>
                <w:sz w:val="22"/>
                <w:szCs w:val="22"/>
                <w:color w:val="auto"/>
              </w:rPr>
            </w:pPr>
          </w:p>
        </w:tc>
        <w:tc>
          <w:tcPr>
            <w:tcW w:w="5520" w:type="dxa"/>
            <w:vAlign w:val="bottom"/>
            <w:shd w:val="clear" w:color="auto" w:fill="EBE6F0"/>
          </w:tcPr>
          <w:p>
            <w:pPr>
              <w:ind w:left="240"/>
              <w:spacing w:after="0"/>
              <w:rPr>
                <w:sz w:val="20"/>
                <w:szCs w:val="20"/>
                <w:color w:val="auto"/>
              </w:rPr>
            </w:pPr>
            <w:r>
              <w:rPr>
                <w:rFonts w:ascii="Arial" w:cs="Arial" w:eastAsia="Arial" w:hAnsi="Arial"/>
                <w:sz w:val="20"/>
                <w:szCs w:val="20"/>
                <w:color w:val="auto"/>
              </w:rPr>
              <w:t>environmental, social and governance (“ESG”) practices.</w:t>
            </w:r>
          </w:p>
        </w:tc>
        <w:tc>
          <w:tcPr>
            <w:tcW w:w="0" w:type="dxa"/>
            <w:vAlign w:val="bottom"/>
          </w:tcPr>
          <w:p>
            <w:pPr>
              <w:spacing w:after="0"/>
              <w:rPr>
                <w:sz w:val="1"/>
                <w:szCs w:val="1"/>
                <w:color w:val="auto"/>
              </w:rPr>
            </w:pPr>
          </w:p>
        </w:tc>
      </w:tr>
      <w:tr>
        <w:trPr>
          <w:trHeight w:val="48"/>
        </w:trPr>
        <w:tc>
          <w:tcPr>
            <w:tcW w:w="5520" w:type="dxa"/>
            <w:vAlign w:val="bottom"/>
            <w:shd w:val="clear" w:color="auto" w:fill="EBE6F0"/>
          </w:tcPr>
          <w:p>
            <w:pPr>
              <w:spacing w:after="0"/>
              <w:rPr>
                <w:sz w:val="4"/>
                <w:szCs w:val="4"/>
                <w:color w:val="auto"/>
              </w:rPr>
            </w:pPr>
          </w:p>
        </w:tc>
        <w:tc>
          <w:tcPr>
            <w:tcW w:w="200" w:type="dxa"/>
            <w:vAlign w:val="bottom"/>
            <w:shd w:val="clear" w:color="auto" w:fill="EBE6F0"/>
          </w:tcPr>
          <w:p>
            <w:pPr>
              <w:spacing w:after="0"/>
              <w:rPr>
                <w:sz w:val="4"/>
                <w:szCs w:val="4"/>
                <w:color w:val="auto"/>
              </w:rPr>
            </w:pPr>
          </w:p>
        </w:tc>
        <w:tc>
          <w:tcPr>
            <w:tcW w:w="5520" w:type="dxa"/>
            <w:vAlign w:val="bottom"/>
            <w:shd w:val="clear" w:color="auto" w:fill="EBE6F0"/>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ectPr>
          <w:pgSz w:w="11900" w:h="16838" w:orient="portrait"/>
          <w:cols w:equalWidth="0" w:num="1">
            <w:col w:w="11260"/>
          </w:cols>
          <w:pgMar w:left="300" w:top="132" w:right="339" w:bottom="1440" w:gutter="0" w:footer="0" w:header="0"/>
        </w:sectPr>
      </w:pPr>
    </w:p>
    <w:p>
      <w:pPr>
        <w:jc w:val="both"/>
        <w:ind w:left="80" w:right="60"/>
        <w:spacing w:after="0" w:line="244" w:lineRule="auto"/>
        <w:rPr>
          <w:sz w:val="20"/>
          <w:szCs w:val="20"/>
          <w:color w:val="auto"/>
        </w:rPr>
      </w:pPr>
      <w:r>
        <w:rPr>
          <w:rFonts w:ascii="Arial" w:cs="Arial" w:eastAsia="Arial" w:hAnsi="Arial"/>
          <w:sz w:val="20"/>
          <w:szCs w:val="20"/>
          <w:b w:val="1"/>
          <w:bCs w:val="1"/>
          <w:color w:val="582C83"/>
        </w:rPr>
        <w:t xml:space="preserve">Stock Ownership Requirements. </w:t>
      </w:r>
      <w:r>
        <w:rPr>
          <w:rFonts w:ascii="Arial" w:cs="Arial" w:eastAsia="Arial" w:hAnsi="Arial"/>
          <w:sz w:val="20"/>
          <w:szCs w:val="20"/>
          <w:color w:val="000000"/>
        </w:rPr>
        <w:t>Directors must own</w:t>
      </w:r>
      <w:r>
        <w:rPr>
          <w:rFonts w:ascii="Arial" w:cs="Arial" w:eastAsia="Arial" w:hAnsi="Arial"/>
          <w:sz w:val="20"/>
          <w:szCs w:val="20"/>
          <w:b w:val="1"/>
          <w:bCs w:val="1"/>
          <w:color w:val="582C83"/>
        </w:rPr>
        <w:t xml:space="preserve"> </w:t>
      </w:r>
      <w:r>
        <w:rPr>
          <w:rFonts w:ascii="Arial" w:cs="Arial" w:eastAsia="Arial" w:hAnsi="Arial"/>
          <w:sz w:val="20"/>
          <w:szCs w:val="20"/>
          <w:color w:val="000000"/>
        </w:rPr>
        <w:t>shares of our Common Stock in an amount equal to five times the annual Board cash retainer within five years of joining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Aligns directors’ and shareholders’ long-term interests.</w:t>
      </w:r>
    </w:p>
    <w:p>
      <w:pPr>
        <w:spacing w:after="0" w:line="750" w:lineRule="exact"/>
        <w:rPr>
          <w:sz w:val="20"/>
          <w:szCs w:val="20"/>
          <w:color w:val="auto"/>
        </w:rPr>
      </w:pPr>
    </w:p>
    <w:p>
      <w:pPr>
        <w:sectPr>
          <w:pgSz w:w="11900" w:h="16838" w:orient="portrait"/>
          <w:cols w:equalWidth="0" w:num="2">
            <w:col w:w="5080" w:space="720"/>
            <w:col w:w="5460"/>
          </w:cols>
          <w:pgMar w:left="300" w:top="132" w:right="339" w:bottom="1440" w:gutter="0" w:footer="0" w:header="0"/>
          <w:type w:val="continuous"/>
        </w:sectPr>
      </w:pPr>
    </w:p>
    <w:tbl>
      <w:tblPr>
        <w:tblLayout w:type="fixed"/>
        <w:tblInd w:w="20" w:type="dxa"/>
        <w:tblCellMar>
          <w:top w:w="0" w:type="dxa"/>
          <w:left w:w="0" w:type="dxa"/>
          <w:bottom w:w="0" w:type="dxa"/>
          <w:right w:w="0" w:type="dxa"/>
        </w:tblCellMar>
      </w:tblPr>
      <w:tr>
        <w:trPr>
          <w:trHeight w:val="260"/>
        </w:trPr>
        <w:tc>
          <w:tcPr>
            <w:tcW w:w="572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582C83"/>
              </w:rPr>
              <w:t>Annual CEO Evaluation and Board Oversight of</w:t>
            </w:r>
          </w:p>
        </w:tc>
        <w:tc>
          <w:tcPr>
            <w:tcW w:w="5520" w:type="dxa"/>
            <w:vAlign w:val="bottom"/>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Company’s executive compensation program aligns with</w:t>
            </w:r>
          </w:p>
        </w:tc>
      </w:tr>
      <w:tr>
        <w:trPr>
          <w:trHeight w:val="223"/>
        </w:trPr>
        <w:tc>
          <w:tcPr>
            <w:tcW w:w="572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b w:val="1"/>
                <w:bCs w:val="1"/>
                <w:color w:val="582C83"/>
              </w:rPr>
              <w:t>Executive Compensation.</w:t>
            </w:r>
          </w:p>
        </w:tc>
        <w:tc>
          <w:tcPr>
            <w:tcW w:w="5520" w:type="dxa"/>
            <w:vAlign w:val="bottom"/>
            <w:shd w:val="clear" w:color="auto" w:fill="EBE6F0"/>
          </w:tcPr>
          <w:p>
            <w:pPr>
              <w:ind w:left="240"/>
              <w:spacing w:after="0" w:line="224" w:lineRule="exact"/>
              <w:rPr>
                <w:sz w:val="20"/>
                <w:szCs w:val="20"/>
                <w:color w:val="auto"/>
              </w:rPr>
            </w:pPr>
            <w:r>
              <w:rPr>
                <w:rFonts w:ascii="Arial" w:cs="Arial" w:eastAsia="Arial" w:hAnsi="Arial"/>
                <w:sz w:val="20"/>
                <w:szCs w:val="20"/>
                <w:color w:val="auto"/>
              </w:rPr>
              <w:t>our business strategy and reflects the strength of ongoing</w:t>
            </w:r>
          </w:p>
        </w:tc>
      </w:tr>
      <w:tr>
        <w:trPr>
          <w:trHeight w:val="261"/>
        </w:trPr>
        <w:tc>
          <w:tcPr>
            <w:tcW w:w="5720" w:type="dxa"/>
            <w:vAlign w:val="bottom"/>
            <w:shd w:val="clear" w:color="auto" w:fill="EBE6F0"/>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Annually, the People and Compensation Committee sets</w:t>
            </w:r>
          </w:p>
        </w:tc>
        <w:tc>
          <w:tcPr>
            <w:tcW w:w="5520" w:type="dxa"/>
            <w:vAlign w:val="bottom"/>
            <w:shd w:val="clear" w:color="auto" w:fill="EBE6F0"/>
          </w:tcPr>
          <w:p>
            <w:pPr>
              <w:ind w:left="240"/>
              <w:spacing w:after="0"/>
              <w:rPr>
                <w:sz w:val="20"/>
                <w:szCs w:val="20"/>
                <w:color w:val="auto"/>
              </w:rPr>
            </w:pPr>
            <w:r>
              <w:rPr>
                <w:rFonts w:ascii="Arial" w:cs="Arial" w:eastAsia="Arial" w:hAnsi="Arial"/>
                <w:sz w:val="20"/>
                <w:szCs w:val="20"/>
                <w:color w:val="auto"/>
              </w:rPr>
              <w:t>shareholder feedback.</w:t>
            </w:r>
          </w:p>
        </w:tc>
      </w:tr>
      <w:tr>
        <w:trPr>
          <w:trHeight w:val="223"/>
        </w:trPr>
        <w:tc>
          <w:tcPr>
            <w:tcW w:w="5720" w:type="dxa"/>
            <w:vAlign w:val="bottom"/>
            <w:shd w:val="clear" w:color="auto" w:fill="EBE6F0"/>
          </w:tcPr>
          <w:p>
            <w:pPr>
              <w:ind w:left="240"/>
              <w:spacing w:after="0" w:line="224" w:lineRule="exact"/>
              <w:rPr>
                <w:sz w:val="20"/>
                <w:szCs w:val="20"/>
                <w:color w:val="auto"/>
              </w:rPr>
            </w:pPr>
            <w:r>
              <w:rPr>
                <w:rFonts w:ascii="Arial" w:cs="Arial" w:eastAsia="Arial" w:hAnsi="Arial"/>
                <w:sz w:val="20"/>
                <w:szCs w:val="20"/>
                <w:color w:val="auto"/>
              </w:rPr>
              <w:t>goals for and evaluates the Chair and CEO’s performance.</w:t>
            </w:r>
          </w:p>
        </w:tc>
        <w:tc>
          <w:tcPr>
            <w:tcW w:w="552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Enhances management accountability.</w:t>
            </w:r>
          </w:p>
        </w:tc>
      </w:tr>
      <w:tr>
        <w:trPr>
          <w:trHeight w:val="237"/>
        </w:trPr>
        <w:tc>
          <w:tcPr>
            <w:tcW w:w="5720" w:type="dxa"/>
            <w:vAlign w:val="bottom"/>
            <w:shd w:val="clear" w:color="auto" w:fill="EBE6F0"/>
          </w:tcPr>
          <w:p>
            <w:pPr>
              <w:ind w:left="240"/>
              <w:spacing w:after="0"/>
              <w:rPr>
                <w:sz w:val="20"/>
                <w:szCs w:val="20"/>
                <w:color w:val="auto"/>
              </w:rPr>
            </w:pPr>
            <w:r>
              <w:rPr>
                <w:rFonts w:ascii="Arial" w:cs="Arial" w:eastAsia="Arial" w:hAnsi="Arial"/>
                <w:sz w:val="20"/>
                <w:szCs w:val="20"/>
                <w:color w:val="auto"/>
              </w:rPr>
              <w:t>The People and Compensation Committee seeks input</w:t>
            </w:r>
          </w:p>
        </w:tc>
        <w:tc>
          <w:tcPr>
            <w:tcW w:w="5520" w:type="dxa"/>
            <w:vAlign w:val="bottom"/>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Promotes long-term shareholder returns.</w:t>
            </w:r>
          </w:p>
        </w:tc>
      </w:tr>
      <w:tr>
        <w:trPr>
          <w:trHeight w:val="210"/>
        </w:trPr>
        <w:tc>
          <w:tcPr>
            <w:tcW w:w="5720" w:type="dxa"/>
            <w:vAlign w:val="bottom"/>
            <w:shd w:val="clear" w:color="auto" w:fill="EBE6F0"/>
          </w:tcPr>
          <w:p>
            <w:pPr>
              <w:ind w:left="240"/>
              <w:spacing w:after="0" w:line="210" w:lineRule="exact"/>
              <w:rPr>
                <w:sz w:val="20"/>
                <w:szCs w:val="20"/>
                <w:color w:val="auto"/>
              </w:rPr>
            </w:pPr>
            <w:r>
              <w:rPr>
                <w:rFonts w:ascii="Arial" w:cs="Arial" w:eastAsia="Arial" w:hAnsi="Arial"/>
                <w:sz w:val="20"/>
                <w:szCs w:val="20"/>
                <w:color w:val="auto"/>
              </w:rPr>
              <w:t>from the other directors before deciding on a performance</w:t>
            </w:r>
          </w:p>
        </w:tc>
        <w:tc>
          <w:tcPr>
            <w:tcW w:w="5520" w:type="dxa"/>
            <w:vAlign w:val="bottom"/>
            <w:shd w:val="clear" w:color="auto" w:fill="EBE6F0"/>
          </w:tcPr>
          <w:p>
            <w:pPr>
              <w:spacing w:after="0"/>
              <w:rPr>
                <w:sz w:val="18"/>
                <w:szCs w:val="18"/>
                <w:color w:val="auto"/>
              </w:rPr>
            </w:pPr>
          </w:p>
        </w:tc>
      </w:tr>
      <w:tr>
        <w:trPr>
          <w:trHeight w:val="261"/>
        </w:trPr>
        <w:tc>
          <w:tcPr>
            <w:tcW w:w="5720" w:type="dxa"/>
            <w:vAlign w:val="bottom"/>
            <w:shd w:val="clear" w:color="auto" w:fill="EBE6F0"/>
          </w:tcPr>
          <w:p>
            <w:pPr>
              <w:ind w:left="240"/>
              <w:spacing w:after="0"/>
              <w:rPr>
                <w:sz w:val="20"/>
                <w:szCs w:val="20"/>
                <w:color w:val="auto"/>
              </w:rPr>
            </w:pPr>
            <w:r>
              <w:rPr>
                <w:rFonts w:ascii="Arial" w:cs="Arial" w:eastAsia="Arial" w:hAnsi="Arial"/>
                <w:sz w:val="20"/>
                <w:szCs w:val="20"/>
                <w:color w:val="auto"/>
              </w:rPr>
              <w:t>rating and compensation actions.</w:t>
            </w:r>
          </w:p>
        </w:tc>
        <w:tc>
          <w:tcPr>
            <w:tcW w:w="5520" w:type="dxa"/>
            <w:vAlign w:val="bottom"/>
            <w:shd w:val="clear" w:color="auto" w:fill="EBE6F0"/>
          </w:tcPr>
          <w:p>
            <w:pPr>
              <w:spacing w:after="0"/>
              <w:rPr>
                <w:sz w:val="22"/>
                <w:szCs w:val="22"/>
                <w:color w:val="auto"/>
              </w:rPr>
            </w:pPr>
          </w:p>
        </w:tc>
      </w:tr>
      <w:tr>
        <w:trPr>
          <w:trHeight w:val="223"/>
        </w:trPr>
        <w:tc>
          <w:tcPr>
            <w:tcW w:w="572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The People and Compensation Committee also oversees</w:t>
            </w:r>
          </w:p>
        </w:tc>
        <w:tc>
          <w:tcPr>
            <w:tcW w:w="5520" w:type="dxa"/>
            <w:vAlign w:val="bottom"/>
            <w:shd w:val="clear" w:color="auto" w:fill="EBE6F0"/>
          </w:tcPr>
          <w:p>
            <w:pPr>
              <w:spacing w:after="0"/>
              <w:rPr>
                <w:sz w:val="19"/>
                <w:szCs w:val="19"/>
                <w:color w:val="auto"/>
              </w:rPr>
            </w:pPr>
          </w:p>
        </w:tc>
      </w:tr>
      <w:tr>
        <w:trPr>
          <w:trHeight w:val="292"/>
        </w:trPr>
        <w:tc>
          <w:tcPr>
            <w:tcW w:w="5720" w:type="dxa"/>
            <w:vAlign w:val="bottom"/>
            <w:tcBorders>
              <w:bottom w:val="single" w:sz="8" w:color="EBE6F0"/>
            </w:tcBorders>
            <w:shd w:val="clear" w:color="auto" w:fill="EBE6F0"/>
          </w:tcPr>
          <w:p>
            <w:pPr>
              <w:ind w:left="240"/>
              <w:spacing w:after="0"/>
              <w:rPr>
                <w:sz w:val="20"/>
                <w:szCs w:val="20"/>
                <w:color w:val="auto"/>
              </w:rPr>
            </w:pPr>
            <w:r>
              <w:rPr>
                <w:rFonts w:ascii="Arial" w:cs="Arial" w:eastAsia="Arial" w:hAnsi="Arial"/>
                <w:sz w:val="20"/>
                <w:szCs w:val="20"/>
                <w:color w:val="auto"/>
              </w:rPr>
              <w:t>our executive compensation program.</w:t>
            </w:r>
          </w:p>
        </w:tc>
        <w:tc>
          <w:tcPr>
            <w:tcW w:w="5520" w:type="dxa"/>
            <w:vAlign w:val="bottom"/>
            <w:tcBorders>
              <w:bottom w:val="single" w:sz="8" w:color="EBE6F0"/>
            </w:tcBorders>
            <w:shd w:val="clear" w:color="auto" w:fill="EBE6F0"/>
          </w:tcPr>
          <w:p>
            <w:pPr>
              <w:spacing w:after="0"/>
              <w:rPr>
                <w:sz w:val="24"/>
                <w:szCs w:val="24"/>
                <w:color w:val="auto"/>
              </w:rPr>
            </w:pPr>
          </w:p>
        </w:tc>
      </w:tr>
      <w:tr>
        <w:trPr>
          <w:trHeight w:val="247"/>
        </w:trPr>
        <w:tc>
          <w:tcPr>
            <w:tcW w:w="5720" w:type="dxa"/>
            <w:vAlign w:val="bottom"/>
          </w:tcPr>
          <w:p>
            <w:pPr>
              <w:ind w:left="60"/>
              <w:spacing w:after="0"/>
              <w:rPr>
                <w:sz w:val="20"/>
                <w:szCs w:val="20"/>
                <w:color w:val="auto"/>
              </w:rPr>
            </w:pPr>
            <w:r>
              <w:rPr>
                <w:rFonts w:ascii="Arial" w:cs="Arial" w:eastAsia="Arial" w:hAnsi="Arial"/>
                <w:sz w:val="20"/>
                <w:szCs w:val="20"/>
                <w:b w:val="1"/>
                <w:bCs w:val="1"/>
                <w:color w:val="582C83"/>
              </w:rPr>
              <w:t>Board Oversight of Strategy and Risk Management.</w:t>
            </w:r>
          </w:p>
        </w:tc>
        <w:tc>
          <w:tcPr>
            <w:tcW w:w="5520" w:type="dxa"/>
            <w:vAlign w:val="bottom"/>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Enhances management accountability as the Company’s</w:t>
            </w:r>
          </w:p>
        </w:tc>
      </w:tr>
      <w:tr>
        <w:trPr>
          <w:trHeight w:val="237"/>
        </w:trPr>
        <w:tc>
          <w:tcPr>
            <w:tcW w:w="5720" w:type="dxa"/>
            <w:vAlign w:val="bottom"/>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The Board reviews the Company’s strategic plan</w:t>
            </w:r>
          </w:p>
        </w:tc>
        <w:tc>
          <w:tcPr>
            <w:tcW w:w="5520" w:type="dxa"/>
            <w:vAlign w:val="bottom"/>
          </w:tcPr>
          <w:p>
            <w:pPr>
              <w:ind w:left="220"/>
              <w:spacing w:after="0"/>
              <w:rPr>
                <w:sz w:val="20"/>
                <w:szCs w:val="20"/>
                <w:color w:val="auto"/>
              </w:rPr>
            </w:pPr>
            <w:r>
              <w:rPr>
                <w:rFonts w:ascii="Arial" w:cs="Arial" w:eastAsia="Arial" w:hAnsi="Arial"/>
                <w:sz w:val="20"/>
                <w:szCs w:val="20"/>
                <w:color w:val="auto"/>
              </w:rPr>
              <w:t>goals and executive compensation design are tied to a</w:t>
            </w:r>
          </w:p>
        </w:tc>
      </w:tr>
      <w:tr>
        <w:trPr>
          <w:trHeight w:val="223"/>
        </w:trPr>
        <w:tc>
          <w:tcPr>
            <w:tcW w:w="5720" w:type="dxa"/>
            <w:vAlign w:val="bottom"/>
          </w:tcPr>
          <w:p>
            <w:pPr>
              <w:ind w:left="220"/>
              <w:spacing w:after="0" w:line="224" w:lineRule="exact"/>
              <w:rPr>
                <w:sz w:val="20"/>
                <w:szCs w:val="20"/>
                <w:color w:val="auto"/>
              </w:rPr>
            </w:pPr>
            <w:r>
              <w:rPr>
                <w:rFonts w:ascii="Arial" w:cs="Arial" w:eastAsia="Arial" w:hAnsi="Arial"/>
                <w:sz w:val="20"/>
                <w:szCs w:val="20"/>
                <w:color w:val="auto"/>
              </w:rPr>
              <w:t>periodically and holds at least one meeting per year</w:t>
            </w:r>
          </w:p>
        </w:tc>
        <w:tc>
          <w:tcPr>
            <w:tcW w:w="5520" w:type="dxa"/>
            <w:vAlign w:val="bottom"/>
          </w:tcPr>
          <w:p>
            <w:pPr>
              <w:ind w:left="220"/>
              <w:spacing w:after="0" w:line="224" w:lineRule="exact"/>
              <w:rPr>
                <w:sz w:val="20"/>
                <w:szCs w:val="20"/>
                <w:color w:val="auto"/>
              </w:rPr>
            </w:pPr>
            <w:r>
              <w:rPr>
                <w:rFonts w:ascii="Arial" w:cs="Arial" w:eastAsia="Arial" w:hAnsi="Arial"/>
                <w:sz w:val="20"/>
                <w:szCs w:val="20"/>
                <w:color w:val="auto"/>
              </w:rPr>
              <w:t>number of metrics critical to achieving the strategic plan</w:t>
            </w:r>
          </w:p>
        </w:tc>
      </w:tr>
      <w:tr>
        <w:trPr>
          <w:trHeight w:val="247"/>
        </w:trPr>
        <w:tc>
          <w:tcPr>
            <w:tcW w:w="5720" w:type="dxa"/>
            <w:vAlign w:val="bottom"/>
          </w:tcPr>
          <w:p>
            <w:pPr>
              <w:ind w:left="220"/>
              <w:spacing w:after="0"/>
              <w:rPr>
                <w:sz w:val="20"/>
                <w:szCs w:val="20"/>
                <w:color w:val="auto"/>
              </w:rPr>
            </w:pPr>
            <w:r>
              <w:rPr>
                <w:rFonts w:ascii="Arial" w:cs="Arial" w:eastAsia="Arial" w:hAnsi="Arial"/>
                <w:sz w:val="20"/>
                <w:szCs w:val="20"/>
                <w:color w:val="auto"/>
              </w:rPr>
              <w:t>primarily dedicated to strategy.</w:t>
            </w:r>
          </w:p>
        </w:tc>
        <w:tc>
          <w:tcPr>
            <w:tcW w:w="5520" w:type="dxa"/>
            <w:vAlign w:val="bottom"/>
          </w:tcPr>
          <w:p>
            <w:pPr>
              <w:ind w:left="220"/>
              <w:spacing w:after="0"/>
              <w:rPr>
                <w:sz w:val="20"/>
                <w:szCs w:val="20"/>
                <w:color w:val="auto"/>
              </w:rPr>
            </w:pPr>
            <w:r>
              <w:rPr>
                <w:rFonts w:ascii="Arial" w:cs="Arial" w:eastAsia="Arial" w:hAnsi="Arial"/>
                <w:sz w:val="20"/>
                <w:szCs w:val="20"/>
                <w:color w:val="auto"/>
              </w:rPr>
              <w:t>and promoting long-term shareholder returns.</w:t>
            </w:r>
          </w:p>
        </w:tc>
      </w:tr>
      <w:tr>
        <w:trPr>
          <w:trHeight w:val="237"/>
        </w:trPr>
        <w:tc>
          <w:tcPr>
            <w:tcW w:w="5720" w:type="dxa"/>
            <w:vAlign w:val="bottom"/>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The Board also has ultimate responsibility for risk oversight</w:t>
            </w:r>
          </w:p>
        </w:tc>
        <w:tc>
          <w:tcPr>
            <w:tcW w:w="5520" w:type="dxa"/>
            <w:vAlign w:val="bottom"/>
          </w:tcPr>
          <w:p>
            <w:pPr>
              <w:ind w:left="60"/>
              <w:spacing w:after="0"/>
              <w:rPr>
                <w:sz w:val="20"/>
                <w:szCs w:val="20"/>
                <w:color w:val="auto"/>
              </w:rPr>
            </w:pPr>
            <w:r>
              <w:rPr>
                <w:rFonts w:ascii="Arial" w:cs="Arial" w:eastAsia="Arial" w:hAnsi="Arial"/>
                <w:sz w:val="20"/>
                <w:szCs w:val="20"/>
                <w:color w:val="808080"/>
              </w:rPr>
              <w:t xml:space="preserve">• </w:t>
            </w:r>
            <w:r>
              <w:rPr>
                <w:rFonts w:ascii="Arial" w:cs="Arial" w:eastAsia="Arial" w:hAnsi="Arial"/>
                <w:sz w:val="20"/>
                <w:szCs w:val="20"/>
                <w:color w:val="000000"/>
              </w:rPr>
              <w:t>At Board meetings held throughout the year, the Board and</w:t>
            </w:r>
          </w:p>
        </w:tc>
      </w:tr>
      <w:tr>
        <w:trPr>
          <w:trHeight w:val="223"/>
        </w:trPr>
        <w:tc>
          <w:tcPr>
            <w:tcW w:w="5720" w:type="dxa"/>
            <w:vAlign w:val="bottom"/>
          </w:tcPr>
          <w:p>
            <w:pPr>
              <w:ind w:left="220"/>
              <w:spacing w:after="0" w:line="224" w:lineRule="exact"/>
              <w:rPr>
                <w:sz w:val="20"/>
                <w:szCs w:val="20"/>
                <w:color w:val="auto"/>
              </w:rPr>
            </w:pPr>
            <w:r>
              <w:rPr>
                <w:rFonts w:ascii="Arial" w:cs="Arial" w:eastAsia="Arial" w:hAnsi="Arial"/>
                <w:sz w:val="20"/>
                <w:szCs w:val="20"/>
                <w:color w:val="auto"/>
              </w:rPr>
              <w:t>and exercises its risk oversight responsibility at both the</w:t>
            </w:r>
          </w:p>
        </w:tc>
        <w:tc>
          <w:tcPr>
            <w:tcW w:w="5520" w:type="dxa"/>
            <w:vAlign w:val="bottom"/>
          </w:tcPr>
          <w:p>
            <w:pPr>
              <w:ind w:left="220"/>
              <w:spacing w:after="0" w:line="224" w:lineRule="exact"/>
              <w:rPr>
                <w:sz w:val="20"/>
                <w:szCs w:val="20"/>
                <w:color w:val="auto"/>
              </w:rPr>
            </w:pPr>
            <w:r>
              <w:rPr>
                <w:rFonts w:ascii="Arial" w:cs="Arial" w:eastAsia="Arial" w:hAnsi="Arial"/>
                <w:sz w:val="20"/>
                <w:szCs w:val="20"/>
                <w:color w:val="auto"/>
              </w:rPr>
              <w:t>management track progress against the strategic plan’s</w:t>
            </w:r>
          </w:p>
        </w:tc>
      </w:tr>
      <w:tr>
        <w:trPr>
          <w:trHeight w:val="223"/>
        </w:trPr>
        <w:tc>
          <w:tcPr>
            <w:tcW w:w="5720" w:type="dxa"/>
            <w:vAlign w:val="bottom"/>
          </w:tcPr>
          <w:p>
            <w:pPr>
              <w:ind w:left="220"/>
              <w:spacing w:after="0" w:line="224" w:lineRule="exact"/>
              <w:rPr>
                <w:sz w:val="20"/>
                <w:szCs w:val="20"/>
                <w:color w:val="auto"/>
              </w:rPr>
            </w:pPr>
            <w:r>
              <w:rPr>
                <w:rFonts w:ascii="Arial" w:cs="Arial" w:eastAsia="Arial" w:hAnsi="Arial"/>
                <w:sz w:val="20"/>
                <w:szCs w:val="20"/>
                <w:color w:val="auto"/>
              </w:rPr>
              <w:t>Board and committee level.</w:t>
            </w:r>
          </w:p>
        </w:tc>
        <w:tc>
          <w:tcPr>
            <w:tcW w:w="5520" w:type="dxa"/>
            <w:vAlign w:val="bottom"/>
          </w:tcPr>
          <w:p>
            <w:pPr>
              <w:ind w:left="220"/>
              <w:spacing w:after="0" w:line="224" w:lineRule="exact"/>
              <w:rPr>
                <w:sz w:val="20"/>
                <w:szCs w:val="20"/>
                <w:color w:val="auto"/>
              </w:rPr>
            </w:pPr>
            <w:r>
              <w:rPr>
                <w:rFonts w:ascii="Arial" w:cs="Arial" w:eastAsia="Arial" w:hAnsi="Arial"/>
                <w:sz w:val="20"/>
                <w:szCs w:val="20"/>
                <w:color w:val="auto"/>
              </w:rPr>
              <w:t>goals, consider impacts due to changing circumstances in</w:t>
            </w:r>
          </w:p>
        </w:tc>
      </w:tr>
      <w:tr>
        <w:trPr>
          <w:trHeight w:val="210"/>
        </w:trPr>
        <w:tc>
          <w:tcPr>
            <w:tcW w:w="5720" w:type="dxa"/>
            <w:vAlign w:val="bottom"/>
          </w:tcPr>
          <w:p>
            <w:pPr>
              <w:spacing w:after="0"/>
              <w:rPr>
                <w:sz w:val="18"/>
                <w:szCs w:val="18"/>
                <w:color w:val="auto"/>
              </w:rPr>
            </w:pPr>
          </w:p>
        </w:tc>
        <w:tc>
          <w:tcPr>
            <w:tcW w:w="5520" w:type="dxa"/>
            <w:vAlign w:val="bottom"/>
          </w:tcPr>
          <w:p>
            <w:pPr>
              <w:ind w:left="220"/>
              <w:spacing w:after="0" w:line="210" w:lineRule="exact"/>
              <w:rPr>
                <w:sz w:val="20"/>
                <w:szCs w:val="20"/>
                <w:color w:val="auto"/>
              </w:rPr>
            </w:pPr>
            <w:r>
              <w:rPr>
                <w:rFonts w:ascii="Arial" w:cs="Arial" w:eastAsia="Arial" w:hAnsi="Arial"/>
                <w:sz w:val="20"/>
                <w:szCs w:val="20"/>
                <w:color w:val="auto"/>
              </w:rPr>
              <w:t>the industry and the economic environment, and monitor</w:t>
            </w:r>
          </w:p>
        </w:tc>
      </w:tr>
      <w:tr>
        <w:trPr>
          <w:trHeight w:val="262"/>
        </w:trPr>
        <w:tc>
          <w:tcPr>
            <w:tcW w:w="5720" w:type="dxa"/>
            <w:vAlign w:val="bottom"/>
            <w:tcBorders>
              <w:bottom w:val="single" w:sz="8" w:color="582C83"/>
            </w:tcBorders>
          </w:tcPr>
          <w:p>
            <w:pPr>
              <w:spacing w:after="0"/>
              <w:rPr>
                <w:sz w:val="22"/>
                <w:szCs w:val="22"/>
                <w:color w:val="auto"/>
              </w:rPr>
            </w:pPr>
          </w:p>
        </w:tc>
        <w:tc>
          <w:tcPr>
            <w:tcW w:w="5520" w:type="dxa"/>
            <w:vAlign w:val="bottom"/>
            <w:tcBorders>
              <w:bottom w:val="single" w:sz="8" w:color="582C83"/>
            </w:tcBorders>
          </w:tcPr>
          <w:p>
            <w:pPr>
              <w:ind w:left="220"/>
              <w:spacing w:after="0"/>
              <w:rPr>
                <w:sz w:val="20"/>
                <w:szCs w:val="20"/>
                <w:color w:val="auto"/>
              </w:rPr>
            </w:pPr>
            <w:r>
              <w:rPr>
                <w:rFonts w:ascii="Arial" w:cs="Arial" w:eastAsia="Arial" w:hAnsi="Arial"/>
                <w:sz w:val="20"/>
                <w:szCs w:val="20"/>
                <w:color w:val="auto"/>
              </w:rPr>
              <w:t>strategic and operational risks.</w:t>
            </w:r>
          </w:p>
        </w:tc>
      </w:tr>
    </w:tbl>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Director Onboarding and Education</w:t>
      </w:r>
    </w:p>
    <w:p>
      <w:pPr>
        <w:spacing w:after="0" w:line="113" w:lineRule="exact"/>
        <w:rPr>
          <w:sz w:val="20"/>
          <w:szCs w:val="20"/>
          <w:color w:val="auto"/>
        </w:rPr>
      </w:pPr>
    </w:p>
    <w:p>
      <w:pPr>
        <w:ind w:left="20" w:right="40"/>
        <w:spacing w:after="0" w:line="244" w:lineRule="auto"/>
        <w:rPr>
          <w:sz w:val="20"/>
          <w:szCs w:val="20"/>
          <w:color w:val="auto"/>
        </w:rPr>
      </w:pPr>
      <w:r>
        <w:rPr>
          <w:rFonts w:ascii="Arial" w:cs="Arial" w:eastAsia="Arial" w:hAnsi="Arial"/>
          <w:sz w:val="20"/>
          <w:szCs w:val="20"/>
          <w:color w:val="auto"/>
        </w:rPr>
        <w:t>We provide new directors with a substantive onboarding program. They meet with numerous Company executives to learn about different aspects of Company operations, and they are invited to attend various Board committee meetings prior to joining any committees. Once new directors are appointed to committees, they meet with Company officers who support those committees.</w:t>
      </w:r>
    </w:p>
    <w:p>
      <w:pPr>
        <w:spacing w:after="0" w:line="46" w:lineRule="exact"/>
        <w:rPr>
          <w:sz w:val="20"/>
          <w:szCs w:val="20"/>
          <w:color w:val="auto"/>
        </w:rPr>
      </w:pPr>
    </w:p>
    <w:p>
      <w:pPr>
        <w:ind w:left="20" w:right="360"/>
        <w:spacing w:after="0" w:line="244" w:lineRule="auto"/>
        <w:rPr>
          <w:sz w:val="20"/>
          <w:szCs w:val="20"/>
          <w:color w:val="auto"/>
        </w:rPr>
      </w:pPr>
      <w:r>
        <w:rPr>
          <w:rFonts w:ascii="Arial" w:cs="Arial" w:eastAsia="Arial" w:hAnsi="Arial"/>
          <w:sz w:val="20"/>
          <w:szCs w:val="20"/>
          <w:color w:val="auto"/>
        </w:rPr>
        <w:t>During their service, directors have opportunities to meet and talk with our employees during visits to Company facilities and during our Board and committee meetings. During 2022, individual directors toured the Chicago Bakery and observed U.S. Biscuit production, met with employees, participated in a market visit and toured the facilities at our newly acquired Chipita business in Lamia, Greece.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143115"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00" w:top="132" w:right="339" w:bottom="1440" w:gutter="0" w:footer="0" w:header="0"/>
          <w:type w:val="continuous"/>
        </w:sectPr>
      </w:pPr>
    </w:p>
    <w:bookmarkStart w:id="39" w:name="page40"/>
    <w:bookmarkEnd w:id="39"/>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0" w:right="180"/>
        <w:spacing w:after="0" w:line="268" w:lineRule="auto"/>
        <w:rPr>
          <w:sz w:val="20"/>
          <w:szCs w:val="20"/>
          <w:color w:val="auto"/>
        </w:rPr>
      </w:pPr>
      <w:r>
        <w:rPr>
          <w:rFonts w:ascii="Arial" w:cs="Arial" w:eastAsia="Arial" w:hAnsi="Arial"/>
          <w:sz w:val="20"/>
          <w:szCs w:val="20"/>
          <w:color w:val="auto"/>
        </w:rPr>
        <w:t>We also regularly conduct voluntary educational sessions for directors on a variety of topics relevant to the Company. In 2022, these sessions focused on Enterprise Digital Transformation and Diversity, Equity and Inclusion.</w:t>
      </w:r>
    </w:p>
    <w:p>
      <w:pPr>
        <w:spacing w:after="0" w:line="107" w:lineRule="exact"/>
        <w:rPr>
          <w:sz w:val="20"/>
          <w:szCs w:val="20"/>
          <w:color w:val="auto"/>
        </w:rPr>
      </w:pPr>
    </w:p>
    <w:p>
      <w:pPr>
        <w:ind w:left="20" w:right="860"/>
        <w:spacing w:after="0" w:line="268" w:lineRule="auto"/>
        <w:rPr>
          <w:sz w:val="20"/>
          <w:szCs w:val="20"/>
          <w:color w:val="auto"/>
        </w:rPr>
      </w:pPr>
      <w:r>
        <w:rPr>
          <w:rFonts w:ascii="Arial" w:cs="Arial" w:eastAsia="Arial" w:hAnsi="Arial"/>
          <w:sz w:val="20"/>
          <w:szCs w:val="20"/>
          <w:color w:val="auto"/>
        </w:rPr>
        <w:t>In addition, the Company supports director participation in continuing education programs and reimburses directors for reasonable costs associated with attendance.</w:t>
      </w:r>
    </w:p>
    <w:p>
      <w:pPr>
        <w:spacing w:after="0" w:line="120"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Board Leadership Structure</w:t>
      </w:r>
    </w:p>
    <w:p>
      <w:pPr>
        <w:spacing w:after="0" w:line="113" w:lineRule="exact"/>
        <w:rPr>
          <w:sz w:val="20"/>
          <w:szCs w:val="20"/>
          <w:color w:val="auto"/>
        </w:rPr>
      </w:pPr>
    </w:p>
    <w:p>
      <w:pPr>
        <w:ind w:left="20" w:right="40"/>
        <w:spacing w:after="0" w:line="244" w:lineRule="auto"/>
        <w:rPr>
          <w:sz w:val="20"/>
          <w:szCs w:val="20"/>
          <w:color w:val="auto"/>
        </w:rPr>
      </w:pPr>
      <w:r>
        <w:rPr>
          <w:rFonts w:ascii="Arial" w:cs="Arial" w:eastAsia="Arial" w:hAnsi="Arial"/>
          <w:sz w:val="20"/>
          <w:szCs w:val="20"/>
          <w:color w:val="auto"/>
        </w:rPr>
        <w:t>The Board has a duty to act as it believes to be in the best interests of the Company and its shareholders, including determining the leadership structure that will best serve those interests. The By-Laws provide the Board flexibility in determining its leadership structure. Within this framework, the Board determines the most appropriate leadership structure at a given time in light of the Company’s needs and circumstances, as described more fully below.</w:t>
      </w:r>
    </w:p>
    <w:p>
      <w:pPr>
        <w:spacing w:after="0" w:line="133" w:lineRule="exact"/>
        <w:rPr>
          <w:sz w:val="20"/>
          <w:szCs w:val="20"/>
          <w:color w:val="auto"/>
        </w:rPr>
      </w:pPr>
    </w:p>
    <w:p>
      <w:pPr>
        <w:ind w:left="20" w:right="220"/>
        <w:spacing w:after="0" w:line="237" w:lineRule="auto"/>
        <w:rPr>
          <w:sz w:val="20"/>
          <w:szCs w:val="20"/>
          <w:color w:val="auto"/>
        </w:rPr>
      </w:pPr>
      <w:r>
        <w:rPr>
          <w:rFonts w:ascii="Arial" w:cs="Arial" w:eastAsia="Arial" w:hAnsi="Arial"/>
          <w:sz w:val="20"/>
          <w:szCs w:val="20"/>
          <w:color w:val="auto"/>
        </w:rPr>
        <w:t>The Board may determine that the CEO should also serve as Chair, and if it does so, the independent directors appoint an independent Lead Director with broad and substantive duties and responsibilities that have considerable overlap with those of an independent Board Chair. The independent Lead Director engages in planning and approving meeting schedules and agendas, including the review of briefing materials, and has the power to call meetings of the independent directors or the Board. As part of the Board’s regular agenda, the independent Lead Director presides over executive sessions of the independent directors without the participation of the Chairman and CEO. The independent Lead Director also serves as a direct point of contact for shareholders, and in Fall 2022 led engagements with investors holding approximately 19% of our outstanding shares. The independent Lead Director also frequently confers with the other independent directors on various Board and Company matters. In addition, the independent directors may assign, and from time to time have assigned, to the independent Lead Director any additional duties over and above these fixed responsibilities as they deem appropriate.</w:t>
      </w:r>
    </w:p>
    <w:p>
      <w:pPr>
        <w:spacing w:after="0" w:line="138" w:lineRule="exact"/>
        <w:rPr>
          <w:sz w:val="20"/>
          <w:szCs w:val="20"/>
          <w:color w:val="auto"/>
        </w:rPr>
      </w:pPr>
    </w:p>
    <w:p>
      <w:pPr>
        <w:ind w:left="20" w:right="20"/>
        <w:spacing w:after="0" w:line="239" w:lineRule="auto"/>
        <w:rPr>
          <w:sz w:val="20"/>
          <w:szCs w:val="20"/>
          <w:color w:val="auto"/>
        </w:rPr>
      </w:pPr>
      <w:r>
        <w:rPr>
          <w:rFonts w:ascii="Arial" w:cs="Arial" w:eastAsia="Arial" w:hAnsi="Arial"/>
          <w:sz w:val="20"/>
          <w:szCs w:val="20"/>
          <w:color w:val="auto"/>
        </w:rPr>
        <w:t>In considering which leadership structure will allow it to carry out its responsibilities most effectively and best represent shareholders’ interests, the Board takes into account various factors. Among them are our specific business needs, our operating and financial performance, industry conditions, economic and regulatory environments, the results of Board and committee annual self-assessments, the advantages and disadvantages of alternative leadership structures based on circumstances at that time, shareholder input, and our corporate governance practices. The Board recognizes the importance of the Company’s leadership structure to our shareholders and considers input on the topic obtained through robust shareholder engagement.</w:t>
      </w:r>
    </w:p>
    <w:p>
      <w:pPr>
        <w:spacing w:after="0" w:line="135" w:lineRule="exact"/>
        <w:rPr>
          <w:sz w:val="20"/>
          <w:szCs w:val="20"/>
          <w:color w:val="auto"/>
        </w:rPr>
      </w:pPr>
    </w:p>
    <w:p>
      <w:pPr>
        <w:ind w:left="20" w:right="20"/>
        <w:spacing w:after="0" w:line="250" w:lineRule="auto"/>
        <w:rPr>
          <w:sz w:val="20"/>
          <w:szCs w:val="20"/>
          <w:color w:val="auto"/>
        </w:rPr>
      </w:pPr>
      <w:r>
        <w:rPr>
          <w:rFonts w:ascii="Arial" w:cs="Arial" w:eastAsia="Arial" w:hAnsi="Arial"/>
          <w:sz w:val="20"/>
          <w:szCs w:val="20"/>
          <w:color w:val="auto"/>
        </w:rPr>
        <w:t>The Board believes that our shareholders benefit most when the Board has the flexibility and discretion to make decisions about the appropriate leadership structure for the Company in light of the Company’s needs and circumstances. At this time, the Board believes the current leadership structure continues to be appropriate for the Company and our shareholders.</w:t>
      </w:r>
    </w:p>
    <w:p>
      <w:pPr>
        <w:spacing w:after="0" w:line="250" w:lineRule="exact"/>
        <w:rPr>
          <w:sz w:val="20"/>
          <w:szCs w:val="20"/>
          <w:color w:val="auto"/>
        </w:rPr>
      </w:pPr>
    </w:p>
    <w:p>
      <w:pPr>
        <w:ind w:left="20" w:right="680"/>
        <w:spacing w:after="0" w:line="288" w:lineRule="auto"/>
        <w:rPr>
          <w:sz w:val="20"/>
          <w:szCs w:val="20"/>
          <w:color w:val="auto"/>
        </w:rPr>
      </w:pPr>
      <w:r>
        <w:rPr>
          <w:rFonts w:ascii="Arial" w:cs="Arial" w:eastAsia="Arial" w:hAnsi="Arial"/>
          <w:sz w:val="22"/>
          <w:szCs w:val="22"/>
          <w:b w:val="1"/>
          <w:bCs w:val="1"/>
          <w:color w:val="582C83"/>
        </w:rPr>
        <w:t>THE BOARD’S CURRENT LEADERSHIP STRUCTURE PROVIDES INDEPENDENT LEADERSHIP AND MANAGEMENT OVERSIGHT</w:t>
      </w:r>
    </w:p>
    <w:p>
      <w:pPr>
        <w:spacing w:after="0" w:line="1" w:lineRule="exact"/>
        <w:rPr>
          <w:sz w:val="20"/>
          <w:szCs w:val="20"/>
          <w:color w:val="auto"/>
        </w:rPr>
      </w:pPr>
    </w:p>
    <w:p>
      <w:pPr>
        <w:ind w:left="20" w:right="80"/>
        <w:spacing w:after="0" w:line="255" w:lineRule="auto"/>
        <w:rPr>
          <w:sz w:val="20"/>
          <w:szCs w:val="20"/>
          <w:color w:val="auto"/>
        </w:rPr>
      </w:pPr>
      <w:r>
        <w:rPr>
          <w:rFonts w:ascii="Arial" w:cs="Arial" w:eastAsia="Arial" w:hAnsi="Arial"/>
          <w:sz w:val="19"/>
          <w:szCs w:val="19"/>
          <w:color w:val="auto"/>
        </w:rPr>
        <w:t>Our Board is led by Mr. Van de Put, the Chairman and CEO, together with Mr. Siewert, our independent Lead Director. Each Board committee is composed entirely of, and is chaired by, independent directors, and each committee has a clearly defined area of oversight regarding key risks and Company functions. This leadership structure enhances the Board’s oversight of material risks because our Chairman and CEO is uniquely positioned to identify emerging risks while our Lead Director and Committee Chairs provide independent oversight of the Company’s risk management programs. Other than Mr. Van de Put, the Board is composed entirely of independent directors and each of them has access to the CEO and other company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714311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00" w:top="132"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Mr. Van de Put and Mr. Siewert work closely together. The Board believes that they, together with our Committee Chairs, provide appropriate Board leadership and oversight of the Company while facilitating effective and efficient functioning of both the Board and management. Under Mr. Van de Put’s leadership and the Board’s oversight, we have delivered strong total shareholder returns, outpacing many of our peers, and we have made sustained progress against our environmental, social and governance (“ESG”)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143115" cy="62839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3115" cy="628396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900"/>
        <w:spacing w:after="0"/>
        <w:rPr>
          <w:sz w:val="20"/>
          <w:szCs w:val="20"/>
          <w:color w:val="auto"/>
        </w:rPr>
      </w:pPr>
      <w:r>
        <w:rPr>
          <w:rFonts w:ascii="Arial" w:cs="Arial" w:eastAsia="Arial" w:hAnsi="Arial"/>
          <w:sz w:val="22"/>
          <w:szCs w:val="22"/>
          <w:b w:val="1"/>
          <w:bCs w:val="1"/>
          <w:color w:val="582C83"/>
        </w:rPr>
        <w:t>MR. VAN DE PUT</w:t>
      </w:r>
    </w:p>
    <w:p>
      <w:pPr>
        <w:spacing w:after="0" w:line="70"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Chairman since 2018</w:t>
      </w:r>
    </w:p>
    <w:p>
      <w:pPr>
        <w:spacing w:after="0" w:line="93" w:lineRule="exact"/>
        <w:rPr>
          <w:sz w:val="20"/>
          <w:szCs w:val="20"/>
          <w:color w:val="auto"/>
        </w:rPr>
      </w:pPr>
    </w:p>
    <w:p>
      <w:pPr>
        <w:ind w:left="280" w:right="20"/>
        <w:spacing w:after="0"/>
        <w:rPr>
          <w:sz w:val="20"/>
          <w:szCs w:val="20"/>
          <w:color w:val="auto"/>
        </w:rPr>
      </w:pPr>
      <w:r>
        <w:rPr>
          <w:rFonts w:ascii="Arial" w:cs="Arial" w:eastAsia="Arial" w:hAnsi="Arial"/>
          <w:sz w:val="20"/>
          <w:szCs w:val="20"/>
          <w:color w:val="auto"/>
        </w:rPr>
        <w:t>The Board carefully considered its leadership structure, including whether the role of Chair should be a non-executive position or combined with that of the CEO. The Board concluded that combining these roles results in significant benefits for the Company and our shareholders, and best positions Mr. Van de Put to:</w:t>
      </w:r>
    </w:p>
    <w:p>
      <w:pPr>
        <w:spacing w:after="0" w:line="23" w:lineRule="exact"/>
        <w:rPr>
          <w:sz w:val="20"/>
          <w:szCs w:val="20"/>
          <w:color w:val="auto"/>
        </w:rPr>
      </w:pPr>
    </w:p>
    <w:p>
      <w:pPr>
        <w:ind w:left="440" w:right="180" w:hanging="168"/>
        <w:spacing w:after="0" w:line="262" w:lineRule="auto"/>
        <w:tabs>
          <w:tab w:leader="none" w:pos="440" w:val="left"/>
        </w:tabs>
        <w:numPr>
          <w:ilvl w:val="0"/>
          <w:numId w:val="25"/>
        </w:numPr>
        <w:rPr>
          <w:rFonts w:ascii="Arial" w:cs="Arial" w:eastAsia="Arial" w:hAnsi="Arial"/>
          <w:sz w:val="19"/>
          <w:szCs w:val="19"/>
          <w:color w:val="582C83"/>
        </w:rPr>
      </w:pPr>
      <w:r>
        <w:rPr>
          <w:rFonts w:ascii="Arial" w:cs="Arial" w:eastAsia="Arial" w:hAnsi="Arial"/>
          <w:sz w:val="19"/>
          <w:szCs w:val="19"/>
          <w:color w:val="auto"/>
        </w:rPr>
        <w:t>promote shareholders’ interests and contribute to the Board’s effectiveness and efficiency due to his deep knowledge of the Company, the food industry and the competitive environment in which we operate;</w:t>
      </w:r>
    </w:p>
    <w:p>
      <w:pPr>
        <w:spacing w:after="0" w:line="2" w:lineRule="exact"/>
        <w:rPr>
          <w:rFonts w:ascii="Arial" w:cs="Arial" w:eastAsia="Arial" w:hAnsi="Arial"/>
          <w:sz w:val="19"/>
          <w:szCs w:val="19"/>
          <w:color w:val="582C83"/>
        </w:rPr>
      </w:pPr>
    </w:p>
    <w:p>
      <w:pPr>
        <w:ind w:left="440" w:right="300" w:hanging="168"/>
        <w:spacing w:after="0" w:line="265" w:lineRule="auto"/>
        <w:tabs>
          <w:tab w:leader="none" w:pos="440" w:val="left"/>
        </w:tabs>
        <w:numPr>
          <w:ilvl w:val="0"/>
          <w:numId w:val="25"/>
        </w:numPr>
        <w:rPr>
          <w:rFonts w:ascii="Arial" w:cs="Arial" w:eastAsia="Arial" w:hAnsi="Arial"/>
          <w:sz w:val="20"/>
          <w:szCs w:val="20"/>
          <w:color w:val="582C83"/>
        </w:rPr>
      </w:pPr>
      <w:r>
        <w:rPr>
          <w:rFonts w:ascii="Arial" w:cs="Arial" w:eastAsia="Arial" w:hAnsi="Arial"/>
          <w:sz w:val="20"/>
          <w:szCs w:val="20"/>
          <w:color w:val="auto"/>
        </w:rPr>
        <w:t>promote the alignment of our strategic and business plans;</w:t>
      </w:r>
    </w:p>
    <w:p>
      <w:pPr>
        <w:spacing w:after="0" w:line="1" w:lineRule="exact"/>
        <w:rPr>
          <w:rFonts w:ascii="Arial" w:cs="Arial" w:eastAsia="Arial" w:hAnsi="Arial"/>
          <w:sz w:val="20"/>
          <w:szCs w:val="20"/>
          <w:color w:val="582C83"/>
        </w:rPr>
      </w:pPr>
    </w:p>
    <w:p>
      <w:pPr>
        <w:ind w:left="440" w:right="80" w:hanging="168"/>
        <w:spacing w:after="0" w:line="244" w:lineRule="auto"/>
        <w:tabs>
          <w:tab w:leader="none" w:pos="440" w:val="left"/>
        </w:tabs>
        <w:numPr>
          <w:ilvl w:val="0"/>
          <w:numId w:val="25"/>
        </w:numPr>
        <w:rPr>
          <w:rFonts w:ascii="Arial" w:cs="Arial" w:eastAsia="Arial" w:hAnsi="Arial"/>
          <w:sz w:val="20"/>
          <w:szCs w:val="20"/>
          <w:color w:val="582C83"/>
        </w:rPr>
      </w:pPr>
      <w:r>
        <w:rPr>
          <w:rFonts w:ascii="Arial" w:cs="Arial" w:eastAsia="Arial" w:hAnsi="Arial"/>
          <w:sz w:val="20"/>
          <w:szCs w:val="20"/>
          <w:color w:val="auto"/>
        </w:rPr>
        <w:t>ensure items of greatest importance for our global operations and risk management activities are brought to the attention of, and reviewed by, the Board on a timely basis;</w:t>
      </w:r>
    </w:p>
    <w:p>
      <w:pPr>
        <w:spacing w:after="0" w:line="20" w:lineRule="exact"/>
        <w:rPr>
          <w:rFonts w:ascii="Arial" w:cs="Arial" w:eastAsia="Arial" w:hAnsi="Arial"/>
          <w:sz w:val="20"/>
          <w:szCs w:val="20"/>
          <w:color w:val="582C83"/>
        </w:rPr>
      </w:pPr>
    </w:p>
    <w:p>
      <w:pPr>
        <w:ind w:left="440" w:right="60" w:hanging="168"/>
        <w:spacing w:after="0" w:line="268" w:lineRule="auto"/>
        <w:tabs>
          <w:tab w:leader="none" w:pos="440" w:val="left"/>
        </w:tabs>
        <w:numPr>
          <w:ilvl w:val="0"/>
          <w:numId w:val="25"/>
        </w:numPr>
        <w:rPr>
          <w:rFonts w:ascii="Arial" w:cs="Arial" w:eastAsia="Arial" w:hAnsi="Arial"/>
          <w:sz w:val="19"/>
          <w:szCs w:val="19"/>
          <w:color w:val="582C83"/>
        </w:rPr>
      </w:pPr>
      <w:r>
        <w:rPr>
          <w:rFonts w:ascii="Arial" w:cs="Arial" w:eastAsia="Arial" w:hAnsi="Arial"/>
          <w:sz w:val="19"/>
          <w:szCs w:val="19"/>
          <w:color w:val="auto"/>
        </w:rPr>
        <w:t>highlight important issues with the Board as they happen, as market dynamics change, or as risks evolve, ensuring appropriate oversight and discussion;</w:t>
      </w:r>
    </w:p>
    <w:p>
      <w:pPr>
        <w:ind w:left="440" w:right="240" w:hanging="168"/>
        <w:spacing w:after="0" w:line="250" w:lineRule="auto"/>
        <w:tabs>
          <w:tab w:leader="none" w:pos="440" w:val="left"/>
        </w:tabs>
        <w:numPr>
          <w:ilvl w:val="0"/>
          <w:numId w:val="25"/>
        </w:numPr>
        <w:rPr>
          <w:rFonts w:ascii="Arial" w:cs="Arial" w:eastAsia="Arial" w:hAnsi="Arial"/>
          <w:sz w:val="20"/>
          <w:szCs w:val="20"/>
          <w:color w:val="582C83"/>
        </w:rPr>
      </w:pPr>
      <w:r>
        <w:rPr>
          <w:rFonts w:ascii="Arial" w:cs="Arial" w:eastAsia="Arial" w:hAnsi="Arial"/>
          <w:sz w:val="20"/>
          <w:szCs w:val="20"/>
          <w:color w:val="auto"/>
        </w:rPr>
        <w:t>lead the Board’s discussion of the Company’s critical business matters, including risk-related matters and management’s response; and</w:t>
      </w:r>
    </w:p>
    <w:p>
      <w:pPr>
        <w:spacing w:after="0" w:line="13" w:lineRule="exact"/>
        <w:rPr>
          <w:rFonts w:ascii="Arial" w:cs="Arial" w:eastAsia="Arial" w:hAnsi="Arial"/>
          <w:sz w:val="20"/>
          <w:szCs w:val="20"/>
          <w:color w:val="582C83"/>
        </w:rPr>
      </w:pPr>
    </w:p>
    <w:p>
      <w:pPr>
        <w:ind w:left="440" w:right="260" w:hanging="168"/>
        <w:spacing w:after="0" w:line="250" w:lineRule="auto"/>
        <w:tabs>
          <w:tab w:leader="none" w:pos="440" w:val="left"/>
        </w:tabs>
        <w:numPr>
          <w:ilvl w:val="0"/>
          <w:numId w:val="25"/>
        </w:numPr>
        <w:rPr>
          <w:rFonts w:ascii="Arial" w:cs="Arial" w:eastAsia="Arial" w:hAnsi="Arial"/>
          <w:sz w:val="20"/>
          <w:szCs w:val="20"/>
          <w:color w:val="582C83"/>
        </w:rPr>
      </w:pPr>
      <w:r>
        <w:rPr>
          <w:rFonts w:ascii="Arial" w:cs="Arial" w:eastAsia="Arial" w:hAnsi="Arial"/>
          <w:sz w:val="20"/>
          <w:szCs w:val="20"/>
          <w:color w:val="auto"/>
        </w:rPr>
        <w:t>enable the Board to stay abreast of the dynamic and rapidly evolving consumer and retail landscape in which the Company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293370</wp:posOffset>
            </wp:positionV>
            <wp:extent cx="7143115"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582C83"/>
        </w:rPr>
        <w:t>MR. SIEWERT</w:t>
      </w:r>
    </w:p>
    <w:p>
      <w:pPr>
        <w:spacing w:after="0" w:line="70"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Lead Director since 2022</w:t>
      </w:r>
    </w:p>
    <w:p>
      <w:pPr>
        <w:spacing w:after="0" w:line="93" w:lineRule="exact"/>
        <w:rPr>
          <w:sz w:val="20"/>
          <w:szCs w:val="20"/>
          <w:color w:val="auto"/>
        </w:rPr>
      </w:pPr>
    </w:p>
    <w:p>
      <w:pPr>
        <w:ind w:right="200"/>
        <w:spacing w:after="0" w:line="236" w:lineRule="auto"/>
        <w:rPr>
          <w:sz w:val="20"/>
          <w:szCs w:val="20"/>
          <w:color w:val="auto"/>
        </w:rPr>
      </w:pPr>
      <w:r>
        <w:rPr>
          <w:rFonts w:ascii="Arial" w:cs="Arial" w:eastAsia="Arial" w:hAnsi="Arial"/>
          <w:sz w:val="20"/>
          <w:szCs w:val="20"/>
          <w:color w:val="auto"/>
        </w:rPr>
        <w:t>The independent directors selected Mr. Siewert to lead our Board as independent Lead Director because he has extensive leadership experience, including risk management and oversight, shaped through his years as a Managing Director and Partner for The Carlyle Group, L.P., his prior leadership roles at The Coca-Cola Company and Eastman Kodak Company, and his experience as lead director at Avery Dennison Corporation. Given his broad global and operational experience in the food, beverage and consumer products industries, the Board believes Mr. Siewert is well-positioned to:</w:t>
      </w:r>
    </w:p>
    <w:p>
      <w:pPr>
        <w:spacing w:after="0" w:line="30" w:lineRule="exact"/>
        <w:rPr>
          <w:sz w:val="20"/>
          <w:szCs w:val="20"/>
          <w:color w:val="auto"/>
        </w:rPr>
      </w:pPr>
    </w:p>
    <w:p>
      <w:pPr>
        <w:ind w:left="160" w:right="400" w:hanging="159"/>
        <w:spacing w:after="0" w:line="250" w:lineRule="auto"/>
        <w:tabs>
          <w:tab w:leader="none" w:pos="160" w:val="left"/>
        </w:tabs>
        <w:numPr>
          <w:ilvl w:val="0"/>
          <w:numId w:val="26"/>
        </w:numPr>
        <w:rPr>
          <w:rFonts w:ascii="Arial" w:cs="Arial" w:eastAsia="Arial" w:hAnsi="Arial"/>
          <w:sz w:val="20"/>
          <w:szCs w:val="20"/>
          <w:color w:val="582C83"/>
        </w:rPr>
      </w:pPr>
      <w:r>
        <w:rPr>
          <w:rFonts w:ascii="Arial" w:cs="Arial" w:eastAsia="Arial" w:hAnsi="Arial"/>
          <w:sz w:val="20"/>
          <w:szCs w:val="20"/>
          <w:color w:val="auto"/>
        </w:rPr>
        <w:t>provide independent Board leadership and oversight, including with respect to business matters and risk management activities;</w:t>
      </w:r>
    </w:p>
    <w:p>
      <w:pPr>
        <w:spacing w:after="0" w:line="13" w:lineRule="exact"/>
        <w:rPr>
          <w:rFonts w:ascii="Arial" w:cs="Arial" w:eastAsia="Arial" w:hAnsi="Arial"/>
          <w:sz w:val="20"/>
          <w:szCs w:val="20"/>
          <w:color w:val="582C83"/>
        </w:rPr>
      </w:pPr>
    </w:p>
    <w:p>
      <w:pPr>
        <w:ind w:left="160" w:right="220" w:hanging="159"/>
        <w:spacing w:after="0" w:line="250" w:lineRule="auto"/>
        <w:tabs>
          <w:tab w:leader="none" w:pos="160" w:val="left"/>
        </w:tabs>
        <w:numPr>
          <w:ilvl w:val="0"/>
          <w:numId w:val="26"/>
        </w:numPr>
        <w:rPr>
          <w:rFonts w:ascii="Arial" w:cs="Arial" w:eastAsia="Arial" w:hAnsi="Arial"/>
          <w:sz w:val="20"/>
          <w:szCs w:val="20"/>
          <w:color w:val="582C83"/>
        </w:rPr>
      </w:pPr>
      <w:r>
        <w:rPr>
          <w:rFonts w:ascii="Arial" w:cs="Arial" w:eastAsia="Arial" w:hAnsi="Arial"/>
          <w:sz w:val="20"/>
          <w:szCs w:val="20"/>
          <w:color w:val="auto"/>
        </w:rPr>
        <w:t>facilitate effective information flow to directors and across committees, and promote active discussion and collaboration among the independent directors;</w:t>
      </w:r>
    </w:p>
    <w:p>
      <w:pPr>
        <w:spacing w:after="0" w:line="13" w:lineRule="exact"/>
        <w:rPr>
          <w:rFonts w:ascii="Arial" w:cs="Arial" w:eastAsia="Arial" w:hAnsi="Arial"/>
          <w:sz w:val="20"/>
          <w:szCs w:val="20"/>
          <w:color w:val="582C83"/>
        </w:rPr>
      </w:pPr>
    </w:p>
    <w:p>
      <w:pPr>
        <w:ind w:left="160" w:right="500" w:hanging="159"/>
        <w:spacing w:after="0" w:line="250" w:lineRule="auto"/>
        <w:tabs>
          <w:tab w:leader="none" w:pos="160" w:val="left"/>
        </w:tabs>
        <w:numPr>
          <w:ilvl w:val="0"/>
          <w:numId w:val="26"/>
        </w:numPr>
        <w:rPr>
          <w:rFonts w:ascii="Arial" w:cs="Arial" w:eastAsia="Arial" w:hAnsi="Arial"/>
          <w:sz w:val="20"/>
          <w:szCs w:val="20"/>
          <w:color w:val="582C83"/>
        </w:rPr>
      </w:pPr>
      <w:r>
        <w:rPr>
          <w:rFonts w:ascii="Arial" w:cs="Arial" w:eastAsia="Arial" w:hAnsi="Arial"/>
          <w:sz w:val="20"/>
          <w:szCs w:val="20"/>
          <w:color w:val="auto"/>
        </w:rPr>
        <w:t>serve as an effective liaison between the Board and management, as well as between the independent directors and the Chairman and CEO;</w:t>
      </w:r>
    </w:p>
    <w:p>
      <w:pPr>
        <w:spacing w:after="0" w:line="13" w:lineRule="exact"/>
        <w:rPr>
          <w:rFonts w:ascii="Arial" w:cs="Arial" w:eastAsia="Arial" w:hAnsi="Arial"/>
          <w:sz w:val="20"/>
          <w:szCs w:val="20"/>
          <w:color w:val="582C83"/>
        </w:rPr>
      </w:pPr>
    </w:p>
    <w:p>
      <w:pPr>
        <w:ind w:left="160" w:right="200" w:hanging="159"/>
        <w:spacing w:after="0" w:line="250" w:lineRule="auto"/>
        <w:tabs>
          <w:tab w:leader="none" w:pos="160" w:val="left"/>
        </w:tabs>
        <w:numPr>
          <w:ilvl w:val="0"/>
          <w:numId w:val="26"/>
        </w:numPr>
        <w:rPr>
          <w:rFonts w:ascii="Arial" w:cs="Arial" w:eastAsia="Arial" w:hAnsi="Arial"/>
          <w:sz w:val="20"/>
          <w:szCs w:val="20"/>
          <w:color w:val="582C83"/>
        </w:rPr>
      </w:pPr>
      <w:r>
        <w:rPr>
          <w:rFonts w:ascii="Arial" w:cs="Arial" w:eastAsia="Arial" w:hAnsi="Arial"/>
          <w:sz w:val="20"/>
          <w:szCs w:val="20"/>
          <w:color w:val="auto"/>
        </w:rPr>
        <w:t>provide candid, constructive and independent feedback to management, including regarding Board concerns and information needs; and</w:t>
      </w:r>
    </w:p>
    <w:p>
      <w:pPr>
        <w:spacing w:after="0" w:line="13" w:lineRule="exact"/>
        <w:rPr>
          <w:rFonts w:ascii="Arial" w:cs="Arial" w:eastAsia="Arial" w:hAnsi="Arial"/>
          <w:sz w:val="20"/>
          <w:szCs w:val="20"/>
          <w:color w:val="582C83"/>
        </w:rPr>
      </w:pPr>
    </w:p>
    <w:p>
      <w:pPr>
        <w:ind w:left="160" w:hanging="159"/>
        <w:spacing w:after="0"/>
        <w:tabs>
          <w:tab w:leader="none" w:pos="160" w:val="left"/>
        </w:tabs>
        <w:numPr>
          <w:ilvl w:val="0"/>
          <w:numId w:val="26"/>
        </w:numPr>
        <w:rPr>
          <w:rFonts w:ascii="Arial" w:cs="Arial" w:eastAsia="Arial" w:hAnsi="Arial"/>
          <w:sz w:val="20"/>
          <w:szCs w:val="20"/>
          <w:color w:val="582C83"/>
        </w:rPr>
      </w:pPr>
      <w:r>
        <w:rPr>
          <w:rFonts w:ascii="Arial" w:cs="Arial" w:eastAsia="Arial" w:hAnsi="Arial"/>
          <w:sz w:val="20"/>
          <w:szCs w:val="20"/>
          <w:color w:val="auto"/>
        </w:rPr>
        <w:t>actively engage in shareholder outreach.</w:t>
      </w:r>
    </w:p>
    <w:p>
      <w:pPr>
        <w:spacing w:after="0" w:line="303" w:lineRule="exact"/>
        <w:rPr>
          <w:sz w:val="20"/>
          <w:szCs w:val="20"/>
          <w:color w:val="auto"/>
        </w:rPr>
      </w:pPr>
    </w:p>
    <w:p>
      <w:pPr>
        <w:sectPr>
          <w:pgSz w:w="11900" w:h="16838" w:orient="portrait"/>
          <w:cols w:equalWidth="0" w:num="2">
            <w:col w:w="5300" w:space="720"/>
            <w:col w:w="5220"/>
          </w:cols>
          <w:pgMar w:left="320" w:top="132" w:right="339" w:bottom="1440" w:gutter="0" w:footer="0" w:header="0"/>
          <w:type w:val="continuous"/>
        </w:sectPr>
      </w:pPr>
    </w:p>
    <w:p>
      <w:pPr>
        <w:spacing w:after="0" w:line="337" w:lineRule="exact"/>
        <w:rPr>
          <w:sz w:val="20"/>
          <w:szCs w:val="20"/>
          <w:color w:val="auto"/>
        </w:rPr>
      </w:pPr>
    </w:p>
    <w:p>
      <w:pPr>
        <w:ind w:left="9060"/>
        <w:spacing w:after="0"/>
        <w:rPr>
          <w:sz w:val="20"/>
          <w:szCs w:val="20"/>
          <w:color w:val="auto"/>
        </w:rPr>
      </w:pPr>
      <w:r>
        <w:rPr>
          <w:rFonts w:ascii="Arial" w:cs="Arial" w:eastAsia="Arial" w:hAnsi="Arial"/>
          <w:sz w:val="15"/>
          <w:szCs w:val="15"/>
          <w:b w:val="1"/>
          <w:bCs w:val="1"/>
          <w:color w:val="58358F"/>
        </w:rPr>
        <w:t>2023 PROXY STATEMENT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41" w:name="page42"/>
    <w:bookmarkEnd w:id="41"/>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2C83"/>
        </w:rPr>
        <w:t>INDEPENDENT LEAD DIRECTOR ROLE AND RESPONSIBILITIES</w:t>
      </w:r>
    </w:p>
    <w:p>
      <w:pPr>
        <w:spacing w:after="0" w:line="94" w:lineRule="exact"/>
        <w:rPr>
          <w:sz w:val="20"/>
          <w:szCs w:val="20"/>
          <w:color w:val="auto"/>
        </w:rPr>
      </w:pPr>
    </w:p>
    <w:p>
      <w:pPr>
        <w:ind w:left="20" w:right="200"/>
        <w:spacing w:after="0" w:line="242" w:lineRule="auto"/>
        <w:rPr>
          <w:sz w:val="20"/>
          <w:szCs w:val="20"/>
          <w:color w:val="auto"/>
        </w:rPr>
      </w:pPr>
      <w:r>
        <w:rPr>
          <w:rFonts w:ascii="Arial" w:cs="Arial" w:eastAsia="Arial" w:hAnsi="Arial"/>
          <w:sz w:val="20"/>
          <w:szCs w:val="20"/>
          <w:color w:val="auto"/>
        </w:rPr>
        <w:t>The Board created the independent Lead Director position to, among other things, provide strong leadership of the Board’s affairs on behalf of shareholders, increase the Board’s effectiveness, promote open communication among the independent directors, and serve as the principal liaison between the Chair and the other independent directors. The independent directors annually select the independent Lead Director for a one-year term. The current Board structure has been discussed with shareholders and their feedback has been taken into consideration with respect to the independent Lead Director role.</w:t>
      </w:r>
    </w:p>
    <w:p>
      <w:pPr>
        <w:spacing w:after="0" w:line="132" w:lineRule="exact"/>
        <w:rPr>
          <w:sz w:val="20"/>
          <w:szCs w:val="20"/>
          <w:color w:val="auto"/>
        </w:rPr>
      </w:pPr>
    </w:p>
    <w:p>
      <w:pPr>
        <w:ind w:left="20" w:right="120"/>
        <w:spacing w:after="0" w:line="250" w:lineRule="auto"/>
        <w:rPr>
          <w:sz w:val="20"/>
          <w:szCs w:val="20"/>
          <w:color w:val="auto"/>
        </w:rPr>
      </w:pPr>
      <w:r>
        <w:rPr>
          <w:rFonts w:ascii="Arial" w:cs="Arial" w:eastAsia="Arial" w:hAnsi="Arial"/>
          <w:sz w:val="20"/>
          <w:szCs w:val="20"/>
          <w:color w:val="auto"/>
        </w:rPr>
        <w:t>The independent Lead Director has significant authority and responsibilities that protect Company and shareholder interests by promoting strong management oversight and accountability. Under the Guidelines, the independent Lead Director, in consultation with the other independent directors, has the following substantive duties and responsibilities:</w:t>
      </w:r>
    </w:p>
    <w:p>
      <w:pPr>
        <w:spacing w:after="0" w:line="126" w:lineRule="exact"/>
        <w:rPr>
          <w:sz w:val="20"/>
          <w:szCs w:val="20"/>
          <w:color w:val="auto"/>
        </w:rPr>
      </w:pPr>
    </w:p>
    <w:p>
      <w:pPr>
        <w:ind w:left="180" w:hanging="161"/>
        <w:spacing w:after="0"/>
        <w:tabs>
          <w:tab w:leader="none" w:pos="180" w:val="left"/>
        </w:tabs>
        <w:numPr>
          <w:ilvl w:val="0"/>
          <w:numId w:val="27"/>
        </w:numPr>
        <w:rPr>
          <w:rFonts w:ascii="Arial" w:cs="Arial" w:eastAsia="Arial" w:hAnsi="Arial"/>
          <w:sz w:val="20"/>
          <w:szCs w:val="20"/>
          <w:color w:val="582C83"/>
        </w:rPr>
      </w:pPr>
      <w:r>
        <w:rPr>
          <w:rFonts w:ascii="Arial" w:cs="Arial" w:eastAsia="Arial" w:hAnsi="Arial"/>
          <w:sz w:val="20"/>
          <w:szCs w:val="20"/>
          <w:color w:val="auto"/>
        </w:rPr>
        <w:t>Serve as liaison between the independent directors and the Chair and CEO;</w:t>
      </w:r>
    </w:p>
    <w:p>
      <w:pPr>
        <w:spacing w:after="0" w:line="92" w:lineRule="exact"/>
        <w:rPr>
          <w:rFonts w:ascii="Arial" w:cs="Arial" w:eastAsia="Arial" w:hAnsi="Arial"/>
          <w:sz w:val="20"/>
          <w:szCs w:val="20"/>
          <w:color w:val="582C83"/>
        </w:rPr>
      </w:pPr>
    </w:p>
    <w:p>
      <w:pPr>
        <w:ind w:left="180" w:right="100" w:hanging="161"/>
        <w:spacing w:after="0" w:line="268" w:lineRule="auto"/>
        <w:tabs>
          <w:tab w:leader="none" w:pos="180" w:val="left"/>
        </w:tabs>
        <w:numPr>
          <w:ilvl w:val="0"/>
          <w:numId w:val="27"/>
        </w:numPr>
        <w:rPr>
          <w:rFonts w:ascii="Arial" w:cs="Arial" w:eastAsia="Arial" w:hAnsi="Arial"/>
          <w:sz w:val="20"/>
          <w:szCs w:val="20"/>
          <w:color w:val="582C83"/>
        </w:rPr>
      </w:pPr>
      <w:r>
        <w:rPr>
          <w:rFonts w:ascii="Arial" w:cs="Arial" w:eastAsia="Arial" w:hAnsi="Arial"/>
          <w:sz w:val="20"/>
          <w:szCs w:val="20"/>
          <w:color w:val="auto"/>
        </w:rPr>
        <w:t>Seek input from the independent directors and advise the Chair and CEO as to an appropriate annual schedule of, and major agenda topics and content of related briefing materials for, regular Board meetings;</w:t>
      </w:r>
    </w:p>
    <w:p>
      <w:pPr>
        <w:spacing w:after="0" w:line="32" w:lineRule="exact"/>
        <w:rPr>
          <w:rFonts w:ascii="Arial" w:cs="Arial" w:eastAsia="Arial" w:hAnsi="Arial"/>
          <w:sz w:val="20"/>
          <w:szCs w:val="20"/>
          <w:color w:val="582C83"/>
        </w:rPr>
      </w:pPr>
    </w:p>
    <w:p>
      <w:pPr>
        <w:ind w:left="180" w:right="140" w:hanging="161"/>
        <w:spacing w:after="0" w:line="268" w:lineRule="auto"/>
        <w:tabs>
          <w:tab w:leader="none" w:pos="180" w:val="left"/>
        </w:tabs>
        <w:numPr>
          <w:ilvl w:val="0"/>
          <w:numId w:val="27"/>
        </w:numPr>
        <w:rPr>
          <w:rFonts w:ascii="Arial" w:cs="Arial" w:eastAsia="Arial" w:hAnsi="Arial"/>
          <w:sz w:val="20"/>
          <w:szCs w:val="20"/>
          <w:color w:val="582C83"/>
        </w:rPr>
      </w:pPr>
      <w:r>
        <w:rPr>
          <w:rFonts w:ascii="Arial" w:cs="Arial" w:eastAsia="Arial" w:hAnsi="Arial"/>
          <w:sz w:val="20"/>
          <w:szCs w:val="20"/>
          <w:color w:val="auto"/>
        </w:rPr>
        <w:t>Review and approve meeting agendas as well as the content of Board briefing materials and may add agenda items in his or her discretion, including risk-related matters;</w:t>
      </w:r>
    </w:p>
    <w:p>
      <w:pPr>
        <w:spacing w:after="0" w:line="32" w:lineRule="exact"/>
        <w:rPr>
          <w:rFonts w:ascii="Arial" w:cs="Arial" w:eastAsia="Arial" w:hAnsi="Arial"/>
          <w:sz w:val="20"/>
          <w:szCs w:val="20"/>
          <w:color w:val="582C83"/>
        </w:rPr>
      </w:pPr>
    </w:p>
    <w:p>
      <w:pPr>
        <w:ind w:left="180" w:hanging="161"/>
        <w:spacing w:after="0"/>
        <w:tabs>
          <w:tab w:leader="none" w:pos="180" w:val="left"/>
        </w:tabs>
        <w:numPr>
          <w:ilvl w:val="0"/>
          <w:numId w:val="27"/>
        </w:numPr>
        <w:rPr>
          <w:rFonts w:ascii="Arial" w:cs="Arial" w:eastAsia="Arial" w:hAnsi="Arial"/>
          <w:sz w:val="20"/>
          <w:szCs w:val="20"/>
          <w:color w:val="582C83"/>
        </w:rPr>
      </w:pPr>
      <w:r>
        <w:rPr>
          <w:rFonts w:ascii="Arial" w:cs="Arial" w:eastAsia="Arial" w:hAnsi="Arial"/>
          <w:sz w:val="20"/>
          <w:szCs w:val="20"/>
          <w:color w:val="auto"/>
        </w:rPr>
        <w:t>Review and approve the allocation of time for the Board and committee meetings;</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27"/>
        </w:numPr>
        <w:rPr>
          <w:rFonts w:ascii="Arial" w:cs="Arial" w:eastAsia="Arial" w:hAnsi="Arial"/>
          <w:sz w:val="20"/>
          <w:szCs w:val="20"/>
          <w:color w:val="582C83"/>
        </w:rPr>
      </w:pPr>
      <w:r>
        <w:rPr>
          <w:rFonts w:ascii="Arial" w:cs="Arial" w:eastAsia="Arial" w:hAnsi="Arial"/>
          <w:sz w:val="20"/>
          <w:szCs w:val="20"/>
          <w:color w:val="auto"/>
        </w:rPr>
        <w:t>Preside at Board meetings at which the Chair is not present and preside at executive sessions of the independent directors;</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27"/>
        </w:numPr>
        <w:rPr>
          <w:rFonts w:ascii="Arial" w:cs="Arial" w:eastAsia="Arial" w:hAnsi="Arial"/>
          <w:sz w:val="20"/>
          <w:szCs w:val="20"/>
          <w:color w:val="582C83"/>
        </w:rPr>
      </w:pPr>
      <w:r>
        <w:rPr>
          <w:rFonts w:ascii="Arial" w:cs="Arial" w:eastAsia="Arial" w:hAnsi="Arial"/>
          <w:sz w:val="20"/>
          <w:szCs w:val="20"/>
          <w:color w:val="auto"/>
        </w:rPr>
        <w:t>Call meetings of the independent directors or of the Board;</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27"/>
        </w:numPr>
        <w:rPr>
          <w:rFonts w:ascii="Arial" w:cs="Arial" w:eastAsia="Arial" w:hAnsi="Arial"/>
          <w:sz w:val="20"/>
          <w:szCs w:val="20"/>
          <w:color w:val="582C83"/>
        </w:rPr>
      </w:pPr>
      <w:r>
        <w:rPr>
          <w:rFonts w:ascii="Arial" w:cs="Arial" w:eastAsia="Arial" w:hAnsi="Arial"/>
          <w:sz w:val="20"/>
          <w:szCs w:val="20"/>
          <w:color w:val="auto"/>
        </w:rPr>
        <w:t>Facilitate effective communication and interaction between the Board and management;</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27"/>
        </w:numPr>
        <w:rPr>
          <w:rFonts w:ascii="Arial" w:cs="Arial" w:eastAsia="Arial" w:hAnsi="Arial"/>
          <w:sz w:val="20"/>
          <w:szCs w:val="20"/>
          <w:color w:val="582C83"/>
        </w:rPr>
      </w:pPr>
      <w:r>
        <w:rPr>
          <w:rFonts w:ascii="Arial" w:cs="Arial" w:eastAsia="Arial" w:hAnsi="Arial"/>
          <w:sz w:val="20"/>
          <w:szCs w:val="20"/>
          <w:color w:val="auto"/>
        </w:rPr>
        <w:t xml:space="preserve">Serve as an </w:t>
      </w:r>
      <w:r>
        <w:rPr>
          <w:rFonts w:ascii="Arial" w:cs="Arial" w:eastAsia="Arial" w:hAnsi="Arial"/>
          <w:sz w:val="20"/>
          <w:szCs w:val="20"/>
          <w:i w:val="1"/>
          <w:iCs w:val="1"/>
          <w:color w:val="auto"/>
        </w:rPr>
        <w:t>ex officio</w:t>
      </w:r>
      <w:r>
        <w:rPr>
          <w:rFonts w:ascii="Arial" w:cs="Arial" w:eastAsia="Arial" w:hAnsi="Arial"/>
          <w:sz w:val="20"/>
          <w:szCs w:val="20"/>
          <w:color w:val="auto"/>
        </w:rPr>
        <w:t xml:space="preserve"> non-voting member of all Board committees of which he or she is not a member;</w:t>
      </w:r>
    </w:p>
    <w:p>
      <w:pPr>
        <w:spacing w:after="0" w:line="92" w:lineRule="exact"/>
        <w:rPr>
          <w:rFonts w:ascii="Arial" w:cs="Arial" w:eastAsia="Arial" w:hAnsi="Arial"/>
          <w:sz w:val="20"/>
          <w:szCs w:val="20"/>
          <w:color w:val="582C83"/>
        </w:rPr>
      </w:pPr>
    </w:p>
    <w:p>
      <w:pPr>
        <w:ind w:left="180" w:right="440" w:hanging="161"/>
        <w:spacing w:after="0" w:line="268" w:lineRule="auto"/>
        <w:tabs>
          <w:tab w:leader="none" w:pos="180" w:val="left"/>
        </w:tabs>
        <w:numPr>
          <w:ilvl w:val="0"/>
          <w:numId w:val="27"/>
        </w:numPr>
        <w:rPr>
          <w:rFonts w:ascii="Arial" w:cs="Arial" w:eastAsia="Arial" w:hAnsi="Arial"/>
          <w:sz w:val="20"/>
          <w:szCs w:val="20"/>
          <w:color w:val="582C83"/>
        </w:rPr>
      </w:pPr>
      <w:r>
        <w:rPr>
          <w:rFonts w:ascii="Arial" w:cs="Arial" w:eastAsia="Arial" w:hAnsi="Arial"/>
          <w:sz w:val="20"/>
          <w:szCs w:val="20"/>
          <w:color w:val="auto"/>
        </w:rPr>
        <w:t>Conduct the annual Board, committee and individual director self-evaluation process in coordination with the Governance Committee;</w:t>
      </w:r>
    </w:p>
    <w:p>
      <w:pPr>
        <w:spacing w:after="0" w:line="32" w:lineRule="exact"/>
        <w:rPr>
          <w:rFonts w:ascii="Arial" w:cs="Arial" w:eastAsia="Arial" w:hAnsi="Arial"/>
          <w:sz w:val="20"/>
          <w:szCs w:val="20"/>
          <w:color w:val="582C83"/>
        </w:rPr>
      </w:pPr>
    </w:p>
    <w:p>
      <w:pPr>
        <w:ind w:left="180" w:right="560" w:hanging="161"/>
        <w:spacing w:after="0" w:line="268" w:lineRule="auto"/>
        <w:tabs>
          <w:tab w:leader="none" w:pos="180" w:val="left"/>
        </w:tabs>
        <w:numPr>
          <w:ilvl w:val="0"/>
          <w:numId w:val="27"/>
        </w:numPr>
        <w:rPr>
          <w:rFonts w:ascii="Arial" w:cs="Arial" w:eastAsia="Arial" w:hAnsi="Arial"/>
          <w:sz w:val="20"/>
          <w:szCs w:val="20"/>
          <w:color w:val="582C83"/>
        </w:rPr>
      </w:pPr>
      <w:r>
        <w:rPr>
          <w:rFonts w:ascii="Arial" w:cs="Arial" w:eastAsia="Arial" w:hAnsi="Arial"/>
          <w:sz w:val="20"/>
          <w:szCs w:val="20"/>
          <w:color w:val="auto"/>
        </w:rPr>
        <w:t>Work with the Governance Committee to develop recommendations for committee structure, membership, rotations and committee chairs; and</w:t>
      </w:r>
    </w:p>
    <w:p>
      <w:pPr>
        <w:spacing w:after="0" w:line="32" w:lineRule="exact"/>
        <w:rPr>
          <w:rFonts w:ascii="Arial" w:cs="Arial" w:eastAsia="Arial" w:hAnsi="Arial"/>
          <w:sz w:val="20"/>
          <w:szCs w:val="20"/>
          <w:color w:val="582C83"/>
        </w:rPr>
      </w:pPr>
    </w:p>
    <w:p>
      <w:pPr>
        <w:ind w:left="180" w:hanging="161"/>
        <w:spacing w:after="0"/>
        <w:tabs>
          <w:tab w:leader="none" w:pos="180" w:val="left"/>
        </w:tabs>
        <w:numPr>
          <w:ilvl w:val="0"/>
          <w:numId w:val="27"/>
        </w:numPr>
        <w:rPr>
          <w:rFonts w:ascii="Arial" w:cs="Arial" w:eastAsia="Arial" w:hAnsi="Arial"/>
          <w:sz w:val="19"/>
          <w:szCs w:val="19"/>
          <w:color w:val="582C83"/>
        </w:rPr>
      </w:pPr>
      <w:r>
        <w:rPr>
          <w:rFonts w:ascii="Arial" w:cs="Arial" w:eastAsia="Arial" w:hAnsi="Arial"/>
          <w:sz w:val="19"/>
          <w:szCs w:val="19"/>
          <w:color w:val="auto"/>
        </w:rPr>
        <w:t>Perform such other duties as the Board may delegate, and has from time to time delegated, to the independent Lead Director.</w:t>
      </w:r>
    </w:p>
    <w:p>
      <w:pPr>
        <w:spacing w:after="0" w:line="179" w:lineRule="exact"/>
        <w:rPr>
          <w:sz w:val="20"/>
          <w:szCs w:val="20"/>
          <w:color w:val="auto"/>
        </w:rPr>
      </w:pPr>
    </w:p>
    <w:p>
      <w:pPr>
        <w:ind w:left="20" w:right="100"/>
        <w:spacing w:after="0" w:line="244" w:lineRule="auto"/>
        <w:rPr>
          <w:sz w:val="20"/>
          <w:szCs w:val="20"/>
          <w:color w:val="auto"/>
        </w:rPr>
      </w:pPr>
      <w:r>
        <w:rPr>
          <w:rFonts w:ascii="Arial" w:cs="Arial" w:eastAsia="Arial" w:hAnsi="Arial"/>
          <w:sz w:val="20"/>
          <w:szCs w:val="20"/>
          <w:color w:val="auto"/>
        </w:rPr>
        <w:t>In addition, our Guidelines provide that management generally should communicate about the Company with shareholders and other constituencies. From time to time, the Lead Director may meet with or communicate with various constituencies of the Company, generally after consultation with management. The Lead Director also is available for consultation and direct communication with the Company’s major shareholders.</w:t>
      </w:r>
    </w:p>
    <w:p>
      <w:pPr>
        <w:spacing w:after="0" w:line="145"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Director Independence</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2C83"/>
        </w:rPr>
        <w:t>ALL DIRECTORS ARE INDEPENDENT EXCEPT FOR OUR CHAIRMAN AND CEO</w:t>
      </w:r>
    </w:p>
    <w:p>
      <w:pPr>
        <w:spacing w:after="0" w:line="94" w:lineRule="exact"/>
        <w:rPr>
          <w:sz w:val="20"/>
          <w:szCs w:val="20"/>
          <w:color w:val="auto"/>
        </w:rPr>
      </w:pPr>
    </w:p>
    <w:p>
      <w:pPr>
        <w:ind w:left="20" w:right="40"/>
        <w:spacing w:after="0" w:line="244" w:lineRule="auto"/>
        <w:rPr>
          <w:sz w:val="20"/>
          <w:szCs w:val="20"/>
          <w:color w:val="auto"/>
        </w:rPr>
      </w:pPr>
      <w:r>
        <w:rPr>
          <w:rFonts w:ascii="Arial" w:cs="Arial" w:eastAsia="Arial" w:hAnsi="Arial"/>
          <w:sz w:val="20"/>
          <w:szCs w:val="20"/>
          <w:color w:val="auto"/>
        </w:rPr>
        <w:t>The Guidelines require that at least 80% of our directors meet the Nasdaq listing standards’ independence requirements. A director is considered independent if the Board affirmatively determines, after reviewing all relevant information, that the director has no relationship with Mondelēz International or any of its subsidiaries that would interfere with the exercise of independent judgment in carrying out the responsibilities of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43115"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00" w:top="132"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both"/>
        <w:ind w:left="20" w:right="320"/>
        <w:spacing w:after="0" w:line="250" w:lineRule="auto"/>
        <w:rPr>
          <w:sz w:val="20"/>
          <w:szCs w:val="20"/>
          <w:color w:val="auto"/>
        </w:rPr>
      </w:pPr>
      <w:r>
        <w:rPr>
          <w:rFonts w:ascii="Arial" w:cs="Arial" w:eastAsia="Arial" w:hAnsi="Arial"/>
          <w:sz w:val="20"/>
          <w:szCs w:val="20"/>
          <w:color w:val="auto"/>
        </w:rPr>
        <w:t>Based on that criterion, the Board determined that Lewis W.K. Booth, Charles E. Bunch, Ertharin Cousin, Jorge S. Mesquita, Anindita Mukherjee, Jane Hamilton Nielsen, Patrick T. Siewert and Michael A. Todman are all independent. Mr. Van de Put is not independent because he is a Mondelēz International employee.</w:t>
      </w:r>
    </w:p>
    <w:p>
      <w:pPr>
        <w:spacing w:after="0" w:line="138"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Board Oversight of Strategy</w:t>
      </w:r>
    </w:p>
    <w:p>
      <w:pPr>
        <w:spacing w:after="0" w:line="175" w:lineRule="exact"/>
        <w:rPr>
          <w:sz w:val="20"/>
          <w:szCs w:val="20"/>
          <w:color w:val="auto"/>
        </w:rPr>
      </w:pPr>
    </w:p>
    <w:p>
      <w:pPr>
        <w:ind w:left="20" w:right="20"/>
        <w:spacing w:after="0" w:line="251" w:lineRule="auto"/>
        <w:rPr>
          <w:sz w:val="20"/>
          <w:szCs w:val="20"/>
          <w:color w:val="auto"/>
        </w:rPr>
      </w:pPr>
      <w:r>
        <w:rPr>
          <w:rFonts w:ascii="Arial" w:cs="Arial" w:eastAsia="Arial" w:hAnsi="Arial"/>
          <w:sz w:val="19"/>
          <w:szCs w:val="19"/>
          <w:color w:val="auto"/>
        </w:rPr>
        <w:t xml:space="preserve">Oversight of our business strategy is one of our Board’s key responsibilities. The Board believes that overseeing and monitoring strategy is a continuous process. The Board has at least one meeting each year primarily dedicated to strategy where it meets with management to discuss, understand and challenge our strategic plan’s short- and long-term objectives. At Board meetings held throughout the year, the Board and management track progress against the strategic plan’s goals, consider impacts due to changing circumstances in the industry and the economic environment, and monitor strategic and operational risks. Throughout the strategic review that led to the development of our growth strategy, the Board and management team worked in close coordination to craft a consumer-centric strategy that leverages our Company’s unique strengths in the snacking market to accelerate growth. At our investor update on May 10, 2022, we unveiled the evolution of our long-term growth strategy elevating </w:t>
      </w:r>
      <w:r>
        <w:rPr>
          <w:rFonts w:ascii="Arial" w:cs="Arial" w:eastAsia="Arial" w:hAnsi="Arial"/>
          <w:sz w:val="19"/>
          <w:szCs w:val="19"/>
          <w:i w:val="1"/>
          <w:iCs w:val="1"/>
          <w:color w:val="auto"/>
        </w:rPr>
        <w:t xml:space="preserve">Sustainability </w:t>
      </w:r>
      <w:r>
        <w:rPr>
          <w:rFonts w:ascii="Arial" w:cs="Arial" w:eastAsia="Arial" w:hAnsi="Arial"/>
          <w:sz w:val="19"/>
          <w:szCs w:val="19"/>
          <w:color w:val="auto"/>
        </w:rPr>
        <w:t>as a fourth strategic growth pillar now sitting alongside</w:t>
      </w:r>
      <w:r>
        <w:rPr>
          <w:rFonts w:ascii="Arial" w:cs="Arial" w:eastAsia="Arial" w:hAnsi="Arial"/>
          <w:sz w:val="19"/>
          <w:szCs w:val="19"/>
          <w:i w:val="1"/>
          <w:iCs w:val="1"/>
          <w:color w:val="auto"/>
        </w:rPr>
        <w:t xml:space="preserve"> Growth</w:t>
      </w:r>
      <w:r>
        <w:rPr>
          <w:rFonts w:ascii="Arial" w:cs="Arial" w:eastAsia="Arial" w:hAnsi="Arial"/>
          <w:sz w:val="19"/>
          <w:szCs w:val="19"/>
          <w:color w:val="auto"/>
        </w:rPr>
        <w:t>,</w:t>
      </w:r>
      <w:r>
        <w:rPr>
          <w:rFonts w:ascii="Arial" w:cs="Arial" w:eastAsia="Arial" w:hAnsi="Arial"/>
          <w:sz w:val="19"/>
          <w:szCs w:val="19"/>
          <w:i w:val="1"/>
          <w:iCs w:val="1"/>
          <w:color w:val="auto"/>
        </w:rPr>
        <w:t xml:space="preserve"> Execution </w:t>
      </w:r>
      <w:r>
        <w:rPr>
          <w:rFonts w:ascii="Arial" w:cs="Arial" w:eastAsia="Arial" w:hAnsi="Arial"/>
          <w:sz w:val="19"/>
          <w:szCs w:val="19"/>
          <w:color w:val="auto"/>
        </w:rPr>
        <w:t>and</w:t>
      </w:r>
      <w:r>
        <w:rPr>
          <w:rFonts w:ascii="Arial" w:cs="Arial" w:eastAsia="Arial" w:hAnsi="Arial"/>
          <w:sz w:val="19"/>
          <w:szCs w:val="19"/>
          <w:i w:val="1"/>
          <w:iCs w:val="1"/>
          <w:color w:val="auto"/>
        </w:rPr>
        <w:t xml:space="preserve"> Culture</w:t>
      </w:r>
      <w:r>
        <w:rPr>
          <w:rFonts w:ascii="Arial" w:cs="Arial" w:eastAsia="Arial" w:hAnsi="Arial"/>
          <w:sz w:val="19"/>
          <w:szCs w:val="19"/>
          <w:color w:val="auto"/>
        </w:rPr>
        <w:t>.</w:t>
      </w:r>
    </w:p>
    <w:p>
      <w:pPr>
        <w:spacing w:after="0" w:line="129" w:lineRule="exact"/>
        <w:rPr>
          <w:sz w:val="20"/>
          <w:szCs w:val="20"/>
          <w:color w:val="auto"/>
        </w:rPr>
      </w:pPr>
    </w:p>
    <w:p>
      <w:pPr>
        <w:ind w:left="20" w:right="100"/>
        <w:spacing w:after="0" w:line="241" w:lineRule="auto"/>
        <w:rPr>
          <w:sz w:val="20"/>
          <w:szCs w:val="20"/>
          <w:color w:val="auto"/>
        </w:rPr>
      </w:pPr>
      <w:r>
        <w:rPr>
          <w:rFonts w:ascii="Arial" w:cs="Arial" w:eastAsia="Arial" w:hAnsi="Arial"/>
          <w:sz w:val="20"/>
          <w:szCs w:val="20"/>
          <w:color w:val="auto"/>
        </w:rPr>
        <w:t>Our Board, with recommendations from the Finance Committee, oversees the alignment of our capital allocation priorities with our long-term strategy. The Board oversees our capital allocation process and annually reviews our capital deployment budget, with the goal of balancing investment in growth and returning cash to shareholders. We</w:t>
      </w:r>
      <w:r>
        <w:rPr>
          <w:rFonts w:ascii="Times New Roman" w:cs="Times New Roman" w:eastAsia="Times New Roman" w:hAnsi="Times New Roman"/>
          <w:sz w:val="20"/>
          <w:szCs w:val="20"/>
          <w:color w:val="auto"/>
        </w:rPr>
        <w:t> </w:t>
      </w:r>
      <w:r>
        <w:rPr>
          <w:rFonts w:ascii="Arial" w:cs="Arial" w:eastAsia="Arial" w:hAnsi="Arial"/>
          <w:sz w:val="20"/>
          <w:szCs w:val="20"/>
          <w:color w:val="auto"/>
        </w:rPr>
        <w:t>continue to demonstrate this balance through our investments in capital expenditures, mergers and acquisitions, and research and development paired with dividend growth and share repurchases.</w:t>
      </w:r>
    </w:p>
    <w:p>
      <w:pPr>
        <w:spacing w:after="0" w:line="136" w:lineRule="exact"/>
        <w:rPr>
          <w:sz w:val="20"/>
          <w:szCs w:val="20"/>
          <w:color w:val="auto"/>
        </w:rPr>
      </w:pPr>
    </w:p>
    <w:p>
      <w:pPr>
        <w:ind w:left="20" w:right="300"/>
        <w:spacing w:after="0" w:line="250" w:lineRule="auto"/>
        <w:rPr>
          <w:sz w:val="20"/>
          <w:szCs w:val="20"/>
          <w:color w:val="auto"/>
        </w:rPr>
      </w:pPr>
      <w:r>
        <w:rPr>
          <w:rFonts w:ascii="Arial" w:cs="Arial" w:eastAsia="Arial" w:hAnsi="Arial"/>
          <w:sz w:val="20"/>
          <w:szCs w:val="20"/>
          <w:color w:val="auto"/>
        </w:rPr>
        <w:t>Our Board also oversees our ESG-related risks, strategy, progress, and alignment with purpose, stakeholder interests and strategic risks and opportunities, and reviews progress and challenges on evolving our growth culture and our DEI goals. For more information, see “Our Distinctive Approach to Environmental and Social Issues,” which begins on page 58.</w:t>
      </w:r>
    </w:p>
    <w:p>
      <w:pPr>
        <w:spacing w:after="0" w:line="138"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Board Oversight of Risk Management</w:t>
      </w:r>
    </w:p>
    <w:p>
      <w:pPr>
        <w:spacing w:after="0" w:line="175" w:lineRule="exact"/>
        <w:rPr>
          <w:sz w:val="20"/>
          <w:szCs w:val="20"/>
          <w:color w:val="auto"/>
        </w:rPr>
      </w:pPr>
    </w:p>
    <w:p>
      <w:pPr>
        <w:jc w:val="both"/>
        <w:ind w:left="20" w:right="80"/>
        <w:spacing w:after="0" w:line="250" w:lineRule="auto"/>
        <w:rPr>
          <w:sz w:val="20"/>
          <w:szCs w:val="20"/>
          <w:color w:val="auto"/>
        </w:rPr>
      </w:pPr>
      <w:r>
        <w:rPr>
          <w:rFonts w:ascii="Arial" w:cs="Arial" w:eastAsia="Arial" w:hAnsi="Arial"/>
          <w:sz w:val="20"/>
          <w:szCs w:val="20"/>
          <w:color w:val="auto"/>
        </w:rPr>
        <w:t>Our business faces various risks, including strategic, financial, operational, ESG, reputational and compliance risks. Identifying, managing and mitigating our exposure to these risks, along with effectively overseeing such matters, are activities critical to our operational decision-making and annual planning processes.</w:t>
      </w:r>
    </w:p>
    <w:p>
      <w:pPr>
        <w:spacing w:after="0" w:line="126" w:lineRule="exact"/>
        <w:rPr>
          <w:sz w:val="20"/>
          <w:szCs w:val="20"/>
          <w:color w:val="auto"/>
        </w:rPr>
      </w:pPr>
    </w:p>
    <w:p>
      <w:pPr>
        <w:ind w:left="20" w:right="120"/>
        <w:spacing w:after="0" w:line="250" w:lineRule="auto"/>
        <w:rPr>
          <w:sz w:val="20"/>
          <w:szCs w:val="20"/>
          <w:color w:val="auto"/>
        </w:rPr>
      </w:pPr>
      <w:r>
        <w:rPr>
          <w:rFonts w:ascii="Arial" w:cs="Arial" w:eastAsia="Arial" w:hAnsi="Arial"/>
          <w:sz w:val="20"/>
          <w:szCs w:val="20"/>
          <w:color w:val="auto"/>
        </w:rPr>
        <w:t>The Board has ultimate responsibility for risk oversight. Each of our directors nominee has experience managing or overseeing enterprise risk management (“ERM”) programs, either through operating or other professional experience, or through public company board experience, and leverages his or her experience.</w:t>
      </w:r>
    </w:p>
    <w:p>
      <w:pPr>
        <w:spacing w:after="0" w:line="126" w:lineRule="exact"/>
        <w:rPr>
          <w:sz w:val="20"/>
          <w:szCs w:val="20"/>
          <w:color w:val="auto"/>
        </w:rPr>
      </w:pPr>
    </w:p>
    <w:p>
      <w:pPr>
        <w:ind w:left="20" w:right="120"/>
        <w:spacing w:after="0"/>
        <w:rPr>
          <w:sz w:val="20"/>
          <w:szCs w:val="20"/>
          <w:color w:val="auto"/>
        </w:rPr>
      </w:pPr>
      <w:r>
        <w:rPr>
          <w:rFonts w:ascii="Arial" w:cs="Arial" w:eastAsia="Arial" w:hAnsi="Arial"/>
          <w:sz w:val="20"/>
          <w:szCs w:val="20"/>
          <w:color w:val="auto"/>
        </w:rPr>
        <w:t>Management is responsible for the day-to-day assessment, management and mitigation of risk subject to the Board’s guidance and oversight. The Board exercises its risk oversight responsibility throughout the year at both the Board level and through its standing committees, which are comprised solely of independent directors. The Board has delegated primary responsibility for overseeing enterprise risk assessment and management to the Audit Committee. Pursuant to its charter, the Audit Committee regularly, and at least annually, reviews and discusses our ERM process and global and business unit assessment and risk mitigation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109855</wp:posOffset>
            </wp:positionV>
            <wp:extent cx="7143115"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00" w:top="132"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Our committees oversee risks within their respective areas of accountability and report back to the Board. During 2022, the</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Board and committees reviewed and assessed risks related to our business and operations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43115" cy="63233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3115" cy="632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0" w:right="160"/>
        <w:spacing w:after="0" w:line="237" w:lineRule="auto"/>
        <w:rPr>
          <w:sz w:val="20"/>
          <w:szCs w:val="20"/>
          <w:color w:val="auto"/>
        </w:rPr>
      </w:pPr>
      <w:r>
        <w:rPr>
          <w:rFonts w:ascii="Arial" w:cs="Arial" w:eastAsia="Arial" w:hAnsi="Arial"/>
          <w:sz w:val="20"/>
          <w:szCs w:val="20"/>
          <w:color w:val="auto"/>
        </w:rPr>
        <w:t>While the Board and each committee have ultimate responsibility for risk oversight, management is responsible for the day-to-day management of risk. Our ERM process is ongoing and implemented at all levels of our operations and across business units. We have robust internal processes and controls that facilitate the identification, assessment, prioritization, mitigation, monitoring and validation of material short-, intermediate- and long-term risks. Annually, we conduct a formal global and business unit risk assessment of our business, which includes input from many of our key business and functional leaders and other subject matter experts from across the globe, that provides the basis for the Board’s risk review and oversight process. Our ERM program also leverages a risk mapping process that considers, among other things, risk impact, velocity, likelihood and preparedness. We regularly engage outside advisors, where appropriate, to assist in the identification and evaluation of risks.</w:t>
      </w:r>
    </w:p>
    <w:p>
      <w:pPr>
        <w:spacing w:after="0" w:line="141" w:lineRule="exact"/>
        <w:rPr>
          <w:sz w:val="20"/>
          <w:szCs w:val="20"/>
          <w:color w:val="auto"/>
        </w:rPr>
      </w:pPr>
    </w:p>
    <w:p>
      <w:pPr>
        <w:ind w:left="20" w:right="60"/>
        <w:spacing w:after="0" w:line="237" w:lineRule="auto"/>
        <w:rPr>
          <w:sz w:val="20"/>
          <w:szCs w:val="20"/>
          <w:color w:val="auto"/>
        </w:rPr>
      </w:pPr>
      <w:r>
        <w:rPr>
          <w:rFonts w:ascii="Arial" w:cs="Arial" w:eastAsia="Arial" w:hAnsi="Arial"/>
          <w:sz w:val="20"/>
          <w:szCs w:val="20"/>
          <w:color w:val="auto"/>
        </w:rPr>
        <w:t>We have a Risk and Compliance Committee, co-led by our SVP &amp; Chief Counsel, Chief Compliance Officer (“Chief Compliance Officer”) and SVP, Chief Audit &amp; Controls Officer (“Chief Audit &amp; Controls Officer”) and composed of leaders from the Finance, Accounting, Legal, Compliance, Internal Audit and People functions, which provides broad oversight of our enterprise risks and ERM process. The Risk and Compliance Committee meets regularly and, through consultation with senior leaders and other managers with subject matter expertise, periodically assesses the key risks facing the Company, works with those risk owners responsible for managing each specific risk, and reviews mitigation actions and the status of the annual enterprise risk assessment. Our Chief Compliance Officer and Chief Audit &amp; Controls Officer regularly report to the Audit Committee to provide updates on the status of the ERM process, which the Audit Committee Chair reports to the full Board. Similar risk and compliance committees exist on regional and local levels.</w:t>
      </w:r>
    </w:p>
    <w:p>
      <w:pPr>
        <w:spacing w:after="0" w:line="141" w:lineRule="exact"/>
        <w:rPr>
          <w:sz w:val="20"/>
          <w:szCs w:val="20"/>
          <w:color w:val="auto"/>
        </w:rPr>
      </w:pPr>
    </w:p>
    <w:p>
      <w:pPr>
        <w:ind w:left="20" w:right="80"/>
        <w:spacing w:after="0" w:line="237" w:lineRule="auto"/>
        <w:rPr>
          <w:sz w:val="20"/>
          <w:szCs w:val="20"/>
          <w:color w:val="auto"/>
        </w:rPr>
      </w:pPr>
      <w:r>
        <w:rPr>
          <w:rFonts w:ascii="Arial" w:cs="Arial" w:eastAsia="Arial" w:hAnsi="Arial"/>
          <w:sz w:val="20"/>
          <w:szCs w:val="20"/>
          <w:color w:val="auto"/>
        </w:rPr>
        <w:t>Our ERM process also facilitates open communication between management and the Board, which ensures that the Board and committees understand key risks to our business and performance and the functioning of our risk management process, including who participates in the process and the information gathered in the assessment. Management regularly provides reports to the Board or the appropriate committee on key risks and the actions management has taken to monitor, control and mitigate these risks. Members of management responsible for overseeing specific risks attend Board and committee meetings throughout the year to discuss these reports and provide any updates. The committees also report key risk discussions to the Board following their meetings. Board members may further discuss the risk management process directly with members of management. The Lead Director also regularly meets with the other independent directors without management present to discuss current and emerging risks, among other topics.</w:t>
      </w:r>
    </w:p>
    <w:p>
      <w:pPr>
        <w:spacing w:after="0" w:line="141" w:lineRule="exact"/>
        <w:rPr>
          <w:sz w:val="20"/>
          <w:szCs w:val="20"/>
          <w:color w:val="auto"/>
        </w:rPr>
      </w:pPr>
    </w:p>
    <w:p>
      <w:pPr>
        <w:ind w:left="20" w:right="200"/>
        <w:spacing w:after="0" w:line="242" w:lineRule="auto"/>
        <w:rPr>
          <w:sz w:val="20"/>
          <w:szCs w:val="20"/>
          <w:color w:val="auto"/>
        </w:rPr>
      </w:pPr>
      <w:r>
        <w:rPr>
          <w:rFonts w:ascii="Arial" w:cs="Arial" w:eastAsia="Arial" w:hAnsi="Arial"/>
          <w:sz w:val="20"/>
          <w:szCs w:val="20"/>
          <w:color w:val="auto"/>
        </w:rPr>
        <w:t>The Company also believes that our Board leadership structure supports the Board’s risk oversight function. The combined roles of Chair and CEO ensure items of greatest importance for the business, including significant emerging risks, are brought to the attention of, and reviewed by, the Board on a timely basis, in consultation with the independent Lead Director and Committee Chairs, ensuring appropriate oversight and discussion. For more information, see “Board Leadership Structure,” which begins on page 36.</w:t>
      </w:r>
    </w:p>
    <w:p>
      <w:pPr>
        <w:spacing w:after="0" w:line="145"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Board Oversight of Human Capital Management and Corporate Culture</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2C83"/>
        </w:rPr>
        <w:t>HUMAN CAPITAL MANAGEMENT</w:t>
      </w:r>
    </w:p>
    <w:p>
      <w:pPr>
        <w:spacing w:after="0" w:line="94" w:lineRule="exact"/>
        <w:rPr>
          <w:sz w:val="20"/>
          <w:szCs w:val="20"/>
          <w:color w:val="auto"/>
        </w:rPr>
      </w:pPr>
    </w:p>
    <w:p>
      <w:pPr>
        <w:ind w:left="20" w:right="160"/>
        <w:spacing w:after="0" w:line="242" w:lineRule="auto"/>
        <w:rPr>
          <w:sz w:val="20"/>
          <w:szCs w:val="20"/>
          <w:color w:val="auto"/>
        </w:rPr>
      </w:pPr>
      <w:r>
        <w:rPr>
          <w:rFonts w:ascii="Arial" w:cs="Arial" w:eastAsia="Arial" w:hAnsi="Arial"/>
          <w:sz w:val="20"/>
          <w:szCs w:val="20"/>
          <w:color w:val="auto"/>
        </w:rPr>
        <w:t>Our Board recognizes that our employees are one of our greatest assets, and is actively engaged in overseeing human capital management throughout the organization. The People and Compensation Committee is responsible for oversight of organizational engagement and effectiveness and regularly reviews human resources policies and practices, talent sourcing strategies, employee development programs, succession plans, workplace compliance matters, and diversity policies, objectives and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107950</wp:posOffset>
            </wp:positionV>
            <wp:extent cx="7143115"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00" w:top="132"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Talent Development</w:t>
      </w:r>
    </w:p>
    <w:p>
      <w:pPr>
        <w:spacing w:after="0" w:line="56"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The People and Compensation Committee focuses on plans for developing our mid-level talent into future leaders. We</w:t>
      </w:r>
      <w:r>
        <w:rPr>
          <w:rFonts w:ascii="Times New Roman" w:cs="Times New Roman" w:eastAsia="Times New Roman" w:hAnsi="Times New Roman"/>
          <w:sz w:val="20"/>
          <w:szCs w:val="20"/>
          <w:color w:val="auto"/>
        </w:rPr>
        <w:t> </w:t>
      </w:r>
      <w:r>
        <w:rPr>
          <w:rFonts w:ascii="Arial" w:cs="Arial" w:eastAsia="Arial" w:hAnsi="Arial"/>
          <w:sz w:val="20"/>
          <w:szCs w:val="20"/>
          <w:color w:val="auto"/>
        </w:rPr>
        <w:t>have a number of initiatives to provide these potential future leaders with the experience and exposure needed to succeed at the highest levels of our Company. Specifically, we promote employee development by reviewing strategic positions regularly and identifying potential internal candidates to fill those roles, evaluating job skill sets to identify competency gaps, and creating developmental plans to facilitate employee professional growth. We invest in our employees through training and development programs, on-the-job experiences, and coaching, as well as tuition reimbursement for a majority of our employees in the United States to promote continued professional growth. Additionally, we understand the importance of maintaining competitive compensation and benefits, and in providing appropriate training so employees can learn and pursue multiple career paths with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Diversity, Equity and Inclusion</w:t>
      </w:r>
    </w:p>
    <w:p>
      <w:pPr>
        <w:spacing w:after="0" w:line="56"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To build on and sustain our significant progress on DEI initiatives over the last several years, our governance model includes full Board reviews twice per year of the Company’s approach and response to DEI. The Board is involved and aligned with management, including our Mondelēz Leadership Team and Chief Diversity &amp; Inclusion Officer, on our DEI commitments and initiatives.</w:t>
      </w:r>
    </w:p>
    <w:p>
      <w:pPr>
        <w:spacing w:after="0" w:line="133"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To ensure our CEO and other senior leaders focus on DEI commitments and initiatives, we include specific DEI metrics as a part of the strategic scorecard within their annual incentive plan. These metrics include women in leadership globally and Black representation on our U.S. management team. At the end of 2022, women held nearly 40% of executive leadership roles (defined as the Mondelēz Leadership Team plus one level below), continuing to close the gap to the balance of the organization,</w:t>
      </w:r>
    </w:p>
    <w:p>
      <w:pPr>
        <w:spacing w:after="0" w:line="2" w:lineRule="exact"/>
        <w:rPr>
          <w:sz w:val="20"/>
          <w:szCs w:val="20"/>
          <w:color w:val="auto"/>
        </w:rPr>
      </w:pPr>
    </w:p>
    <w:p>
      <w:pPr>
        <w:ind w:right="340"/>
        <w:spacing w:after="0" w:line="224" w:lineRule="auto"/>
        <w:rPr>
          <w:sz w:val="20"/>
          <w:szCs w:val="20"/>
          <w:color w:val="auto"/>
        </w:rPr>
      </w:pPr>
      <w:r>
        <w:rPr>
          <w:rFonts w:ascii="Arial" w:cs="Arial" w:eastAsia="Arial" w:hAnsi="Arial"/>
          <w:sz w:val="20"/>
          <w:szCs w:val="20"/>
          <w:color w:val="auto"/>
        </w:rPr>
        <w:t>and approximately 27% of the CEO executive direct report roles.</w:t>
      </w:r>
      <w:r>
        <w:rPr>
          <w:rFonts w:ascii="Arial" w:cs="Arial" w:eastAsia="Arial" w:hAnsi="Arial"/>
          <w:sz w:val="33"/>
          <w:szCs w:val="33"/>
          <w:color w:val="auto"/>
          <w:vertAlign w:val="superscript"/>
        </w:rPr>
        <w:t>(1)</w:t>
      </w:r>
      <w:r>
        <w:rPr>
          <w:rFonts w:ascii="Arial" w:cs="Arial" w:eastAsia="Arial" w:hAnsi="Arial"/>
          <w:sz w:val="20"/>
          <w:szCs w:val="20"/>
          <w:color w:val="auto"/>
        </w:rPr>
        <w:t xml:space="preserve"> For our U.S. leadership, Black employees held approximately 5.5% of management roles (defined as Director and above) at the end of 2022 and approximately 5.1% at the end of 2021.</w:t>
      </w:r>
      <w:r>
        <w:rPr>
          <w:rFonts w:ascii="Arial" w:cs="Arial" w:eastAsia="Arial" w:hAnsi="Arial"/>
          <w:sz w:val="33"/>
          <w:szCs w:val="33"/>
          <w:color w:val="auto"/>
          <w:vertAlign w:val="superscript"/>
        </w:rPr>
        <w:t>(2)</w:t>
      </w:r>
    </w:p>
    <w:p>
      <w:pPr>
        <w:spacing w:after="0"/>
        <w:rPr>
          <w:sz w:val="20"/>
          <w:szCs w:val="20"/>
          <w:color w:val="auto"/>
        </w:rPr>
      </w:pPr>
      <w:r>
        <w:rPr>
          <w:rFonts w:ascii="Arial" w:cs="Arial" w:eastAsia="Arial" w:hAnsi="Arial"/>
          <w:sz w:val="20"/>
          <w:szCs w:val="20"/>
          <w:b w:val="1"/>
          <w:bCs w:val="1"/>
          <w:color w:val="auto"/>
        </w:rPr>
        <w:t>Workplace Safety</w:t>
      </w:r>
    </w:p>
    <w:p>
      <w:pPr>
        <w:spacing w:after="0" w:line="5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Audit Committee oversees our safety performance and reviews with management our safety priorities and initiatives. To promote a strong culture of safety and prioritize keeping a safe working environment, we employ comprehensive health, safety and environment management policies and standards throughout the organization. In</w:t>
      </w:r>
      <w:r>
        <w:rPr>
          <w:rFonts w:ascii="Times New Roman" w:cs="Times New Roman" w:eastAsia="Times New Roman" w:hAnsi="Times New Roman"/>
          <w:sz w:val="20"/>
          <w:szCs w:val="20"/>
          <w:color w:val="auto"/>
        </w:rPr>
        <w:t> </w:t>
      </w:r>
      <w:r>
        <w:rPr>
          <w:rFonts w:ascii="Arial" w:cs="Arial" w:eastAsia="Arial" w:hAnsi="Arial"/>
          <w:sz w:val="20"/>
          <w:szCs w:val="20"/>
          <w:color w:val="auto"/>
        </w:rPr>
        <w:t>addition, we strive to continuously improve our work processes, tools and metrics to reduce workplace injuries and enhance safety.</w:t>
      </w:r>
    </w:p>
    <w:p>
      <w:pPr>
        <w:spacing w:after="0" w:line="132" w:lineRule="exact"/>
        <w:rPr>
          <w:sz w:val="20"/>
          <w:szCs w:val="20"/>
          <w:color w:val="auto"/>
        </w:rPr>
      </w:pPr>
    </w:p>
    <w:p>
      <w:pPr>
        <w:ind w:right="360"/>
        <w:spacing w:after="0" w:line="250" w:lineRule="auto"/>
        <w:rPr>
          <w:sz w:val="20"/>
          <w:szCs w:val="20"/>
          <w:color w:val="auto"/>
        </w:rPr>
      </w:pPr>
      <w:r>
        <w:rPr>
          <w:rFonts w:ascii="Arial" w:cs="Arial" w:eastAsia="Arial" w:hAnsi="Arial"/>
          <w:sz w:val="20"/>
          <w:szCs w:val="20"/>
          <w:color w:val="auto"/>
        </w:rPr>
        <w:t>In response to the Covid-19 pandemic, and where appropriate, we continue to take measures in our facilities including implementing temperature screening, social distancing, mask-wearing and work-from-home policies where applicable and in accordance with state and local guidelines.</w:t>
      </w:r>
    </w:p>
    <w:p>
      <w:pPr>
        <w:spacing w:after="0" w:line="126"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To support our colleagues and promote a diverse and sustainable workforce, in 2021 we launched “The Right You,” a global cross-functional initiative empowering our team members to thrive both at work and at home. “The Right You” is a globally-integrated, holistic approach to employee well-being, that provides employees with resources, tools, social support, privacy, and strategies to adopt and maintain healthy behaviors and ensures awareness of all employees of available resources.</w:t>
      </w:r>
    </w:p>
    <w:p>
      <w:pPr>
        <w:spacing w:after="0" w:line="200" w:lineRule="exact"/>
        <w:rPr>
          <w:sz w:val="20"/>
          <w:szCs w:val="20"/>
          <w:color w:val="auto"/>
        </w:rPr>
      </w:pPr>
    </w:p>
    <w:p>
      <w:pPr>
        <w:spacing w:after="0" w:line="246" w:lineRule="exact"/>
        <w:rPr>
          <w:sz w:val="20"/>
          <w:szCs w:val="20"/>
          <w:color w:val="auto"/>
        </w:rPr>
      </w:pPr>
    </w:p>
    <w:p>
      <w:pPr>
        <w:ind w:left="340" w:right="400" w:hanging="328"/>
        <w:spacing w:after="0" w:line="272" w:lineRule="auto"/>
        <w:tabs>
          <w:tab w:leader="none" w:pos="340" w:val="left"/>
        </w:tabs>
        <w:numPr>
          <w:ilvl w:val="0"/>
          <w:numId w:val="28"/>
        </w:numPr>
        <w:rPr>
          <w:rFonts w:ascii="Arial" w:cs="Arial" w:eastAsia="Arial" w:hAnsi="Arial"/>
          <w:sz w:val="15"/>
          <w:szCs w:val="15"/>
          <w:i w:val="1"/>
          <w:iCs w:val="1"/>
          <w:color w:val="auto"/>
        </w:rPr>
      </w:pPr>
      <w:r>
        <w:rPr>
          <w:rFonts w:ascii="Arial" w:cs="Arial" w:eastAsia="Arial" w:hAnsi="Arial"/>
          <w:sz w:val="15"/>
          <w:szCs w:val="15"/>
          <w:i w:val="1"/>
          <w:iCs w:val="1"/>
          <w:color w:val="auto"/>
        </w:rPr>
        <w:t>Reported performance against our women in leadership goal covers the period from January 1, 2020 to December 31, 2022, and includes acquisitions/ventures globally announced in 2021 or earlier.</w:t>
      </w:r>
    </w:p>
    <w:p>
      <w:pPr>
        <w:spacing w:after="0" w:line="43" w:lineRule="exact"/>
        <w:rPr>
          <w:rFonts w:ascii="Arial" w:cs="Arial" w:eastAsia="Arial" w:hAnsi="Arial"/>
          <w:sz w:val="15"/>
          <w:szCs w:val="15"/>
          <w:i w:val="1"/>
          <w:iCs w:val="1"/>
          <w:color w:val="auto"/>
        </w:rPr>
      </w:pPr>
    </w:p>
    <w:p>
      <w:pPr>
        <w:ind w:left="340" w:right="160" w:hanging="328"/>
        <w:spacing w:after="0" w:line="272" w:lineRule="auto"/>
        <w:tabs>
          <w:tab w:leader="none" w:pos="340" w:val="left"/>
        </w:tabs>
        <w:numPr>
          <w:ilvl w:val="0"/>
          <w:numId w:val="28"/>
        </w:numPr>
        <w:rPr>
          <w:rFonts w:ascii="Arial" w:cs="Arial" w:eastAsia="Arial" w:hAnsi="Arial"/>
          <w:sz w:val="15"/>
          <w:szCs w:val="15"/>
          <w:i w:val="1"/>
          <w:iCs w:val="1"/>
          <w:color w:val="auto"/>
        </w:rPr>
      </w:pPr>
      <w:r>
        <w:rPr>
          <w:rFonts w:ascii="Arial" w:cs="Arial" w:eastAsia="Arial" w:hAnsi="Arial"/>
          <w:sz w:val="15"/>
          <w:szCs w:val="15"/>
          <w:i w:val="1"/>
          <w:iCs w:val="1"/>
          <w:color w:val="auto"/>
        </w:rPr>
        <w:t>Reported performance against our Black management representation goal in the U.S. covers the period from January 1, 2020, to December 31, 2022, and includes acquisitions/ventures in the U.S. announced in 2021 or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3115"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2C83"/>
        </w:rPr>
        <w:t>MANAGEMENT SUCCESSION PLANNING AND DEVELOPMENT</w:t>
      </w:r>
    </w:p>
    <w:p>
      <w:pPr>
        <w:spacing w:after="0" w:line="94" w:lineRule="exact"/>
        <w:rPr>
          <w:sz w:val="20"/>
          <w:szCs w:val="20"/>
          <w:color w:val="auto"/>
        </w:rPr>
      </w:pPr>
    </w:p>
    <w:p>
      <w:pPr>
        <w:ind w:left="20" w:right="140"/>
        <w:spacing w:after="0" w:line="242" w:lineRule="auto"/>
        <w:rPr>
          <w:sz w:val="20"/>
          <w:szCs w:val="20"/>
          <w:color w:val="auto"/>
        </w:rPr>
      </w:pPr>
      <w:r>
        <w:rPr>
          <w:rFonts w:ascii="Arial" w:cs="Arial" w:eastAsia="Arial" w:hAnsi="Arial"/>
          <w:sz w:val="20"/>
          <w:szCs w:val="20"/>
          <w:color w:val="auto"/>
        </w:rPr>
        <w:t>Succession planning for senior management positions, which facilitates continuity of leadership over the long term, is critical to our success and important at all levels within our organization. Our Board’s involvement in leadership development and succession planning is systematic, strategic and continuous. The People and Compensation Committee oversees the development and retention of senior management talent while also maintaining an appropriate succession plan for our CEO. Additionally, the Board has contingency plans for emergencies such as the death or disability of the CEO.</w:t>
      </w:r>
    </w:p>
    <w:p>
      <w:pPr>
        <w:spacing w:after="0" w:line="132" w:lineRule="exact"/>
        <w:rPr>
          <w:sz w:val="20"/>
          <w:szCs w:val="20"/>
          <w:color w:val="auto"/>
        </w:rPr>
      </w:pPr>
    </w:p>
    <w:p>
      <w:pPr>
        <w:ind w:left="20" w:right="20"/>
        <w:spacing w:after="0"/>
        <w:rPr>
          <w:sz w:val="20"/>
          <w:szCs w:val="20"/>
          <w:color w:val="auto"/>
        </w:rPr>
      </w:pPr>
      <w:r>
        <w:rPr>
          <w:rFonts w:ascii="Arial" w:cs="Arial" w:eastAsia="Arial" w:hAnsi="Arial"/>
          <w:sz w:val="20"/>
          <w:szCs w:val="20"/>
          <w:color w:val="auto"/>
        </w:rPr>
        <w:t>The People and Compensation Committee, together with the CEO, regularly reviews senior management talent, including readiness to take on additional leadership roles and developmental opportunities needed to prepare leaders for greater responsibilities. The CEO also provides a regular review to the People and Compensation Committee of the executive leadership team. While the People and Compensation Committee has the primary responsibility to develop succession plans for the CEO position, it annually reports to the Board and decisions are made at the Board level. Potential leaders interact with Board members through formal presentations.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2C83"/>
        </w:rPr>
        <w:t>CORPORATE CULTURE</w:t>
      </w:r>
    </w:p>
    <w:p>
      <w:pPr>
        <w:spacing w:after="0" w:line="94" w:lineRule="exact"/>
        <w:rPr>
          <w:sz w:val="20"/>
          <w:szCs w:val="20"/>
          <w:color w:val="auto"/>
        </w:rPr>
      </w:pPr>
    </w:p>
    <w:p>
      <w:pPr>
        <w:ind w:left="20" w:right="60"/>
        <w:spacing w:after="0" w:line="255" w:lineRule="auto"/>
        <w:rPr>
          <w:sz w:val="20"/>
          <w:szCs w:val="20"/>
          <w:color w:val="auto"/>
        </w:rPr>
      </w:pPr>
      <w:r>
        <w:rPr>
          <w:rFonts w:ascii="Arial" w:cs="Arial" w:eastAsia="Arial" w:hAnsi="Arial"/>
          <w:sz w:val="19"/>
          <w:szCs w:val="19"/>
          <w:color w:val="auto"/>
        </w:rPr>
        <w:t>Our Board believes that a positive corporate culture is vitally important to our success. Accordingly, the Board oversees the implementation of practices and policies to maintain a positive and engaging work environment for our team members. Our global compliance and integrity program guides our employees to act with integrity and make ethical decisions while conducting business around the world. In addition, Board members are provided direct access to our employees. Directors have engaged with employees in person through activities such as walking the floors of our offices and participating in plant and in-market visits. These visits help directors assess our culture and interact with employees outside the senior management team.</w:t>
      </w:r>
    </w:p>
    <w:p>
      <w:pPr>
        <w:spacing w:after="0" w:line="122" w:lineRule="exact"/>
        <w:rPr>
          <w:sz w:val="20"/>
          <w:szCs w:val="20"/>
          <w:color w:val="auto"/>
        </w:rPr>
      </w:pPr>
    </w:p>
    <w:p>
      <w:pPr>
        <w:ind w:left="20" w:right="360"/>
        <w:spacing w:after="0" w:line="250" w:lineRule="auto"/>
        <w:rPr>
          <w:sz w:val="20"/>
          <w:szCs w:val="20"/>
          <w:color w:val="auto"/>
        </w:rPr>
      </w:pPr>
      <w:r>
        <w:rPr>
          <w:rFonts w:ascii="Arial" w:cs="Arial" w:eastAsia="Arial" w:hAnsi="Arial"/>
          <w:sz w:val="20"/>
          <w:szCs w:val="20"/>
          <w:color w:val="auto"/>
        </w:rPr>
        <w:t>Each year the Board reviews our global employee engagement survey results. The survey provides rich data for our leaders and a useful way to compare Mondelēz International to other companies. This information helps us create action plans at global, regional, functional and managerial levels.</w:t>
      </w:r>
    </w:p>
    <w:p>
      <w:pPr>
        <w:spacing w:after="0" w:line="126" w:lineRule="exact"/>
        <w:rPr>
          <w:sz w:val="20"/>
          <w:szCs w:val="20"/>
          <w:color w:val="auto"/>
        </w:rPr>
      </w:pPr>
    </w:p>
    <w:p>
      <w:pPr>
        <w:ind w:left="20" w:right="40"/>
        <w:spacing w:after="0" w:line="267" w:lineRule="auto"/>
        <w:rPr>
          <w:sz w:val="20"/>
          <w:szCs w:val="20"/>
          <w:color w:val="auto"/>
        </w:rPr>
      </w:pPr>
      <w:r>
        <w:rPr>
          <w:rFonts w:ascii="Arial" w:cs="Arial" w:eastAsia="Arial" w:hAnsi="Arial"/>
          <w:sz w:val="20"/>
          <w:szCs w:val="20"/>
          <w:color w:val="auto"/>
        </w:rPr>
        <w:t>For additional details on talent management and development initiatives, our DEI initiatives, workplace safety and wellness, and our engagement survey, please see the Human Capital section of our 2022 Form</w:t>
      </w:r>
      <w:r>
        <w:rPr>
          <w:rFonts w:ascii="Times New Roman" w:cs="Times New Roman" w:eastAsia="Times New Roman" w:hAnsi="Times New Roman"/>
          <w:sz w:val="20"/>
          <w:szCs w:val="20"/>
          <w:color w:val="auto"/>
        </w:rPr>
        <w:t> </w:t>
      </w:r>
      <w:r>
        <w:rPr>
          <w:rFonts w:ascii="Arial" w:cs="Arial" w:eastAsia="Arial" w:hAnsi="Arial"/>
          <w:sz w:val="20"/>
          <w:szCs w:val="20"/>
          <w:color w:val="auto"/>
        </w:rPr>
        <w:t>10-K.</w:t>
      </w:r>
    </w:p>
    <w:p>
      <w:pPr>
        <w:spacing w:after="0" w:line="121"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Meeting Attendance</w:t>
      </w:r>
    </w:p>
    <w:p>
      <w:pPr>
        <w:spacing w:after="0" w:line="175" w:lineRule="exact"/>
        <w:rPr>
          <w:sz w:val="20"/>
          <w:szCs w:val="20"/>
          <w:color w:val="auto"/>
        </w:rPr>
      </w:pPr>
    </w:p>
    <w:p>
      <w:pPr>
        <w:ind w:left="20" w:right="40"/>
        <w:spacing w:after="0" w:line="250" w:lineRule="auto"/>
        <w:rPr>
          <w:sz w:val="20"/>
          <w:szCs w:val="20"/>
          <w:color w:val="auto"/>
        </w:rPr>
      </w:pPr>
      <w:r>
        <w:rPr>
          <w:rFonts w:ascii="Arial" w:cs="Arial" w:eastAsia="Arial" w:hAnsi="Arial"/>
          <w:sz w:val="20"/>
          <w:szCs w:val="20"/>
          <w:color w:val="auto"/>
        </w:rPr>
        <w:t>Directors are expected to attend all Board meetings, the Annual Meeting of Shareholders and all meetings of the committees on which they serve. We understand, however, that occasionally a director may be unable to attend a meeting due to conflicts or unforeseen circumstances.</w:t>
      </w:r>
    </w:p>
    <w:p>
      <w:pPr>
        <w:spacing w:after="0" w:line="126" w:lineRule="exact"/>
        <w:rPr>
          <w:sz w:val="20"/>
          <w:szCs w:val="20"/>
          <w:color w:val="auto"/>
        </w:rPr>
      </w:pPr>
    </w:p>
    <w:p>
      <w:pPr>
        <w:ind w:left="180" w:hanging="161"/>
        <w:spacing w:after="0"/>
        <w:tabs>
          <w:tab w:leader="none" w:pos="180" w:val="left"/>
        </w:tabs>
        <w:numPr>
          <w:ilvl w:val="0"/>
          <w:numId w:val="29"/>
        </w:numPr>
        <w:rPr>
          <w:rFonts w:ascii="Arial" w:cs="Arial" w:eastAsia="Arial" w:hAnsi="Arial"/>
          <w:sz w:val="20"/>
          <w:szCs w:val="20"/>
          <w:color w:val="582C83"/>
        </w:rPr>
      </w:pPr>
      <w:r>
        <w:rPr>
          <w:rFonts w:ascii="Arial" w:cs="Arial" w:eastAsia="Arial" w:hAnsi="Arial"/>
          <w:sz w:val="20"/>
          <w:szCs w:val="20"/>
          <w:color w:val="auto"/>
        </w:rPr>
        <w:t>The Board held 10 meetings during 2022.</w:t>
      </w:r>
    </w:p>
    <w:p>
      <w:pPr>
        <w:spacing w:after="0" w:line="92" w:lineRule="exact"/>
        <w:rPr>
          <w:rFonts w:ascii="Arial" w:cs="Arial" w:eastAsia="Arial" w:hAnsi="Arial"/>
          <w:sz w:val="20"/>
          <w:szCs w:val="20"/>
          <w:color w:val="582C83"/>
        </w:rPr>
      </w:pPr>
    </w:p>
    <w:p>
      <w:pPr>
        <w:ind w:left="180" w:right="160" w:hanging="161"/>
        <w:spacing w:after="0" w:line="244" w:lineRule="auto"/>
        <w:tabs>
          <w:tab w:leader="none" w:pos="180" w:val="left"/>
        </w:tabs>
        <w:numPr>
          <w:ilvl w:val="0"/>
          <w:numId w:val="29"/>
        </w:numPr>
        <w:rPr>
          <w:rFonts w:ascii="Arial" w:cs="Arial" w:eastAsia="Arial" w:hAnsi="Arial"/>
          <w:sz w:val="20"/>
          <w:szCs w:val="20"/>
          <w:color w:val="582C83"/>
        </w:rPr>
      </w:pPr>
      <w:r>
        <w:rPr>
          <w:rFonts w:ascii="Arial" w:cs="Arial" w:eastAsia="Arial" w:hAnsi="Arial"/>
          <w:sz w:val="20"/>
          <w:szCs w:val="20"/>
          <w:color w:val="auto"/>
        </w:rPr>
        <w:t>During 2022, Ms. Shi, Mr. Bunch and Mr. Van de Put attended 100% of the meetings of the Board and all committees on which they served during the period that he or she served. Mr. Booth, Ms. Cousin, Ms. Juliber, Ms. Nielsen and Mr. Mesquita and Mr. Todman attended at least 89% of meetings of the Board and all committees on which they served during the period that he or she served.</w:t>
      </w:r>
    </w:p>
    <w:p>
      <w:pPr>
        <w:spacing w:after="0" w:line="58" w:lineRule="exact"/>
        <w:rPr>
          <w:rFonts w:ascii="Arial" w:cs="Arial" w:eastAsia="Arial" w:hAnsi="Arial"/>
          <w:sz w:val="20"/>
          <w:szCs w:val="20"/>
          <w:color w:val="582C83"/>
        </w:rPr>
      </w:pPr>
    </w:p>
    <w:p>
      <w:pPr>
        <w:ind w:left="180" w:hanging="161"/>
        <w:spacing w:after="0"/>
        <w:tabs>
          <w:tab w:leader="none" w:pos="180" w:val="left"/>
        </w:tabs>
        <w:numPr>
          <w:ilvl w:val="0"/>
          <w:numId w:val="29"/>
        </w:numPr>
        <w:rPr>
          <w:rFonts w:ascii="Arial" w:cs="Arial" w:eastAsia="Arial" w:hAnsi="Arial"/>
          <w:sz w:val="20"/>
          <w:szCs w:val="20"/>
          <w:color w:val="582C83"/>
        </w:rPr>
      </w:pPr>
      <w:r>
        <w:rPr>
          <w:rFonts w:ascii="Arial" w:cs="Arial" w:eastAsia="Arial" w:hAnsi="Arial"/>
          <w:sz w:val="20"/>
          <w:szCs w:val="20"/>
          <w:color w:val="auto"/>
        </w:rPr>
        <w:t>All of the then-incumbent directors attended the 2022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241300</wp:posOffset>
            </wp:positionV>
            <wp:extent cx="7143115"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00" w:top="132" w:right="339" w:bottom="1440" w:gutter="0" w:footer="0" w:header="0"/>
        </w:sectPr>
      </w:pPr>
    </w:p>
    <w:bookmarkStart w:id="47" w:name="page48"/>
    <w:bookmarkEnd w:id="47"/>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Codes of Conduct</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2C83"/>
        </w:rPr>
        <w:t>CODE OF BUSINESS CONDUCT AND ETHICS FOR NON-EMPLOYEE DIRECTORS</w:t>
      </w:r>
    </w:p>
    <w:p>
      <w:pPr>
        <w:spacing w:after="0" w:line="94" w:lineRule="exact"/>
        <w:rPr>
          <w:sz w:val="20"/>
          <w:szCs w:val="20"/>
          <w:color w:val="auto"/>
        </w:rPr>
      </w:pPr>
    </w:p>
    <w:p>
      <w:pPr>
        <w:ind w:left="20" w:right="300"/>
        <w:spacing w:after="0" w:line="262" w:lineRule="auto"/>
        <w:rPr>
          <w:sz w:val="20"/>
          <w:szCs w:val="20"/>
          <w:color w:val="auto"/>
        </w:rPr>
      </w:pPr>
      <w:r>
        <w:rPr>
          <w:rFonts w:ascii="Arial" w:cs="Arial" w:eastAsia="Arial" w:hAnsi="Arial"/>
          <w:sz w:val="19"/>
          <w:szCs w:val="19"/>
          <w:color w:val="auto"/>
        </w:rPr>
        <w:t>We have adopted a Code of Business Conduct and Ethics for Non-Employee Directors that is designed to foster a culture of honesty and integrity, focus on areas of ethical risk, guide non-employee directors in recognizing and handling ethical issues, and provide mechanisms to report unethical conduct. Annually, all non-employee directors must acknowledge in writing that they have received, reviewed and understand the Code of Business Conduct and Ethics for Non-Employee Directors.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2C83"/>
        </w:rPr>
        <w:t>EMPLOYEE CODE OF CONDUCT</w:t>
      </w:r>
    </w:p>
    <w:p>
      <w:pPr>
        <w:spacing w:after="0" w:line="94" w:lineRule="exact"/>
        <w:rPr>
          <w:sz w:val="20"/>
          <w:szCs w:val="20"/>
          <w:color w:val="auto"/>
        </w:rPr>
      </w:pPr>
    </w:p>
    <w:p>
      <w:pPr>
        <w:ind w:left="20" w:right="40"/>
        <w:spacing w:after="0" w:line="244" w:lineRule="auto"/>
        <w:rPr>
          <w:sz w:val="20"/>
          <w:szCs w:val="20"/>
          <w:color w:val="auto"/>
        </w:rPr>
      </w:pPr>
      <w:r>
        <w:rPr>
          <w:rFonts w:ascii="Arial" w:cs="Arial" w:eastAsia="Arial" w:hAnsi="Arial"/>
          <w:sz w:val="20"/>
          <w:szCs w:val="20"/>
          <w:color w:val="auto"/>
        </w:rPr>
        <w:t>We have adopted the Mondelēz International Code of Conduct (the “Code of Conduct”) for all our employees, which reflects our values and contains important rules for conducting our business. The Code of Conduct is part of our global compliance and integrity program, which provides training throughout the Company and encourages reporting of potential wrongdoing through anonymous reporting options and a publicized non-retaliation policy.</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Chief Compliance Officer provides an annual report to the Audit Committee on the overall implementation and effectiveness of Mondelēz International’s Compliance program, and provides quarterly updates to the Audit Committee on Code of Conduct compliance, investigation trends and training activities. The Chief Compliance Officer also provides an annual report to the People and Compensation Committee on workplace compliance-related matters. The Chief Compliance Officer reports to the EVP, Corporate &amp; Legal Affairs and General Counsel, and has the authority to communicate directly with the Audit Committee regarding alleged or actual violations, if any, of the Code of Conduct.</w:t>
      </w:r>
    </w:p>
    <w:p>
      <w:pPr>
        <w:spacing w:after="0" w:line="148"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Where to Find More Information</w:t>
      </w:r>
    </w:p>
    <w:p>
      <w:pPr>
        <w:spacing w:after="0" w:line="175" w:lineRule="exact"/>
        <w:rPr>
          <w:sz w:val="20"/>
          <w:szCs w:val="20"/>
          <w:color w:val="auto"/>
        </w:rPr>
      </w:pPr>
    </w:p>
    <w:p>
      <w:pPr>
        <w:ind w:left="20" w:right="160"/>
        <w:spacing w:after="0" w:line="250" w:lineRule="auto"/>
        <w:rPr>
          <w:sz w:val="20"/>
          <w:szCs w:val="20"/>
          <w:color w:val="auto"/>
        </w:rPr>
      </w:pPr>
      <w:r>
        <w:rPr>
          <w:rFonts w:ascii="Arial" w:cs="Arial" w:eastAsia="Arial" w:hAnsi="Arial"/>
          <w:sz w:val="20"/>
          <w:szCs w:val="20"/>
          <w:color w:val="auto"/>
        </w:rPr>
        <w:t xml:space="preserve">To learn more about our corporate governance practices, you can access the corporate governance documents listed below at </w:t>
      </w:r>
      <w:r>
        <w:rPr>
          <w:rFonts w:ascii="Arial" w:cs="Arial" w:eastAsia="Arial" w:hAnsi="Arial"/>
          <w:sz w:val="20"/>
          <w:szCs w:val="20"/>
          <w:i w:val="1"/>
          <w:iCs w:val="1"/>
          <w:color w:val="572C83"/>
        </w:rPr>
        <w:t>www.mondelezinternational.com/investors/corporate-governance</w:t>
      </w:r>
      <w:r>
        <w:rPr>
          <w:rFonts w:ascii="Arial" w:cs="Arial" w:eastAsia="Arial" w:hAnsi="Arial"/>
          <w:sz w:val="20"/>
          <w:szCs w:val="20"/>
          <w:color w:val="000000"/>
        </w:rPr>
        <w:t>. We will also provide copies of any of these documents to</w:t>
      </w:r>
      <w:r>
        <w:rPr>
          <w:rFonts w:ascii="Arial" w:cs="Arial" w:eastAsia="Arial" w:hAnsi="Arial"/>
          <w:sz w:val="20"/>
          <w:szCs w:val="20"/>
          <w:i w:val="1"/>
          <w:iCs w:val="1"/>
          <w:color w:val="572C83"/>
        </w:rPr>
        <w:t xml:space="preserve"> </w:t>
      </w:r>
      <w:r>
        <w:rPr>
          <w:rFonts w:ascii="Arial" w:cs="Arial" w:eastAsia="Arial" w:hAnsi="Arial"/>
          <w:sz w:val="20"/>
          <w:szCs w:val="20"/>
          <w:color w:val="000000"/>
        </w:rPr>
        <w:t>shareholders upon written request to the Corporate Secretary.</w:t>
      </w:r>
    </w:p>
    <w:p>
      <w:pPr>
        <w:spacing w:after="0" w:line="126" w:lineRule="exact"/>
        <w:rPr>
          <w:sz w:val="20"/>
          <w:szCs w:val="20"/>
          <w:color w:val="auto"/>
        </w:rPr>
      </w:pPr>
    </w:p>
    <w:p>
      <w:pPr>
        <w:ind w:left="180" w:hanging="161"/>
        <w:spacing w:after="0"/>
        <w:tabs>
          <w:tab w:leader="none" w:pos="180" w:val="left"/>
        </w:tabs>
        <w:numPr>
          <w:ilvl w:val="0"/>
          <w:numId w:val="30"/>
        </w:numPr>
        <w:rPr>
          <w:rFonts w:ascii="Arial" w:cs="Arial" w:eastAsia="Arial" w:hAnsi="Arial"/>
          <w:sz w:val="20"/>
          <w:szCs w:val="20"/>
          <w:color w:val="582C83"/>
        </w:rPr>
      </w:pPr>
      <w:r>
        <w:rPr>
          <w:rFonts w:ascii="Arial" w:cs="Arial" w:eastAsia="Arial" w:hAnsi="Arial"/>
          <w:sz w:val="20"/>
          <w:szCs w:val="20"/>
          <w:color w:val="auto"/>
        </w:rPr>
        <w:t>Articles of Incorporation</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30"/>
        </w:numPr>
        <w:rPr>
          <w:rFonts w:ascii="Arial" w:cs="Arial" w:eastAsia="Arial" w:hAnsi="Arial"/>
          <w:sz w:val="20"/>
          <w:szCs w:val="20"/>
          <w:color w:val="582C83"/>
        </w:rPr>
      </w:pPr>
      <w:r>
        <w:rPr>
          <w:rFonts w:ascii="Arial" w:cs="Arial" w:eastAsia="Arial" w:hAnsi="Arial"/>
          <w:sz w:val="20"/>
          <w:szCs w:val="20"/>
          <w:color w:val="auto"/>
        </w:rPr>
        <w:t>By-Laws</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30"/>
        </w:numPr>
        <w:rPr>
          <w:rFonts w:ascii="Arial" w:cs="Arial" w:eastAsia="Arial" w:hAnsi="Arial"/>
          <w:sz w:val="20"/>
          <w:szCs w:val="20"/>
          <w:color w:val="582C83"/>
        </w:rPr>
      </w:pPr>
      <w:r>
        <w:rPr>
          <w:rFonts w:ascii="Arial" w:cs="Arial" w:eastAsia="Arial" w:hAnsi="Arial"/>
          <w:sz w:val="20"/>
          <w:szCs w:val="20"/>
          <w:color w:val="auto"/>
        </w:rPr>
        <w:t>Corporate Governance Guidelines</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30"/>
        </w:numPr>
        <w:rPr>
          <w:rFonts w:ascii="Arial" w:cs="Arial" w:eastAsia="Arial" w:hAnsi="Arial"/>
          <w:sz w:val="20"/>
          <w:szCs w:val="20"/>
          <w:color w:val="582C83"/>
        </w:rPr>
      </w:pPr>
      <w:r>
        <w:rPr>
          <w:rFonts w:ascii="Arial" w:cs="Arial" w:eastAsia="Arial" w:hAnsi="Arial"/>
          <w:sz w:val="20"/>
          <w:szCs w:val="20"/>
          <w:color w:val="auto"/>
        </w:rPr>
        <w:t>Board Committee Charters</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30"/>
        </w:numPr>
        <w:rPr>
          <w:rFonts w:ascii="Arial" w:cs="Arial" w:eastAsia="Arial" w:hAnsi="Arial"/>
          <w:sz w:val="20"/>
          <w:szCs w:val="20"/>
          <w:color w:val="582C83"/>
        </w:rPr>
      </w:pPr>
      <w:r>
        <w:rPr>
          <w:rFonts w:ascii="Arial" w:cs="Arial" w:eastAsia="Arial" w:hAnsi="Arial"/>
          <w:sz w:val="20"/>
          <w:szCs w:val="20"/>
          <w:color w:val="auto"/>
        </w:rPr>
        <w:t>Code of Business Conduct and Ethics for Non-Employee Directors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9"/>
          <w:szCs w:val="19"/>
          <w:color w:val="auto"/>
        </w:rPr>
        <w:t xml:space="preserve">You can access the Code of Conduct at </w:t>
      </w:r>
      <w:r>
        <w:rPr>
          <w:rFonts w:ascii="Arial" w:cs="Arial" w:eastAsia="Arial" w:hAnsi="Arial"/>
          <w:sz w:val="19"/>
          <w:szCs w:val="19"/>
          <w:i w:val="1"/>
          <w:iCs w:val="1"/>
          <w:color w:val="582C83"/>
        </w:rPr>
        <w:t>www.mondelezinternational.com/about-us/our-way-of-doing-business/Code-of-Conduct</w:t>
      </w:r>
      <w:r>
        <w:rPr>
          <w:rFonts w:ascii="Arial" w:cs="Arial" w:eastAsia="Arial" w:hAnsi="Arial"/>
          <w:sz w:val="19"/>
          <w:szCs w:val="19"/>
          <w:i w:val="1"/>
          <w:iCs w:val="1"/>
          <w:color w:val="auto"/>
        </w:rPr>
        <w:t>.</w:t>
      </w:r>
    </w:p>
    <w:p>
      <w:pPr>
        <w:spacing w:after="0" w:line="179" w:lineRule="exact"/>
        <w:rPr>
          <w:sz w:val="20"/>
          <w:szCs w:val="20"/>
          <w:color w:val="auto"/>
        </w:rPr>
      </w:pPr>
    </w:p>
    <w:p>
      <w:pPr>
        <w:ind w:left="20" w:right="20"/>
        <w:spacing w:after="0" w:line="250" w:lineRule="auto"/>
        <w:rPr>
          <w:sz w:val="20"/>
          <w:szCs w:val="20"/>
          <w:color w:val="auto"/>
        </w:rPr>
      </w:pPr>
      <w:r>
        <w:rPr>
          <w:rFonts w:ascii="Arial" w:cs="Arial" w:eastAsia="Arial" w:hAnsi="Arial"/>
          <w:sz w:val="20"/>
          <w:szCs w:val="20"/>
          <w:color w:val="auto"/>
        </w:rPr>
        <w:t>We intend to disclose in the Corporate Governance section of our website any amendments to the Code of Business Conduct and Ethics for Non-Employee Directors or the Code of Conduct, and any waiver granted to an executive officer or director under these codes, to the extent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104140</wp:posOffset>
            </wp:positionV>
            <wp:extent cx="7143115"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00" w:top="132" w:right="339" w:bottom="1440" w:gutter="0" w:footer="0" w:header="0"/>
        </w:sectPr>
      </w:pPr>
    </w:p>
    <w:bookmarkStart w:id="48" w:name="page49"/>
    <w:bookmarkEnd w:id="48"/>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Review of Transactions with Related Persons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2C83"/>
        </w:rPr>
        <w:t>RELATED PERSON TRANSACTIONS POLICY AND PROCEDURES</w:t>
      </w:r>
    </w:p>
    <w:p>
      <w:pPr>
        <w:spacing w:after="0" w:line="94" w:lineRule="exact"/>
        <w:rPr>
          <w:sz w:val="20"/>
          <w:szCs w:val="20"/>
          <w:color w:val="auto"/>
        </w:rPr>
      </w:pPr>
    </w:p>
    <w:p>
      <w:pPr>
        <w:ind w:left="20" w:right="280"/>
        <w:spacing w:after="0" w:line="242" w:lineRule="auto"/>
        <w:rPr>
          <w:sz w:val="20"/>
          <w:szCs w:val="20"/>
          <w:color w:val="auto"/>
        </w:rPr>
      </w:pPr>
      <w:r>
        <w:rPr>
          <w:rFonts w:ascii="Arial" w:cs="Arial" w:eastAsia="Arial" w:hAnsi="Arial"/>
          <w:sz w:val="20"/>
          <w:szCs w:val="20"/>
          <w:color w:val="auto"/>
        </w:rPr>
        <w:t>The Board has adopted a written policy regarding related person transactions. In general, “related persons” are directors, executive officers, and shareholders who beneficially own more than 5% of our outstanding Common Stock and any of their immediate family members. A related person transaction is one in which Mondelēz International or one of its subsidiaries is a participant, the amount involved exceeds $120,000, and a related person had, has or will have a direct or indirect material interest.</w:t>
      </w:r>
    </w:p>
    <w:p>
      <w:pPr>
        <w:spacing w:after="0" w:line="132" w:lineRule="exact"/>
        <w:rPr>
          <w:sz w:val="20"/>
          <w:szCs w:val="20"/>
          <w:color w:val="auto"/>
        </w:rPr>
      </w:pPr>
    </w:p>
    <w:p>
      <w:pPr>
        <w:ind w:left="20" w:right="20"/>
        <w:spacing w:after="0"/>
        <w:rPr>
          <w:sz w:val="20"/>
          <w:szCs w:val="20"/>
          <w:color w:val="auto"/>
        </w:rPr>
      </w:pPr>
      <w:r>
        <w:rPr>
          <w:rFonts w:ascii="Arial" w:cs="Arial" w:eastAsia="Arial" w:hAnsi="Arial"/>
          <w:sz w:val="20"/>
          <w:szCs w:val="20"/>
          <w:color w:val="auto"/>
        </w:rPr>
        <w:t>The Governance Committee reviews transactions that might qualify as related person transactions. If the Governance Committee determines that a transaction is a related person transaction, it reviews and then approves, disapproves or ratifies the transaction. Only those related person transactions that are fair and reasonable to Mondelēz International and in our shareholders’ best interests are ratified or approved. When it is not practicable or desirable to delay review of a transaction until a committee meeting, the chair of the Governance Committee may act on behalf of the committee and report to the Governance Committee on any transaction reviewed.</w:t>
      </w:r>
    </w:p>
    <w:p>
      <w:pPr>
        <w:spacing w:after="0" w:line="135" w:lineRule="exact"/>
        <w:rPr>
          <w:sz w:val="20"/>
          <w:szCs w:val="20"/>
          <w:color w:val="auto"/>
        </w:rPr>
      </w:pPr>
    </w:p>
    <w:p>
      <w:pPr>
        <w:ind w:left="20" w:right="420"/>
        <w:spacing w:after="0" w:line="268" w:lineRule="auto"/>
        <w:rPr>
          <w:sz w:val="20"/>
          <w:szCs w:val="20"/>
          <w:color w:val="auto"/>
        </w:rPr>
      </w:pPr>
      <w:r>
        <w:rPr>
          <w:rFonts w:ascii="Arial" w:cs="Arial" w:eastAsia="Arial" w:hAnsi="Arial"/>
          <w:sz w:val="20"/>
          <w:szCs w:val="20"/>
          <w:color w:val="auto"/>
        </w:rPr>
        <w:t>When reviewing and acting on a related person transaction under this policy, the Governance Committee considers, among other things:</w:t>
      </w:r>
    </w:p>
    <w:p>
      <w:pPr>
        <w:spacing w:after="0" w:line="107" w:lineRule="exact"/>
        <w:rPr>
          <w:sz w:val="20"/>
          <w:szCs w:val="20"/>
          <w:color w:val="auto"/>
        </w:rPr>
      </w:pPr>
    </w:p>
    <w:p>
      <w:pPr>
        <w:ind w:left="180" w:hanging="161"/>
        <w:spacing w:after="0"/>
        <w:tabs>
          <w:tab w:leader="none" w:pos="180" w:val="left"/>
        </w:tabs>
        <w:numPr>
          <w:ilvl w:val="0"/>
          <w:numId w:val="31"/>
        </w:numPr>
        <w:rPr>
          <w:rFonts w:ascii="Arial" w:cs="Arial" w:eastAsia="Arial" w:hAnsi="Arial"/>
          <w:sz w:val="20"/>
          <w:szCs w:val="20"/>
          <w:color w:val="582C83"/>
        </w:rPr>
      </w:pPr>
      <w:r>
        <w:rPr>
          <w:rFonts w:ascii="Arial" w:cs="Arial" w:eastAsia="Arial" w:hAnsi="Arial"/>
          <w:sz w:val="20"/>
          <w:szCs w:val="20"/>
          <w:color w:val="auto"/>
        </w:rPr>
        <w:t>the commercial reasonableness of the transaction;</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31"/>
        </w:numPr>
        <w:rPr>
          <w:rFonts w:ascii="Arial" w:cs="Arial" w:eastAsia="Arial" w:hAnsi="Arial"/>
          <w:sz w:val="20"/>
          <w:szCs w:val="20"/>
          <w:color w:val="582C83"/>
        </w:rPr>
      </w:pPr>
      <w:r>
        <w:rPr>
          <w:rFonts w:ascii="Arial" w:cs="Arial" w:eastAsia="Arial" w:hAnsi="Arial"/>
          <w:sz w:val="20"/>
          <w:szCs w:val="20"/>
          <w:color w:val="auto"/>
        </w:rPr>
        <w:t>the materiality of the related person’s direct or indirect interest in the transaction;</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31"/>
        </w:numPr>
        <w:rPr>
          <w:rFonts w:ascii="Arial" w:cs="Arial" w:eastAsia="Arial" w:hAnsi="Arial"/>
          <w:sz w:val="20"/>
          <w:szCs w:val="20"/>
          <w:color w:val="582C83"/>
        </w:rPr>
      </w:pPr>
      <w:r>
        <w:rPr>
          <w:rFonts w:ascii="Arial" w:cs="Arial" w:eastAsia="Arial" w:hAnsi="Arial"/>
          <w:sz w:val="20"/>
          <w:szCs w:val="20"/>
          <w:color w:val="auto"/>
        </w:rPr>
        <w:t>whether the transaction may involve an actual conflict of interest or create the appearance of one;</w:t>
      </w:r>
    </w:p>
    <w:p>
      <w:pPr>
        <w:spacing w:after="0" w:line="92" w:lineRule="exact"/>
        <w:rPr>
          <w:rFonts w:ascii="Arial" w:cs="Arial" w:eastAsia="Arial" w:hAnsi="Arial"/>
          <w:sz w:val="20"/>
          <w:szCs w:val="20"/>
          <w:color w:val="582C83"/>
        </w:rPr>
      </w:pPr>
    </w:p>
    <w:p>
      <w:pPr>
        <w:ind w:left="180" w:right="600" w:hanging="161"/>
        <w:spacing w:after="0" w:line="268" w:lineRule="auto"/>
        <w:tabs>
          <w:tab w:leader="none" w:pos="180" w:val="left"/>
        </w:tabs>
        <w:numPr>
          <w:ilvl w:val="0"/>
          <w:numId w:val="31"/>
        </w:numPr>
        <w:rPr>
          <w:rFonts w:ascii="Arial" w:cs="Arial" w:eastAsia="Arial" w:hAnsi="Arial"/>
          <w:sz w:val="20"/>
          <w:szCs w:val="20"/>
          <w:color w:val="582C83"/>
        </w:rPr>
      </w:pPr>
      <w:r>
        <w:rPr>
          <w:rFonts w:ascii="Arial" w:cs="Arial" w:eastAsia="Arial" w:hAnsi="Arial"/>
          <w:sz w:val="20"/>
          <w:szCs w:val="20"/>
          <w:color w:val="auto"/>
        </w:rPr>
        <w:t>the impact of the transaction on the related person’s independence (as defined in the Guidelines and the Nasdaq listing standards); and</w:t>
      </w:r>
    </w:p>
    <w:p>
      <w:pPr>
        <w:spacing w:after="0" w:line="32" w:lineRule="exact"/>
        <w:rPr>
          <w:rFonts w:ascii="Arial" w:cs="Arial" w:eastAsia="Arial" w:hAnsi="Arial"/>
          <w:sz w:val="20"/>
          <w:szCs w:val="20"/>
          <w:color w:val="582C83"/>
        </w:rPr>
      </w:pPr>
    </w:p>
    <w:p>
      <w:pPr>
        <w:ind w:left="180" w:right="140" w:hanging="161"/>
        <w:spacing w:after="0" w:line="268" w:lineRule="auto"/>
        <w:tabs>
          <w:tab w:leader="none" w:pos="180" w:val="left"/>
        </w:tabs>
        <w:numPr>
          <w:ilvl w:val="0"/>
          <w:numId w:val="31"/>
        </w:numPr>
        <w:rPr>
          <w:rFonts w:ascii="Arial" w:cs="Arial" w:eastAsia="Arial" w:hAnsi="Arial"/>
          <w:sz w:val="20"/>
          <w:szCs w:val="20"/>
          <w:color w:val="582C83"/>
        </w:rPr>
      </w:pPr>
      <w:r>
        <w:rPr>
          <w:rFonts w:ascii="Arial" w:cs="Arial" w:eastAsia="Arial" w:hAnsi="Arial"/>
          <w:sz w:val="20"/>
          <w:szCs w:val="20"/>
          <w:color w:val="auto"/>
        </w:rPr>
        <w:t>whether the transaction would violate any provision of the Code of Business Conduct and Ethics for Non-Employee Directors or the Code of Conduct.</w:t>
      </w:r>
    </w:p>
    <w:p>
      <w:pPr>
        <w:spacing w:after="0" w:line="107" w:lineRule="exact"/>
        <w:rPr>
          <w:sz w:val="20"/>
          <w:szCs w:val="20"/>
          <w:color w:val="auto"/>
        </w:rPr>
      </w:pPr>
    </w:p>
    <w:p>
      <w:pPr>
        <w:ind w:left="20" w:right="820"/>
        <w:spacing w:after="0" w:line="268" w:lineRule="auto"/>
        <w:rPr>
          <w:sz w:val="20"/>
          <w:szCs w:val="20"/>
          <w:color w:val="auto"/>
        </w:rPr>
      </w:pPr>
      <w:r>
        <w:rPr>
          <w:rFonts w:ascii="Arial" w:cs="Arial" w:eastAsia="Arial" w:hAnsi="Arial"/>
          <w:sz w:val="20"/>
          <w:szCs w:val="20"/>
          <w:color w:val="auto"/>
        </w:rPr>
        <w:t>Any member of the Governance Committee who is a related person with respect to a transaction under review may not participate in the deliberations or decisions regarding the transaction.</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2C83"/>
        </w:rPr>
        <w:t>REVIEW OF RELATED PERSON TRANSACTIONS SINCE JANUARY 1, 2022</w:t>
      </w:r>
    </w:p>
    <w:p>
      <w:pPr>
        <w:spacing w:after="0" w:line="94" w:lineRule="exact"/>
        <w:rPr>
          <w:sz w:val="20"/>
          <w:szCs w:val="20"/>
          <w:color w:val="auto"/>
        </w:rPr>
      </w:pPr>
    </w:p>
    <w:p>
      <w:pPr>
        <w:ind w:left="20" w:right="160"/>
        <w:spacing w:after="0" w:line="237" w:lineRule="auto"/>
        <w:rPr>
          <w:sz w:val="20"/>
          <w:szCs w:val="20"/>
          <w:color w:val="auto"/>
        </w:rPr>
      </w:pPr>
      <w:r>
        <w:rPr>
          <w:rFonts w:ascii="Arial" w:cs="Arial" w:eastAsia="Arial" w:hAnsi="Arial"/>
          <w:sz w:val="20"/>
          <w:szCs w:val="20"/>
          <w:color w:val="auto"/>
        </w:rPr>
        <w:t>On January 31, 2023, BlackRock, Inc. (“BlackRock”), an investment management corporation, filed a Schedule 13G/A with the SEC reporting that it was a greater than 5% shareholder of the Company as of December 31, 2022. During 2022, BlackRock acted as an investment manager with respect to certain investment options under our U.S., Canadian and Puerto Rican retirement savings plans and Canadian, Irish and U.K. pension plans. BlackRock was selected as an investment manager by each plan’s designated authority for plan investments. BlackRock’s selection was based on the determination of each plan’s designated authority that the selection met applicable standards and that the fees were reasonable and appropriate. BlackRock’s fees were approximately $2.197 million during 2022. Each of the plans for which BlackRock performed services paid the fees for those services from its assets. The plans expect to pay similar fees to BlackRock during 2023 for similar services. Fees, based on plan asset value, are paid quarterly on a lagging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114300</wp:posOffset>
            </wp:positionV>
            <wp:extent cx="7143115"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00" w:top="132" w:right="339" w:bottom="1440" w:gutter="0" w:footer="0" w:header="0"/>
        </w:sectPr>
      </w:pPr>
    </w:p>
    <w:bookmarkStart w:id="49" w:name="page50"/>
    <w:bookmarkEnd w:id="49"/>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Shareholder Outreach and Communication with the Board</w:t>
      </w:r>
    </w:p>
    <w:p>
      <w:pPr>
        <w:spacing w:after="0" w:line="175" w:lineRule="exact"/>
        <w:rPr>
          <w:sz w:val="20"/>
          <w:szCs w:val="20"/>
          <w:color w:val="auto"/>
        </w:rPr>
      </w:pPr>
    </w:p>
    <w:p>
      <w:pPr>
        <w:ind w:left="20" w:right="200"/>
        <w:spacing w:after="0" w:line="239" w:lineRule="auto"/>
        <w:rPr>
          <w:sz w:val="20"/>
          <w:szCs w:val="20"/>
          <w:color w:val="auto"/>
        </w:rPr>
      </w:pPr>
      <w:r>
        <w:rPr>
          <w:rFonts w:ascii="Arial" w:cs="Arial" w:eastAsia="Arial" w:hAnsi="Arial"/>
          <w:sz w:val="20"/>
          <w:szCs w:val="20"/>
          <w:color w:val="auto"/>
        </w:rPr>
        <w:t>As part of our effort to better understand our shareholders’ perspectives, we regularly engage with shareholders, seeking their input and views on various matters. Since our 2022 Annual Meeting of Shareholders, the independent Lead Director and members of senior management have conducted comprehensive shareholder engagement. We reached out to shareholders representing nearly 51% of our outstanding shares, and engaged with 17 different shareholders that collectively represent approximately 30% of our outstanding shares. The independent Lead Director met with shareholders representing approximately 19% of our outstanding shares. In addition, we engaged with shareholders on governance and ESG matters at roundtables and corporate governance forums.</w:t>
      </w:r>
    </w:p>
    <w:p>
      <w:pPr>
        <w:spacing w:after="0" w:line="135" w:lineRule="exact"/>
        <w:rPr>
          <w:sz w:val="20"/>
          <w:szCs w:val="20"/>
          <w:color w:val="auto"/>
        </w:rPr>
      </w:pPr>
    </w:p>
    <w:p>
      <w:pPr>
        <w:ind w:left="20" w:right="140"/>
        <w:spacing w:after="0" w:line="241" w:lineRule="auto"/>
        <w:rPr>
          <w:sz w:val="20"/>
          <w:szCs w:val="20"/>
          <w:color w:val="auto"/>
        </w:rPr>
      </w:pPr>
      <w:r>
        <w:rPr>
          <w:rFonts w:ascii="Arial" w:cs="Arial" w:eastAsia="Arial" w:hAnsi="Arial"/>
          <w:sz w:val="20"/>
          <w:szCs w:val="20"/>
          <w:color w:val="auto"/>
        </w:rPr>
        <w:t>During these engagements, we discussed a variety of topics, including the Company’s business strategy, Board governance, executive compensation, human capital management, and environmental and social sustainability matters. These discussions were very productive, and we appreciate that our shareholders took the time to share their perspectives and questions with us. The feedback we</w:t>
      </w:r>
      <w:r>
        <w:rPr>
          <w:rFonts w:ascii="Times New Roman" w:cs="Times New Roman" w:eastAsia="Times New Roman" w:hAnsi="Times New Roman"/>
          <w:sz w:val="20"/>
          <w:szCs w:val="20"/>
          <w:color w:val="auto"/>
        </w:rPr>
        <w:t> </w:t>
      </w:r>
      <w:r>
        <w:rPr>
          <w:rFonts w:ascii="Arial" w:cs="Arial" w:eastAsia="Arial" w:hAnsi="Arial"/>
          <w:sz w:val="20"/>
          <w:szCs w:val="20"/>
          <w:color w:val="auto"/>
        </w:rPr>
        <w:t>received during these conversations was shared with the Board, the People and Compensation Committee, and the</w:t>
      </w:r>
      <w:r>
        <w:rPr>
          <w:rFonts w:ascii="Times New Roman" w:cs="Times New Roman" w:eastAsia="Times New Roman" w:hAnsi="Times New Roman"/>
          <w:sz w:val="20"/>
          <w:szCs w:val="20"/>
          <w:color w:val="auto"/>
        </w:rPr>
        <w:t> </w:t>
      </w:r>
      <w:r>
        <w:rPr>
          <w:rFonts w:ascii="Arial" w:cs="Arial" w:eastAsia="Arial" w:hAnsi="Arial"/>
          <w:sz w:val="20"/>
          <w:szCs w:val="20"/>
          <w:color w:val="auto"/>
        </w:rPr>
        <w:t>Governance Committee, and it continues to inform our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180975</wp:posOffset>
            </wp:positionV>
            <wp:extent cx="5566410" cy="13874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566410" cy="138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right="40"/>
        <w:spacing w:after="0" w:line="244" w:lineRule="auto"/>
        <w:rPr>
          <w:sz w:val="20"/>
          <w:szCs w:val="20"/>
          <w:color w:val="auto"/>
        </w:rPr>
      </w:pPr>
      <w:r>
        <w:rPr>
          <w:rFonts w:ascii="Arial" w:cs="Arial" w:eastAsia="Arial" w:hAnsi="Arial"/>
          <w:sz w:val="20"/>
          <w:szCs w:val="20"/>
          <w:color w:val="auto"/>
        </w:rPr>
        <w:t xml:space="preserve">Shareholders may directly contact the Board, the independent Lead Director, any of the independent directors or any committee of the Board regarding matters relevant to the Board’s duties and responsibilities. Information about how to do so is available at </w:t>
      </w:r>
      <w:r>
        <w:rPr>
          <w:rFonts w:ascii="Arial" w:cs="Arial" w:eastAsia="Arial" w:hAnsi="Arial"/>
          <w:sz w:val="20"/>
          <w:szCs w:val="20"/>
          <w:i w:val="1"/>
          <w:iCs w:val="1"/>
          <w:color w:val="582C83"/>
        </w:rPr>
        <w:t xml:space="preserve">www.mondelezinternational.com/investors/corporate-governance/contacting-the-board-and-reporting-wrongdoings. </w:t>
      </w:r>
      <w:r>
        <w:rPr>
          <w:rFonts w:ascii="Arial" w:cs="Arial" w:eastAsia="Arial" w:hAnsi="Arial"/>
          <w:sz w:val="20"/>
          <w:szCs w:val="20"/>
          <w:color w:val="000000"/>
        </w:rPr>
        <w:t>The independent Lead Director is available for consultation with our major shareholders.</w:t>
      </w:r>
    </w:p>
    <w:p>
      <w:pPr>
        <w:spacing w:after="0" w:line="133" w:lineRule="exact"/>
        <w:rPr>
          <w:sz w:val="20"/>
          <w:szCs w:val="20"/>
          <w:color w:val="auto"/>
        </w:rPr>
      </w:pPr>
    </w:p>
    <w:p>
      <w:pPr>
        <w:ind w:left="20" w:right="420"/>
        <w:spacing w:after="0"/>
        <w:rPr>
          <w:sz w:val="20"/>
          <w:szCs w:val="20"/>
          <w:color w:val="auto"/>
        </w:rPr>
      </w:pPr>
      <w:r>
        <w:rPr>
          <w:rFonts w:ascii="Arial" w:cs="Arial" w:eastAsia="Arial" w:hAnsi="Arial"/>
          <w:sz w:val="20"/>
          <w:szCs w:val="20"/>
          <w:color w:val="auto"/>
        </w:rPr>
        <w:t>The Corporate Secretary forwards communications relating to matters within the Board’s purview to the independent Lead Director or appropriate independent director(s), and communications relating to matters within a Board committee’s area of responsibility to the chair of the appropriate committee. Communications relating to ordinary business matters, such as suggestions, inquiries and consumer complaints, are forwarded to the appropriate Mondelēz International executive or employee and made available to any independent director who requests them. We do not forward solicitations, junk mail, or frivolous or inappropriate communications.</w:t>
      </w:r>
    </w:p>
    <w:p>
      <w:pPr>
        <w:spacing w:after="0" w:line="135" w:lineRule="exact"/>
        <w:rPr>
          <w:sz w:val="20"/>
          <w:szCs w:val="20"/>
          <w:color w:val="auto"/>
        </w:rPr>
      </w:pPr>
    </w:p>
    <w:p>
      <w:pPr>
        <w:jc w:val="both"/>
        <w:ind w:left="20" w:right="120"/>
        <w:spacing w:after="0" w:line="250" w:lineRule="auto"/>
        <w:rPr>
          <w:sz w:val="20"/>
          <w:szCs w:val="20"/>
          <w:color w:val="auto"/>
        </w:rPr>
      </w:pPr>
      <w:r>
        <w:rPr>
          <w:rFonts w:ascii="Arial" w:cs="Arial" w:eastAsia="Arial" w:hAnsi="Arial"/>
          <w:sz w:val="20"/>
          <w:szCs w:val="20"/>
          <w:color w:val="auto"/>
        </w:rPr>
        <w:t>In furtherance of our commitment to ongoing engagement with our shareholders, management and subject matter experts met, or are scheduled to meet in advance of the Annual Meeting, with the proponents of the shareholder proposals contained in this Proxy Statement to discuss their respective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104140</wp:posOffset>
            </wp:positionV>
            <wp:extent cx="7143115"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00" w:top="132"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311785</wp:posOffset>
            </wp:positionV>
            <wp:extent cx="6307455" cy="15214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307455" cy="152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60"/>
        <w:spacing w:after="0"/>
        <w:rPr>
          <w:sz w:val="20"/>
          <w:szCs w:val="20"/>
          <w:color w:val="auto"/>
        </w:rPr>
      </w:pPr>
      <w:r>
        <w:rPr>
          <w:rFonts w:ascii="Arial" w:cs="Arial" w:eastAsia="Arial" w:hAnsi="Arial"/>
          <w:sz w:val="43"/>
          <w:szCs w:val="43"/>
          <w:b w:val="1"/>
          <w:bCs w:val="1"/>
          <w:color w:val="582C83"/>
        </w:rPr>
        <w:t>BOARD COMMITTEES AND MEMBERSHIP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660" w:right="1420"/>
        <w:spacing w:after="0" w:line="250" w:lineRule="auto"/>
        <w:rPr>
          <w:sz w:val="20"/>
          <w:szCs w:val="20"/>
          <w:color w:val="auto"/>
        </w:rPr>
      </w:pPr>
      <w:r>
        <w:rPr>
          <w:rFonts w:ascii="Arial" w:cs="Arial" w:eastAsia="Arial" w:hAnsi="Arial"/>
          <w:sz w:val="20"/>
          <w:szCs w:val="20"/>
          <w:color w:val="auto"/>
        </w:rPr>
        <w:t>The Governance Committee considers and makes recommendations to the Board regarding the Board’s committee structure and membership. The Board establishes its committee structure and designates the committee members and chairs after consideration of these recommendations.</w:t>
      </w:r>
    </w:p>
    <w:p>
      <w:pPr>
        <w:spacing w:after="0" w:line="126" w:lineRule="exact"/>
        <w:rPr>
          <w:sz w:val="20"/>
          <w:szCs w:val="20"/>
          <w:color w:val="auto"/>
        </w:rPr>
      </w:pPr>
    </w:p>
    <w:p>
      <w:pPr>
        <w:ind w:left="660" w:right="680"/>
        <w:spacing w:after="0" w:line="262" w:lineRule="auto"/>
        <w:rPr>
          <w:sz w:val="20"/>
          <w:szCs w:val="20"/>
          <w:color w:val="auto"/>
        </w:rPr>
      </w:pPr>
      <w:r>
        <w:rPr>
          <w:rFonts w:ascii="Arial" w:cs="Arial" w:eastAsia="Arial" w:hAnsi="Arial"/>
          <w:sz w:val="19"/>
          <w:szCs w:val="19"/>
          <w:color w:val="auto"/>
        </w:rPr>
        <w:t xml:space="preserve">The Board currently has four standing committees: Audit; Finance; Governance, Membership and Sustainability; and People and Compensation. The Board has adopted a written charter for each standing committee. The charters, which are available on our website at </w:t>
      </w:r>
      <w:r>
        <w:rPr>
          <w:rFonts w:ascii="Arial" w:cs="Arial" w:eastAsia="Arial" w:hAnsi="Arial"/>
          <w:sz w:val="19"/>
          <w:szCs w:val="19"/>
          <w:i w:val="1"/>
          <w:iCs w:val="1"/>
          <w:color w:val="572C83"/>
        </w:rPr>
        <w:t>www.mondelezinternational.com/investors/corporate-governance</w:t>
      </w:r>
      <w:r>
        <w:rPr>
          <w:rFonts w:ascii="Arial" w:cs="Arial" w:eastAsia="Arial" w:hAnsi="Arial"/>
          <w:sz w:val="19"/>
          <w:szCs w:val="19"/>
          <w:color w:val="auto"/>
        </w:rPr>
        <w:t>, define the committees’ respective roles and responsibilities. All committee members and chairs are independent.</w:t>
      </w:r>
    </w:p>
    <w:p>
      <w:pPr>
        <w:spacing w:after="0" w:line="114" w:lineRule="exact"/>
        <w:rPr>
          <w:sz w:val="20"/>
          <w:szCs w:val="20"/>
          <w:color w:val="auto"/>
        </w:rPr>
      </w:pPr>
    </w:p>
    <w:p>
      <w:pPr>
        <w:ind w:left="660" w:right="700"/>
        <w:spacing w:after="0" w:line="244" w:lineRule="auto"/>
        <w:rPr>
          <w:sz w:val="20"/>
          <w:szCs w:val="20"/>
          <w:color w:val="auto"/>
        </w:rPr>
      </w:pPr>
      <w:r>
        <w:rPr>
          <w:rFonts w:ascii="Arial" w:cs="Arial" w:eastAsia="Arial" w:hAnsi="Arial"/>
          <w:sz w:val="20"/>
          <w:szCs w:val="20"/>
          <w:color w:val="auto"/>
        </w:rPr>
        <w:t>Committee chairs approve agendas and materials for their committee meetings. Each committee meets regularly in executive session without management. Directors may attend the meetings of any committee of which they are not a member. Committees may retain outside legal, financial, accounting and other advisors at the Company’s expense. Each Committee regularly reports its actions and recommendations to the Board.</w:t>
      </w:r>
    </w:p>
    <w:p>
      <w:pPr>
        <w:spacing w:after="0" w:line="145" w:lineRule="exact"/>
        <w:rPr>
          <w:sz w:val="20"/>
          <w:szCs w:val="20"/>
          <w:color w:val="auto"/>
        </w:rPr>
      </w:pPr>
    </w:p>
    <w:p>
      <w:pPr>
        <w:ind w:left="640"/>
        <w:spacing w:after="0"/>
        <w:rPr>
          <w:sz w:val="20"/>
          <w:szCs w:val="20"/>
          <w:color w:val="auto"/>
        </w:rPr>
      </w:pPr>
      <w:r>
        <w:rPr>
          <w:sz w:val="1"/>
          <w:szCs w:val="1"/>
          <w:color w:val="auto"/>
        </w:rPr>
        <w:drawing>
          <wp:inline distT="0" distB="0" distL="0" distR="0">
            <wp:extent cx="157480" cy="15748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Committee Membership</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1380" w:type="dxa"/>
            <w:vAlign w:val="bottom"/>
            <w:tcBorders>
              <w:bottom w:val="single" w:sz="8" w:color="582C83"/>
            </w:tcBorders>
          </w:tcPr>
          <w:p>
            <w:pPr>
              <w:spacing w:after="0"/>
              <w:rPr>
                <w:sz w:val="20"/>
                <w:szCs w:val="20"/>
                <w:color w:val="auto"/>
              </w:rPr>
            </w:pPr>
          </w:p>
        </w:tc>
        <w:tc>
          <w:tcPr>
            <w:tcW w:w="2840" w:type="dxa"/>
            <w:vAlign w:val="bottom"/>
            <w:tcBorders>
              <w:bottom w:val="single" w:sz="8" w:color="582C83"/>
            </w:tcBorders>
            <w:gridSpan w:val="2"/>
          </w:tcPr>
          <w:p>
            <w:pPr>
              <w:ind w:left="660"/>
              <w:spacing w:after="0"/>
              <w:rPr>
                <w:sz w:val="20"/>
                <w:szCs w:val="20"/>
                <w:color w:val="auto"/>
              </w:rPr>
            </w:pPr>
            <w:r>
              <w:rPr>
                <w:rFonts w:ascii="Arial" w:cs="Arial" w:eastAsia="Arial" w:hAnsi="Arial"/>
                <w:sz w:val="16"/>
                <w:szCs w:val="16"/>
                <w:b w:val="1"/>
                <w:bCs w:val="1"/>
                <w:color w:val="auto"/>
              </w:rPr>
              <w:t>As of March 8, 2023</w:t>
            </w:r>
          </w:p>
        </w:tc>
        <w:tc>
          <w:tcPr>
            <w:tcW w:w="1380" w:type="dxa"/>
            <w:vAlign w:val="bottom"/>
            <w:tcBorders>
              <w:bottom w:val="single" w:sz="8" w:color="582C83"/>
            </w:tcBorders>
          </w:tcPr>
          <w:p>
            <w:pPr>
              <w:spacing w:after="0"/>
              <w:rPr>
                <w:sz w:val="20"/>
                <w:szCs w:val="20"/>
                <w:color w:val="auto"/>
              </w:rPr>
            </w:pPr>
          </w:p>
        </w:tc>
      </w:tr>
      <w:tr>
        <w:trPr>
          <w:trHeight w:val="223"/>
        </w:trPr>
        <w:tc>
          <w:tcPr>
            <w:tcW w:w="4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Governance,</w:t>
            </w:r>
          </w:p>
        </w:tc>
        <w:tc>
          <w:tcPr>
            <w:tcW w:w="1380" w:type="dxa"/>
            <w:vAlign w:val="bottom"/>
          </w:tcPr>
          <w:p>
            <w:pPr>
              <w:spacing w:after="0"/>
              <w:rPr>
                <w:sz w:val="19"/>
                <w:szCs w:val="19"/>
                <w:color w:val="auto"/>
              </w:rPr>
            </w:pPr>
          </w:p>
        </w:tc>
      </w:tr>
      <w:tr>
        <w:trPr>
          <w:trHeight w:val="223"/>
        </w:trPr>
        <w:tc>
          <w:tcPr>
            <w:tcW w:w="4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Membership and</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People and</w:t>
            </w:r>
          </w:p>
        </w:tc>
      </w:tr>
      <w:tr>
        <w:trPr>
          <w:trHeight w:val="223"/>
        </w:trPr>
        <w:tc>
          <w:tcPr>
            <w:tcW w:w="43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Audit</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9"/>
              </w:rPr>
              <w:t>Finance</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9"/>
              </w:rPr>
              <w:t>Sustainability</w:t>
            </w:r>
          </w:p>
        </w:tc>
        <w:tc>
          <w:tcPr>
            <w:tcW w:w="1380" w:type="dxa"/>
            <w:vAlign w:val="bottom"/>
          </w:tcPr>
          <w:p>
            <w:pPr>
              <w:jc w:val="center"/>
              <w:ind w:right="19"/>
              <w:spacing w:after="0"/>
              <w:rPr>
                <w:sz w:val="20"/>
                <w:szCs w:val="20"/>
                <w:color w:val="auto"/>
              </w:rPr>
            </w:pPr>
            <w:r>
              <w:rPr>
                <w:rFonts w:ascii="Arial" w:cs="Arial" w:eastAsia="Arial" w:hAnsi="Arial"/>
                <w:sz w:val="16"/>
                <w:szCs w:val="16"/>
                <w:b w:val="1"/>
                <w:bCs w:val="1"/>
                <w:color w:val="auto"/>
              </w:rPr>
              <w:t>Compensation</w:t>
            </w:r>
          </w:p>
        </w:tc>
      </w:tr>
      <w:tr>
        <w:trPr>
          <w:trHeight w:val="241"/>
        </w:trPr>
        <w:tc>
          <w:tcPr>
            <w:tcW w:w="4340" w:type="dxa"/>
            <w:vAlign w:val="bottom"/>
            <w:tcBorders>
              <w:bottom w:val="single" w:sz="8" w:color="582C83"/>
            </w:tcBorders>
          </w:tcPr>
          <w:p>
            <w:pPr>
              <w:spacing w:after="0"/>
              <w:rPr>
                <w:sz w:val="20"/>
                <w:szCs w:val="20"/>
                <w:color w:val="auto"/>
              </w:rPr>
            </w:pPr>
          </w:p>
        </w:tc>
        <w:tc>
          <w:tcPr>
            <w:tcW w:w="1380" w:type="dxa"/>
            <w:vAlign w:val="bottom"/>
            <w:tcBorders>
              <w:bottom w:val="single" w:sz="8" w:color="582C83"/>
            </w:tcBorders>
          </w:tcPr>
          <w:p>
            <w:pPr>
              <w:jc w:val="center"/>
              <w:spacing w:after="0"/>
              <w:rPr>
                <w:sz w:val="20"/>
                <w:szCs w:val="20"/>
                <w:color w:val="auto"/>
              </w:rPr>
            </w:pPr>
            <w:r>
              <w:rPr>
                <w:rFonts w:ascii="Arial" w:cs="Arial" w:eastAsia="Arial" w:hAnsi="Arial"/>
                <w:sz w:val="16"/>
                <w:szCs w:val="16"/>
                <w:b w:val="1"/>
                <w:bCs w:val="1"/>
                <w:color w:val="auto"/>
              </w:rPr>
              <w:t>Committee</w:t>
            </w:r>
          </w:p>
        </w:tc>
        <w:tc>
          <w:tcPr>
            <w:tcW w:w="1400" w:type="dxa"/>
            <w:vAlign w:val="bottom"/>
            <w:tcBorders>
              <w:bottom w:val="single" w:sz="8" w:color="582C83"/>
            </w:tcBorders>
          </w:tcPr>
          <w:p>
            <w:pPr>
              <w:jc w:val="center"/>
              <w:spacing w:after="0"/>
              <w:rPr>
                <w:sz w:val="20"/>
                <w:szCs w:val="20"/>
                <w:color w:val="auto"/>
              </w:rPr>
            </w:pPr>
            <w:r>
              <w:rPr>
                <w:rFonts w:ascii="Arial" w:cs="Arial" w:eastAsia="Arial" w:hAnsi="Arial"/>
                <w:sz w:val="16"/>
                <w:szCs w:val="16"/>
                <w:b w:val="1"/>
                <w:bCs w:val="1"/>
                <w:color w:val="auto"/>
              </w:rPr>
              <w:t>Committee</w:t>
            </w:r>
          </w:p>
        </w:tc>
        <w:tc>
          <w:tcPr>
            <w:tcW w:w="1440" w:type="dxa"/>
            <w:vAlign w:val="bottom"/>
            <w:tcBorders>
              <w:bottom w:val="single" w:sz="8" w:color="582C83"/>
            </w:tcBorders>
          </w:tcPr>
          <w:p>
            <w:pPr>
              <w:jc w:val="center"/>
              <w:spacing w:after="0"/>
              <w:rPr>
                <w:sz w:val="20"/>
                <w:szCs w:val="20"/>
                <w:color w:val="auto"/>
              </w:rPr>
            </w:pPr>
            <w:r>
              <w:rPr>
                <w:rFonts w:ascii="Arial" w:cs="Arial" w:eastAsia="Arial" w:hAnsi="Arial"/>
                <w:sz w:val="16"/>
                <w:szCs w:val="16"/>
                <w:b w:val="1"/>
                <w:bCs w:val="1"/>
                <w:color w:val="auto"/>
              </w:rPr>
              <w:t>Committee</w:t>
            </w:r>
          </w:p>
        </w:tc>
        <w:tc>
          <w:tcPr>
            <w:tcW w:w="1380" w:type="dxa"/>
            <w:vAlign w:val="bottom"/>
            <w:tcBorders>
              <w:bottom w:val="single" w:sz="8" w:color="582C83"/>
            </w:tcBorders>
          </w:tcPr>
          <w:p>
            <w:pPr>
              <w:jc w:val="center"/>
              <w:ind w:right="19"/>
              <w:spacing w:after="0"/>
              <w:rPr>
                <w:sz w:val="20"/>
                <w:szCs w:val="20"/>
                <w:color w:val="auto"/>
              </w:rPr>
            </w:pPr>
            <w:r>
              <w:rPr>
                <w:rFonts w:ascii="Arial" w:cs="Arial" w:eastAsia="Arial" w:hAnsi="Arial"/>
                <w:sz w:val="16"/>
                <w:szCs w:val="16"/>
                <w:b w:val="1"/>
                <w:bCs w:val="1"/>
                <w:color w:val="auto"/>
              </w:rPr>
              <w:t>Committee</w:t>
            </w:r>
          </w:p>
        </w:tc>
      </w:tr>
      <w:tr>
        <w:trPr>
          <w:trHeight w:val="291"/>
        </w:trPr>
        <w:tc>
          <w:tcPr>
            <w:tcW w:w="4340" w:type="dxa"/>
            <w:vAlign w:val="bottom"/>
            <w:tcBorders>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Lewis W.K. Booth</w:t>
            </w:r>
          </w:p>
        </w:tc>
        <w:tc>
          <w:tcPr>
            <w:tcW w:w="1380" w:type="dxa"/>
            <w:vAlign w:val="bottom"/>
            <w:tcBorders>
              <w:bottom w:val="single" w:sz="8" w:color="EBE6F0"/>
              <w:right w:val="single" w:sz="8" w:color="EBE6F0"/>
            </w:tcBorders>
            <w:shd w:val="clear" w:color="auto" w:fill="EBE6F0"/>
          </w:tcPr>
          <w:p>
            <w:pPr>
              <w:spacing w:after="0"/>
              <w:rPr>
                <w:sz w:val="24"/>
                <w:szCs w:val="24"/>
                <w:color w:val="auto"/>
              </w:rPr>
            </w:pPr>
          </w:p>
        </w:tc>
        <w:tc>
          <w:tcPr>
            <w:tcW w:w="1400" w:type="dxa"/>
            <w:vAlign w:val="bottom"/>
            <w:tcBorders>
              <w:bottom w:val="single" w:sz="8" w:color="EBE6F0"/>
              <w:right w:val="single" w:sz="8" w:color="EBE6F0"/>
            </w:tcBorders>
            <w:shd w:val="clear" w:color="auto" w:fill="EBE6F0"/>
          </w:tcPr>
          <w:p>
            <w:pPr>
              <w:spacing w:after="0"/>
              <w:rPr>
                <w:sz w:val="24"/>
                <w:szCs w:val="24"/>
                <w:color w:val="auto"/>
              </w:rPr>
            </w:pPr>
          </w:p>
        </w:tc>
        <w:tc>
          <w:tcPr>
            <w:tcW w:w="1440" w:type="dxa"/>
            <w:vAlign w:val="bottom"/>
            <w:tcBorders>
              <w:bottom w:val="single" w:sz="8" w:color="EBE6F0"/>
              <w:right w:val="single" w:sz="8" w:color="EBE6F0"/>
            </w:tcBorders>
            <w:shd w:val="clear" w:color="auto" w:fill="EBE6F0"/>
          </w:tcPr>
          <w:p>
            <w:pPr>
              <w:spacing w:after="0"/>
              <w:rPr>
                <w:sz w:val="24"/>
                <w:szCs w:val="24"/>
                <w:color w:val="auto"/>
              </w:rPr>
            </w:pPr>
          </w:p>
        </w:tc>
        <w:tc>
          <w:tcPr>
            <w:tcW w:w="1380" w:type="dxa"/>
            <w:vAlign w:val="bottom"/>
            <w:tcBorders>
              <w:bottom w:val="single" w:sz="8" w:color="EBE6F0"/>
            </w:tcBorders>
            <w:shd w:val="clear" w:color="auto" w:fill="EBE6F0"/>
          </w:tcPr>
          <w:p>
            <w:pPr>
              <w:spacing w:after="0"/>
              <w:rPr>
                <w:sz w:val="24"/>
                <w:szCs w:val="24"/>
                <w:color w:val="auto"/>
              </w:rPr>
            </w:pPr>
          </w:p>
        </w:tc>
      </w:tr>
      <w:tr>
        <w:trPr>
          <w:trHeight w:val="243"/>
        </w:trPr>
        <w:tc>
          <w:tcPr>
            <w:tcW w:w="434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Charles E. Bunch</w:t>
            </w:r>
          </w:p>
        </w:tc>
        <w:tc>
          <w:tcPr>
            <w:tcW w:w="1380" w:type="dxa"/>
            <w:vAlign w:val="bottom"/>
            <w:tcBorders>
              <w:top w:val="single" w:sz="8" w:color="582C83"/>
            </w:tcBorders>
          </w:tcPr>
          <w:p>
            <w:pPr>
              <w:spacing w:after="0"/>
              <w:rPr>
                <w:sz w:val="21"/>
                <w:szCs w:val="21"/>
                <w:color w:val="auto"/>
              </w:rPr>
            </w:pPr>
          </w:p>
        </w:tc>
        <w:tc>
          <w:tcPr>
            <w:tcW w:w="1400" w:type="dxa"/>
            <w:vAlign w:val="bottom"/>
            <w:tcBorders>
              <w:top w:val="single" w:sz="8" w:color="582C83"/>
            </w:tcBorders>
          </w:tcPr>
          <w:p>
            <w:pPr>
              <w:spacing w:after="0"/>
              <w:rPr>
                <w:sz w:val="21"/>
                <w:szCs w:val="21"/>
                <w:color w:val="auto"/>
              </w:rPr>
            </w:pPr>
          </w:p>
        </w:tc>
        <w:tc>
          <w:tcPr>
            <w:tcW w:w="1440" w:type="dxa"/>
            <w:vAlign w:val="bottom"/>
            <w:tcBorders>
              <w:top w:val="single" w:sz="8" w:color="582C83"/>
            </w:tcBorders>
          </w:tcPr>
          <w:p>
            <w:pPr>
              <w:spacing w:after="0"/>
              <w:rPr>
                <w:sz w:val="21"/>
                <w:szCs w:val="21"/>
                <w:color w:val="auto"/>
              </w:rPr>
            </w:pPr>
          </w:p>
        </w:tc>
        <w:tc>
          <w:tcPr>
            <w:tcW w:w="1380" w:type="dxa"/>
            <w:vAlign w:val="bottom"/>
            <w:tcBorders>
              <w:top w:val="single" w:sz="8" w:color="582C83"/>
            </w:tcBorders>
          </w:tcPr>
          <w:p>
            <w:pPr>
              <w:spacing w:after="0"/>
              <w:rPr>
                <w:sz w:val="21"/>
                <w:szCs w:val="21"/>
                <w:color w:val="auto"/>
              </w:rPr>
            </w:pPr>
          </w:p>
        </w:tc>
      </w:tr>
      <w:tr>
        <w:trPr>
          <w:trHeight w:val="35"/>
        </w:trPr>
        <w:tc>
          <w:tcPr>
            <w:tcW w:w="4340" w:type="dxa"/>
            <w:vAlign w:val="bottom"/>
            <w:tcBorders>
              <w:bottom w:val="single" w:sz="8" w:color="582C83"/>
            </w:tcBorders>
          </w:tcPr>
          <w:p>
            <w:pPr>
              <w:spacing w:after="0"/>
              <w:rPr>
                <w:sz w:val="3"/>
                <w:szCs w:val="3"/>
                <w:color w:val="auto"/>
              </w:rPr>
            </w:pPr>
          </w:p>
        </w:tc>
        <w:tc>
          <w:tcPr>
            <w:tcW w:w="138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1440" w:type="dxa"/>
            <w:vAlign w:val="bottom"/>
            <w:tcBorders>
              <w:bottom w:val="single" w:sz="8" w:color="582C83"/>
            </w:tcBorders>
          </w:tcPr>
          <w:p>
            <w:pPr>
              <w:spacing w:after="0"/>
              <w:rPr>
                <w:sz w:val="3"/>
                <w:szCs w:val="3"/>
                <w:color w:val="auto"/>
              </w:rPr>
            </w:pPr>
          </w:p>
        </w:tc>
        <w:tc>
          <w:tcPr>
            <w:tcW w:w="1380" w:type="dxa"/>
            <w:vAlign w:val="bottom"/>
            <w:tcBorders>
              <w:bottom w:val="single" w:sz="8" w:color="582C83"/>
            </w:tcBorders>
          </w:tcPr>
          <w:p>
            <w:pPr>
              <w:spacing w:after="0"/>
              <w:rPr>
                <w:sz w:val="3"/>
                <w:szCs w:val="3"/>
                <w:color w:val="auto"/>
              </w:rPr>
            </w:pPr>
          </w:p>
        </w:tc>
      </w:tr>
      <w:tr>
        <w:trPr>
          <w:trHeight w:val="283"/>
        </w:trPr>
        <w:tc>
          <w:tcPr>
            <w:tcW w:w="4340" w:type="dxa"/>
            <w:vAlign w:val="bottom"/>
            <w:tcBorders>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Ertharin Cousin</w:t>
            </w:r>
          </w:p>
        </w:tc>
        <w:tc>
          <w:tcPr>
            <w:tcW w:w="1380" w:type="dxa"/>
            <w:vAlign w:val="bottom"/>
            <w:tcBorders>
              <w:bottom w:val="single" w:sz="8" w:color="EBE6F0"/>
              <w:right w:val="single" w:sz="8" w:color="EBE6F0"/>
            </w:tcBorders>
            <w:shd w:val="clear" w:color="auto" w:fill="EBE6F0"/>
          </w:tcPr>
          <w:p>
            <w:pPr>
              <w:spacing w:after="0"/>
              <w:rPr>
                <w:sz w:val="24"/>
                <w:szCs w:val="24"/>
                <w:color w:val="auto"/>
              </w:rPr>
            </w:pPr>
          </w:p>
        </w:tc>
        <w:tc>
          <w:tcPr>
            <w:tcW w:w="1400" w:type="dxa"/>
            <w:vAlign w:val="bottom"/>
            <w:tcBorders>
              <w:bottom w:val="single" w:sz="8" w:color="EBE6F0"/>
              <w:right w:val="single" w:sz="8" w:color="EBE6F0"/>
            </w:tcBorders>
            <w:shd w:val="clear" w:color="auto" w:fill="EBE6F0"/>
          </w:tcPr>
          <w:p>
            <w:pPr>
              <w:spacing w:after="0"/>
              <w:rPr>
                <w:sz w:val="24"/>
                <w:szCs w:val="24"/>
                <w:color w:val="auto"/>
              </w:rPr>
            </w:pPr>
          </w:p>
        </w:tc>
        <w:tc>
          <w:tcPr>
            <w:tcW w:w="1440" w:type="dxa"/>
            <w:vAlign w:val="bottom"/>
            <w:tcBorders>
              <w:bottom w:val="single" w:sz="8" w:color="EBE6F0"/>
              <w:right w:val="single" w:sz="8" w:color="EBE6F0"/>
            </w:tcBorders>
            <w:shd w:val="clear" w:color="auto" w:fill="EBE6F0"/>
          </w:tcPr>
          <w:p>
            <w:pPr>
              <w:spacing w:after="0"/>
              <w:rPr>
                <w:sz w:val="24"/>
                <w:szCs w:val="24"/>
                <w:color w:val="auto"/>
              </w:rPr>
            </w:pPr>
          </w:p>
        </w:tc>
        <w:tc>
          <w:tcPr>
            <w:tcW w:w="1380" w:type="dxa"/>
            <w:vAlign w:val="bottom"/>
            <w:tcBorders>
              <w:bottom w:val="single" w:sz="8" w:color="EBE6F0"/>
            </w:tcBorders>
            <w:shd w:val="clear" w:color="auto" w:fill="EBE6F0"/>
          </w:tcPr>
          <w:p>
            <w:pPr>
              <w:spacing w:after="0"/>
              <w:rPr>
                <w:sz w:val="24"/>
                <w:szCs w:val="24"/>
                <w:color w:val="auto"/>
              </w:rPr>
            </w:pPr>
          </w:p>
        </w:tc>
      </w:tr>
      <w:tr>
        <w:trPr>
          <w:trHeight w:val="243"/>
        </w:trPr>
        <w:tc>
          <w:tcPr>
            <w:tcW w:w="434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Lois D. Juliber*</w:t>
            </w:r>
          </w:p>
        </w:tc>
        <w:tc>
          <w:tcPr>
            <w:tcW w:w="1380" w:type="dxa"/>
            <w:vAlign w:val="bottom"/>
            <w:tcBorders>
              <w:top w:val="single" w:sz="8" w:color="582C83"/>
            </w:tcBorders>
          </w:tcPr>
          <w:p>
            <w:pPr>
              <w:spacing w:after="0"/>
              <w:rPr>
                <w:sz w:val="21"/>
                <w:szCs w:val="21"/>
                <w:color w:val="auto"/>
              </w:rPr>
            </w:pPr>
          </w:p>
        </w:tc>
        <w:tc>
          <w:tcPr>
            <w:tcW w:w="1400" w:type="dxa"/>
            <w:vAlign w:val="bottom"/>
            <w:tcBorders>
              <w:top w:val="single" w:sz="8" w:color="582C83"/>
            </w:tcBorders>
          </w:tcPr>
          <w:p>
            <w:pPr>
              <w:spacing w:after="0"/>
              <w:rPr>
                <w:sz w:val="21"/>
                <w:szCs w:val="21"/>
                <w:color w:val="auto"/>
              </w:rPr>
            </w:pPr>
          </w:p>
        </w:tc>
        <w:tc>
          <w:tcPr>
            <w:tcW w:w="1440" w:type="dxa"/>
            <w:vAlign w:val="bottom"/>
            <w:tcBorders>
              <w:top w:val="single" w:sz="8" w:color="582C83"/>
            </w:tcBorders>
          </w:tcPr>
          <w:p>
            <w:pPr>
              <w:spacing w:after="0"/>
              <w:rPr>
                <w:sz w:val="21"/>
                <w:szCs w:val="21"/>
                <w:color w:val="auto"/>
              </w:rPr>
            </w:pPr>
          </w:p>
        </w:tc>
        <w:tc>
          <w:tcPr>
            <w:tcW w:w="1380" w:type="dxa"/>
            <w:vAlign w:val="bottom"/>
            <w:tcBorders>
              <w:top w:val="single" w:sz="8" w:color="582C83"/>
            </w:tcBorders>
          </w:tcPr>
          <w:p>
            <w:pPr>
              <w:spacing w:after="0"/>
              <w:rPr>
                <w:sz w:val="21"/>
                <w:szCs w:val="21"/>
                <w:color w:val="auto"/>
              </w:rPr>
            </w:pPr>
          </w:p>
        </w:tc>
      </w:tr>
      <w:tr>
        <w:trPr>
          <w:trHeight w:val="35"/>
        </w:trPr>
        <w:tc>
          <w:tcPr>
            <w:tcW w:w="4340" w:type="dxa"/>
            <w:vAlign w:val="bottom"/>
            <w:tcBorders>
              <w:bottom w:val="single" w:sz="8" w:color="582C83"/>
            </w:tcBorders>
          </w:tcPr>
          <w:p>
            <w:pPr>
              <w:spacing w:after="0"/>
              <w:rPr>
                <w:sz w:val="3"/>
                <w:szCs w:val="3"/>
                <w:color w:val="auto"/>
              </w:rPr>
            </w:pPr>
          </w:p>
        </w:tc>
        <w:tc>
          <w:tcPr>
            <w:tcW w:w="138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1440" w:type="dxa"/>
            <w:vAlign w:val="bottom"/>
            <w:tcBorders>
              <w:bottom w:val="single" w:sz="8" w:color="582C83"/>
            </w:tcBorders>
          </w:tcPr>
          <w:p>
            <w:pPr>
              <w:spacing w:after="0"/>
              <w:rPr>
                <w:sz w:val="3"/>
                <w:szCs w:val="3"/>
                <w:color w:val="auto"/>
              </w:rPr>
            </w:pPr>
          </w:p>
        </w:tc>
        <w:tc>
          <w:tcPr>
            <w:tcW w:w="1380" w:type="dxa"/>
            <w:vAlign w:val="bottom"/>
            <w:tcBorders>
              <w:bottom w:val="single" w:sz="8" w:color="582C83"/>
            </w:tcBorders>
          </w:tcPr>
          <w:p>
            <w:pPr>
              <w:spacing w:after="0"/>
              <w:rPr>
                <w:sz w:val="3"/>
                <w:szCs w:val="3"/>
                <w:color w:val="auto"/>
              </w:rPr>
            </w:pPr>
          </w:p>
        </w:tc>
      </w:tr>
      <w:tr>
        <w:trPr>
          <w:trHeight w:val="283"/>
        </w:trPr>
        <w:tc>
          <w:tcPr>
            <w:tcW w:w="4340" w:type="dxa"/>
            <w:vAlign w:val="bottom"/>
            <w:tcBorders>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Jorge S. Mesquita</w:t>
            </w:r>
          </w:p>
        </w:tc>
        <w:tc>
          <w:tcPr>
            <w:tcW w:w="1380" w:type="dxa"/>
            <w:vAlign w:val="bottom"/>
            <w:tcBorders>
              <w:bottom w:val="single" w:sz="8" w:color="EBE6F0"/>
              <w:right w:val="single" w:sz="8" w:color="EBE6F0"/>
            </w:tcBorders>
            <w:shd w:val="clear" w:color="auto" w:fill="EBE6F0"/>
          </w:tcPr>
          <w:p>
            <w:pPr>
              <w:spacing w:after="0"/>
              <w:rPr>
                <w:sz w:val="24"/>
                <w:szCs w:val="24"/>
                <w:color w:val="auto"/>
              </w:rPr>
            </w:pPr>
          </w:p>
        </w:tc>
        <w:tc>
          <w:tcPr>
            <w:tcW w:w="1400" w:type="dxa"/>
            <w:vAlign w:val="bottom"/>
            <w:tcBorders>
              <w:bottom w:val="single" w:sz="8" w:color="EBE6F0"/>
              <w:right w:val="single" w:sz="8" w:color="EBE6F0"/>
            </w:tcBorders>
            <w:shd w:val="clear" w:color="auto" w:fill="EBE6F0"/>
          </w:tcPr>
          <w:p>
            <w:pPr>
              <w:spacing w:after="0"/>
              <w:rPr>
                <w:sz w:val="24"/>
                <w:szCs w:val="24"/>
                <w:color w:val="auto"/>
              </w:rPr>
            </w:pPr>
          </w:p>
        </w:tc>
        <w:tc>
          <w:tcPr>
            <w:tcW w:w="1440" w:type="dxa"/>
            <w:vAlign w:val="bottom"/>
            <w:tcBorders>
              <w:bottom w:val="single" w:sz="8" w:color="EBE6F0"/>
              <w:right w:val="single" w:sz="8" w:color="EBE6F0"/>
            </w:tcBorders>
            <w:shd w:val="clear" w:color="auto" w:fill="EBE6F0"/>
          </w:tcPr>
          <w:p>
            <w:pPr>
              <w:spacing w:after="0"/>
              <w:rPr>
                <w:sz w:val="24"/>
                <w:szCs w:val="24"/>
                <w:color w:val="auto"/>
              </w:rPr>
            </w:pPr>
          </w:p>
        </w:tc>
        <w:tc>
          <w:tcPr>
            <w:tcW w:w="1380" w:type="dxa"/>
            <w:vAlign w:val="bottom"/>
            <w:tcBorders>
              <w:bottom w:val="single" w:sz="8" w:color="EBE6F0"/>
            </w:tcBorders>
            <w:shd w:val="clear" w:color="auto" w:fill="EBE6F0"/>
          </w:tcPr>
          <w:p>
            <w:pPr>
              <w:spacing w:after="0"/>
              <w:rPr>
                <w:sz w:val="24"/>
                <w:szCs w:val="24"/>
                <w:color w:val="auto"/>
              </w:rPr>
            </w:pPr>
          </w:p>
        </w:tc>
      </w:tr>
      <w:tr>
        <w:trPr>
          <w:trHeight w:val="243"/>
        </w:trPr>
        <w:tc>
          <w:tcPr>
            <w:tcW w:w="434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Anindita Mukherjee</w:t>
            </w:r>
          </w:p>
        </w:tc>
        <w:tc>
          <w:tcPr>
            <w:tcW w:w="1380" w:type="dxa"/>
            <w:vAlign w:val="bottom"/>
            <w:tcBorders>
              <w:top w:val="single" w:sz="8" w:color="582C83"/>
            </w:tcBorders>
          </w:tcPr>
          <w:p>
            <w:pPr>
              <w:spacing w:after="0"/>
              <w:rPr>
                <w:sz w:val="21"/>
                <w:szCs w:val="21"/>
                <w:color w:val="auto"/>
              </w:rPr>
            </w:pPr>
          </w:p>
        </w:tc>
        <w:tc>
          <w:tcPr>
            <w:tcW w:w="1400" w:type="dxa"/>
            <w:vAlign w:val="bottom"/>
            <w:tcBorders>
              <w:top w:val="single" w:sz="8" w:color="582C83"/>
            </w:tcBorders>
          </w:tcPr>
          <w:p>
            <w:pPr>
              <w:spacing w:after="0"/>
              <w:rPr>
                <w:sz w:val="21"/>
                <w:szCs w:val="21"/>
                <w:color w:val="auto"/>
              </w:rPr>
            </w:pPr>
          </w:p>
        </w:tc>
        <w:tc>
          <w:tcPr>
            <w:tcW w:w="1440" w:type="dxa"/>
            <w:vAlign w:val="bottom"/>
            <w:tcBorders>
              <w:top w:val="single" w:sz="8" w:color="582C83"/>
            </w:tcBorders>
          </w:tcPr>
          <w:p>
            <w:pPr>
              <w:spacing w:after="0"/>
              <w:rPr>
                <w:sz w:val="21"/>
                <w:szCs w:val="21"/>
                <w:color w:val="auto"/>
              </w:rPr>
            </w:pPr>
          </w:p>
        </w:tc>
        <w:tc>
          <w:tcPr>
            <w:tcW w:w="1380" w:type="dxa"/>
            <w:vAlign w:val="bottom"/>
            <w:tcBorders>
              <w:top w:val="single" w:sz="8" w:color="582C83"/>
            </w:tcBorders>
          </w:tcPr>
          <w:p>
            <w:pPr>
              <w:spacing w:after="0"/>
              <w:rPr>
                <w:sz w:val="21"/>
                <w:szCs w:val="21"/>
                <w:color w:val="auto"/>
              </w:rPr>
            </w:pPr>
          </w:p>
        </w:tc>
      </w:tr>
      <w:tr>
        <w:trPr>
          <w:trHeight w:val="35"/>
        </w:trPr>
        <w:tc>
          <w:tcPr>
            <w:tcW w:w="4340" w:type="dxa"/>
            <w:vAlign w:val="bottom"/>
            <w:tcBorders>
              <w:bottom w:val="single" w:sz="8" w:color="582C83"/>
            </w:tcBorders>
          </w:tcPr>
          <w:p>
            <w:pPr>
              <w:spacing w:after="0"/>
              <w:rPr>
                <w:sz w:val="3"/>
                <w:szCs w:val="3"/>
                <w:color w:val="auto"/>
              </w:rPr>
            </w:pPr>
          </w:p>
        </w:tc>
        <w:tc>
          <w:tcPr>
            <w:tcW w:w="138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1440" w:type="dxa"/>
            <w:vAlign w:val="bottom"/>
            <w:tcBorders>
              <w:bottom w:val="single" w:sz="8" w:color="582C83"/>
            </w:tcBorders>
          </w:tcPr>
          <w:p>
            <w:pPr>
              <w:spacing w:after="0"/>
              <w:rPr>
                <w:sz w:val="3"/>
                <w:szCs w:val="3"/>
                <w:color w:val="auto"/>
              </w:rPr>
            </w:pPr>
          </w:p>
        </w:tc>
        <w:tc>
          <w:tcPr>
            <w:tcW w:w="1380" w:type="dxa"/>
            <w:vAlign w:val="bottom"/>
            <w:tcBorders>
              <w:bottom w:val="single" w:sz="8" w:color="582C83"/>
            </w:tcBorders>
          </w:tcPr>
          <w:p>
            <w:pPr>
              <w:spacing w:after="0"/>
              <w:rPr>
                <w:sz w:val="3"/>
                <w:szCs w:val="3"/>
                <w:color w:val="auto"/>
              </w:rPr>
            </w:pPr>
          </w:p>
        </w:tc>
      </w:tr>
      <w:tr>
        <w:trPr>
          <w:trHeight w:val="283"/>
        </w:trPr>
        <w:tc>
          <w:tcPr>
            <w:tcW w:w="4340" w:type="dxa"/>
            <w:vAlign w:val="bottom"/>
            <w:tcBorders>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Jane Hamilton Nielsen**</w:t>
            </w:r>
          </w:p>
        </w:tc>
        <w:tc>
          <w:tcPr>
            <w:tcW w:w="1380" w:type="dxa"/>
            <w:vAlign w:val="bottom"/>
            <w:tcBorders>
              <w:bottom w:val="single" w:sz="8" w:color="EBE6F0"/>
              <w:right w:val="single" w:sz="8" w:color="EBE6F0"/>
            </w:tcBorders>
            <w:shd w:val="clear" w:color="auto" w:fill="EBE6F0"/>
          </w:tcPr>
          <w:p>
            <w:pPr>
              <w:spacing w:after="0"/>
              <w:rPr>
                <w:sz w:val="24"/>
                <w:szCs w:val="24"/>
                <w:color w:val="auto"/>
              </w:rPr>
            </w:pPr>
          </w:p>
        </w:tc>
        <w:tc>
          <w:tcPr>
            <w:tcW w:w="1400" w:type="dxa"/>
            <w:vAlign w:val="bottom"/>
            <w:tcBorders>
              <w:bottom w:val="single" w:sz="8" w:color="EBE6F0"/>
              <w:right w:val="single" w:sz="8" w:color="EBE6F0"/>
            </w:tcBorders>
            <w:shd w:val="clear" w:color="auto" w:fill="EBE6F0"/>
          </w:tcPr>
          <w:p>
            <w:pPr>
              <w:spacing w:after="0"/>
              <w:rPr>
                <w:sz w:val="24"/>
                <w:szCs w:val="24"/>
                <w:color w:val="auto"/>
              </w:rPr>
            </w:pPr>
          </w:p>
        </w:tc>
        <w:tc>
          <w:tcPr>
            <w:tcW w:w="1440" w:type="dxa"/>
            <w:vAlign w:val="bottom"/>
            <w:tcBorders>
              <w:bottom w:val="single" w:sz="8" w:color="EBE6F0"/>
              <w:right w:val="single" w:sz="8" w:color="EBE6F0"/>
            </w:tcBorders>
            <w:shd w:val="clear" w:color="auto" w:fill="EBE6F0"/>
          </w:tcPr>
          <w:p>
            <w:pPr>
              <w:spacing w:after="0"/>
              <w:rPr>
                <w:sz w:val="24"/>
                <w:szCs w:val="24"/>
                <w:color w:val="auto"/>
              </w:rPr>
            </w:pPr>
          </w:p>
        </w:tc>
        <w:tc>
          <w:tcPr>
            <w:tcW w:w="1380" w:type="dxa"/>
            <w:vAlign w:val="bottom"/>
            <w:tcBorders>
              <w:bottom w:val="single" w:sz="8" w:color="EBE6F0"/>
            </w:tcBorders>
            <w:shd w:val="clear" w:color="auto" w:fill="EBE6F0"/>
          </w:tcPr>
          <w:p>
            <w:pPr>
              <w:spacing w:after="0"/>
              <w:rPr>
                <w:sz w:val="24"/>
                <w:szCs w:val="24"/>
                <w:color w:val="auto"/>
              </w:rPr>
            </w:pPr>
          </w:p>
        </w:tc>
      </w:tr>
      <w:tr>
        <w:trPr>
          <w:trHeight w:val="243"/>
        </w:trPr>
        <w:tc>
          <w:tcPr>
            <w:tcW w:w="434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Christiana S. Shi*</w:t>
            </w:r>
          </w:p>
        </w:tc>
        <w:tc>
          <w:tcPr>
            <w:tcW w:w="1380" w:type="dxa"/>
            <w:vAlign w:val="bottom"/>
            <w:tcBorders>
              <w:top w:val="single" w:sz="8" w:color="582C83"/>
            </w:tcBorders>
          </w:tcPr>
          <w:p>
            <w:pPr>
              <w:spacing w:after="0"/>
              <w:rPr>
                <w:sz w:val="21"/>
                <w:szCs w:val="21"/>
                <w:color w:val="auto"/>
              </w:rPr>
            </w:pPr>
          </w:p>
        </w:tc>
        <w:tc>
          <w:tcPr>
            <w:tcW w:w="1400" w:type="dxa"/>
            <w:vAlign w:val="bottom"/>
            <w:tcBorders>
              <w:top w:val="single" w:sz="8" w:color="582C83"/>
            </w:tcBorders>
          </w:tcPr>
          <w:p>
            <w:pPr>
              <w:spacing w:after="0"/>
              <w:rPr>
                <w:sz w:val="21"/>
                <w:szCs w:val="21"/>
                <w:color w:val="auto"/>
              </w:rPr>
            </w:pPr>
          </w:p>
        </w:tc>
        <w:tc>
          <w:tcPr>
            <w:tcW w:w="1440" w:type="dxa"/>
            <w:vAlign w:val="bottom"/>
            <w:tcBorders>
              <w:top w:val="single" w:sz="8" w:color="582C83"/>
            </w:tcBorders>
          </w:tcPr>
          <w:p>
            <w:pPr>
              <w:spacing w:after="0"/>
              <w:rPr>
                <w:sz w:val="21"/>
                <w:szCs w:val="21"/>
                <w:color w:val="auto"/>
              </w:rPr>
            </w:pPr>
          </w:p>
        </w:tc>
        <w:tc>
          <w:tcPr>
            <w:tcW w:w="1380" w:type="dxa"/>
            <w:vAlign w:val="bottom"/>
            <w:tcBorders>
              <w:top w:val="single" w:sz="8" w:color="582C83"/>
            </w:tcBorders>
          </w:tcPr>
          <w:p>
            <w:pPr>
              <w:spacing w:after="0"/>
              <w:rPr>
                <w:sz w:val="21"/>
                <w:szCs w:val="21"/>
                <w:color w:val="auto"/>
              </w:rPr>
            </w:pPr>
          </w:p>
        </w:tc>
      </w:tr>
      <w:tr>
        <w:trPr>
          <w:trHeight w:val="35"/>
        </w:trPr>
        <w:tc>
          <w:tcPr>
            <w:tcW w:w="4340" w:type="dxa"/>
            <w:vAlign w:val="bottom"/>
            <w:tcBorders>
              <w:bottom w:val="single" w:sz="8" w:color="582C83"/>
            </w:tcBorders>
          </w:tcPr>
          <w:p>
            <w:pPr>
              <w:spacing w:after="0"/>
              <w:rPr>
                <w:sz w:val="3"/>
                <w:szCs w:val="3"/>
                <w:color w:val="auto"/>
              </w:rPr>
            </w:pPr>
          </w:p>
        </w:tc>
        <w:tc>
          <w:tcPr>
            <w:tcW w:w="138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1440" w:type="dxa"/>
            <w:vAlign w:val="bottom"/>
            <w:tcBorders>
              <w:bottom w:val="single" w:sz="8" w:color="582C83"/>
            </w:tcBorders>
          </w:tcPr>
          <w:p>
            <w:pPr>
              <w:spacing w:after="0"/>
              <w:rPr>
                <w:sz w:val="3"/>
                <w:szCs w:val="3"/>
                <w:color w:val="auto"/>
              </w:rPr>
            </w:pPr>
          </w:p>
        </w:tc>
        <w:tc>
          <w:tcPr>
            <w:tcW w:w="1380" w:type="dxa"/>
            <w:vAlign w:val="bottom"/>
            <w:tcBorders>
              <w:bottom w:val="single" w:sz="8" w:color="582C83"/>
            </w:tcBorders>
          </w:tcPr>
          <w:p>
            <w:pPr>
              <w:spacing w:after="0"/>
              <w:rPr>
                <w:sz w:val="3"/>
                <w:szCs w:val="3"/>
                <w:color w:val="auto"/>
              </w:rPr>
            </w:pPr>
          </w:p>
        </w:tc>
      </w:tr>
      <w:tr>
        <w:trPr>
          <w:trHeight w:val="283"/>
        </w:trPr>
        <w:tc>
          <w:tcPr>
            <w:tcW w:w="4340" w:type="dxa"/>
            <w:vAlign w:val="bottom"/>
            <w:tcBorders>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Patrick T. Siewert</w:t>
            </w:r>
          </w:p>
        </w:tc>
        <w:tc>
          <w:tcPr>
            <w:tcW w:w="1380" w:type="dxa"/>
            <w:vAlign w:val="bottom"/>
            <w:tcBorders>
              <w:bottom w:val="single" w:sz="8" w:color="EBE6F0"/>
              <w:right w:val="single" w:sz="8" w:color="EBE6F0"/>
            </w:tcBorders>
            <w:shd w:val="clear" w:color="auto" w:fill="EBE6F0"/>
          </w:tcPr>
          <w:p>
            <w:pPr>
              <w:jc w:val="right"/>
              <w:ind w:right="5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EBE6F0"/>
              <w:right w:val="single" w:sz="8" w:color="EBE6F0"/>
            </w:tcBorders>
            <w:shd w:val="clear" w:color="auto" w:fill="EBE6F0"/>
          </w:tcPr>
          <w:p>
            <w:pPr>
              <w:jc w:val="right"/>
              <w:ind w:right="5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BE6F0"/>
              <w:right w:val="single" w:sz="8" w:color="EBE6F0"/>
            </w:tcBorders>
            <w:shd w:val="clear" w:color="auto" w:fill="EBE6F0"/>
          </w:tcPr>
          <w:p>
            <w:pPr>
              <w:jc w:val="center"/>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BE6F0"/>
            </w:tcBorders>
            <w:shd w:val="clear" w:color="auto" w:fill="EBE6F0"/>
          </w:tcPr>
          <w:p>
            <w:pPr>
              <w:jc w:val="right"/>
              <w:ind w:right="579"/>
              <w:spacing w:after="0"/>
              <w:rPr>
                <w:sz w:val="20"/>
                <w:szCs w:val="20"/>
                <w:color w:val="auto"/>
              </w:rPr>
            </w:pPr>
            <w:r>
              <w:rPr>
                <w:rFonts w:ascii="Arial" w:cs="Arial" w:eastAsia="Arial" w:hAnsi="Arial"/>
                <w:sz w:val="16"/>
                <w:szCs w:val="16"/>
                <w:color w:val="auto"/>
              </w:rPr>
              <w:t>+</w:t>
            </w:r>
          </w:p>
        </w:tc>
      </w:tr>
      <w:tr>
        <w:trPr>
          <w:trHeight w:val="243"/>
        </w:trPr>
        <w:tc>
          <w:tcPr>
            <w:tcW w:w="434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Michael A. Todman***</w:t>
            </w:r>
          </w:p>
        </w:tc>
        <w:tc>
          <w:tcPr>
            <w:tcW w:w="1380" w:type="dxa"/>
            <w:vAlign w:val="bottom"/>
            <w:tcBorders>
              <w:top w:val="single" w:sz="8" w:color="582C83"/>
            </w:tcBorders>
          </w:tcPr>
          <w:p>
            <w:pPr>
              <w:spacing w:after="0"/>
              <w:rPr>
                <w:sz w:val="21"/>
                <w:szCs w:val="21"/>
                <w:color w:val="auto"/>
              </w:rPr>
            </w:pPr>
          </w:p>
        </w:tc>
        <w:tc>
          <w:tcPr>
            <w:tcW w:w="1400" w:type="dxa"/>
            <w:vAlign w:val="bottom"/>
            <w:tcBorders>
              <w:top w:val="single" w:sz="8" w:color="582C83"/>
            </w:tcBorders>
          </w:tcPr>
          <w:p>
            <w:pPr>
              <w:spacing w:after="0"/>
              <w:rPr>
                <w:sz w:val="21"/>
                <w:szCs w:val="21"/>
                <w:color w:val="auto"/>
              </w:rPr>
            </w:pPr>
          </w:p>
        </w:tc>
        <w:tc>
          <w:tcPr>
            <w:tcW w:w="1440" w:type="dxa"/>
            <w:vAlign w:val="bottom"/>
            <w:tcBorders>
              <w:top w:val="single" w:sz="8" w:color="582C83"/>
            </w:tcBorders>
          </w:tcPr>
          <w:p>
            <w:pPr>
              <w:spacing w:after="0"/>
              <w:rPr>
                <w:sz w:val="21"/>
                <w:szCs w:val="21"/>
                <w:color w:val="auto"/>
              </w:rPr>
            </w:pPr>
          </w:p>
        </w:tc>
        <w:tc>
          <w:tcPr>
            <w:tcW w:w="1380" w:type="dxa"/>
            <w:vAlign w:val="bottom"/>
            <w:tcBorders>
              <w:top w:val="single" w:sz="8" w:color="582C83"/>
            </w:tcBorders>
          </w:tcPr>
          <w:p>
            <w:pPr>
              <w:spacing w:after="0"/>
              <w:rPr>
                <w:sz w:val="21"/>
                <w:szCs w:val="21"/>
                <w:color w:val="auto"/>
              </w:rPr>
            </w:pPr>
          </w:p>
        </w:tc>
      </w:tr>
      <w:tr>
        <w:trPr>
          <w:trHeight w:val="35"/>
        </w:trPr>
        <w:tc>
          <w:tcPr>
            <w:tcW w:w="4340" w:type="dxa"/>
            <w:vAlign w:val="bottom"/>
            <w:tcBorders>
              <w:bottom w:val="single" w:sz="8" w:color="582C83"/>
            </w:tcBorders>
          </w:tcPr>
          <w:p>
            <w:pPr>
              <w:spacing w:after="0"/>
              <w:rPr>
                <w:sz w:val="3"/>
                <w:szCs w:val="3"/>
                <w:color w:val="auto"/>
              </w:rPr>
            </w:pPr>
          </w:p>
        </w:tc>
        <w:tc>
          <w:tcPr>
            <w:tcW w:w="138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1440" w:type="dxa"/>
            <w:vAlign w:val="bottom"/>
            <w:tcBorders>
              <w:bottom w:val="single" w:sz="8" w:color="582C83"/>
            </w:tcBorders>
          </w:tcPr>
          <w:p>
            <w:pPr>
              <w:spacing w:after="0"/>
              <w:rPr>
                <w:sz w:val="3"/>
                <w:szCs w:val="3"/>
                <w:color w:val="auto"/>
              </w:rPr>
            </w:pPr>
          </w:p>
        </w:tc>
        <w:tc>
          <w:tcPr>
            <w:tcW w:w="1380" w:type="dxa"/>
            <w:vAlign w:val="bottom"/>
            <w:tcBorders>
              <w:bottom w:val="single" w:sz="8" w:color="582C83"/>
            </w:tcBorders>
          </w:tcPr>
          <w:p>
            <w:pPr>
              <w:spacing w:after="0"/>
              <w:rPr>
                <w:sz w:val="3"/>
                <w:szCs w:val="3"/>
                <w:color w:val="auto"/>
              </w:rPr>
            </w:pPr>
          </w:p>
        </w:tc>
      </w:tr>
      <w:tr>
        <w:trPr>
          <w:trHeight w:val="258"/>
        </w:trPr>
        <w:tc>
          <w:tcPr>
            <w:tcW w:w="4340" w:type="dxa"/>
            <w:vAlign w:val="bottom"/>
            <w:tcBorders>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582C83"/>
              </w:rPr>
              <w:t>Total Number of Committee Meetings During 2022</w:t>
            </w:r>
          </w:p>
        </w:tc>
        <w:tc>
          <w:tcPr>
            <w:tcW w:w="1380" w:type="dxa"/>
            <w:vAlign w:val="bottom"/>
            <w:tcBorders>
              <w:bottom w:val="single" w:sz="8" w:color="EBE6F0"/>
              <w:right w:val="single" w:sz="8" w:color="EBE6F0"/>
            </w:tcBorders>
            <w:shd w:val="clear" w:color="auto" w:fill="EBE6F0"/>
          </w:tcPr>
          <w:p>
            <w:pPr>
              <w:jc w:val="right"/>
              <w:ind w:right="539"/>
              <w:spacing w:after="0"/>
              <w:rPr>
                <w:sz w:val="20"/>
                <w:szCs w:val="20"/>
                <w:color w:val="auto"/>
              </w:rPr>
            </w:pPr>
            <w:r>
              <w:rPr>
                <w:rFonts w:ascii="Arial" w:cs="Arial" w:eastAsia="Arial" w:hAnsi="Arial"/>
                <w:sz w:val="16"/>
                <w:szCs w:val="16"/>
                <w:b w:val="1"/>
                <w:bCs w:val="1"/>
                <w:color w:val="582C83"/>
              </w:rPr>
              <w:t>10</w:t>
            </w:r>
          </w:p>
        </w:tc>
        <w:tc>
          <w:tcPr>
            <w:tcW w:w="1400" w:type="dxa"/>
            <w:vAlign w:val="bottom"/>
            <w:tcBorders>
              <w:bottom w:val="single" w:sz="8" w:color="EBE6F0"/>
              <w:right w:val="single" w:sz="8" w:color="EBE6F0"/>
            </w:tcBorders>
            <w:shd w:val="clear" w:color="auto" w:fill="EBE6F0"/>
          </w:tcPr>
          <w:p>
            <w:pPr>
              <w:jc w:val="right"/>
              <w:ind w:right="459"/>
              <w:spacing w:after="0"/>
              <w:rPr>
                <w:sz w:val="20"/>
                <w:szCs w:val="20"/>
                <w:color w:val="auto"/>
              </w:rPr>
            </w:pPr>
            <w:r>
              <w:rPr>
                <w:rFonts w:ascii="Arial" w:cs="Arial" w:eastAsia="Arial" w:hAnsi="Arial"/>
                <w:sz w:val="16"/>
                <w:szCs w:val="16"/>
                <w:b w:val="1"/>
                <w:bCs w:val="1"/>
                <w:color w:val="582C83"/>
              </w:rPr>
              <w:t>6****</w:t>
            </w:r>
          </w:p>
        </w:tc>
        <w:tc>
          <w:tcPr>
            <w:tcW w:w="1440" w:type="dxa"/>
            <w:vAlign w:val="bottom"/>
            <w:tcBorders>
              <w:bottom w:val="single" w:sz="8" w:color="EBE6F0"/>
              <w:right w:val="single" w:sz="8" w:color="EBE6F0"/>
            </w:tcBorders>
            <w:shd w:val="clear" w:color="auto" w:fill="EBE6F0"/>
          </w:tcPr>
          <w:p>
            <w:pPr>
              <w:jc w:val="center"/>
              <w:spacing w:after="0"/>
              <w:rPr>
                <w:sz w:val="20"/>
                <w:szCs w:val="20"/>
                <w:color w:val="auto"/>
              </w:rPr>
            </w:pPr>
            <w:r>
              <w:rPr>
                <w:rFonts w:ascii="Arial" w:cs="Arial" w:eastAsia="Arial" w:hAnsi="Arial"/>
                <w:sz w:val="16"/>
                <w:szCs w:val="16"/>
                <w:b w:val="1"/>
                <w:bCs w:val="1"/>
                <w:color w:val="582C83"/>
              </w:rPr>
              <w:t>9</w:t>
            </w:r>
          </w:p>
        </w:tc>
        <w:tc>
          <w:tcPr>
            <w:tcW w:w="1380" w:type="dxa"/>
            <w:vAlign w:val="bottom"/>
            <w:tcBorders>
              <w:bottom w:val="single" w:sz="8" w:color="EBE6F0"/>
            </w:tcBorders>
            <w:shd w:val="clear" w:color="auto" w:fill="EBE6F0"/>
          </w:tcPr>
          <w:p>
            <w:pPr>
              <w:jc w:val="right"/>
              <w:ind w:right="579"/>
              <w:spacing w:after="0"/>
              <w:rPr>
                <w:sz w:val="20"/>
                <w:szCs w:val="20"/>
                <w:color w:val="auto"/>
              </w:rPr>
            </w:pPr>
            <w:r>
              <w:rPr>
                <w:rFonts w:ascii="Arial" w:cs="Arial" w:eastAsia="Arial" w:hAnsi="Arial"/>
                <w:sz w:val="16"/>
                <w:szCs w:val="16"/>
                <w:b w:val="1"/>
                <w:bCs w:val="1"/>
                <w:color w:val="582C83"/>
              </w:rPr>
              <w:t>9</w:t>
            </w:r>
          </w:p>
        </w:tc>
      </w:tr>
      <w:tr>
        <w:trPr>
          <w:trHeight w:val="20"/>
        </w:trPr>
        <w:tc>
          <w:tcPr>
            <w:tcW w:w="4340" w:type="dxa"/>
            <w:vAlign w:val="bottom"/>
            <w:tcBorders>
              <w:right w:val="single" w:sz="8" w:color="EBE6F0"/>
            </w:tcBorders>
            <w:shd w:val="clear" w:color="auto" w:fill="582C83"/>
          </w:tcPr>
          <w:p>
            <w:pPr>
              <w:spacing w:after="0" w:line="20" w:lineRule="exact"/>
              <w:rPr>
                <w:sz w:val="1"/>
                <w:szCs w:val="1"/>
                <w:color w:val="auto"/>
              </w:rPr>
            </w:pPr>
          </w:p>
        </w:tc>
        <w:tc>
          <w:tcPr>
            <w:tcW w:w="1380" w:type="dxa"/>
            <w:vAlign w:val="bottom"/>
            <w:tcBorders>
              <w:right w:val="single" w:sz="8" w:color="EBE6F0"/>
            </w:tcBorders>
            <w:shd w:val="clear" w:color="auto" w:fill="582C83"/>
          </w:tcPr>
          <w:p>
            <w:pPr>
              <w:spacing w:after="0" w:line="20" w:lineRule="exact"/>
              <w:rPr>
                <w:sz w:val="1"/>
                <w:szCs w:val="1"/>
                <w:color w:val="auto"/>
              </w:rPr>
            </w:pPr>
          </w:p>
        </w:tc>
        <w:tc>
          <w:tcPr>
            <w:tcW w:w="1400" w:type="dxa"/>
            <w:vAlign w:val="bottom"/>
            <w:tcBorders>
              <w:right w:val="single" w:sz="8" w:color="EBE6F0"/>
            </w:tcBorders>
            <w:shd w:val="clear" w:color="auto" w:fill="582C83"/>
          </w:tcPr>
          <w:p>
            <w:pPr>
              <w:spacing w:after="0" w:line="20" w:lineRule="exact"/>
              <w:rPr>
                <w:sz w:val="1"/>
                <w:szCs w:val="1"/>
                <w:color w:val="auto"/>
              </w:rPr>
            </w:pPr>
          </w:p>
        </w:tc>
        <w:tc>
          <w:tcPr>
            <w:tcW w:w="1440" w:type="dxa"/>
            <w:vAlign w:val="bottom"/>
            <w:tcBorders>
              <w:right w:val="single" w:sz="8" w:color="EBE6F0"/>
            </w:tcBorders>
            <w:shd w:val="clear" w:color="auto" w:fill="582C83"/>
          </w:tcPr>
          <w:p>
            <w:pPr>
              <w:spacing w:after="0" w:line="20" w:lineRule="exact"/>
              <w:rPr>
                <w:sz w:val="1"/>
                <w:szCs w:val="1"/>
                <w:color w:val="auto"/>
              </w:rPr>
            </w:pPr>
          </w:p>
        </w:tc>
        <w:tc>
          <w:tcPr>
            <w:tcW w:w="1380" w:type="dxa"/>
            <w:vAlign w:val="bottom"/>
            <w:shd w:val="clear" w:color="auto" w:fill="582C8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-2057400</wp:posOffset>
            </wp:positionV>
            <wp:extent cx="71120" cy="1263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120" cy="12636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-2033270</wp:posOffset>
            </wp:positionV>
            <wp:extent cx="78740" cy="869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8740" cy="86995"/>
                    </a:xfrm>
                    <a:prstGeom prst="rect">
                      <a:avLst/>
                    </a:prstGeom>
                    <a:noFill/>
                  </pic:spPr>
                </pic:pic>
              </a:graphicData>
            </a:graphic>
          </wp:anchor>
        </w:drawing>
        <w:drawing>
          <wp:anchor simplePos="0" relativeHeight="251657728" behindDoc="1" locked="0" layoutInCell="0" allowOverlap="1">
            <wp:simplePos x="0" y="0"/>
            <wp:positionH relativeFrom="column">
              <wp:posOffset>5353050</wp:posOffset>
            </wp:positionH>
            <wp:positionV relativeFrom="paragraph">
              <wp:posOffset>-1868170</wp:posOffset>
            </wp:positionV>
            <wp:extent cx="71120" cy="1263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120" cy="126365"/>
                    </a:xfrm>
                    <a:prstGeom prst="rect">
                      <a:avLst/>
                    </a:prstGeom>
                    <a:noFill/>
                  </pic:spPr>
                </pic:pic>
              </a:graphicData>
            </a:graphic>
          </wp:anchor>
        </w:drawing>
        <w:drawing>
          <wp:anchor simplePos="0" relativeHeight="251657728" behindDoc="1" locked="0" layoutInCell="0" allowOverlap="1">
            <wp:simplePos x="0" y="0"/>
            <wp:positionH relativeFrom="column">
              <wp:posOffset>6243955</wp:posOffset>
            </wp:positionH>
            <wp:positionV relativeFrom="paragraph">
              <wp:posOffset>-1844040</wp:posOffset>
            </wp:positionV>
            <wp:extent cx="78740" cy="787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8740" cy="78740"/>
                    </a:xfrm>
                    <a:prstGeom prst="rect">
                      <a:avLst/>
                    </a:prstGeom>
                    <a:noFill/>
                  </pic:spPr>
                </pic:pic>
              </a:graphicData>
            </a:graphic>
          </wp:anchor>
        </w:drawing>
        <w:drawing>
          <wp:anchor simplePos="0" relativeHeight="251657728" behindDoc="1" locked="0" layoutInCell="0" allowOverlap="1">
            <wp:simplePos x="0" y="0"/>
            <wp:positionH relativeFrom="column">
              <wp:posOffset>5353050</wp:posOffset>
            </wp:positionH>
            <wp:positionV relativeFrom="paragraph">
              <wp:posOffset>-1654810</wp:posOffset>
            </wp:positionV>
            <wp:extent cx="78740" cy="869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8740" cy="8699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-1654810</wp:posOffset>
            </wp:positionV>
            <wp:extent cx="78740" cy="869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8740" cy="8699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-1465580</wp:posOffset>
            </wp:positionV>
            <wp:extent cx="78740" cy="787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8740" cy="78740"/>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-1489710</wp:posOffset>
            </wp:positionV>
            <wp:extent cx="71120" cy="1263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120" cy="12636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-1276350</wp:posOffset>
            </wp:positionV>
            <wp:extent cx="78740" cy="869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8740" cy="8699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-1276350</wp:posOffset>
            </wp:positionV>
            <wp:extent cx="78740" cy="869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8740" cy="8699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-1087120</wp:posOffset>
            </wp:positionV>
            <wp:extent cx="78740" cy="787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8740" cy="78740"/>
                    </a:xfrm>
                    <a:prstGeom prst="rect">
                      <a:avLst/>
                    </a:prstGeom>
                    <a:noFill/>
                  </pic:spPr>
                </pic:pic>
              </a:graphicData>
            </a:graphic>
          </wp:anchor>
        </w:drawing>
        <w:drawing>
          <wp:anchor simplePos="0" relativeHeight="251657728" behindDoc="1" locked="0" layoutInCell="0" allowOverlap="1">
            <wp:simplePos x="0" y="0"/>
            <wp:positionH relativeFrom="column">
              <wp:posOffset>6243955</wp:posOffset>
            </wp:positionH>
            <wp:positionV relativeFrom="paragraph">
              <wp:posOffset>-1087120</wp:posOffset>
            </wp:positionV>
            <wp:extent cx="78740" cy="787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8740" cy="7874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-898525</wp:posOffset>
            </wp:positionV>
            <wp:extent cx="78740" cy="869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8740" cy="8699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-898525</wp:posOffset>
            </wp:positionV>
            <wp:extent cx="78740" cy="869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8740" cy="8699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-708660</wp:posOffset>
            </wp:positionV>
            <wp:extent cx="78740" cy="787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8740" cy="78740"/>
                    </a:xfrm>
                    <a:prstGeom prst="rect">
                      <a:avLst/>
                    </a:prstGeom>
                    <a:noFill/>
                  </pic:spPr>
                </pic:pic>
              </a:graphicData>
            </a:graphic>
          </wp:anchor>
        </w:drawing>
        <w:drawing>
          <wp:anchor simplePos="0" relativeHeight="251657728" behindDoc="1" locked="0" layoutInCell="0" allowOverlap="1">
            <wp:simplePos x="0" y="0"/>
            <wp:positionH relativeFrom="column">
              <wp:posOffset>6243955</wp:posOffset>
            </wp:positionH>
            <wp:positionV relativeFrom="paragraph">
              <wp:posOffset>-708660</wp:posOffset>
            </wp:positionV>
            <wp:extent cx="78740" cy="787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8740" cy="78740"/>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-330835</wp:posOffset>
            </wp:positionV>
            <wp:extent cx="78740" cy="787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8740" cy="7874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-354330</wp:posOffset>
            </wp:positionV>
            <wp:extent cx="71120" cy="1263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120" cy="126365"/>
                    </a:xfrm>
                    <a:prstGeom prst="rect">
                      <a:avLst/>
                    </a:prstGeom>
                    <a:noFill/>
                  </pic:spPr>
                </pic:pic>
              </a:graphicData>
            </a:graphic>
          </wp:anchor>
        </w:drawing>
      </w:r>
    </w:p>
    <w:p>
      <w:pPr>
        <w:spacing w:after="0" w:line="17" w:lineRule="exact"/>
        <w:rPr>
          <w:sz w:val="20"/>
          <w:szCs w:val="20"/>
          <w:color w:val="auto"/>
        </w:rPr>
      </w:pPr>
    </w:p>
    <w:p>
      <w:pPr>
        <w:ind w:left="980" w:hanging="248"/>
        <w:spacing w:after="0"/>
        <w:tabs>
          <w:tab w:leader="none" w:pos="9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Ms. Juliber and Ms. Shi will not stand for re-election to the Board.</w:t>
      </w:r>
    </w:p>
    <w:p>
      <w:pPr>
        <w:spacing w:after="0" w:line="39" w:lineRule="exact"/>
        <w:rPr>
          <w:sz w:val="20"/>
          <w:szCs w:val="20"/>
          <w:color w:val="auto"/>
        </w:rPr>
      </w:pPr>
    </w:p>
    <w:p>
      <w:pPr>
        <w:ind w:left="980" w:hanging="248"/>
        <w:spacing w:after="0"/>
        <w:tabs>
          <w:tab w:leader="none" w:pos="9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Board anticipates Ms. Nielsen will become the Chair of the Finance Committee following the Annual Meeting, provided she is re-elected.</w:t>
      </w:r>
    </w:p>
    <w:p>
      <w:pPr>
        <w:spacing w:after="0" w:line="38" w:lineRule="exact"/>
        <w:rPr>
          <w:rFonts w:ascii="Arial" w:cs="Arial" w:eastAsia="Arial" w:hAnsi="Arial"/>
          <w:sz w:val="15"/>
          <w:szCs w:val="15"/>
          <w:color w:val="auto"/>
        </w:rPr>
      </w:pPr>
    </w:p>
    <w:p>
      <w:pPr>
        <w:ind w:left="980" w:right="960" w:hanging="248"/>
        <w:spacing w:after="0" w:line="267" w:lineRule="auto"/>
        <w:tabs>
          <w:tab w:leader="none" w:pos="9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Board anticipates Mr. Todman will become the Chair of the People and Compensation Committee following the Annual Meeting, provided he is re-elected.</w:t>
      </w:r>
    </w:p>
    <w:p>
      <w:pPr>
        <w:spacing w:after="0" w:line="1" w:lineRule="exact"/>
        <w:rPr>
          <w:rFonts w:ascii="Arial" w:cs="Arial" w:eastAsia="Arial" w:hAnsi="Arial"/>
          <w:sz w:val="15"/>
          <w:szCs w:val="15"/>
          <w:color w:val="auto"/>
        </w:rPr>
      </w:pPr>
    </w:p>
    <w:p>
      <w:pPr>
        <w:ind w:left="980" w:hanging="248"/>
        <w:spacing w:after="0"/>
        <w:tabs>
          <w:tab w:leader="none" w:pos="9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Finance Committee acted once by unanimous written consent.</w:t>
      </w:r>
    </w:p>
    <w:p>
      <w:pPr>
        <w:spacing w:after="0" w:line="39" w:lineRule="exact"/>
        <w:rPr>
          <w:sz w:val="20"/>
          <w:szCs w:val="20"/>
          <w:color w:val="auto"/>
        </w:rPr>
      </w:pPr>
    </w:p>
    <w:p>
      <w:pPr>
        <w:ind w:left="740" w:right="4800" w:hanging="8"/>
        <w:spacing w:after="0" w:line="327" w:lineRule="auto"/>
        <w:tabs>
          <w:tab w:leader="none" w:pos="1001"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As Lead Director, Mr. Siewert is an </w:t>
      </w:r>
      <w:r>
        <w:rPr>
          <w:rFonts w:ascii="Arial" w:cs="Arial" w:eastAsia="Arial" w:hAnsi="Arial"/>
          <w:sz w:val="15"/>
          <w:szCs w:val="15"/>
          <w:i w:val="1"/>
          <w:iCs w:val="1"/>
          <w:color w:val="auto"/>
        </w:rPr>
        <w:t>ex-officio</w:t>
      </w:r>
      <w:r>
        <w:rPr>
          <w:rFonts w:ascii="Arial" w:cs="Arial" w:eastAsia="Arial" w:hAnsi="Arial"/>
          <w:sz w:val="15"/>
          <w:szCs w:val="15"/>
          <w:color w:val="auto"/>
        </w:rPr>
        <w:t xml:space="preserve"> non-voting member of all committees. </w:t>
      </w:r>
      <w:r>
        <w:rPr>
          <w:rFonts w:ascii="Arial" w:cs="Arial" w:eastAsia="Arial" w:hAnsi="Arial"/>
          <w:sz w:val="1"/>
          <w:szCs w:val="1"/>
          <w:color w:val="auto"/>
        </w:rPr>
        <w:drawing>
          <wp:inline distT="0" distB="0" distL="0" distR="0">
            <wp:extent cx="78740" cy="7874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8740" cy="78740"/>
                    </a:xfrm>
                    <a:prstGeom prst="rect">
                      <a:avLst/>
                    </a:prstGeom>
                    <a:noFill/>
                    <a:ln>
                      <a:noFill/>
                    </a:ln>
                  </pic:spPr>
                </pic:pic>
              </a:graphicData>
            </a:graphic>
          </wp:inline>
        </w:drawing>
      </w:r>
      <w:r>
        <w:rPr>
          <w:rFonts w:ascii="Arial" w:cs="Arial" w:eastAsia="Arial" w:hAnsi="Arial"/>
          <w:sz w:val="15"/>
          <w:szCs w:val="15"/>
          <w:color w:val="auto"/>
        </w:rPr>
        <w:t xml:space="preserve"> Member</w:t>
      </w:r>
    </w:p>
    <w:p>
      <w:pPr>
        <w:spacing w:after="0" w:line="76"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7143115"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-100965</wp:posOffset>
            </wp:positionV>
            <wp:extent cx="78740" cy="133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8740" cy="133985"/>
                    </a:xfrm>
                    <a:prstGeom prst="rect">
                      <a:avLst/>
                    </a:prstGeom>
                    <a:noFill/>
                  </pic:spPr>
                </pic:pic>
              </a:graphicData>
            </a:graphic>
          </wp:anchor>
        </w:drawing>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1" w:name="page52"/>
    <w:bookmarkEnd w:id="51"/>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Audit Committee</w:t>
      </w:r>
    </w:p>
    <w:p>
      <w:pPr>
        <w:spacing w:after="0" w:line="175" w:lineRule="exact"/>
        <w:rPr>
          <w:sz w:val="20"/>
          <w:szCs w:val="20"/>
          <w:color w:val="auto"/>
        </w:rPr>
      </w:pPr>
    </w:p>
    <w:p>
      <w:pPr>
        <w:ind w:left="20" w:right="60"/>
        <w:spacing w:after="0" w:line="241" w:lineRule="auto"/>
        <w:rPr>
          <w:sz w:val="20"/>
          <w:szCs w:val="20"/>
          <w:color w:val="auto"/>
        </w:rPr>
      </w:pPr>
      <w:r>
        <w:rPr>
          <w:rFonts w:ascii="Arial" w:cs="Arial" w:eastAsia="Arial" w:hAnsi="Arial"/>
          <w:sz w:val="20"/>
          <w:szCs w:val="20"/>
          <w:color w:val="auto"/>
        </w:rPr>
        <w:t>The Board has determined that all of the Audit Committee members meet the enhanced test of independence prescribed by the Nasdaq listing standards and SEC rules. The Board also has determined that director nominees Lewis</w:t>
      </w:r>
      <w:r>
        <w:rPr>
          <w:rFonts w:ascii="Times New Roman" w:cs="Times New Roman" w:eastAsia="Times New Roman" w:hAnsi="Times New Roman"/>
          <w:sz w:val="20"/>
          <w:szCs w:val="20"/>
          <w:color w:val="auto"/>
        </w:rPr>
        <w:t> </w:t>
      </w:r>
      <w:r>
        <w:rPr>
          <w:rFonts w:ascii="Arial" w:cs="Arial" w:eastAsia="Arial" w:hAnsi="Arial"/>
          <w:sz w:val="20"/>
          <w:szCs w:val="20"/>
          <w:color w:val="auto"/>
        </w:rPr>
        <w:t>W.K. Booth, Jane Hamilton Nielsen and Michael A. Todman are “audit committee financial experts” within the meaning of SEC regulations and have financial sophistication in accordance with Nasdaq listing standards. No Audit Committee member received any payments in 2022 from Mondelēz International other than compensation for service as a director.</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2C83"/>
        </w:rPr>
        <w:t>RESPONSIBILITIES</w:t>
      </w:r>
    </w:p>
    <w:p>
      <w:pPr>
        <w:spacing w:after="0" w:line="94" w:lineRule="exact"/>
        <w:rPr>
          <w:sz w:val="20"/>
          <w:szCs w:val="20"/>
          <w:color w:val="auto"/>
        </w:rPr>
      </w:pPr>
    </w:p>
    <w:p>
      <w:pPr>
        <w:ind w:left="20" w:right="20"/>
        <w:spacing w:after="0" w:line="250" w:lineRule="auto"/>
        <w:rPr>
          <w:sz w:val="20"/>
          <w:szCs w:val="20"/>
          <w:color w:val="auto"/>
        </w:rPr>
      </w:pPr>
      <w:r>
        <w:rPr>
          <w:rFonts w:ascii="Arial" w:cs="Arial" w:eastAsia="Arial" w:hAnsi="Arial"/>
          <w:sz w:val="20"/>
          <w:szCs w:val="20"/>
          <w:color w:val="auto"/>
        </w:rPr>
        <w:t>Under its charter, the Audit Committee is responsible for overseeing our accounting and financial reporting processes and audits of our financial statements. The Audit Committee is directly responsible for the appointment, compensation, retention and oversight of our independent registered public accountants.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20"/>
          <w:szCs w:val="20"/>
          <w:color w:val="auto"/>
        </w:rPr>
        <w:t>Among other duties, the Audit Committee also oversees:</w:t>
      </w:r>
    </w:p>
    <w:p>
      <w:pPr>
        <w:spacing w:after="0" w:line="167" w:lineRule="exact"/>
        <w:rPr>
          <w:sz w:val="20"/>
          <w:szCs w:val="20"/>
          <w:color w:val="auto"/>
        </w:rPr>
      </w:pPr>
    </w:p>
    <w:p>
      <w:pPr>
        <w:ind w:left="180" w:hanging="161"/>
        <w:spacing w:after="0"/>
        <w:tabs>
          <w:tab w:leader="none" w:pos="180" w:val="left"/>
        </w:tabs>
        <w:numPr>
          <w:ilvl w:val="0"/>
          <w:numId w:val="37"/>
        </w:numPr>
        <w:rPr>
          <w:rFonts w:ascii="Arial" w:cs="Arial" w:eastAsia="Arial" w:hAnsi="Arial"/>
          <w:sz w:val="20"/>
          <w:szCs w:val="20"/>
          <w:color w:val="582C83"/>
        </w:rPr>
      </w:pPr>
      <w:r>
        <w:rPr>
          <w:rFonts w:ascii="Arial" w:cs="Arial" w:eastAsia="Arial" w:hAnsi="Arial"/>
          <w:sz w:val="20"/>
          <w:szCs w:val="20"/>
          <w:color w:val="auto"/>
        </w:rPr>
        <w:t>The oversight of ESG-related disclosure in SEC filings, including controls and assurance;</w:t>
      </w:r>
    </w:p>
    <w:p>
      <w:pPr>
        <w:spacing w:after="0" w:line="167" w:lineRule="exact"/>
        <w:rPr>
          <w:rFonts w:ascii="Arial" w:cs="Arial" w:eastAsia="Arial" w:hAnsi="Arial"/>
          <w:sz w:val="20"/>
          <w:szCs w:val="20"/>
          <w:color w:val="582C83"/>
        </w:rPr>
      </w:pPr>
    </w:p>
    <w:p>
      <w:pPr>
        <w:ind w:left="180" w:right="140" w:hanging="161"/>
        <w:spacing w:after="0" w:line="268" w:lineRule="auto"/>
        <w:tabs>
          <w:tab w:leader="none" w:pos="180" w:val="left"/>
        </w:tabs>
        <w:numPr>
          <w:ilvl w:val="0"/>
          <w:numId w:val="37"/>
        </w:numPr>
        <w:rPr>
          <w:rFonts w:ascii="Arial" w:cs="Arial" w:eastAsia="Arial" w:hAnsi="Arial"/>
          <w:sz w:val="20"/>
          <w:szCs w:val="20"/>
          <w:color w:val="582C83"/>
        </w:rPr>
      </w:pPr>
      <w:r>
        <w:rPr>
          <w:rFonts w:ascii="Arial" w:cs="Arial" w:eastAsia="Arial" w:hAnsi="Arial"/>
          <w:sz w:val="20"/>
          <w:szCs w:val="20"/>
          <w:color w:val="auto"/>
        </w:rPr>
        <w:t>The integrity of our financial statements and our accounting and financial reporting processes and systems of internal control over financial reporting and safeguarding our assets;</w:t>
      </w:r>
    </w:p>
    <w:p>
      <w:pPr>
        <w:spacing w:after="0" w:line="107" w:lineRule="exact"/>
        <w:rPr>
          <w:rFonts w:ascii="Arial" w:cs="Arial" w:eastAsia="Arial" w:hAnsi="Arial"/>
          <w:sz w:val="20"/>
          <w:szCs w:val="20"/>
          <w:color w:val="582C83"/>
        </w:rPr>
      </w:pPr>
    </w:p>
    <w:p>
      <w:pPr>
        <w:ind w:left="180" w:hanging="161"/>
        <w:spacing w:after="0"/>
        <w:tabs>
          <w:tab w:leader="none" w:pos="180" w:val="left"/>
        </w:tabs>
        <w:numPr>
          <w:ilvl w:val="0"/>
          <w:numId w:val="37"/>
        </w:numPr>
        <w:rPr>
          <w:rFonts w:ascii="Arial" w:cs="Arial" w:eastAsia="Arial" w:hAnsi="Arial"/>
          <w:sz w:val="20"/>
          <w:szCs w:val="20"/>
          <w:color w:val="582C83"/>
        </w:rPr>
      </w:pPr>
      <w:r>
        <w:rPr>
          <w:rFonts w:ascii="Arial" w:cs="Arial" w:eastAsia="Arial" w:hAnsi="Arial"/>
          <w:sz w:val="20"/>
          <w:szCs w:val="20"/>
          <w:color w:val="auto"/>
        </w:rPr>
        <w:t>Our compliance with legal and regulatory requirements;</w:t>
      </w:r>
    </w:p>
    <w:p>
      <w:pPr>
        <w:spacing w:after="0" w:line="167" w:lineRule="exact"/>
        <w:rPr>
          <w:rFonts w:ascii="Arial" w:cs="Arial" w:eastAsia="Arial" w:hAnsi="Arial"/>
          <w:sz w:val="20"/>
          <w:szCs w:val="20"/>
          <w:color w:val="582C83"/>
        </w:rPr>
      </w:pPr>
    </w:p>
    <w:p>
      <w:pPr>
        <w:ind w:left="180" w:hanging="161"/>
        <w:spacing w:after="0"/>
        <w:tabs>
          <w:tab w:leader="none" w:pos="180" w:val="left"/>
        </w:tabs>
        <w:numPr>
          <w:ilvl w:val="0"/>
          <w:numId w:val="37"/>
        </w:numPr>
        <w:rPr>
          <w:rFonts w:ascii="Arial" w:cs="Arial" w:eastAsia="Arial" w:hAnsi="Arial"/>
          <w:sz w:val="20"/>
          <w:szCs w:val="20"/>
          <w:color w:val="582C83"/>
        </w:rPr>
      </w:pPr>
      <w:r>
        <w:rPr>
          <w:rFonts w:ascii="Arial" w:cs="Arial" w:eastAsia="Arial" w:hAnsi="Arial"/>
          <w:sz w:val="20"/>
          <w:szCs w:val="20"/>
          <w:color w:val="auto"/>
        </w:rPr>
        <w:t>Our independent auditors’ qualifications, independence, and performance;</w:t>
      </w:r>
    </w:p>
    <w:p>
      <w:pPr>
        <w:spacing w:after="0" w:line="167" w:lineRule="exact"/>
        <w:rPr>
          <w:rFonts w:ascii="Arial" w:cs="Arial" w:eastAsia="Arial" w:hAnsi="Arial"/>
          <w:sz w:val="20"/>
          <w:szCs w:val="20"/>
          <w:color w:val="582C83"/>
        </w:rPr>
      </w:pPr>
    </w:p>
    <w:p>
      <w:pPr>
        <w:ind w:left="180" w:hanging="161"/>
        <w:spacing w:after="0"/>
        <w:tabs>
          <w:tab w:leader="none" w:pos="180" w:val="left"/>
        </w:tabs>
        <w:numPr>
          <w:ilvl w:val="0"/>
          <w:numId w:val="37"/>
        </w:numPr>
        <w:rPr>
          <w:rFonts w:ascii="Arial" w:cs="Arial" w:eastAsia="Arial" w:hAnsi="Arial"/>
          <w:sz w:val="20"/>
          <w:szCs w:val="20"/>
          <w:color w:val="582C83"/>
        </w:rPr>
      </w:pPr>
      <w:r>
        <w:rPr>
          <w:rFonts w:ascii="Arial" w:cs="Arial" w:eastAsia="Arial" w:hAnsi="Arial"/>
          <w:sz w:val="20"/>
          <w:szCs w:val="20"/>
          <w:color w:val="auto"/>
        </w:rPr>
        <w:t>The performance of our internal auditors and internal audit function;</w:t>
      </w:r>
    </w:p>
    <w:p>
      <w:pPr>
        <w:spacing w:after="0" w:line="167" w:lineRule="exact"/>
        <w:rPr>
          <w:rFonts w:ascii="Arial" w:cs="Arial" w:eastAsia="Arial" w:hAnsi="Arial"/>
          <w:sz w:val="20"/>
          <w:szCs w:val="20"/>
          <w:color w:val="582C83"/>
        </w:rPr>
      </w:pPr>
    </w:p>
    <w:p>
      <w:pPr>
        <w:ind w:left="180" w:hanging="161"/>
        <w:spacing w:after="0"/>
        <w:tabs>
          <w:tab w:leader="none" w:pos="180" w:val="left"/>
        </w:tabs>
        <w:numPr>
          <w:ilvl w:val="0"/>
          <w:numId w:val="37"/>
        </w:numPr>
        <w:rPr>
          <w:rFonts w:ascii="Arial" w:cs="Arial" w:eastAsia="Arial" w:hAnsi="Arial"/>
          <w:sz w:val="20"/>
          <w:szCs w:val="20"/>
          <w:color w:val="582C83"/>
        </w:rPr>
      </w:pPr>
      <w:r>
        <w:rPr>
          <w:rFonts w:ascii="Arial" w:cs="Arial" w:eastAsia="Arial" w:hAnsi="Arial"/>
          <w:sz w:val="20"/>
          <w:szCs w:val="20"/>
          <w:color w:val="auto"/>
        </w:rPr>
        <w:t>Our technology and cybersecurity risk, including risk mitigation; and</w:t>
      </w:r>
    </w:p>
    <w:p>
      <w:pPr>
        <w:spacing w:after="0" w:line="167" w:lineRule="exact"/>
        <w:rPr>
          <w:rFonts w:ascii="Arial" w:cs="Arial" w:eastAsia="Arial" w:hAnsi="Arial"/>
          <w:sz w:val="20"/>
          <w:szCs w:val="20"/>
          <w:color w:val="582C83"/>
        </w:rPr>
      </w:pPr>
    </w:p>
    <w:p>
      <w:pPr>
        <w:ind w:left="180" w:hanging="161"/>
        <w:spacing w:after="0"/>
        <w:tabs>
          <w:tab w:leader="none" w:pos="180" w:val="left"/>
        </w:tabs>
        <w:numPr>
          <w:ilvl w:val="0"/>
          <w:numId w:val="37"/>
        </w:numPr>
        <w:rPr>
          <w:rFonts w:ascii="Arial" w:cs="Arial" w:eastAsia="Arial" w:hAnsi="Arial"/>
          <w:sz w:val="20"/>
          <w:szCs w:val="20"/>
          <w:color w:val="582C83"/>
        </w:rPr>
      </w:pPr>
      <w:r>
        <w:rPr>
          <w:rFonts w:ascii="Arial" w:cs="Arial" w:eastAsia="Arial" w:hAnsi="Arial"/>
          <w:sz w:val="20"/>
          <w:szCs w:val="20"/>
          <w:color w:val="auto"/>
        </w:rPr>
        <w:t>Our guidelines and policies with respect to risk assessment and risk management.</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Chief Compliance Officer provides an annual report to the Audit Committee on the overall implementation and effectiveness of Mondelēz International’s Compliance program, and provides quarterly updates to the Audit Committee on Code of Conduct compliance, investigation trends and training activities. The Chief Compliance Officer also provides an annual report to the People and Compensation Committee on workplace compliance-related matters. The Chief Compliance Officer reports to the EVP, Corporate &amp; Legal Affairs and General Counsel, and has the authority to communicate directly with the Audit Committee regarding alleged or actual violations, if any, of the Code of Conduct.</w:t>
      </w:r>
    </w:p>
    <w:p>
      <w:pPr>
        <w:spacing w:after="0" w:line="135" w:lineRule="exact"/>
        <w:rPr>
          <w:sz w:val="20"/>
          <w:szCs w:val="20"/>
          <w:color w:val="auto"/>
        </w:rPr>
      </w:pPr>
    </w:p>
    <w:p>
      <w:pPr>
        <w:ind w:left="20" w:right="20"/>
        <w:spacing w:after="0" w:line="242" w:lineRule="auto"/>
        <w:rPr>
          <w:sz w:val="20"/>
          <w:szCs w:val="20"/>
          <w:color w:val="auto"/>
        </w:rPr>
      </w:pPr>
      <w:r>
        <w:rPr>
          <w:rFonts w:ascii="Arial" w:cs="Arial" w:eastAsia="Arial" w:hAnsi="Arial"/>
          <w:sz w:val="20"/>
          <w:szCs w:val="20"/>
          <w:color w:val="auto"/>
        </w:rPr>
        <w:t xml:space="preserve">The Audit Committee has established procedures for the receipt, retention and treatment, on a confidential basis, of any complaints we receive. We encourage employees and third-party individuals and organizations to report concerns about our accounting controls, auditing matters, or anything else that appears to involve financial or other wrongdoing. To report such matters, please visit </w:t>
      </w:r>
      <w:r>
        <w:rPr>
          <w:rFonts w:ascii="Arial" w:cs="Arial" w:eastAsia="Arial" w:hAnsi="Arial"/>
          <w:sz w:val="20"/>
          <w:szCs w:val="20"/>
          <w:i w:val="1"/>
          <w:iCs w:val="1"/>
          <w:color w:val="582C83"/>
        </w:rPr>
        <w:t>www.mondelezinternational.com/about-us/compliance-and-integrity-program</w:t>
      </w:r>
      <w:r>
        <w:rPr>
          <w:rFonts w:ascii="Arial" w:cs="Arial" w:eastAsia="Arial" w:hAnsi="Arial"/>
          <w:sz w:val="20"/>
          <w:szCs w:val="20"/>
          <w:color w:val="auto"/>
        </w:rPr>
        <w:t xml:space="preserve"> for information about reporting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97790</wp:posOffset>
            </wp:positionV>
            <wp:extent cx="7148195" cy="11245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8195" cy="1124585"/>
                    </a:xfrm>
                    <a:prstGeom prst="rect">
                      <a:avLst/>
                    </a:prstGeom>
                    <a:noFill/>
                  </pic:spPr>
                </pic:pic>
              </a:graphicData>
            </a:graphic>
          </wp:anchor>
        </w:drawing>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582C83"/>
        </w:rPr>
        <w:t>AUDIT COMMITTEE REPORT FOR THE YEAR ENDED DECEMBER 31, 2022</w:t>
      </w:r>
    </w:p>
    <w:p>
      <w:pPr>
        <w:spacing w:after="0" w:line="94" w:lineRule="exact"/>
        <w:rPr>
          <w:sz w:val="20"/>
          <w:szCs w:val="20"/>
          <w:color w:val="auto"/>
        </w:rPr>
      </w:pPr>
    </w:p>
    <w:p>
      <w:pPr>
        <w:ind w:left="160" w:right="140"/>
        <w:spacing w:after="0" w:line="242" w:lineRule="auto"/>
        <w:rPr>
          <w:sz w:val="20"/>
          <w:szCs w:val="20"/>
          <w:color w:val="auto"/>
        </w:rPr>
      </w:pPr>
      <w:r>
        <w:rPr>
          <w:rFonts w:ascii="Arial" w:cs="Arial" w:eastAsia="Arial" w:hAnsi="Arial"/>
          <w:sz w:val="20"/>
          <w:szCs w:val="20"/>
          <w:color w:val="auto"/>
        </w:rPr>
        <w:t>Management has primary responsibility for Mondelēz International’s financial statements and the reporting process, including the systems of internal control over financial reporting. Our role as the Audit Committee of the Mondelēz International Board of Directors is to oversee Mondelēz International’s accounting and financial reporting processes and audits of its financial statements. We also emphasize the Board’s commitment to compliance and ethical conduct throughout the organization. In addition, in 2022 we assisted the Board in its oversight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43115"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00" w:top="132"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48195" cy="7256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8195" cy="725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0" w:hanging="164"/>
        <w:spacing w:after="0"/>
        <w:tabs>
          <w:tab w:leader="none" w:pos="300" w:val="left"/>
        </w:tabs>
        <w:numPr>
          <w:ilvl w:val="0"/>
          <w:numId w:val="38"/>
        </w:numPr>
        <w:rPr>
          <w:rFonts w:ascii="Arial" w:cs="Arial" w:eastAsia="Arial" w:hAnsi="Arial"/>
          <w:sz w:val="20"/>
          <w:szCs w:val="20"/>
          <w:color w:val="582C83"/>
        </w:rPr>
      </w:pPr>
      <w:r>
        <w:rPr>
          <w:rFonts w:ascii="Arial" w:cs="Arial" w:eastAsia="Arial" w:hAnsi="Arial"/>
          <w:sz w:val="20"/>
          <w:szCs w:val="20"/>
          <w:color w:val="auto"/>
        </w:rPr>
        <w:t>Mondelēz International’s compliance with legal and regulatory requirements;</w:t>
      </w:r>
    </w:p>
    <w:p>
      <w:pPr>
        <w:spacing w:after="0" w:line="55" w:lineRule="exact"/>
        <w:rPr>
          <w:rFonts w:ascii="Arial" w:cs="Arial" w:eastAsia="Arial" w:hAnsi="Arial"/>
          <w:sz w:val="20"/>
          <w:szCs w:val="20"/>
          <w:color w:val="582C83"/>
        </w:rPr>
      </w:pPr>
    </w:p>
    <w:p>
      <w:pPr>
        <w:ind w:left="300" w:hanging="164"/>
        <w:spacing w:after="0"/>
        <w:tabs>
          <w:tab w:leader="none" w:pos="300" w:val="left"/>
        </w:tabs>
        <w:numPr>
          <w:ilvl w:val="0"/>
          <w:numId w:val="38"/>
        </w:numPr>
        <w:rPr>
          <w:rFonts w:ascii="Arial" w:cs="Arial" w:eastAsia="Arial" w:hAnsi="Arial"/>
          <w:sz w:val="20"/>
          <w:szCs w:val="20"/>
          <w:color w:val="582C83"/>
        </w:rPr>
      </w:pPr>
      <w:r>
        <w:rPr>
          <w:rFonts w:ascii="Arial" w:cs="Arial" w:eastAsia="Arial" w:hAnsi="Arial"/>
          <w:sz w:val="20"/>
          <w:szCs w:val="20"/>
          <w:color w:val="auto"/>
        </w:rPr>
        <w:t>Mondelēz International’s independent registered public accountants’ qualifications, independence and performance;</w:t>
      </w:r>
    </w:p>
    <w:p>
      <w:pPr>
        <w:spacing w:after="0" w:line="55" w:lineRule="exact"/>
        <w:rPr>
          <w:rFonts w:ascii="Arial" w:cs="Arial" w:eastAsia="Arial" w:hAnsi="Arial"/>
          <w:sz w:val="20"/>
          <w:szCs w:val="20"/>
          <w:color w:val="582C83"/>
        </w:rPr>
      </w:pPr>
    </w:p>
    <w:p>
      <w:pPr>
        <w:ind w:left="300" w:hanging="164"/>
        <w:spacing w:after="0"/>
        <w:tabs>
          <w:tab w:leader="none" w:pos="300" w:val="left"/>
        </w:tabs>
        <w:numPr>
          <w:ilvl w:val="0"/>
          <w:numId w:val="38"/>
        </w:numPr>
        <w:rPr>
          <w:rFonts w:ascii="Arial" w:cs="Arial" w:eastAsia="Arial" w:hAnsi="Arial"/>
          <w:sz w:val="20"/>
          <w:szCs w:val="20"/>
          <w:color w:val="582C83"/>
        </w:rPr>
      </w:pPr>
      <w:r>
        <w:rPr>
          <w:rFonts w:ascii="Arial" w:cs="Arial" w:eastAsia="Arial" w:hAnsi="Arial"/>
          <w:sz w:val="20"/>
          <w:szCs w:val="20"/>
          <w:color w:val="auto"/>
        </w:rPr>
        <w:t>The performance of Mondelēz International’s internal auditor and the internal audit function; and</w:t>
      </w:r>
    </w:p>
    <w:p>
      <w:pPr>
        <w:spacing w:after="0" w:line="55" w:lineRule="exact"/>
        <w:rPr>
          <w:rFonts w:ascii="Arial" w:cs="Arial" w:eastAsia="Arial" w:hAnsi="Arial"/>
          <w:sz w:val="20"/>
          <w:szCs w:val="20"/>
          <w:color w:val="582C83"/>
        </w:rPr>
      </w:pPr>
    </w:p>
    <w:p>
      <w:pPr>
        <w:ind w:left="300" w:hanging="164"/>
        <w:spacing w:after="0"/>
        <w:tabs>
          <w:tab w:leader="none" w:pos="300" w:val="left"/>
        </w:tabs>
        <w:numPr>
          <w:ilvl w:val="0"/>
          <w:numId w:val="38"/>
        </w:numPr>
        <w:rPr>
          <w:rFonts w:ascii="Arial" w:cs="Arial" w:eastAsia="Arial" w:hAnsi="Arial"/>
          <w:sz w:val="20"/>
          <w:szCs w:val="20"/>
          <w:color w:val="582C83"/>
        </w:rPr>
      </w:pPr>
      <w:r>
        <w:rPr>
          <w:rFonts w:ascii="Arial" w:cs="Arial" w:eastAsia="Arial" w:hAnsi="Arial"/>
          <w:sz w:val="20"/>
          <w:szCs w:val="20"/>
          <w:color w:val="auto"/>
        </w:rPr>
        <w:t>Mondelēz International’s risk assessment and risk management guidelines and policies.</w:t>
      </w:r>
    </w:p>
    <w:p>
      <w:pPr>
        <w:spacing w:after="0" w:line="167" w:lineRule="exact"/>
        <w:rPr>
          <w:sz w:val="20"/>
          <w:szCs w:val="20"/>
          <w:color w:val="auto"/>
        </w:rPr>
      </w:pPr>
    </w:p>
    <w:p>
      <w:pPr>
        <w:ind w:left="140" w:right="340"/>
        <w:spacing w:after="0" w:line="250" w:lineRule="auto"/>
        <w:rPr>
          <w:sz w:val="20"/>
          <w:szCs w:val="20"/>
          <w:color w:val="auto"/>
        </w:rPr>
      </w:pPr>
      <w:r>
        <w:rPr>
          <w:rFonts w:ascii="Arial" w:cs="Arial" w:eastAsia="Arial" w:hAnsi="Arial"/>
          <w:sz w:val="20"/>
          <w:szCs w:val="20"/>
          <w:color w:val="auto"/>
        </w:rPr>
        <w:t>Our duties include overseeing Mondelēz International’s management, the internal audit department, and PricewaterhouseCoopers LLP, Mondelēz International’s independent registered public accountants, in their performance of the functions listed below, for which they are responsible.</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Management</w:t>
      </w:r>
    </w:p>
    <w:p>
      <w:pPr>
        <w:spacing w:after="0" w:line="56" w:lineRule="exact"/>
        <w:rPr>
          <w:sz w:val="20"/>
          <w:szCs w:val="20"/>
          <w:color w:val="auto"/>
        </w:rPr>
      </w:pPr>
    </w:p>
    <w:p>
      <w:pPr>
        <w:ind w:left="300" w:right="420" w:hanging="164"/>
        <w:spacing w:after="0" w:line="265" w:lineRule="auto"/>
        <w:tabs>
          <w:tab w:leader="none" w:pos="300" w:val="left"/>
        </w:tabs>
        <w:numPr>
          <w:ilvl w:val="0"/>
          <w:numId w:val="39"/>
        </w:numPr>
        <w:rPr>
          <w:rFonts w:ascii="Arial" w:cs="Arial" w:eastAsia="Arial" w:hAnsi="Arial"/>
          <w:sz w:val="20"/>
          <w:szCs w:val="20"/>
          <w:color w:val="582C83"/>
        </w:rPr>
      </w:pPr>
      <w:r>
        <w:rPr>
          <w:rFonts w:ascii="Arial" w:cs="Arial" w:eastAsia="Arial" w:hAnsi="Arial"/>
          <w:sz w:val="20"/>
          <w:szCs w:val="20"/>
          <w:color w:val="auto"/>
        </w:rPr>
        <w:t>Preparing Mondelēz International’s consolidated financial statements in accordance with accounting principles generally accepted in the United States of America (“U.S. GAAP”);</w:t>
      </w:r>
    </w:p>
    <w:p>
      <w:pPr>
        <w:spacing w:after="0" w:line="1" w:lineRule="exact"/>
        <w:rPr>
          <w:rFonts w:ascii="Arial" w:cs="Arial" w:eastAsia="Arial" w:hAnsi="Arial"/>
          <w:sz w:val="20"/>
          <w:szCs w:val="20"/>
          <w:color w:val="582C83"/>
        </w:rPr>
      </w:pPr>
    </w:p>
    <w:p>
      <w:pPr>
        <w:ind w:left="300" w:hanging="164"/>
        <w:spacing w:after="0"/>
        <w:tabs>
          <w:tab w:leader="none" w:pos="300" w:val="left"/>
        </w:tabs>
        <w:numPr>
          <w:ilvl w:val="0"/>
          <w:numId w:val="39"/>
        </w:numPr>
        <w:rPr>
          <w:rFonts w:ascii="Arial" w:cs="Arial" w:eastAsia="Arial" w:hAnsi="Arial"/>
          <w:sz w:val="20"/>
          <w:szCs w:val="20"/>
          <w:color w:val="582C83"/>
        </w:rPr>
      </w:pPr>
      <w:r>
        <w:rPr>
          <w:rFonts w:ascii="Arial" w:cs="Arial" w:eastAsia="Arial" w:hAnsi="Arial"/>
          <w:sz w:val="20"/>
          <w:szCs w:val="20"/>
          <w:color w:val="auto"/>
        </w:rPr>
        <w:t>Assessing and establishing effective financial reporting systems and internal controls and procedures; and</w:t>
      </w:r>
    </w:p>
    <w:p>
      <w:pPr>
        <w:spacing w:after="0" w:line="55" w:lineRule="exact"/>
        <w:rPr>
          <w:rFonts w:ascii="Arial" w:cs="Arial" w:eastAsia="Arial" w:hAnsi="Arial"/>
          <w:sz w:val="20"/>
          <w:szCs w:val="20"/>
          <w:color w:val="582C83"/>
        </w:rPr>
      </w:pPr>
    </w:p>
    <w:p>
      <w:pPr>
        <w:ind w:left="300" w:hanging="164"/>
        <w:spacing w:after="0"/>
        <w:tabs>
          <w:tab w:leader="none" w:pos="300" w:val="left"/>
        </w:tabs>
        <w:numPr>
          <w:ilvl w:val="0"/>
          <w:numId w:val="39"/>
        </w:numPr>
        <w:rPr>
          <w:rFonts w:ascii="Arial" w:cs="Arial" w:eastAsia="Arial" w:hAnsi="Arial"/>
          <w:sz w:val="20"/>
          <w:szCs w:val="20"/>
          <w:color w:val="582C83"/>
        </w:rPr>
      </w:pPr>
      <w:r>
        <w:rPr>
          <w:rFonts w:ascii="Arial" w:cs="Arial" w:eastAsia="Arial" w:hAnsi="Arial"/>
          <w:sz w:val="20"/>
          <w:szCs w:val="20"/>
          <w:color w:val="auto"/>
        </w:rPr>
        <w:t>Reporting on the effectiveness of Mondelēz International’s internal control over financial reporting.</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Internal Audit Department</w:t>
      </w:r>
    </w:p>
    <w:p>
      <w:pPr>
        <w:spacing w:after="0" w:line="56" w:lineRule="exact"/>
        <w:rPr>
          <w:sz w:val="20"/>
          <w:szCs w:val="20"/>
          <w:color w:val="auto"/>
        </w:rPr>
      </w:pPr>
    </w:p>
    <w:p>
      <w:pPr>
        <w:ind w:left="300" w:hanging="164"/>
        <w:spacing w:after="0"/>
        <w:tabs>
          <w:tab w:leader="none" w:pos="300" w:val="left"/>
        </w:tabs>
        <w:numPr>
          <w:ilvl w:val="0"/>
          <w:numId w:val="40"/>
        </w:numPr>
        <w:rPr>
          <w:rFonts w:ascii="Arial" w:cs="Arial" w:eastAsia="Arial" w:hAnsi="Arial"/>
          <w:sz w:val="20"/>
          <w:szCs w:val="20"/>
          <w:color w:val="582C83"/>
        </w:rPr>
      </w:pPr>
      <w:r>
        <w:rPr>
          <w:rFonts w:ascii="Arial" w:cs="Arial" w:eastAsia="Arial" w:hAnsi="Arial"/>
          <w:sz w:val="20"/>
          <w:szCs w:val="20"/>
          <w:color w:val="auto"/>
        </w:rPr>
        <w:t>Assessing management’s system of internal controls and procedures; and</w:t>
      </w:r>
    </w:p>
    <w:p>
      <w:pPr>
        <w:spacing w:after="0" w:line="55" w:lineRule="exact"/>
        <w:rPr>
          <w:rFonts w:ascii="Arial" w:cs="Arial" w:eastAsia="Arial" w:hAnsi="Arial"/>
          <w:sz w:val="20"/>
          <w:szCs w:val="20"/>
          <w:color w:val="582C83"/>
        </w:rPr>
      </w:pPr>
    </w:p>
    <w:p>
      <w:pPr>
        <w:ind w:left="300" w:hanging="164"/>
        <w:spacing w:after="0"/>
        <w:tabs>
          <w:tab w:leader="none" w:pos="300" w:val="left"/>
        </w:tabs>
        <w:numPr>
          <w:ilvl w:val="0"/>
          <w:numId w:val="40"/>
        </w:numPr>
        <w:rPr>
          <w:rFonts w:ascii="Arial" w:cs="Arial" w:eastAsia="Arial" w:hAnsi="Arial"/>
          <w:sz w:val="20"/>
          <w:szCs w:val="20"/>
          <w:color w:val="582C83"/>
        </w:rPr>
      </w:pPr>
      <w:r>
        <w:rPr>
          <w:rFonts w:ascii="Arial" w:cs="Arial" w:eastAsia="Arial" w:hAnsi="Arial"/>
          <w:sz w:val="20"/>
          <w:szCs w:val="20"/>
          <w:color w:val="auto"/>
        </w:rPr>
        <w:t>Reporting on the effectiveness of that system.</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Independent Registered Public Accountants</w:t>
      </w:r>
    </w:p>
    <w:p>
      <w:pPr>
        <w:spacing w:after="0" w:line="56" w:lineRule="exact"/>
        <w:rPr>
          <w:sz w:val="20"/>
          <w:szCs w:val="20"/>
          <w:color w:val="auto"/>
        </w:rPr>
      </w:pPr>
    </w:p>
    <w:p>
      <w:pPr>
        <w:ind w:left="300" w:hanging="164"/>
        <w:spacing w:after="0"/>
        <w:tabs>
          <w:tab w:leader="none" w:pos="300" w:val="left"/>
        </w:tabs>
        <w:numPr>
          <w:ilvl w:val="0"/>
          <w:numId w:val="41"/>
        </w:numPr>
        <w:rPr>
          <w:rFonts w:ascii="Arial" w:cs="Arial" w:eastAsia="Arial" w:hAnsi="Arial"/>
          <w:sz w:val="20"/>
          <w:szCs w:val="20"/>
          <w:color w:val="582C83"/>
        </w:rPr>
      </w:pPr>
      <w:r>
        <w:rPr>
          <w:rFonts w:ascii="Arial" w:cs="Arial" w:eastAsia="Arial" w:hAnsi="Arial"/>
          <w:sz w:val="20"/>
          <w:szCs w:val="20"/>
          <w:color w:val="auto"/>
        </w:rPr>
        <w:t>Auditing Mondelēz International’s financial statements;</w:t>
      </w:r>
    </w:p>
    <w:p>
      <w:pPr>
        <w:spacing w:after="0" w:line="55" w:lineRule="exact"/>
        <w:rPr>
          <w:rFonts w:ascii="Arial" w:cs="Arial" w:eastAsia="Arial" w:hAnsi="Arial"/>
          <w:sz w:val="20"/>
          <w:szCs w:val="20"/>
          <w:color w:val="582C83"/>
        </w:rPr>
      </w:pPr>
    </w:p>
    <w:p>
      <w:pPr>
        <w:ind w:left="300" w:hanging="164"/>
        <w:spacing w:after="0"/>
        <w:tabs>
          <w:tab w:leader="none" w:pos="300" w:val="left"/>
        </w:tabs>
        <w:numPr>
          <w:ilvl w:val="0"/>
          <w:numId w:val="41"/>
        </w:numPr>
        <w:rPr>
          <w:rFonts w:ascii="Arial" w:cs="Arial" w:eastAsia="Arial" w:hAnsi="Arial"/>
          <w:sz w:val="20"/>
          <w:szCs w:val="20"/>
          <w:color w:val="582C83"/>
        </w:rPr>
      </w:pPr>
      <w:r>
        <w:rPr>
          <w:rFonts w:ascii="Arial" w:cs="Arial" w:eastAsia="Arial" w:hAnsi="Arial"/>
          <w:sz w:val="20"/>
          <w:szCs w:val="20"/>
          <w:color w:val="auto"/>
        </w:rPr>
        <w:t>Issuing an opinion about whether the financial statements conform with U.S. GAAP; and</w:t>
      </w:r>
    </w:p>
    <w:p>
      <w:pPr>
        <w:spacing w:after="0" w:line="55" w:lineRule="exact"/>
        <w:rPr>
          <w:rFonts w:ascii="Arial" w:cs="Arial" w:eastAsia="Arial" w:hAnsi="Arial"/>
          <w:sz w:val="20"/>
          <w:szCs w:val="20"/>
          <w:color w:val="582C83"/>
        </w:rPr>
      </w:pPr>
    </w:p>
    <w:p>
      <w:pPr>
        <w:ind w:left="300" w:hanging="164"/>
        <w:spacing w:after="0"/>
        <w:tabs>
          <w:tab w:leader="none" w:pos="300" w:val="left"/>
        </w:tabs>
        <w:numPr>
          <w:ilvl w:val="0"/>
          <w:numId w:val="41"/>
        </w:numPr>
        <w:rPr>
          <w:rFonts w:ascii="Arial" w:cs="Arial" w:eastAsia="Arial" w:hAnsi="Arial"/>
          <w:sz w:val="20"/>
          <w:szCs w:val="20"/>
          <w:color w:val="582C83"/>
        </w:rPr>
      </w:pPr>
      <w:r>
        <w:rPr>
          <w:rFonts w:ascii="Arial" w:cs="Arial" w:eastAsia="Arial" w:hAnsi="Arial"/>
          <w:sz w:val="20"/>
          <w:szCs w:val="20"/>
          <w:color w:val="auto"/>
        </w:rPr>
        <w:t>Annually auditing the effectiveness of Mondelēz International’s internal control over financial reporting.</w:t>
      </w:r>
    </w:p>
    <w:p>
      <w:pPr>
        <w:spacing w:after="0" w:line="167" w:lineRule="exact"/>
        <w:rPr>
          <w:sz w:val="20"/>
          <w:szCs w:val="20"/>
          <w:color w:val="auto"/>
        </w:rPr>
      </w:pPr>
    </w:p>
    <w:p>
      <w:pPr>
        <w:ind w:left="140" w:right="620"/>
        <w:spacing w:after="0" w:line="268" w:lineRule="auto"/>
        <w:rPr>
          <w:sz w:val="20"/>
          <w:szCs w:val="20"/>
          <w:color w:val="auto"/>
        </w:rPr>
      </w:pPr>
      <w:r>
        <w:rPr>
          <w:rFonts w:ascii="Arial" w:cs="Arial" w:eastAsia="Arial" w:hAnsi="Arial"/>
          <w:sz w:val="20"/>
          <w:szCs w:val="20"/>
          <w:color w:val="auto"/>
        </w:rPr>
        <w:t>Periodically, we meet both independently and collectively with management, the internal auditor and/or the independent registered public accountants to, among other things:</w:t>
      </w:r>
    </w:p>
    <w:p>
      <w:pPr>
        <w:spacing w:after="0" w:line="33" w:lineRule="exact"/>
        <w:rPr>
          <w:sz w:val="20"/>
          <w:szCs w:val="20"/>
          <w:color w:val="auto"/>
        </w:rPr>
      </w:pPr>
    </w:p>
    <w:p>
      <w:pPr>
        <w:ind w:left="300" w:right="840" w:hanging="164"/>
        <w:spacing w:after="0" w:line="265" w:lineRule="auto"/>
        <w:tabs>
          <w:tab w:leader="none" w:pos="300" w:val="left"/>
        </w:tabs>
        <w:numPr>
          <w:ilvl w:val="0"/>
          <w:numId w:val="42"/>
        </w:numPr>
        <w:rPr>
          <w:rFonts w:ascii="Arial" w:cs="Arial" w:eastAsia="Arial" w:hAnsi="Arial"/>
          <w:sz w:val="20"/>
          <w:szCs w:val="20"/>
          <w:color w:val="582C83"/>
        </w:rPr>
      </w:pPr>
      <w:r>
        <w:rPr>
          <w:rFonts w:ascii="Arial" w:cs="Arial" w:eastAsia="Arial" w:hAnsi="Arial"/>
          <w:sz w:val="20"/>
          <w:szCs w:val="20"/>
          <w:color w:val="auto"/>
        </w:rPr>
        <w:t>Discuss the quality of Mondelēz International’s accounting and financial reporting processes and the adequacy and effectiveness of its internal controls and procedures;</w:t>
      </w:r>
    </w:p>
    <w:p>
      <w:pPr>
        <w:spacing w:after="0" w:line="1" w:lineRule="exact"/>
        <w:rPr>
          <w:rFonts w:ascii="Arial" w:cs="Arial" w:eastAsia="Arial" w:hAnsi="Arial"/>
          <w:sz w:val="20"/>
          <w:szCs w:val="20"/>
          <w:color w:val="582C83"/>
        </w:rPr>
      </w:pPr>
    </w:p>
    <w:p>
      <w:pPr>
        <w:ind w:left="300" w:right="600" w:hanging="164"/>
        <w:spacing w:after="0" w:line="265" w:lineRule="auto"/>
        <w:tabs>
          <w:tab w:leader="none" w:pos="300" w:val="left"/>
        </w:tabs>
        <w:numPr>
          <w:ilvl w:val="0"/>
          <w:numId w:val="42"/>
        </w:numPr>
        <w:rPr>
          <w:rFonts w:ascii="Arial" w:cs="Arial" w:eastAsia="Arial" w:hAnsi="Arial"/>
          <w:sz w:val="20"/>
          <w:szCs w:val="20"/>
          <w:color w:val="582C83"/>
        </w:rPr>
      </w:pPr>
      <w:r>
        <w:rPr>
          <w:rFonts w:ascii="Arial" w:cs="Arial" w:eastAsia="Arial" w:hAnsi="Arial"/>
          <w:sz w:val="20"/>
          <w:szCs w:val="20"/>
          <w:color w:val="auto"/>
        </w:rPr>
        <w:t>Review significant audit findings prepared by each of the independent registered public accountants and internal audit department, together with management’s responses;</w:t>
      </w:r>
    </w:p>
    <w:p>
      <w:pPr>
        <w:spacing w:after="0" w:line="1" w:lineRule="exact"/>
        <w:rPr>
          <w:rFonts w:ascii="Arial" w:cs="Arial" w:eastAsia="Arial" w:hAnsi="Arial"/>
          <w:sz w:val="20"/>
          <w:szCs w:val="20"/>
          <w:color w:val="582C83"/>
        </w:rPr>
      </w:pPr>
    </w:p>
    <w:p>
      <w:pPr>
        <w:ind w:left="300" w:right="380" w:hanging="164"/>
        <w:spacing w:after="0" w:line="265" w:lineRule="auto"/>
        <w:tabs>
          <w:tab w:leader="none" w:pos="300" w:val="left"/>
        </w:tabs>
        <w:numPr>
          <w:ilvl w:val="0"/>
          <w:numId w:val="42"/>
        </w:numPr>
        <w:rPr>
          <w:rFonts w:ascii="Arial" w:cs="Arial" w:eastAsia="Arial" w:hAnsi="Arial"/>
          <w:sz w:val="20"/>
          <w:szCs w:val="20"/>
          <w:color w:val="582C83"/>
        </w:rPr>
      </w:pPr>
      <w:r>
        <w:rPr>
          <w:rFonts w:ascii="Arial" w:cs="Arial" w:eastAsia="Arial" w:hAnsi="Arial"/>
          <w:sz w:val="20"/>
          <w:szCs w:val="20"/>
          <w:color w:val="auto"/>
        </w:rPr>
        <w:t>Review the overall scope and plans for the audits by the internal audit department and the independent registered public accountants;</w:t>
      </w:r>
    </w:p>
    <w:p>
      <w:pPr>
        <w:spacing w:after="0" w:line="1" w:lineRule="exact"/>
        <w:rPr>
          <w:rFonts w:ascii="Arial" w:cs="Arial" w:eastAsia="Arial" w:hAnsi="Arial"/>
          <w:sz w:val="20"/>
          <w:szCs w:val="20"/>
          <w:color w:val="582C83"/>
        </w:rPr>
      </w:pPr>
    </w:p>
    <w:p>
      <w:pPr>
        <w:ind w:left="300" w:hanging="164"/>
        <w:spacing w:after="0"/>
        <w:tabs>
          <w:tab w:leader="none" w:pos="300" w:val="left"/>
        </w:tabs>
        <w:numPr>
          <w:ilvl w:val="0"/>
          <w:numId w:val="42"/>
        </w:numPr>
        <w:rPr>
          <w:rFonts w:ascii="Arial" w:cs="Arial" w:eastAsia="Arial" w:hAnsi="Arial"/>
          <w:sz w:val="20"/>
          <w:szCs w:val="20"/>
          <w:color w:val="582C83"/>
        </w:rPr>
      </w:pPr>
      <w:r>
        <w:rPr>
          <w:rFonts w:ascii="Arial" w:cs="Arial" w:eastAsia="Arial" w:hAnsi="Arial"/>
          <w:sz w:val="20"/>
          <w:szCs w:val="20"/>
          <w:color w:val="auto"/>
        </w:rPr>
        <w:t>Review matters related to the conduct of the independent registered public accountant’s audit;</w:t>
      </w:r>
    </w:p>
    <w:p>
      <w:pPr>
        <w:spacing w:after="0" w:line="55" w:lineRule="exact"/>
        <w:rPr>
          <w:rFonts w:ascii="Arial" w:cs="Arial" w:eastAsia="Arial" w:hAnsi="Arial"/>
          <w:sz w:val="20"/>
          <w:szCs w:val="20"/>
          <w:color w:val="582C83"/>
        </w:rPr>
      </w:pPr>
    </w:p>
    <w:p>
      <w:pPr>
        <w:ind w:left="300" w:hanging="164"/>
        <w:spacing w:after="0"/>
        <w:tabs>
          <w:tab w:leader="none" w:pos="300" w:val="left"/>
        </w:tabs>
        <w:numPr>
          <w:ilvl w:val="0"/>
          <w:numId w:val="42"/>
        </w:numPr>
        <w:rPr>
          <w:rFonts w:ascii="Arial" w:cs="Arial" w:eastAsia="Arial" w:hAnsi="Arial"/>
          <w:sz w:val="20"/>
          <w:szCs w:val="20"/>
          <w:color w:val="582C83"/>
        </w:rPr>
      </w:pPr>
      <w:r>
        <w:rPr>
          <w:rFonts w:ascii="Arial" w:cs="Arial" w:eastAsia="Arial" w:hAnsi="Arial"/>
          <w:sz w:val="20"/>
          <w:szCs w:val="20"/>
          <w:color w:val="auto"/>
        </w:rPr>
        <w:t>Review any critical audit matter identified in the independent registered public accountant’s report;</w:t>
      </w:r>
    </w:p>
    <w:p>
      <w:pPr>
        <w:spacing w:after="0" w:line="55" w:lineRule="exact"/>
        <w:rPr>
          <w:rFonts w:ascii="Arial" w:cs="Arial" w:eastAsia="Arial" w:hAnsi="Arial"/>
          <w:sz w:val="20"/>
          <w:szCs w:val="20"/>
          <w:color w:val="582C83"/>
        </w:rPr>
      </w:pPr>
    </w:p>
    <w:p>
      <w:pPr>
        <w:ind w:left="300" w:right="280" w:hanging="164"/>
        <w:spacing w:after="0" w:line="250" w:lineRule="auto"/>
        <w:tabs>
          <w:tab w:leader="none" w:pos="300" w:val="left"/>
        </w:tabs>
        <w:numPr>
          <w:ilvl w:val="0"/>
          <w:numId w:val="42"/>
        </w:numPr>
        <w:rPr>
          <w:rFonts w:ascii="Arial" w:cs="Arial" w:eastAsia="Arial" w:hAnsi="Arial"/>
          <w:sz w:val="20"/>
          <w:szCs w:val="20"/>
          <w:color w:val="582C83"/>
        </w:rPr>
      </w:pPr>
      <w:r>
        <w:rPr>
          <w:rFonts w:ascii="Arial" w:cs="Arial" w:eastAsia="Arial" w:hAnsi="Arial"/>
          <w:sz w:val="20"/>
          <w:szCs w:val="20"/>
          <w:color w:val="auto"/>
        </w:rPr>
        <w:t>Review critical accounting policies, the implementation of new accounting standards, and the significant estimates and judgments management used in preparing the financial statements and their appropriateness for Mondelēz International’s business and current circumstances; and</w:t>
      </w:r>
    </w:p>
    <w:p>
      <w:pPr>
        <w:spacing w:after="0" w:line="13" w:lineRule="exact"/>
        <w:rPr>
          <w:rFonts w:ascii="Arial" w:cs="Arial" w:eastAsia="Arial" w:hAnsi="Arial"/>
          <w:sz w:val="20"/>
          <w:szCs w:val="20"/>
          <w:color w:val="582C83"/>
        </w:rPr>
      </w:pPr>
    </w:p>
    <w:p>
      <w:pPr>
        <w:ind w:left="300" w:hanging="164"/>
        <w:spacing w:after="0"/>
        <w:tabs>
          <w:tab w:leader="none" w:pos="300" w:val="left"/>
        </w:tabs>
        <w:numPr>
          <w:ilvl w:val="0"/>
          <w:numId w:val="42"/>
        </w:numPr>
        <w:rPr>
          <w:rFonts w:ascii="Arial" w:cs="Arial" w:eastAsia="Arial" w:hAnsi="Arial"/>
          <w:sz w:val="20"/>
          <w:szCs w:val="20"/>
          <w:color w:val="582C83"/>
        </w:rPr>
      </w:pPr>
      <w:r>
        <w:rPr>
          <w:rFonts w:ascii="Arial" w:cs="Arial" w:eastAsia="Arial" w:hAnsi="Arial"/>
          <w:sz w:val="20"/>
          <w:szCs w:val="20"/>
          <w:color w:val="auto"/>
        </w:rPr>
        <w:t>Review Mondelēz International’s earnings releases and its use of non-GAAP financial measures.</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In addition to the activities outlined above, in 2022 we reviewed with management, among other things:</w:t>
      </w:r>
    </w:p>
    <w:p>
      <w:pPr>
        <w:spacing w:after="0" w:line="93" w:lineRule="exact"/>
        <w:rPr>
          <w:sz w:val="20"/>
          <w:szCs w:val="20"/>
          <w:color w:val="auto"/>
        </w:rPr>
      </w:pPr>
    </w:p>
    <w:p>
      <w:pPr>
        <w:ind w:left="300" w:hanging="164"/>
        <w:spacing w:after="0"/>
        <w:tabs>
          <w:tab w:leader="none" w:pos="300" w:val="left"/>
        </w:tabs>
        <w:numPr>
          <w:ilvl w:val="0"/>
          <w:numId w:val="43"/>
        </w:numPr>
        <w:rPr>
          <w:rFonts w:ascii="Arial" w:cs="Arial" w:eastAsia="Arial" w:hAnsi="Arial"/>
          <w:sz w:val="20"/>
          <w:szCs w:val="20"/>
          <w:color w:val="582C83"/>
        </w:rPr>
      </w:pPr>
      <w:r>
        <w:rPr>
          <w:rFonts w:ascii="Arial" w:cs="Arial" w:eastAsia="Arial" w:hAnsi="Arial"/>
          <w:sz w:val="20"/>
          <w:szCs w:val="20"/>
          <w:color w:val="auto"/>
        </w:rPr>
        <w:t>The continued impacts of Covid-19 on the processes and matters over which we have oversight;</w:t>
      </w:r>
    </w:p>
    <w:p>
      <w:pPr>
        <w:spacing w:after="0" w:line="55" w:lineRule="exact"/>
        <w:rPr>
          <w:rFonts w:ascii="Arial" w:cs="Arial" w:eastAsia="Arial" w:hAnsi="Arial"/>
          <w:sz w:val="20"/>
          <w:szCs w:val="20"/>
          <w:color w:val="582C83"/>
        </w:rPr>
      </w:pPr>
    </w:p>
    <w:p>
      <w:pPr>
        <w:ind w:left="300" w:right="540" w:hanging="164"/>
        <w:spacing w:after="0" w:line="268" w:lineRule="auto"/>
        <w:tabs>
          <w:tab w:leader="none" w:pos="300" w:val="left"/>
        </w:tabs>
        <w:numPr>
          <w:ilvl w:val="0"/>
          <w:numId w:val="43"/>
        </w:numPr>
        <w:rPr>
          <w:rFonts w:ascii="Arial" w:cs="Arial" w:eastAsia="Arial" w:hAnsi="Arial"/>
          <w:sz w:val="20"/>
          <w:szCs w:val="20"/>
          <w:color w:val="582C83"/>
        </w:rPr>
      </w:pPr>
      <w:r>
        <w:rPr>
          <w:rFonts w:ascii="Arial" w:cs="Arial" w:eastAsia="Arial" w:hAnsi="Arial"/>
          <w:sz w:val="20"/>
          <w:szCs w:val="20"/>
          <w:color w:val="auto"/>
        </w:rPr>
        <w:t>The Company’s ESG reporting and disclosures in its SEC filings and the evolving ESG regulatory landscape, including increased regulatory focus on climate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7143115"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48195" cy="58293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8195" cy="5829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0" w:right="380" w:hanging="164"/>
        <w:spacing w:after="0" w:line="279" w:lineRule="auto"/>
        <w:tabs>
          <w:tab w:leader="none" w:pos="300" w:val="left"/>
        </w:tabs>
        <w:numPr>
          <w:ilvl w:val="0"/>
          <w:numId w:val="44"/>
        </w:numPr>
        <w:rPr>
          <w:rFonts w:ascii="Arial" w:cs="Arial" w:eastAsia="Arial" w:hAnsi="Arial"/>
          <w:sz w:val="19"/>
          <w:szCs w:val="19"/>
          <w:color w:val="582C83"/>
        </w:rPr>
      </w:pPr>
      <w:r>
        <w:rPr>
          <w:rFonts w:ascii="Arial" w:cs="Arial" w:eastAsia="Arial" w:hAnsi="Arial"/>
          <w:sz w:val="19"/>
          <w:szCs w:val="19"/>
          <w:color w:val="auto"/>
        </w:rPr>
        <w:t>Guidelines and policies with respect to Mondelēz International’s overall risk assessment and risk management, including our ERM process and specific risks identified in that process, including commodity and foreign exchange risks;</w:t>
      </w:r>
    </w:p>
    <w:p>
      <w:pPr>
        <w:spacing w:after="0" w:line="1" w:lineRule="exact"/>
        <w:rPr>
          <w:rFonts w:ascii="Arial" w:cs="Arial" w:eastAsia="Arial" w:hAnsi="Arial"/>
          <w:sz w:val="19"/>
          <w:szCs w:val="19"/>
          <w:color w:val="582C83"/>
        </w:rPr>
      </w:pPr>
    </w:p>
    <w:p>
      <w:pPr>
        <w:ind w:left="300" w:right="480" w:hanging="164"/>
        <w:spacing w:after="0" w:line="250" w:lineRule="auto"/>
        <w:tabs>
          <w:tab w:leader="none" w:pos="300" w:val="left"/>
        </w:tabs>
        <w:numPr>
          <w:ilvl w:val="0"/>
          <w:numId w:val="44"/>
        </w:numPr>
        <w:rPr>
          <w:rFonts w:ascii="Arial" w:cs="Arial" w:eastAsia="Arial" w:hAnsi="Arial"/>
          <w:sz w:val="20"/>
          <w:szCs w:val="20"/>
          <w:color w:val="582C83"/>
        </w:rPr>
      </w:pPr>
      <w:r>
        <w:rPr>
          <w:rFonts w:ascii="Arial" w:cs="Arial" w:eastAsia="Arial" w:hAnsi="Arial"/>
          <w:sz w:val="20"/>
          <w:szCs w:val="20"/>
          <w:color w:val="auto"/>
        </w:rPr>
        <w:t>Mondelēz International’s information technology and cybersecurity risk management and business continuity planning, including three briefings by the Company’s Chief Information Officer on information security matters and discussions on cybersecurity with the Company’s Chief Information Security Officer and the internal audit department;</w:t>
      </w:r>
    </w:p>
    <w:p>
      <w:pPr>
        <w:spacing w:after="0" w:line="13" w:lineRule="exact"/>
        <w:rPr>
          <w:rFonts w:ascii="Arial" w:cs="Arial" w:eastAsia="Arial" w:hAnsi="Arial"/>
          <w:sz w:val="20"/>
          <w:szCs w:val="20"/>
          <w:color w:val="582C83"/>
        </w:rPr>
      </w:pPr>
    </w:p>
    <w:p>
      <w:pPr>
        <w:ind w:left="300" w:hanging="164"/>
        <w:spacing w:after="0"/>
        <w:tabs>
          <w:tab w:leader="none" w:pos="300" w:val="left"/>
        </w:tabs>
        <w:numPr>
          <w:ilvl w:val="0"/>
          <w:numId w:val="44"/>
        </w:numPr>
        <w:rPr>
          <w:rFonts w:ascii="Arial" w:cs="Arial" w:eastAsia="Arial" w:hAnsi="Arial"/>
          <w:sz w:val="20"/>
          <w:szCs w:val="20"/>
          <w:color w:val="582C83"/>
        </w:rPr>
      </w:pPr>
      <w:r>
        <w:rPr>
          <w:rFonts w:ascii="Arial" w:cs="Arial" w:eastAsia="Arial" w:hAnsi="Arial"/>
          <w:sz w:val="20"/>
          <w:szCs w:val="20"/>
          <w:color w:val="auto"/>
        </w:rPr>
        <w:t>Health and safety and compliance matters;</w:t>
      </w:r>
    </w:p>
    <w:p>
      <w:pPr>
        <w:spacing w:after="0" w:line="55" w:lineRule="exact"/>
        <w:rPr>
          <w:rFonts w:ascii="Arial" w:cs="Arial" w:eastAsia="Arial" w:hAnsi="Arial"/>
          <w:sz w:val="20"/>
          <w:szCs w:val="20"/>
          <w:color w:val="582C83"/>
        </w:rPr>
      </w:pPr>
    </w:p>
    <w:p>
      <w:pPr>
        <w:ind w:left="300" w:hanging="164"/>
        <w:spacing w:after="0"/>
        <w:tabs>
          <w:tab w:leader="none" w:pos="300" w:val="left"/>
        </w:tabs>
        <w:numPr>
          <w:ilvl w:val="0"/>
          <w:numId w:val="44"/>
        </w:numPr>
        <w:rPr>
          <w:rFonts w:ascii="Arial" w:cs="Arial" w:eastAsia="Arial" w:hAnsi="Arial"/>
          <w:sz w:val="20"/>
          <w:szCs w:val="20"/>
          <w:color w:val="582C83"/>
        </w:rPr>
      </w:pPr>
      <w:r>
        <w:rPr>
          <w:rFonts w:ascii="Arial" w:cs="Arial" w:eastAsia="Arial" w:hAnsi="Arial"/>
          <w:sz w:val="20"/>
          <w:szCs w:val="20"/>
          <w:color w:val="auto"/>
        </w:rPr>
        <w:t>Significant legal and regulatory matters;</w:t>
      </w:r>
    </w:p>
    <w:p>
      <w:pPr>
        <w:spacing w:after="0" w:line="55" w:lineRule="exact"/>
        <w:rPr>
          <w:rFonts w:ascii="Arial" w:cs="Arial" w:eastAsia="Arial" w:hAnsi="Arial"/>
          <w:sz w:val="20"/>
          <w:szCs w:val="20"/>
          <w:color w:val="582C83"/>
        </w:rPr>
      </w:pPr>
    </w:p>
    <w:p>
      <w:pPr>
        <w:ind w:left="300" w:hanging="164"/>
        <w:spacing w:after="0"/>
        <w:tabs>
          <w:tab w:leader="none" w:pos="300" w:val="left"/>
        </w:tabs>
        <w:numPr>
          <w:ilvl w:val="0"/>
          <w:numId w:val="44"/>
        </w:numPr>
        <w:rPr>
          <w:rFonts w:ascii="Arial" w:cs="Arial" w:eastAsia="Arial" w:hAnsi="Arial"/>
          <w:sz w:val="20"/>
          <w:szCs w:val="20"/>
          <w:color w:val="582C83"/>
        </w:rPr>
      </w:pPr>
      <w:r>
        <w:rPr>
          <w:rFonts w:ascii="Arial" w:cs="Arial" w:eastAsia="Arial" w:hAnsi="Arial"/>
          <w:sz w:val="20"/>
          <w:szCs w:val="20"/>
          <w:color w:val="auto"/>
        </w:rPr>
        <w:t>The U.S. and non-U.S. tax regulatory environment; and</w:t>
      </w:r>
    </w:p>
    <w:p>
      <w:pPr>
        <w:spacing w:after="0" w:line="55" w:lineRule="exact"/>
        <w:rPr>
          <w:rFonts w:ascii="Arial" w:cs="Arial" w:eastAsia="Arial" w:hAnsi="Arial"/>
          <w:sz w:val="20"/>
          <w:szCs w:val="20"/>
          <w:color w:val="582C83"/>
        </w:rPr>
      </w:pPr>
    </w:p>
    <w:p>
      <w:pPr>
        <w:ind w:left="300" w:hanging="164"/>
        <w:spacing w:after="0"/>
        <w:tabs>
          <w:tab w:leader="none" w:pos="300" w:val="left"/>
        </w:tabs>
        <w:numPr>
          <w:ilvl w:val="0"/>
          <w:numId w:val="44"/>
        </w:numPr>
        <w:rPr>
          <w:rFonts w:ascii="Arial" w:cs="Arial" w:eastAsia="Arial" w:hAnsi="Arial"/>
          <w:sz w:val="20"/>
          <w:szCs w:val="20"/>
          <w:color w:val="582C83"/>
        </w:rPr>
      </w:pPr>
      <w:r>
        <w:rPr>
          <w:rFonts w:ascii="Arial" w:cs="Arial" w:eastAsia="Arial" w:hAnsi="Arial"/>
          <w:sz w:val="20"/>
          <w:szCs w:val="20"/>
          <w:color w:val="auto"/>
        </w:rPr>
        <w:t>External ratings related to the performance of our duties of oversight.</w:t>
      </w:r>
    </w:p>
    <w:p>
      <w:pPr>
        <w:spacing w:after="0" w:line="167" w:lineRule="exact"/>
        <w:rPr>
          <w:sz w:val="20"/>
          <w:szCs w:val="20"/>
          <w:color w:val="auto"/>
        </w:rPr>
      </w:pPr>
    </w:p>
    <w:p>
      <w:pPr>
        <w:ind w:left="140" w:right="400"/>
        <w:spacing w:after="0" w:line="268" w:lineRule="auto"/>
        <w:rPr>
          <w:sz w:val="20"/>
          <w:szCs w:val="20"/>
          <w:color w:val="auto"/>
        </w:rPr>
      </w:pPr>
      <w:r>
        <w:rPr>
          <w:rFonts w:ascii="Arial" w:cs="Arial" w:eastAsia="Arial" w:hAnsi="Arial"/>
          <w:sz w:val="20"/>
          <w:szCs w:val="20"/>
          <w:color w:val="auto"/>
        </w:rPr>
        <w:t>Before Mondelēz International filed its Annual Report on Form 10-K for the year ended December 31, 2022, with the SEC, we also:</w:t>
      </w:r>
    </w:p>
    <w:p>
      <w:pPr>
        <w:spacing w:after="0" w:line="33" w:lineRule="exact"/>
        <w:rPr>
          <w:sz w:val="20"/>
          <w:szCs w:val="20"/>
          <w:color w:val="auto"/>
        </w:rPr>
      </w:pPr>
    </w:p>
    <w:p>
      <w:pPr>
        <w:ind w:left="300" w:right="880" w:hanging="164"/>
        <w:spacing w:after="0" w:line="265" w:lineRule="auto"/>
        <w:tabs>
          <w:tab w:leader="none" w:pos="300" w:val="left"/>
        </w:tabs>
        <w:numPr>
          <w:ilvl w:val="0"/>
          <w:numId w:val="45"/>
        </w:numPr>
        <w:rPr>
          <w:rFonts w:ascii="Arial" w:cs="Arial" w:eastAsia="Arial" w:hAnsi="Arial"/>
          <w:sz w:val="20"/>
          <w:szCs w:val="20"/>
          <w:color w:val="582C83"/>
        </w:rPr>
      </w:pPr>
      <w:r>
        <w:rPr>
          <w:rFonts w:ascii="Arial" w:cs="Arial" w:eastAsia="Arial" w:hAnsi="Arial"/>
          <w:sz w:val="20"/>
          <w:szCs w:val="20"/>
          <w:color w:val="auto"/>
        </w:rPr>
        <w:t>Reviewed and discussed the audited financial statements with management and the independent registered public accountants;</w:t>
      </w:r>
    </w:p>
    <w:p>
      <w:pPr>
        <w:spacing w:after="0" w:line="1" w:lineRule="exact"/>
        <w:rPr>
          <w:rFonts w:ascii="Arial" w:cs="Arial" w:eastAsia="Arial" w:hAnsi="Arial"/>
          <w:sz w:val="20"/>
          <w:szCs w:val="20"/>
          <w:color w:val="582C83"/>
        </w:rPr>
      </w:pPr>
    </w:p>
    <w:p>
      <w:pPr>
        <w:ind w:left="300" w:right="180" w:hanging="164"/>
        <w:spacing w:after="0" w:line="250" w:lineRule="auto"/>
        <w:tabs>
          <w:tab w:leader="none" w:pos="300" w:val="left"/>
        </w:tabs>
        <w:numPr>
          <w:ilvl w:val="0"/>
          <w:numId w:val="45"/>
        </w:numPr>
        <w:rPr>
          <w:rFonts w:ascii="Arial" w:cs="Arial" w:eastAsia="Arial" w:hAnsi="Arial"/>
          <w:sz w:val="20"/>
          <w:szCs w:val="20"/>
          <w:color w:val="582C83"/>
        </w:rPr>
      </w:pPr>
      <w:r>
        <w:rPr>
          <w:rFonts w:ascii="Arial" w:cs="Arial" w:eastAsia="Arial" w:hAnsi="Arial"/>
          <w:sz w:val="20"/>
          <w:szCs w:val="20"/>
          <w:color w:val="auto"/>
        </w:rPr>
        <w:t>Discussed with the independent registered public accountants the items the independent registered public accountants are required to communicate to the Audit Committee in accordance with the applicable requirements of the Public Company Accounting Oversight Board and the SEC;</w:t>
      </w:r>
    </w:p>
    <w:p>
      <w:pPr>
        <w:spacing w:after="0" w:line="13" w:lineRule="exact"/>
        <w:rPr>
          <w:rFonts w:ascii="Arial" w:cs="Arial" w:eastAsia="Arial" w:hAnsi="Arial"/>
          <w:sz w:val="20"/>
          <w:szCs w:val="20"/>
          <w:color w:val="582C83"/>
        </w:rPr>
      </w:pPr>
    </w:p>
    <w:p>
      <w:pPr>
        <w:ind w:left="300" w:right="300" w:hanging="164"/>
        <w:spacing w:after="0" w:line="250" w:lineRule="auto"/>
        <w:tabs>
          <w:tab w:leader="none" w:pos="300" w:val="left"/>
        </w:tabs>
        <w:numPr>
          <w:ilvl w:val="0"/>
          <w:numId w:val="45"/>
        </w:numPr>
        <w:rPr>
          <w:rFonts w:ascii="Arial" w:cs="Arial" w:eastAsia="Arial" w:hAnsi="Arial"/>
          <w:sz w:val="20"/>
          <w:szCs w:val="20"/>
          <w:color w:val="582C83"/>
        </w:rPr>
      </w:pPr>
      <w:r>
        <w:rPr>
          <w:rFonts w:ascii="Arial" w:cs="Arial" w:eastAsia="Arial" w:hAnsi="Arial"/>
          <w:sz w:val="20"/>
          <w:szCs w:val="20"/>
          <w:color w:val="auto"/>
        </w:rPr>
        <w:t>Received from the independent registered public accountants the written disclosures and the letter required by applicable requirements of the Public Company Accounting Oversight Board regarding the independent registered public accountants’ communications with us concerning independence; and</w:t>
      </w:r>
    </w:p>
    <w:p>
      <w:pPr>
        <w:spacing w:after="0" w:line="13" w:lineRule="exact"/>
        <w:rPr>
          <w:rFonts w:ascii="Arial" w:cs="Arial" w:eastAsia="Arial" w:hAnsi="Arial"/>
          <w:sz w:val="20"/>
          <w:szCs w:val="20"/>
          <w:color w:val="582C83"/>
        </w:rPr>
      </w:pPr>
    </w:p>
    <w:p>
      <w:pPr>
        <w:ind w:left="300" w:right="340" w:hanging="164"/>
        <w:spacing w:after="0" w:line="244" w:lineRule="auto"/>
        <w:tabs>
          <w:tab w:leader="none" w:pos="300" w:val="left"/>
        </w:tabs>
        <w:numPr>
          <w:ilvl w:val="0"/>
          <w:numId w:val="45"/>
        </w:numPr>
        <w:rPr>
          <w:rFonts w:ascii="Arial" w:cs="Arial" w:eastAsia="Arial" w:hAnsi="Arial"/>
          <w:sz w:val="20"/>
          <w:szCs w:val="20"/>
          <w:color w:val="582C83"/>
        </w:rPr>
      </w:pPr>
      <w:r>
        <w:rPr>
          <w:rFonts w:ascii="Arial" w:cs="Arial" w:eastAsia="Arial" w:hAnsi="Arial"/>
          <w:sz w:val="20"/>
          <w:szCs w:val="20"/>
          <w:color w:val="auto"/>
        </w:rPr>
        <w:t>Discussed with the independent registered public accountants their independence from Mondelēz International, including reviewing non-audit services and fees to assure compliance with (i) regulations prohibiting the independent registered public accountants from performing specified services that could impair their independence, and (ii) Mondelēz International’s and the Audit Committee’s policies.</w:t>
      </w:r>
    </w:p>
    <w:p>
      <w:pPr>
        <w:spacing w:after="0" w:line="133" w:lineRule="exact"/>
        <w:rPr>
          <w:sz w:val="20"/>
          <w:szCs w:val="20"/>
          <w:color w:val="auto"/>
        </w:rPr>
      </w:pPr>
    </w:p>
    <w:p>
      <w:pPr>
        <w:ind w:left="140" w:right="140"/>
        <w:spacing w:after="0" w:line="244" w:lineRule="auto"/>
        <w:rPr>
          <w:sz w:val="20"/>
          <w:szCs w:val="20"/>
          <w:color w:val="auto"/>
        </w:rPr>
      </w:pPr>
      <w:r>
        <w:rPr>
          <w:rFonts w:ascii="Arial" w:cs="Arial" w:eastAsia="Arial" w:hAnsi="Arial"/>
          <w:sz w:val="20"/>
          <w:szCs w:val="20"/>
          <w:color w:val="auto"/>
        </w:rPr>
        <w:t>Based upon the review and discussions described in this report and without other independent verification, and subject to the limitations of our role and responsibilities outlined in this report and in our written charter, we recommended to the Board, and the Board approved, that the audited consolidated financial statements be included in Mondelēz International’s Annual Report on Form 10-K for the year ended December 31, 2022, which was filed with the SEC on February 3, 2023.</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Audit Committee:</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Lewis W.K. Booth, Chair</w:t>
      </w:r>
    </w:p>
    <w:p>
      <w:pPr>
        <w:ind w:left="140"/>
        <w:spacing w:after="0" w:line="233" w:lineRule="auto"/>
        <w:rPr>
          <w:sz w:val="20"/>
          <w:szCs w:val="20"/>
          <w:color w:val="auto"/>
        </w:rPr>
      </w:pPr>
      <w:r>
        <w:rPr>
          <w:rFonts w:ascii="Arial" w:cs="Arial" w:eastAsia="Arial" w:hAnsi="Arial"/>
          <w:sz w:val="20"/>
          <w:szCs w:val="20"/>
          <w:color w:val="auto"/>
        </w:rPr>
        <w:t>Jorge S. Mesquita</w:t>
      </w:r>
    </w:p>
    <w:p>
      <w:pPr>
        <w:ind w:left="140"/>
        <w:spacing w:after="0" w:line="233" w:lineRule="auto"/>
        <w:rPr>
          <w:sz w:val="20"/>
          <w:szCs w:val="20"/>
          <w:color w:val="auto"/>
        </w:rPr>
      </w:pPr>
      <w:r>
        <w:rPr>
          <w:rFonts w:ascii="Arial" w:cs="Arial" w:eastAsia="Arial" w:hAnsi="Arial"/>
          <w:sz w:val="20"/>
          <w:szCs w:val="20"/>
          <w:color w:val="auto"/>
        </w:rPr>
        <w:t>Jane Hamilton Nielsen</w:t>
      </w:r>
    </w:p>
    <w:p>
      <w:pPr>
        <w:ind w:left="140"/>
        <w:spacing w:after="0"/>
        <w:rPr>
          <w:sz w:val="20"/>
          <w:szCs w:val="20"/>
          <w:color w:val="auto"/>
        </w:rPr>
      </w:pPr>
      <w:r>
        <w:rPr>
          <w:rFonts w:ascii="Arial" w:cs="Arial" w:eastAsia="Arial" w:hAnsi="Arial"/>
          <w:sz w:val="20"/>
          <w:szCs w:val="20"/>
          <w:color w:val="auto"/>
        </w:rPr>
        <w:t>Michael A. Todman</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PRE-APPROVAL POLICIES</w:t>
      </w:r>
    </w:p>
    <w:p>
      <w:pPr>
        <w:spacing w:after="0" w:line="53" w:lineRule="exact"/>
        <w:rPr>
          <w:sz w:val="20"/>
          <w:szCs w:val="20"/>
          <w:color w:val="auto"/>
        </w:rPr>
      </w:pPr>
    </w:p>
    <w:p>
      <w:pPr>
        <w:ind w:right="100"/>
        <w:spacing w:after="0" w:line="239" w:lineRule="auto"/>
        <w:rPr>
          <w:sz w:val="20"/>
          <w:szCs w:val="20"/>
          <w:color w:val="auto"/>
        </w:rPr>
      </w:pPr>
      <w:r>
        <w:rPr>
          <w:rFonts w:ascii="Arial" w:cs="Arial" w:eastAsia="Arial" w:hAnsi="Arial"/>
          <w:sz w:val="20"/>
          <w:szCs w:val="20"/>
          <w:color w:val="auto"/>
        </w:rPr>
        <w:t>The Audit Committee’s policy is to pre-approve all audit and non-audit services provided by the independent registered public accountants. Non-audit services may include audit-related services and tax services, among others. The pre-approval authority details the particular service or category of service that the independent registered public accountants will perform. Management reports to the Audit Committee on the actual fees charged by the independent registered public accountants for each category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43115"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4" w:name="page55"/>
    <w:bookmarkEnd w:id="54"/>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0" w:right="60"/>
        <w:spacing w:after="0" w:line="241" w:lineRule="auto"/>
        <w:rPr>
          <w:sz w:val="20"/>
          <w:szCs w:val="20"/>
          <w:color w:val="auto"/>
        </w:rPr>
      </w:pPr>
      <w:r>
        <w:rPr>
          <w:rFonts w:ascii="Arial" w:cs="Arial" w:eastAsia="Arial" w:hAnsi="Arial"/>
          <w:sz w:val="20"/>
          <w:szCs w:val="20"/>
          <w:color w:val="auto"/>
        </w:rPr>
        <w:t>During the year, circumstances may arise when it becomes necessary to engage the independent registered public accountants for additional services not contemplated in the original pre-approval authority. In those instances, the committee approves the services before we engage the independent registered public accountants. In case approval is needed before a scheduled committee meeting, the committee has delegated pre-approval authority to its Chair. The</w:t>
      </w:r>
      <w:r>
        <w:rPr>
          <w:rFonts w:ascii="Times New Roman" w:cs="Times New Roman" w:eastAsia="Times New Roman" w:hAnsi="Times New Roman"/>
          <w:sz w:val="20"/>
          <w:szCs w:val="20"/>
          <w:color w:val="auto"/>
        </w:rPr>
        <w:t> </w:t>
      </w:r>
      <w:r>
        <w:rPr>
          <w:rFonts w:ascii="Arial" w:cs="Arial" w:eastAsia="Arial" w:hAnsi="Arial"/>
          <w:sz w:val="20"/>
          <w:szCs w:val="20"/>
          <w:color w:val="auto"/>
        </w:rPr>
        <w:t>Chair must report on such pre-approval decisions at the committee’s next regular meeting.</w:t>
      </w:r>
    </w:p>
    <w:p>
      <w:pPr>
        <w:spacing w:after="0" w:line="136" w:lineRule="exact"/>
        <w:rPr>
          <w:sz w:val="20"/>
          <w:szCs w:val="20"/>
          <w:color w:val="auto"/>
        </w:rPr>
      </w:pPr>
    </w:p>
    <w:p>
      <w:pPr>
        <w:ind w:left="20" w:right="800"/>
        <w:spacing w:after="0" w:line="268" w:lineRule="auto"/>
        <w:rPr>
          <w:sz w:val="20"/>
          <w:szCs w:val="20"/>
          <w:color w:val="auto"/>
        </w:rPr>
      </w:pPr>
      <w:r>
        <w:rPr>
          <w:rFonts w:ascii="Arial" w:cs="Arial" w:eastAsia="Arial" w:hAnsi="Arial"/>
          <w:sz w:val="20"/>
          <w:szCs w:val="20"/>
          <w:color w:val="auto"/>
        </w:rPr>
        <w:t>The Audit Committee pre-approved all 2022 audit and non-audit services provided by the independent registered public accountants.</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2C83"/>
        </w:rPr>
        <w:t>INDEPENDENT REGISTERED PUBLIC ACCOUNTANTS’ FEES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aggregate fees for professional services provided to us by our independent registered public accountants,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20"/>
          <w:szCs w:val="20"/>
          <w:color w:val="auto"/>
        </w:rPr>
        <w:t>PricewaterhouseCoopers LLP, for 2022 and 2021 were:</w:t>
      </w:r>
    </w:p>
    <w:p>
      <w:pPr>
        <w:spacing w:after="0" w:line="210" w:lineRule="exact"/>
        <w:rPr>
          <w:sz w:val="20"/>
          <w:szCs w:val="20"/>
          <w:color w:val="auto"/>
        </w:rPr>
      </w:pPr>
    </w:p>
    <w:tbl>
      <w:tblPr>
        <w:tblLayout w:type="fixed"/>
        <w:tblInd w:w="30" w:type="dxa"/>
        <w:tblCellMar>
          <w:top w:w="0" w:type="dxa"/>
          <w:left w:w="0" w:type="dxa"/>
          <w:bottom w:w="0" w:type="dxa"/>
          <w:right w:w="0" w:type="dxa"/>
        </w:tblCellMar>
      </w:tblPr>
      <w:tr>
        <w:trPr>
          <w:trHeight w:val="241"/>
        </w:trPr>
        <w:tc>
          <w:tcPr>
            <w:tcW w:w="8920" w:type="dxa"/>
            <w:vAlign w:val="bottom"/>
            <w:tcBorders>
              <w:bottom w:val="single" w:sz="8" w:color="582C83"/>
            </w:tcBorders>
          </w:tcPr>
          <w:p>
            <w:pPr>
              <w:spacing w:after="0"/>
              <w:rPr>
                <w:sz w:val="20"/>
                <w:szCs w:val="20"/>
                <w:color w:val="auto"/>
              </w:rPr>
            </w:pPr>
          </w:p>
        </w:tc>
        <w:tc>
          <w:tcPr>
            <w:tcW w:w="1220" w:type="dxa"/>
            <w:vAlign w:val="bottom"/>
            <w:tcBorders>
              <w:bottom w:val="single" w:sz="8" w:color="582C83"/>
            </w:tcBorders>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1120" w:type="dxa"/>
            <w:vAlign w:val="bottom"/>
            <w:tcBorders>
              <w:bottom w:val="single" w:sz="8" w:color="582C83"/>
            </w:tcBorders>
          </w:tcPr>
          <w:p>
            <w:pPr>
              <w:jc w:val="right"/>
              <w:ind w:right="39"/>
              <w:spacing w:after="0"/>
              <w:rPr>
                <w:sz w:val="20"/>
                <w:szCs w:val="20"/>
                <w:color w:val="auto"/>
              </w:rPr>
            </w:pPr>
            <w:r>
              <w:rPr>
                <w:rFonts w:ascii="Arial" w:cs="Arial" w:eastAsia="Arial" w:hAnsi="Arial"/>
                <w:sz w:val="16"/>
                <w:szCs w:val="16"/>
                <w:b w:val="1"/>
                <w:bCs w:val="1"/>
                <w:color w:val="auto"/>
              </w:rPr>
              <w:t>2021</w:t>
            </w:r>
          </w:p>
        </w:tc>
      </w:tr>
      <w:tr>
        <w:trPr>
          <w:trHeight w:val="291"/>
        </w:trPr>
        <w:tc>
          <w:tcPr>
            <w:tcW w:w="892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Audit Fees</w:t>
            </w:r>
          </w:p>
        </w:tc>
        <w:tc>
          <w:tcPr>
            <w:tcW w:w="1220" w:type="dxa"/>
            <w:vAlign w:val="bottom"/>
            <w:tcBorders>
              <w:bottom w:val="single" w:sz="8" w:color="EBE6F0"/>
            </w:tcBorders>
            <w:shd w:val="clear" w:color="auto" w:fill="EBE6F0"/>
          </w:tcPr>
          <w:p>
            <w:pPr>
              <w:jc w:val="right"/>
              <w:ind w:right="159"/>
              <w:spacing w:after="0"/>
              <w:rPr>
                <w:sz w:val="20"/>
                <w:szCs w:val="20"/>
                <w:color w:val="auto"/>
              </w:rPr>
            </w:pPr>
            <w:r>
              <w:rPr>
                <w:rFonts w:ascii="Arial" w:cs="Arial" w:eastAsia="Arial" w:hAnsi="Arial"/>
                <w:sz w:val="16"/>
                <w:szCs w:val="16"/>
                <w:color w:val="auto"/>
              </w:rPr>
              <w:t>$15,442,000</w:t>
            </w:r>
          </w:p>
        </w:tc>
        <w:tc>
          <w:tcPr>
            <w:tcW w:w="1120" w:type="dxa"/>
            <w:vAlign w:val="bottom"/>
            <w:tcBorders>
              <w:bottom w:val="single" w:sz="8" w:color="EBE6F0"/>
              <w:right w:val="single" w:sz="8" w:color="EBE6F0"/>
            </w:tcBorders>
            <w:shd w:val="clear" w:color="auto" w:fill="EBE6F0"/>
          </w:tcPr>
          <w:p>
            <w:pPr>
              <w:jc w:val="right"/>
              <w:ind w:right="39"/>
              <w:spacing w:after="0"/>
              <w:rPr>
                <w:sz w:val="20"/>
                <w:szCs w:val="20"/>
                <w:color w:val="auto"/>
              </w:rPr>
            </w:pPr>
            <w:r>
              <w:rPr>
                <w:rFonts w:ascii="Arial" w:cs="Arial" w:eastAsia="Arial" w:hAnsi="Arial"/>
                <w:sz w:val="16"/>
                <w:szCs w:val="16"/>
                <w:color w:val="auto"/>
              </w:rPr>
              <w:t>$16,149,000</w:t>
            </w:r>
          </w:p>
        </w:tc>
      </w:tr>
      <w:tr>
        <w:trPr>
          <w:trHeight w:val="243"/>
        </w:trPr>
        <w:tc>
          <w:tcPr>
            <w:tcW w:w="892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Audit-Related Fees</w:t>
            </w:r>
          </w:p>
        </w:tc>
        <w:tc>
          <w:tcPr>
            <w:tcW w:w="1220" w:type="dxa"/>
            <w:vAlign w:val="bottom"/>
            <w:tcBorders>
              <w:top w:val="single" w:sz="8" w:color="582C83"/>
            </w:tcBorders>
          </w:tcPr>
          <w:p>
            <w:pPr>
              <w:jc w:val="right"/>
              <w:ind w:right="159"/>
              <w:spacing w:after="0"/>
              <w:rPr>
                <w:sz w:val="20"/>
                <w:szCs w:val="20"/>
                <w:color w:val="auto"/>
              </w:rPr>
            </w:pPr>
            <w:r>
              <w:rPr>
                <w:rFonts w:ascii="Arial" w:cs="Arial" w:eastAsia="Arial" w:hAnsi="Arial"/>
                <w:sz w:val="16"/>
                <w:szCs w:val="16"/>
                <w:color w:val="auto"/>
              </w:rPr>
              <w:t>2,064,000</w:t>
            </w:r>
          </w:p>
        </w:tc>
        <w:tc>
          <w:tcPr>
            <w:tcW w:w="1120" w:type="dxa"/>
            <w:vAlign w:val="bottom"/>
            <w:tcBorders>
              <w:top w:val="single" w:sz="8" w:color="582C83"/>
            </w:tcBorders>
          </w:tcPr>
          <w:p>
            <w:pPr>
              <w:jc w:val="right"/>
              <w:ind w:right="39"/>
              <w:spacing w:after="0"/>
              <w:rPr>
                <w:sz w:val="20"/>
                <w:szCs w:val="20"/>
                <w:color w:val="auto"/>
              </w:rPr>
            </w:pPr>
            <w:r>
              <w:rPr>
                <w:rFonts w:ascii="Arial" w:cs="Arial" w:eastAsia="Arial" w:hAnsi="Arial"/>
                <w:sz w:val="16"/>
                <w:szCs w:val="16"/>
                <w:color w:val="auto"/>
              </w:rPr>
              <w:t>719,000</w:t>
            </w:r>
          </w:p>
        </w:tc>
      </w:tr>
      <w:tr>
        <w:trPr>
          <w:trHeight w:val="35"/>
        </w:trPr>
        <w:tc>
          <w:tcPr>
            <w:tcW w:w="8920" w:type="dxa"/>
            <w:vAlign w:val="bottom"/>
            <w:tcBorders>
              <w:bottom w:val="single" w:sz="8" w:color="582C83"/>
            </w:tcBorders>
          </w:tcPr>
          <w:p>
            <w:pPr>
              <w:spacing w:after="0"/>
              <w:rPr>
                <w:sz w:val="3"/>
                <w:szCs w:val="3"/>
                <w:color w:val="auto"/>
              </w:rPr>
            </w:pPr>
          </w:p>
        </w:tc>
        <w:tc>
          <w:tcPr>
            <w:tcW w:w="122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r>
      <w:tr>
        <w:trPr>
          <w:trHeight w:val="283"/>
        </w:trPr>
        <w:tc>
          <w:tcPr>
            <w:tcW w:w="892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Tax Fees</w:t>
            </w:r>
          </w:p>
        </w:tc>
        <w:tc>
          <w:tcPr>
            <w:tcW w:w="1220" w:type="dxa"/>
            <w:vAlign w:val="bottom"/>
            <w:tcBorders>
              <w:bottom w:val="single" w:sz="8" w:color="EBE6F0"/>
            </w:tcBorders>
            <w:shd w:val="clear" w:color="auto" w:fill="EBE6F0"/>
          </w:tcPr>
          <w:p>
            <w:pPr>
              <w:jc w:val="right"/>
              <w:ind w:right="159"/>
              <w:spacing w:after="0"/>
              <w:rPr>
                <w:sz w:val="20"/>
                <w:szCs w:val="20"/>
                <w:color w:val="auto"/>
              </w:rPr>
            </w:pPr>
            <w:r>
              <w:rPr>
                <w:rFonts w:ascii="Arial" w:cs="Arial" w:eastAsia="Arial" w:hAnsi="Arial"/>
                <w:sz w:val="16"/>
                <w:szCs w:val="16"/>
                <w:color w:val="auto"/>
              </w:rPr>
              <w:t>206,000</w:t>
            </w:r>
          </w:p>
        </w:tc>
        <w:tc>
          <w:tcPr>
            <w:tcW w:w="1120" w:type="dxa"/>
            <w:vAlign w:val="bottom"/>
            <w:tcBorders>
              <w:bottom w:val="single" w:sz="8" w:color="EBE6F0"/>
              <w:right w:val="single" w:sz="8" w:color="EBE6F0"/>
            </w:tcBorders>
            <w:shd w:val="clear" w:color="auto" w:fill="EBE6F0"/>
          </w:tcPr>
          <w:p>
            <w:pPr>
              <w:jc w:val="right"/>
              <w:ind w:right="39"/>
              <w:spacing w:after="0"/>
              <w:rPr>
                <w:sz w:val="20"/>
                <w:szCs w:val="20"/>
                <w:color w:val="auto"/>
              </w:rPr>
            </w:pPr>
            <w:r>
              <w:rPr>
                <w:rFonts w:ascii="Arial" w:cs="Arial" w:eastAsia="Arial" w:hAnsi="Arial"/>
                <w:sz w:val="16"/>
                <w:szCs w:val="16"/>
                <w:color w:val="auto"/>
              </w:rPr>
              <w:t>186,000</w:t>
            </w:r>
          </w:p>
        </w:tc>
      </w:tr>
      <w:tr>
        <w:trPr>
          <w:trHeight w:val="243"/>
        </w:trPr>
        <w:tc>
          <w:tcPr>
            <w:tcW w:w="892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All Other Fees</w:t>
            </w:r>
          </w:p>
        </w:tc>
        <w:tc>
          <w:tcPr>
            <w:tcW w:w="1220" w:type="dxa"/>
            <w:vAlign w:val="bottom"/>
            <w:tcBorders>
              <w:top w:val="single" w:sz="8" w:color="582C83"/>
            </w:tcBorders>
          </w:tcPr>
          <w:p>
            <w:pPr>
              <w:jc w:val="right"/>
              <w:ind w:right="159"/>
              <w:spacing w:after="0"/>
              <w:rPr>
                <w:sz w:val="20"/>
                <w:szCs w:val="20"/>
                <w:color w:val="auto"/>
              </w:rPr>
            </w:pPr>
            <w:r>
              <w:rPr>
                <w:rFonts w:ascii="Arial" w:cs="Arial" w:eastAsia="Arial" w:hAnsi="Arial"/>
                <w:sz w:val="16"/>
                <w:szCs w:val="16"/>
                <w:color w:val="auto"/>
              </w:rPr>
              <w:t>15,000</w:t>
            </w:r>
          </w:p>
        </w:tc>
        <w:tc>
          <w:tcPr>
            <w:tcW w:w="1120" w:type="dxa"/>
            <w:vAlign w:val="bottom"/>
            <w:tcBorders>
              <w:top w:val="single" w:sz="8" w:color="582C83"/>
            </w:tcBorders>
          </w:tcPr>
          <w:p>
            <w:pPr>
              <w:jc w:val="right"/>
              <w:ind w:right="39"/>
              <w:spacing w:after="0"/>
              <w:rPr>
                <w:sz w:val="20"/>
                <w:szCs w:val="20"/>
                <w:color w:val="auto"/>
              </w:rPr>
            </w:pPr>
            <w:r>
              <w:rPr>
                <w:rFonts w:ascii="Arial" w:cs="Arial" w:eastAsia="Arial" w:hAnsi="Arial"/>
                <w:sz w:val="16"/>
                <w:szCs w:val="16"/>
                <w:color w:val="auto"/>
              </w:rPr>
              <w:t>30,000</w:t>
            </w:r>
          </w:p>
        </w:tc>
      </w:tr>
      <w:tr>
        <w:trPr>
          <w:trHeight w:val="35"/>
        </w:trPr>
        <w:tc>
          <w:tcPr>
            <w:tcW w:w="8920" w:type="dxa"/>
            <w:vAlign w:val="bottom"/>
            <w:tcBorders>
              <w:bottom w:val="single" w:sz="8" w:color="582C83"/>
            </w:tcBorders>
          </w:tcPr>
          <w:p>
            <w:pPr>
              <w:spacing w:after="0"/>
              <w:rPr>
                <w:sz w:val="3"/>
                <w:szCs w:val="3"/>
                <w:color w:val="auto"/>
              </w:rPr>
            </w:pPr>
          </w:p>
        </w:tc>
        <w:tc>
          <w:tcPr>
            <w:tcW w:w="122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r>
      <w:tr>
        <w:trPr>
          <w:trHeight w:val="258"/>
        </w:trPr>
        <w:tc>
          <w:tcPr>
            <w:tcW w:w="892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582C83"/>
              </w:rPr>
              <w:t>Total</w:t>
            </w:r>
          </w:p>
        </w:tc>
        <w:tc>
          <w:tcPr>
            <w:tcW w:w="1220" w:type="dxa"/>
            <w:vAlign w:val="bottom"/>
            <w:tcBorders>
              <w:bottom w:val="single" w:sz="8" w:color="EBE6F0"/>
            </w:tcBorders>
            <w:shd w:val="clear" w:color="auto" w:fill="EBE6F0"/>
          </w:tcPr>
          <w:p>
            <w:pPr>
              <w:jc w:val="right"/>
              <w:ind w:right="159"/>
              <w:spacing w:after="0"/>
              <w:rPr>
                <w:sz w:val="20"/>
                <w:szCs w:val="20"/>
                <w:color w:val="auto"/>
              </w:rPr>
            </w:pPr>
            <w:r>
              <w:rPr>
                <w:rFonts w:ascii="Arial" w:cs="Arial" w:eastAsia="Arial" w:hAnsi="Arial"/>
                <w:sz w:val="16"/>
                <w:szCs w:val="16"/>
                <w:b w:val="1"/>
                <w:bCs w:val="1"/>
                <w:color w:val="582C83"/>
              </w:rPr>
              <w:t>$17,727,000</w:t>
            </w:r>
          </w:p>
        </w:tc>
        <w:tc>
          <w:tcPr>
            <w:tcW w:w="1120" w:type="dxa"/>
            <w:vAlign w:val="bottom"/>
            <w:tcBorders>
              <w:bottom w:val="single" w:sz="8" w:color="EBE6F0"/>
              <w:right w:val="single" w:sz="8" w:color="EBE6F0"/>
            </w:tcBorders>
            <w:shd w:val="clear" w:color="auto" w:fill="EBE6F0"/>
          </w:tcPr>
          <w:p>
            <w:pPr>
              <w:jc w:val="right"/>
              <w:ind w:right="39"/>
              <w:spacing w:after="0"/>
              <w:rPr>
                <w:sz w:val="20"/>
                <w:szCs w:val="20"/>
                <w:color w:val="auto"/>
              </w:rPr>
            </w:pPr>
            <w:r>
              <w:rPr>
                <w:rFonts w:ascii="Arial" w:cs="Arial" w:eastAsia="Arial" w:hAnsi="Arial"/>
                <w:sz w:val="16"/>
                <w:szCs w:val="16"/>
                <w:b w:val="1"/>
                <w:bCs w:val="1"/>
                <w:color w:val="582C83"/>
              </w:rPr>
              <w:t>$17,084,000</w:t>
            </w:r>
          </w:p>
        </w:tc>
      </w:tr>
      <w:tr>
        <w:trPr>
          <w:trHeight w:val="20"/>
        </w:trPr>
        <w:tc>
          <w:tcPr>
            <w:tcW w:w="8920" w:type="dxa"/>
            <w:vAlign w:val="bottom"/>
            <w:tcBorders>
              <w:left w:val="single" w:sz="8" w:color="EBE6F0"/>
            </w:tcBorders>
            <w:shd w:val="clear" w:color="auto" w:fill="582C83"/>
          </w:tcPr>
          <w:p>
            <w:pPr>
              <w:spacing w:after="0" w:line="20" w:lineRule="exact"/>
              <w:rPr>
                <w:sz w:val="1"/>
                <w:szCs w:val="1"/>
                <w:color w:val="auto"/>
              </w:rPr>
            </w:pPr>
          </w:p>
        </w:tc>
        <w:tc>
          <w:tcPr>
            <w:tcW w:w="1220" w:type="dxa"/>
            <w:vAlign w:val="bottom"/>
            <w:shd w:val="clear" w:color="auto" w:fill="582C83"/>
          </w:tcPr>
          <w:p>
            <w:pPr>
              <w:spacing w:after="0" w:line="20" w:lineRule="exact"/>
              <w:rPr>
                <w:sz w:val="1"/>
                <w:szCs w:val="1"/>
                <w:color w:val="auto"/>
              </w:rPr>
            </w:pPr>
          </w:p>
        </w:tc>
        <w:tc>
          <w:tcPr>
            <w:tcW w:w="1120" w:type="dxa"/>
            <w:vAlign w:val="bottom"/>
            <w:tcBorders>
              <w:right w:val="single" w:sz="8" w:color="EBE6F0"/>
            </w:tcBorders>
            <w:shd w:val="clear" w:color="auto" w:fill="582C83"/>
          </w:tcPr>
          <w:p>
            <w:pPr>
              <w:spacing w:after="0" w:line="20" w:lineRule="exact"/>
              <w:rPr>
                <w:sz w:val="1"/>
                <w:szCs w:val="1"/>
                <w:color w:val="auto"/>
              </w:rPr>
            </w:pPr>
          </w:p>
        </w:tc>
      </w:tr>
    </w:tbl>
    <w:p>
      <w:pPr>
        <w:spacing w:after="0" w:line="148" w:lineRule="exact"/>
        <w:rPr>
          <w:sz w:val="20"/>
          <w:szCs w:val="20"/>
          <w:color w:val="auto"/>
        </w:rPr>
      </w:pPr>
    </w:p>
    <w:p>
      <w:pPr>
        <w:ind w:left="20" w:right="340"/>
        <w:spacing w:after="0" w:line="250" w:lineRule="auto"/>
        <w:rPr>
          <w:sz w:val="20"/>
          <w:szCs w:val="20"/>
          <w:color w:val="auto"/>
        </w:rPr>
      </w:pPr>
      <w:r>
        <w:rPr>
          <w:rFonts w:ascii="Arial" w:cs="Arial" w:eastAsia="Arial" w:hAnsi="Arial"/>
          <w:sz w:val="20"/>
          <w:szCs w:val="20"/>
          <w:color w:val="auto"/>
        </w:rPr>
        <w:t>Audit Fees include: (a) the integrated audit of our consolidated financial statements, including statutory audits of the financial statements of our affiliates and our internal control over financial reporting; and (b) the reviews of our unaudited condensed consolidated interim financial statements (quarterly financial statements).</w:t>
      </w:r>
    </w:p>
    <w:p>
      <w:pPr>
        <w:spacing w:after="0" w:line="126" w:lineRule="exact"/>
        <w:rPr>
          <w:sz w:val="20"/>
          <w:szCs w:val="20"/>
          <w:color w:val="auto"/>
        </w:rPr>
      </w:pPr>
    </w:p>
    <w:p>
      <w:pPr>
        <w:ind w:left="20" w:right="600"/>
        <w:spacing w:after="0" w:line="268" w:lineRule="auto"/>
        <w:rPr>
          <w:sz w:val="20"/>
          <w:szCs w:val="20"/>
          <w:color w:val="auto"/>
        </w:rPr>
      </w:pPr>
      <w:r>
        <w:rPr>
          <w:rFonts w:ascii="Arial" w:cs="Arial" w:eastAsia="Arial" w:hAnsi="Arial"/>
          <w:sz w:val="20"/>
          <w:szCs w:val="20"/>
          <w:color w:val="auto"/>
        </w:rPr>
        <w:t>Audit-Related Fees include professional services in connection with audits of carve-out financial statements, financial due diligence services, employee benefit plan audits and various other audit and special reports.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20"/>
          <w:szCs w:val="20"/>
          <w:color w:val="auto"/>
        </w:rPr>
        <w:t>Tax Fees include professional services in connection with tax compliance and advice.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All Other Fees include fees for seminars and use of accounting research and reporting tools.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All fees above include out-of-pocket expenses.</w:t>
      </w:r>
    </w:p>
    <w:p>
      <w:pPr>
        <w:spacing w:after="0" w:line="180"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Finance Committee</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2C83"/>
        </w:rPr>
        <w:t>RESPONSIBILITIES</w:t>
      </w:r>
    </w:p>
    <w:p>
      <w:pPr>
        <w:spacing w:after="0" w:line="94" w:lineRule="exact"/>
        <w:rPr>
          <w:sz w:val="20"/>
          <w:szCs w:val="20"/>
          <w:color w:val="auto"/>
        </w:rPr>
      </w:pPr>
    </w:p>
    <w:p>
      <w:pPr>
        <w:ind w:left="20" w:right="220"/>
        <w:spacing w:after="0" w:line="268" w:lineRule="auto"/>
        <w:rPr>
          <w:sz w:val="20"/>
          <w:szCs w:val="20"/>
          <w:color w:val="auto"/>
        </w:rPr>
      </w:pPr>
      <w:r>
        <w:rPr>
          <w:rFonts w:ascii="Arial" w:cs="Arial" w:eastAsia="Arial" w:hAnsi="Arial"/>
          <w:sz w:val="20"/>
          <w:szCs w:val="20"/>
          <w:color w:val="auto"/>
        </w:rPr>
        <w:t>The Finance Committee’s responsibilities include reviewing and making recommendations to the Board on significant financial matters, including:</w:t>
      </w:r>
    </w:p>
    <w:p>
      <w:pPr>
        <w:spacing w:after="0" w:line="107" w:lineRule="exact"/>
        <w:rPr>
          <w:sz w:val="20"/>
          <w:szCs w:val="20"/>
          <w:color w:val="auto"/>
        </w:rPr>
      </w:pPr>
    </w:p>
    <w:p>
      <w:pPr>
        <w:ind w:left="180" w:right="60" w:hanging="161"/>
        <w:spacing w:after="0" w:line="268" w:lineRule="auto"/>
        <w:tabs>
          <w:tab w:leader="none" w:pos="180" w:val="left"/>
        </w:tabs>
        <w:numPr>
          <w:ilvl w:val="0"/>
          <w:numId w:val="46"/>
        </w:numPr>
        <w:rPr>
          <w:rFonts w:ascii="Arial" w:cs="Arial" w:eastAsia="Arial" w:hAnsi="Arial"/>
          <w:sz w:val="20"/>
          <w:szCs w:val="20"/>
          <w:color w:val="582C83"/>
        </w:rPr>
      </w:pPr>
      <w:r>
        <w:rPr>
          <w:rFonts w:ascii="Arial" w:cs="Arial" w:eastAsia="Arial" w:hAnsi="Arial"/>
          <w:sz w:val="20"/>
          <w:szCs w:val="20"/>
          <w:color w:val="auto"/>
        </w:rPr>
        <w:t>At least annually, our long-term capital structure, including financing plans, projected financial structure, funding requirements, target credit ratings and return on invested capital;</w:t>
      </w:r>
    </w:p>
    <w:p>
      <w:pPr>
        <w:spacing w:after="0" w:line="107" w:lineRule="exact"/>
        <w:rPr>
          <w:rFonts w:ascii="Arial" w:cs="Arial" w:eastAsia="Arial" w:hAnsi="Arial"/>
          <w:sz w:val="20"/>
          <w:szCs w:val="20"/>
          <w:color w:val="582C83"/>
        </w:rPr>
      </w:pPr>
    </w:p>
    <w:p>
      <w:pPr>
        <w:ind w:left="180" w:hanging="161"/>
        <w:spacing w:after="0"/>
        <w:tabs>
          <w:tab w:leader="none" w:pos="180" w:val="left"/>
        </w:tabs>
        <w:numPr>
          <w:ilvl w:val="0"/>
          <w:numId w:val="46"/>
        </w:numPr>
        <w:rPr>
          <w:rFonts w:ascii="Arial" w:cs="Arial" w:eastAsia="Arial" w:hAnsi="Arial"/>
          <w:sz w:val="20"/>
          <w:szCs w:val="20"/>
          <w:color w:val="582C83"/>
        </w:rPr>
      </w:pPr>
      <w:r>
        <w:rPr>
          <w:rFonts w:ascii="Arial" w:cs="Arial" w:eastAsia="Arial" w:hAnsi="Arial"/>
          <w:sz w:val="20"/>
          <w:szCs w:val="20"/>
          <w:color w:val="auto"/>
        </w:rPr>
        <w:t>Authorization of issuances, sales or repurchases of equity and debt securities;</w:t>
      </w:r>
    </w:p>
    <w:p>
      <w:pPr>
        <w:spacing w:after="0" w:line="167" w:lineRule="exact"/>
        <w:rPr>
          <w:rFonts w:ascii="Arial" w:cs="Arial" w:eastAsia="Arial" w:hAnsi="Arial"/>
          <w:sz w:val="20"/>
          <w:szCs w:val="20"/>
          <w:color w:val="582C83"/>
        </w:rPr>
      </w:pPr>
    </w:p>
    <w:p>
      <w:pPr>
        <w:ind w:left="180" w:hanging="161"/>
        <w:spacing w:after="0"/>
        <w:tabs>
          <w:tab w:leader="none" w:pos="180" w:val="left"/>
        </w:tabs>
        <w:numPr>
          <w:ilvl w:val="0"/>
          <w:numId w:val="46"/>
        </w:numPr>
        <w:rPr>
          <w:rFonts w:ascii="Arial" w:cs="Arial" w:eastAsia="Arial" w:hAnsi="Arial"/>
          <w:sz w:val="20"/>
          <w:szCs w:val="20"/>
          <w:color w:val="582C83"/>
        </w:rPr>
      </w:pPr>
      <w:r>
        <w:rPr>
          <w:rFonts w:ascii="Arial" w:cs="Arial" w:eastAsia="Arial" w:hAnsi="Arial"/>
          <w:sz w:val="20"/>
          <w:szCs w:val="20"/>
          <w:color w:val="auto"/>
        </w:rPr>
        <w:t>Our external dividend policy and dividend recommendations;</w:t>
      </w:r>
    </w:p>
    <w:p>
      <w:pPr>
        <w:spacing w:after="0" w:line="167" w:lineRule="exact"/>
        <w:rPr>
          <w:rFonts w:ascii="Arial" w:cs="Arial" w:eastAsia="Arial" w:hAnsi="Arial"/>
          <w:sz w:val="20"/>
          <w:szCs w:val="20"/>
          <w:color w:val="582C83"/>
        </w:rPr>
      </w:pPr>
    </w:p>
    <w:p>
      <w:pPr>
        <w:ind w:left="180" w:right="700" w:hanging="161"/>
        <w:spacing w:after="0" w:line="268" w:lineRule="auto"/>
        <w:tabs>
          <w:tab w:leader="none" w:pos="180" w:val="left"/>
        </w:tabs>
        <w:numPr>
          <w:ilvl w:val="0"/>
          <w:numId w:val="46"/>
        </w:numPr>
        <w:rPr>
          <w:rFonts w:ascii="Arial" w:cs="Arial" w:eastAsia="Arial" w:hAnsi="Arial"/>
          <w:sz w:val="20"/>
          <w:szCs w:val="20"/>
          <w:color w:val="582C83"/>
        </w:rPr>
      </w:pPr>
      <w:r>
        <w:rPr>
          <w:rFonts w:ascii="Arial" w:cs="Arial" w:eastAsia="Arial" w:hAnsi="Arial"/>
          <w:sz w:val="20"/>
          <w:szCs w:val="20"/>
          <w:color w:val="auto"/>
        </w:rPr>
        <w:t>Proposed acquisitions, divestitures, joint ventures, investments, asset sales and purchase commitments for services in excess of $100 million; and</w:t>
      </w:r>
    </w:p>
    <w:p>
      <w:pPr>
        <w:spacing w:after="0" w:line="107" w:lineRule="exact"/>
        <w:rPr>
          <w:rFonts w:ascii="Arial" w:cs="Arial" w:eastAsia="Arial" w:hAnsi="Arial"/>
          <w:sz w:val="20"/>
          <w:szCs w:val="20"/>
          <w:color w:val="582C83"/>
        </w:rPr>
      </w:pPr>
    </w:p>
    <w:p>
      <w:pPr>
        <w:ind w:left="180" w:hanging="161"/>
        <w:spacing w:after="0"/>
        <w:tabs>
          <w:tab w:leader="none" w:pos="180" w:val="left"/>
        </w:tabs>
        <w:numPr>
          <w:ilvl w:val="0"/>
          <w:numId w:val="46"/>
        </w:numPr>
        <w:rPr>
          <w:rFonts w:ascii="Arial" w:cs="Arial" w:eastAsia="Arial" w:hAnsi="Arial"/>
          <w:sz w:val="20"/>
          <w:szCs w:val="20"/>
          <w:color w:val="582C83"/>
        </w:rPr>
      </w:pPr>
      <w:r>
        <w:rPr>
          <w:rFonts w:ascii="Arial" w:cs="Arial" w:eastAsia="Arial" w:hAnsi="Arial"/>
          <w:sz w:val="20"/>
          <w:szCs w:val="20"/>
          <w:color w:val="auto"/>
        </w:rPr>
        <w:t>Board authorization and delegation levels with respect to financing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130810</wp:posOffset>
            </wp:positionV>
            <wp:extent cx="7143115"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60"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58358F"/>
        </w:rPr>
        <w:t>2023 PROXY STATEMENT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55" w:name="page56"/>
    <w:bookmarkEnd w:id="55"/>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Finance Committee also reviews and discusses with management:</w:t>
      </w:r>
    </w:p>
    <w:p>
      <w:pPr>
        <w:spacing w:after="0" w:line="167" w:lineRule="exact"/>
        <w:rPr>
          <w:sz w:val="20"/>
          <w:szCs w:val="20"/>
          <w:color w:val="auto"/>
        </w:rPr>
      </w:pPr>
    </w:p>
    <w:p>
      <w:pPr>
        <w:ind w:left="180" w:right="60" w:hanging="161"/>
        <w:spacing w:after="0" w:line="268" w:lineRule="auto"/>
        <w:tabs>
          <w:tab w:leader="none" w:pos="180" w:val="left"/>
        </w:tabs>
        <w:numPr>
          <w:ilvl w:val="0"/>
          <w:numId w:val="47"/>
        </w:numPr>
        <w:rPr>
          <w:rFonts w:ascii="Arial" w:cs="Arial" w:eastAsia="Arial" w:hAnsi="Arial"/>
          <w:sz w:val="20"/>
          <w:szCs w:val="20"/>
          <w:color w:val="582C83"/>
        </w:rPr>
      </w:pPr>
      <w:r>
        <w:rPr>
          <w:rFonts w:ascii="Arial" w:cs="Arial" w:eastAsia="Arial" w:hAnsi="Arial"/>
          <w:sz w:val="20"/>
          <w:szCs w:val="20"/>
          <w:color w:val="auto"/>
        </w:rPr>
        <w:t>Results of transactions such as acquisitions, divestitures, joint ventures, investments, asset sales and purchase commitments for services in excess of $100 million; and</w:t>
      </w:r>
    </w:p>
    <w:p>
      <w:pPr>
        <w:spacing w:after="0" w:line="32" w:lineRule="exact"/>
        <w:rPr>
          <w:rFonts w:ascii="Arial" w:cs="Arial" w:eastAsia="Arial" w:hAnsi="Arial"/>
          <w:sz w:val="20"/>
          <w:szCs w:val="20"/>
          <w:color w:val="582C83"/>
        </w:rPr>
      </w:pPr>
    </w:p>
    <w:p>
      <w:pPr>
        <w:ind w:left="180" w:hanging="161"/>
        <w:spacing w:after="0"/>
        <w:tabs>
          <w:tab w:leader="none" w:pos="180" w:val="left"/>
        </w:tabs>
        <w:numPr>
          <w:ilvl w:val="0"/>
          <w:numId w:val="47"/>
        </w:numPr>
        <w:rPr>
          <w:rFonts w:ascii="Arial" w:cs="Arial" w:eastAsia="Arial" w:hAnsi="Arial"/>
          <w:sz w:val="20"/>
          <w:szCs w:val="20"/>
          <w:color w:val="582C83"/>
        </w:rPr>
      </w:pPr>
      <w:r>
        <w:rPr>
          <w:rFonts w:ascii="Arial" w:cs="Arial" w:eastAsia="Arial" w:hAnsi="Arial"/>
          <w:sz w:val="20"/>
          <w:szCs w:val="20"/>
          <w:color w:val="auto"/>
        </w:rPr>
        <w:t>The cash-flow impact of non-debt obligations, including funding pension and other post-retirement benefit plans.</w:t>
      </w:r>
    </w:p>
    <w:p>
      <w:pPr>
        <w:spacing w:after="0" w:line="180"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Governance, Membership and Sustainability Committee</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2C83"/>
        </w:rPr>
        <w:t>RESPONSIBILITIES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Governance Committee’s responsibilities include: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Membership</w:t>
      </w:r>
    </w:p>
    <w:p>
      <w:pPr>
        <w:spacing w:after="0" w:line="56" w:lineRule="exact"/>
        <w:rPr>
          <w:sz w:val="20"/>
          <w:szCs w:val="20"/>
          <w:color w:val="auto"/>
        </w:rPr>
      </w:pPr>
    </w:p>
    <w:p>
      <w:pPr>
        <w:ind w:left="180" w:right="600" w:hanging="161"/>
        <w:spacing w:after="0" w:line="268" w:lineRule="auto"/>
        <w:tabs>
          <w:tab w:leader="none" w:pos="180" w:val="left"/>
        </w:tabs>
        <w:numPr>
          <w:ilvl w:val="0"/>
          <w:numId w:val="48"/>
        </w:numPr>
        <w:rPr>
          <w:rFonts w:ascii="Arial" w:cs="Arial" w:eastAsia="Arial" w:hAnsi="Arial"/>
          <w:sz w:val="20"/>
          <w:szCs w:val="20"/>
          <w:color w:val="582C83"/>
        </w:rPr>
      </w:pPr>
      <w:r>
        <w:rPr>
          <w:rFonts w:ascii="Arial" w:cs="Arial" w:eastAsia="Arial" w:hAnsi="Arial"/>
          <w:sz w:val="20"/>
          <w:szCs w:val="20"/>
          <w:color w:val="auto"/>
        </w:rPr>
        <w:t>At least annually, review the characteristics, skills, knowledge, experience, diversity and other criteria for identifying and evaluating directors and recommend changes to the Board, if any;</w:t>
      </w:r>
    </w:p>
    <w:p>
      <w:pPr>
        <w:spacing w:after="0" w:line="32" w:lineRule="exact"/>
        <w:rPr>
          <w:rFonts w:ascii="Arial" w:cs="Arial" w:eastAsia="Arial" w:hAnsi="Arial"/>
          <w:sz w:val="20"/>
          <w:szCs w:val="20"/>
          <w:color w:val="582C83"/>
        </w:rPr>
      </w:pPr>
    </w:p>
    <w:p>
      <w:pPr>
        <w:ind w:left="180" w:right="200" w:hanging="161"/>
        <w:spacing w:after="0" w:line="268" w:lineRule="auto"/>
        <w:tabs>
          <w:tab w:leader="none" w:pos="180" w:val="left"/>
        </w:tabs>
        <w:numPr>
          <w:ilvl w:val="0"/>
          <w:numId w:val="48"/>
        </w:numPr>
        <w:rPr>
          <w:rFonts w:ascii="Arial" w:cs="Arial" w:eastAsia="Arial" w:hAnsi="Arial"/>
          <w:sz w:val="20"/>
          <w:szCs w:val="20"/>
          <w:color w:val="582C83"/>
        </w:rPr>
      </w:pPr>
      <w:r>
        <w:rPr>
          <w:rFonts w:ascii="Arial" w:cs="Arial" w:eastAsia="Arial" w:hAnsi="Arial"/>
          <w:sz w:val="20"/>
          <w:szCs w:val="20"/>
          <w:color w:val="auto"/>
        </w:rPr>
        <w:t>Review the qualifications of candidates for director suggested by Board members, shareholders, management and others in accordance with criteria approved by the Board;</w:t>
      </w:r>
    </w:p>
    <w:p>
      <w:pPr>
        <w:spacing w:after="0" w:line="32" w:lineRule="exact"/>
        <w:rPr>
          <w:rFonts w:ascii="Arial" w:cs="Arial" w:eastAsia="Arial" w:hAnsi="Arial"/>
          <w:sz w:val="20"/>
          <w:szCs w:val="20"/>
          <w:color w:val="582C83"/>
        </w:rPr>
      </w:pPr>
    </w:p>
    <w:p>
      <w:pPr>
        <w:ind w:left="180" w:hanging="161"/>
        <w:spacing w:after="0"/>
        <w:tabs>
          <w:tab w:leader="none" w:pos="180" w:val="left"/>
        </w:tabs>
        <w:numPr>
          <w:ilvl w:val="0"/>
          <w:numId w:val="48"/>
        </w:numPr>
        <w:rPr>
          <w:rFonts w:ascii="Arial" w:cs="Arial" w:eastAsia="Arial" w:hAnsi="Arial"/>
          <w:sz w:val="20"/>
          <w:szCs w:val="20"/>
          <w:color w:val="582C83"/>
        </w:rPr>
      </w:pPr>
      <w:r>
        <w:rPr>
          <w:rFonts w:ascii="Arial" w:cs="Arial" w:eastAsia="Arial" w:hAnsi="Arial"/>
          <w:sz w:val="20"/>
          <w:szCs w:val="20"/>
          <w:color w:val="auto"/>
        </w:rPr>
        <w:t>Consider the performance and suitability of incumbent directors in determining whether to nominate them for re-election;</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48"/>
        </w:numPr>
        <w:rPr>
          <w:rFonts w:ascii="Arial" w:cs="Arial" w:eastAsia="Arial" w:hAnsi="Arial"/>
          <w:sz w:val="19"/>
          <w:szCs w:val="19"/>
          <w:color w:val="582C83"/>
        </w:rPr>
      </w:pPr>
      <w:r>
        <w:rPr>
          <w:rFonts w:ascii="Arial" w:cs="Arial" w:eastAsia="Arial" w:hAnsi="Arial"/>
          <w:sz w:val="19"/>
          <w:szCs w:val="19"/>
          <w:color w:val="auto"/>
        </w:rPr>
        <w:t>Recommend to the Board a slate of nominees for election or re-election to the Board at each annual meeting of shareholders;</w:t>
      </w:r>
    </w:p>
    <w:p>
      <w:pPr>
        <w:spacing w:after="0" w:line="104" w:lineRule="exact"/>
        <w:rPr>
          <w:rFonts w:ascii="Arial" w:cs="Arial" w:eastAsia="Arial" w:hAnsi="Arial"/>
          <w:sz w:val="19"/>
          <w:szCs w:val="19"/>
          <w:color w:val="582C83"/>
        </w:rPr>
      </w:pPr>
    </w:p>
    <w:p>
      <w:pPr>
        <w:ind w:left="180" w:right="940" w:hanging="161"/>
        <w:spacing w:after="0" w:line="268" w:lineRule="auto"/>
        <w:tabs>
          <w:tab w:leader="none" w:pos="180" w:val="left"/>
        </w:tabs>
        <w:numPr>
          <w:ilvl w:val="0"/>
          <w:numId w:val="48"/>
        </w:numPr>
        <w:rPr>
          <w:rFonts w:ascii="Arial" w:cs="Arial" w:eastAsia="Arial" w:hAnsi="Arial"/>
          <w:sz w:val="20"/>
          <w:szCs w:val="20"/>
          <w:color w:val="582C83"/>
        </w:rPr>
      </w:pPr>
      <w:r>
        <w:rPr>
          <w:rFonts w:ascii="Arial" w:cs="Arial" w:eastAsia="Arial" w:hAnsi="Arial"/>
          <w:sz w:val="20"/>
          <w:szCs w:val="20"/>
          <w:color w:val="auto"/>
        </w:rPr>
        <w:t>Recommend to the Board candidates to be appointed to the Board as necessary to fill vacancies and newly created directorships;</w:t>
      </w:r>
    </w:p>
    <w:p>
      <w:pPr>
        <w:spacing w:after="0" w:line="32" w:lineRule="exact"/>
        <w:rPr>
          <w:rFonts w:ascii="Arial" w:cs="Arial" w:eastAsia="Arial" w:hAnsi="Arial"/>
          <w:sz w:val="20"/>
          <w:szCs w:val="20"/>
          <w:color w:val="582C83"/>
        </w:rPr>
      </w:pPr>
    </w:p>
    <w:p>
      <w:pPr>
        <w:ind w:left="180" w:right="700" w:hanging="161"/>
        <w:spacing w:after="0" w:line="268" w:lineRule="auto"/>
        <w:tabs>
          <w:tab w:leader="none" w:pos="180" w:val="left"/>
        </w:tabs>
        <w:numPr>
          <w:ilvl w:val="0"/>
          <w:numId w:val="48"/>
        </w:numPr>
        <w:rPr>
          <w:rFonts w:ascii="Arial" w:cs="Arial" w:eastAsia="Arial" w:hAnsi="Arial"/>
          <w:sz w:val="20"/>
          <w:szCs w:val="20"/>
          <w:color w:val="582C83"/>
        </w:rPr>
      </w:pPr>
      <w:r>
        <w:rPr>
          <w:rFonts w:ascii="Arial" w:cs="Arial" w:eastAsia="Arial" w:hAnsi="Arial"/>
          <w:sz w:val="20"/>
          <w:szCs w:val="20"/>
          <w:color w:val="auto"/>
        </w:rPr>
        <w:t>Review and make recommendations to the Board as to the determination of director independence and related person transactions;</w:t>
      </w:r>
    </w:p>
    <w:p>
      <w:pPr>
        <w:spacing w:after="0" w:line="32" w:lineRule="exact"/>
        <w:rPr>
          <w:rFonts w:ascii="Arial" w:cs="Arial" w:eastAsia="Arial" w:hAnsi="Arial"/>
          <w:sz w:val="20"/>
          <w:szCs w:val="20"/>
          <w:color w:val="582C83"/>
        </w:rPr>
      </w:pPr>
    </w:p>
    <w:p>
      <w:pPr>
        <w:ind w:left="180" w:hanging="161"/>
        <w:spacing w:after="0"/>
        <w:tabs>
          <w:tab w:leader="none" w:pos="180" w:val="left"/>
        </w:tabs>
        <w:numPr>
          <w:ilvl w:val="0"/>
          <w:numId w:val="48"/>
        </w:numPr>
        <w:rPr>
          <w:rFonts w:ascii="Arial" w:cs="Arial" w:eastAsia="Arial" w:hAnsi="Arial"/>
          <w:sz w:val="20"/>
          <w:szCs w:val="20"/>
          <w:color w:val="582C83"/>
        </w:rPr>
      </w:pPr>
      <w:r>
        <w:rPr>
          <w:rFonts w:ascii="Arial" w:cs="Arial" w:eastAsia="Arial" w:hAnsi="Arial"/>
          <w:sz w:val="20"/>
          <w:szCs w:val="20"/>
          <w:color w:val="auto"/>
        </w:rPr>
        <w:t>Recommend to the Board and oversee compliance with director retirement policies;</w:t>
      </w:r>
    </w:p>
    <w:p>
      <w:pPr>
        <w:spacing w:after="0" w:line="92" w:lineRule="exact"/>
        <w:rPr>
          <w:rFonts w:ascii="Arial" w:cs="Arial" w:eastAsia="Arial" w:hAnsi="Arial"/>
          <w:sz w:val="20"/>
          <w:szCs w:val="20"/>
          <w:color w:val="582C83"/>
        </w:rPr>
      </w:pPr>
    </w:p>
    <w:p>
      <w:pPr>
        <w:ind w:left="180" w:right="40" w:hanging="161"/>
        <w:spacing w:after="0" w:line="268" w:lineRule="auto"/>
        <w:tabs>
          <w:tab w:leader="none" w:pos="180" w:val="left"/>
        </w:tabs>
        <w:numPr>
          <w:ilvl w:val="0"/>
          <w:numId w:val="48"/>
        </w:numPr>
        <w:rPr>
          <w:rFonts w:ascii="Arial" w:cs="Arial" w:eastAsia="Arial" w:hAnsi="Arial"/>
          <w:sz w:val="20"/>
          <w:szCs w:val="20"/>
          <w:color w:val="582C83"/>
        </w:rPr>
      </w:pPr>
      <w:r>
        <w:rPr>
          <w:rFonts w:ascii="Arial" w:cs="Arial" w:eastAsia="Arial" w:hAnsi="Arial"/>
          <w:sz w:val="20"/>
          <w:szCs w:val="20"/>
          <w:color w:val="auto"/>
        </w:rPr>
        <w:t>Recommend to the Board directors to serve as members and chairs of each committee, as well as candidates to fill vacancies on any committee of the Board;</w:t>
      </w:r>
    </w:p>
    <w:p>
      <w:pPr>
        <w:spacing w:after="0" w:line="32" w:lineRule="exact"/>
        <w:rPr>
          <w:rFonts w:ascii="Arial" w:cs="Arial" w:eastAsia="Arial" w:hAnsi="Arial"/>
          <w:sz w:val="20"/>
          <w:szCs w:val="20"/>
          <w:color w:val="582C83"/>
        </w:rPr>
      </w:pPr>
    </w:p>
    <w:p>
      <w:pPr>
        <w:ind w:left="180" w:hanging="161"/>
        <w:spacing w:after="0"/>
        <w:tabs>
          <w:tab w:leader="none" w:pos="180" w:val="left"/>
        </w:tabs>
        <w:numPr>
          <w:ilvl w:val="0"/>
          <w:numId w:val="48"/>
        </w:numPr>
        <w:rPr>
          <w:rFonts w:ascii="Arial" w:cs="Arial" w:eastAsia="Arial" w:hAnsi="Arial"/>
          <w:sz w:val="20"/>
          <w:szCs w:val="20"/>
          <w:color w:val="582C83"/>
        </w:rPr>
      </w:pPr>
      <w:r>
        <w:rPr>
          <w:rFonts w:ascii="Arial" w:cs="Arial" w:eastAsia="Arial" w:hAnsi="Arial"/>
          <w:sz w:val="20"/>
          <w:szCs w:val="20"/>
          <w:color w:val="auto"/>
        </w:rPr>
        <w:t>Periodically review succession plans for directors, members of each committee, each committee chair and the Lead Director;</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48"/>
        </w:numPr>
        <w:rPr>
          <w:rFonts w:ascii="Arial" w:cs="Arial" w:eastAsia="Arial" w:hAnsi="Arial"/>
          <w:sz w:val="20"/>
          <w:szCs w:val="20"/>
          <w:color w:val="582C83"/>
        </w:rPr>
      </w:pPr>
      <w:r>
        <w:rPr>
          <w:rFonts w:ascii="Arial" w:cs="Arial" w:eastAsia="Arial" w:hAnsi="Arial"/>
          <w:sz w:val="20"/>
          <w:szCs w:val="20"/>
          <w:color w:val="auto"/>
        </w:rPr>
        <w:t>Evaluate any People and Compensation Committee interlocks among Board members and executive officers;</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48"/>
        </w:numPr>
        <w:rPr>
          <w:rFonts w:ascii="Arial" w:cs="Arial" w:eastAsia="Arial" w:hAnsi="Arial"/>
          <w:sz w:val="20"/>
          <w:szCs w:val="20"/>
          <w:color w:val="582C83"/>
        </w:rPr>
      </w:pPr>
      <w:r>
        <w:rPr>
          <w:rFonts w:ascii="Arial" w:cs="Arial" w:eastAsia="Arial" w:hAnsi="Arial"/>
          <w:sz w:val="20"/>
          <w:szCs w:val="20"/>
          <w:color w:val="auto"/>
        </w:rPr>
        <w:t>Monitor directors’ compliance with the stock ownership guidelines; and</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48"/>
        </w:numPr>
        <w:rPr>
          <w:rFonts w:ascii="Arial" w:cs="Arial" w:eastAsia="Arial" w:hAnsi="Arial"/>
          <w:sz w:val="20"/>
          <w:szCs w:val="20"/>
          <w:color w:val="582C83"/>
        </w:rPr>
      </w:pPr>
      <w:r>
        <w:rPr>
          <w:rFonts w:ascii="Arial" w:cs="Arial" w:eastAsia="Arial" w:hAnsi="Arial"/>
          <w:sz w:val="20"/>
          <w:szCs w:val="20"/>
          <w:color w:val="auto"/>
        </w:rPr>
        <w:t>Oversee the orientation of new directors and evaluate opportunities for Board members to engage in continuing education.</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Governance</w:t>
      </w:r>
    </w:p>
    <w:p>
      <w:pPr>
        <w:spacing w:after="0" w:line="56" w:lineRule="exact"/>
        <w:rPr>
          <w:sz w:val="20"/>
          <w:szCs w:val="20"/>
          <w:color w:val="auto"/>
        </w:rPr>
      </w:pPr>
    </w:p>
    <w:p>
      <w:pPr>
        <w:ind w:left="180" w:hanging="161"/>
        <w:spacing w:after="0"/>
        <w:tabs>
          <w:tab w:leader="none" w:pos="180" w:val="left"/>
        </w:tabs>
        <w:numPr>
          <w:ilvl w:val="0"/>
          <w:numId w:val="49"/>
        </w:numPr>
        <w:rPr>
          <w:rFonts w:ascii="Arial" w:cs="Arial" w:eastAsia="Arial" w:hAnsi="Arial"/>
          <w:sz w:val="20"/>
          <w:szCs w:val="20"/>
          <w:color w:val="582C83"/>
        </w:rPr>
      </w:pPr>
      <w:r>
        <w:rPr>
          <w:rFonts w:ascii="Arial" w:cs="Arial" w:eastAsia="Arial" w:hAnsi="Arial"/>
          <w:sz w:val="20"/>
          <w:szCs w:val="20"/>
          <w:color w:val="auto"/>
        </w:rPr>
        <w:t>Annually review and recommend to the Board changes to the Guidelines;</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49"/>
        </w:numPr>
        <w:rPr>
          <w:rFonts w:ascii="Arial" w:cs="Arial" w:eastAsia="Arial" w:hAnsi="Arial"/>
          <w:sz w:val="20"/>
          <w:szCs w:val="20"/>
          <w:color w:val="582C83"/>
        </w:rPr>
      </w:pPr>
      <w:r>
        <w:rPr>
          <w:rFonts w:ascii="Arial" w:cs="Arial" w:eastAsia="Arial" w:hAnsi="Arial"/>
          <w:sz w:val="20"/>
          <w:szCs w:val="20"/>
          <w:color w:val="auto"/>
        </w:rPr>
        <w:t>Make recommendations to the Board concerning the frequency and content of Board meetings;</w:t>
      </w:r>
    </w:p>
    <w:p>
      <w:pPr>
        <w:spacing w:after="0" w:line="92" w:lineRule="exact"/>
        <w:rPr>
          <w:rFonts w:ascii="Arial" w:cs="Arial" w:eastAsia="Arial" w:hAnsi="Arial"/>
          <w:sz w:val="20"/>
          <w:szCs w:val="20"/>
          <w:color w:val="582C83"/>
        </w:rPr>
      </w:pPr>
    </w:p>
    <w:p>
      <w:pPr>
        <w:ind w:left="180" w:right="20" w:hanging="161"/>
        <w:spacing w:after="0" w:line="268" w:lineRule="auto"/>
        <w:tabs>
          <w:tab w:leader="none" w:pos="180" w:val="left"/>
        </w:tabs>
        <w:numPr>
          <w:ilvl w:val="0"/>
          <w:numId w:val="49"/>
        </w:numPr>
        <w:rPr>
          <w:rFonts w:ascii="Arial" w:cs="Arial" w:eastAsia="Arial" w:hAnsi="Arial"/>
          <w:sz w:val="20"/>
          <w:szCs w:val="20"/>
          <w:color w:val="582C83"/>
        </w:rPr>
      </w:pPr>
      <w:r>
        <w:rPr>
          <w:rFonts w:ascii="Arial" w:cs="Arial" w:eastAsia="Arial" w:hAnsi="Arial"/>
          <w:sz w:val="20"/>
          <w:szCs w:val="20"/>
          <w:color w:val="auto"/>
        </w:rPr>
        <w:t>Make recommendations to the Board concerning the appropriate size, function, composition and structure of the Board and its committees;</w:t>
      </w:r>
    </w:p>
    <w:p>
      <w:pPr>
        <w:spacing w:after="0" w:line="32" w:lineRule="exact"/>
        <w:rPr>
          <w:rFonts w:ascii="Arial" w:cs="Arial" w:eastAsia="Arial" w:hAnsi="Arial"/>
          <w:sz w:val="20"/>
          <w:szCs w:val="20"/>
          <w:color w:val="582C83"/>
        </w:rPr>
      </w:pPr>
    </w:p>
    <w:p>
      <w:pPr>
        <w:ind w:left="180" w:right="40" w:hanging="161"/>
        <w:spacing w:after="0" w:line="268" w:lineRule="auto"/>
        <w:tabs>
          <w:tab w:leader="none" w:pos="180" w:val="left"/>
        </w:tabs>
        <w:numPr>
          <w:ilvl w:val="0"/>
          <w:numId w:val="49"/>
        </w:numPr>
        <w:rPr>
          <w:rFonts w:ascii="Arial" w:cs="Arial" w:eastAsia="Arial" w:hAnsi="Arial"/>
          <w:sz w:val="20"/>
          <w:szCs w:val="20"/>
          <w:color w:val="582C83"/>
        </w:rPr>
      </w:pPr>
      <w:r>
        <w:rPr>
          <w:rFonts w:ascii="Arial" w:cs="Arial" w:eastAsia="Arial" w:hAnsi="Arial"/>
          <w:sz w:val="20"/>
          <w:szCs w:val="20"/>
          <w:color w:val="auto"/>
        </w:rPr>
        <w:t>Develop, recommend to the Board and oversee an annual self-evaluation process for the Board, its committees and individual directors;</w:t>
      </w:r>
    </w:p>
    <w:p>
      <w:pPr>
        <w:spacing w:after="0" w:line="32" w:lineRule="exact"/>
        <w:rPr>
          <w:rFonts w:ascii="Arial" w:cs="Arial" w:eastAsia="Arial" w:hAnsi="Arial"/>
          <w:sz w:val="20"/>
          <w:szCs w:val="20"/>
          <w:color w:val="582C83"/>
        </w:rPr>
      </w:pPr>
    </w:p>
    <w:p>
      <w:pPr>
        <w:ind w:left="180" w:right="700" w:hanging="161"/>
        <w:spacing w:after="0" w:line="268" w:lineRule="auto"/>
        <w:tabs>
          <w:tab w:leader="none" w:pos="180" w:val="left"/>
        </w:tabs>
        <w:numPr>
          <w:ilvl w:val="0"/>
          <w:numId w:val="49"/>
        </w:numPr>
        <w:rPr>
          <w:rFonts w:ascii="Arial" w:cs="Arial" w:eastAsia="Arial" w:hAnsi="Arial"/>
          <w:sz w:val="20"/>
          <w:szCs w:val="20"/>
          <w:color w:val="582C83"/>
        </w:rPr>
      </w:pPr>
      <w:r>
        <w:rPr>
          <w:rFonts w:ascii="Arial" w:cs="Arial" w:eastAsia="Arial" w:hAnsi="Arial"/>
          <w:sz w:val="20"/>
          <w:szCs w:val="20"/>
          <w:color w:val="auto"/>
        </w:rPr>
        <w:t>Administer the Code of Business Conduct and Ethics for Non-Employee Directors and, at least annually, meet with the Corporate Secretary to review the Code and, if necessary, recommend changes to the Code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92710</wp:posOffset>
            </wp:positionV>
            <wp:extent cx="7143115"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00" w:top="132" w:right="339" w:bottom="1440" w:gutter="0" w:footer="0" w:header="0"/>
        </w:sectPr>
      </w:pPr>
    </w:p>
    <w:bookmarkStart w:id="56" w:name="page57"/>
    <w:bookmarkEnd w:id="56"/>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61" w:hanging="161"/>
        <w:spacing w:after="0"/>
        <w:tabs>
          <w:tab w:leader="none" w:pos="161" w:val="left"/>
        </w:tabs>
        <w:numPr>
          <w:ilvl w:val="0"/>
          <w:numId w:val="50"/>
        </w:numPr>
        <w:rPr>
          <w:rFonts w:ascii="Arial" w:cs="Arial" w:eastAsia="Arial" w:hAnsi="Arial"/>
          <w:sz w:val="20"/>
          <w:szCs w:val="20"/>
          <w:color w:val="582C83"/>
        </w:rPr>
      </w:pPr>
      <w:r>
        <w:rPr>
          <w:rFonts w:ascii="Arial" w:cs="Arial" w:eastAsia="Arial" w:hAnsi="Arial"/>
          <w:sz w:val="20"/>
          <w:szCs w:val="20"/>
          <w:color w:val="auto"/>
        </w:rPr>
        <w:t>Oversee our engagement with shareholders and proxy advisory firms, including with respect to shareholder proposals; and</w:t>
      </w:r>
    </w:p>
    <w:p>
      <w:pPr>
        <w:spacing w:after="0" w:line="92" w:lineRule="exact"/>
        <w:rPr>
          <w:rFonts w:ascii="Arial" w:cs="Arial" w:eastAsia="Arial" w:hAnsi="Arial"/>
          <w:sz w:val="20"/>
          <w:szCs w:val="20"/>
          <w:color w:val="582C83"/>
        </w:rPr>
      </w:pPr>
    </w:p>
    <w:p>
      <w:pPr>
        <w:ind w:left="161" w:right="340" w:hanging="161"/>
        <w:spacing w:after="0" w:line="268" w:lineRule="auto"/>
        <w:tabs>
          <w:tab w:leader="none" w:pos="161" w:val="left"/>
        </w:tabs>
        <w:numPr>
          <w:ilvl w:val="0"/>
          <w:numId w:val="50"/>
        </w:numPr>
        <w:rPr>
          <w:rFonts w:ascii="Arial" w:cs="Arial" w:eastAsia="Arial" w:hAnsi="Arial"/>
          <w:sz w:val="20"/>
          <w:szCs w:val="20"/>
          <w:color w:val="582C83"/>
        </w:rPr>
      </w:pPr>
      <w:r>
        <w:rPr>
          <w:rFonts w:ascii="Arial" w:cs="Arial" w:eastAsia="Arial" w:hAnsi="Arial"/>
          <w:sz w:val="20"/>
          <w:szCs w:val="20"/>
          <w:color w:val="auto"/>
        </w:rPr>
        <w:t>Advise and make recommendations to the Board on corporate governance matters, to the extent these matters are not the responsibility of other committees.</w:t>
      </w:r>
    </w:p>
    <w:p>
      <w:pPr>
        <w:spacing w:after="0" w:line="10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Sustainability and Public Affairs</w:t>
      </w:r>
    </w:p>
    <w:p>
      <w:pPr>
        <w:spacing w:after="0" w:line="56" w:lineRule="exact"/>
        <w:rPr>
          <w:sz w:val="20"/>
          <w:szCs w:val="20"/>
          <w:color w:val="auto"/>
        </w:rPr>
      </w:pPr>
    </w:p>
    <w:p>
      <w:pPr>
        <w:ind w:left="161" w:right="280" w:hanging="161"/>
        <w:spacing w:after="0" w:line="250" w:lineRule="auto"/>
        <w:tabs>
          <w:tab w:leader="none" w:pos="161" w:val="left"/>
        </w:tabs>
        <w:numPr>
          <w:ilvl w:val="0"/>
          <w:numId w:val="51"/>
        </w:numPr>
        <w:rPr>
          <w:rFonts w:ascii="Arial" w:cs="Arial" w:eastAsia="Arial" w:hAnsi="Arial"/>
          <w:sz w:val="20"/>
          <w:szCs w:val="20"/>
          <w:color w:val="582C83"/>
        </w:rPr>
      </w:pPr>
      <w:r>
        <w:rPr>
          <w:rFonts w:ascii="Arial" w:cs="Arial" w:eastAsia="Arial" w:hAnsi="Arial"/>
          <w:sz w:val="20"/>
          <w:szCs w:val="20"/>
          <w:color w:val="auto"/>
        </w:rPr>
        <w:t>Oversee our ESG policies and programs related to corporate citizenship, social responsibility, and public policy issues significant to the Company such as sustainability and environmental responsibility; food labeling, marketing and packaging; philanthropic and political activities and contributions, and Board ESG education and capabilities; and</w:t>
      </w:r>
    </w:p>
    <w:p>
      <w:pPr>
        <w:spacing w:after="0" w:line="51" w:lineRule="exact"/>
        <w:rPr>
          <w:rFonts w:ascii="Arial" w:cs="Arial" w:eastAsia="Arial" w:hAnsi="Arial"/>
          <w:sz w:val="20"/>
          <w:szCs w:val="20"/>
          <w:color w:val="582C83"/>
        </w:rPr>
      </w:pPr>
    </w:p>
    <w:p>
      <w:pPr>
        <w:ind w:left="161" w:right="280" w:hanging="161"/>
        <w:spacing w:after="0" w:line="268" w:lineRule="auto"/>
        <w:tabs>
          <w:tab w:leader="none" w:pos="161" w:val="left"/>
        </w:tabs>
        <w:numPr>
          <w:ilvl w:val="0"/>
          <w:numId w:val="51"/>
        </w:numPr>
        <w:rPr>
          <w:rFonts w:ascii="Arial" w:cs="Arial" w:eastAsia="Arial" w:hAnsi="Arial"/>
          <w:sz w:val="20"/>
          <w:szCs w:val="20"/>
          <w:color w:val="582C83"/>
        </w:rPr>
      </w:pPr>
      <w:r>
        <w:rPr>
          <w:rFonts w:ascii="Arial" w:cs="Arial" w:eastAsia="Arial" w:hAnsi="Arial"/>
          <w:sz w:val="20"/>
          <w:szCs w:val="20"/>
          <w:color w:val="auto"/>
        </w:rPr>
        <w:t>Monitor issues, trends, internal and external factors and relationships that may affect the public image and reputation of the Company and the food and beverage industry.</w:t>
      </w:r>
    </w:p>
    <w:p>
      <w:pPr>
        <w:spacing w:after="0" w:line="10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Other Duties and Responsibilities</w:t>
      </w:r>
    </w:p>
    <w:p>
      <w:pPr>
        <w:spacing w:after="0" w:line="56" w:lineRule="exact"/>
        <w:rPr>
          <w:sz w:val="20"/>
          <w:szCs w:val="20"/>
          <w:color w:val="auto"/>
        </w:rPr>
      </w:pPr>
    </w:p>
    <w:p>
      <w:pPr>
        <w:ind w:left="161" w:hanging="161"/>
        <w:spacing w:after="0"/>
        <w:tabs>
          <w:tab w:leader="none" w:pos="161" w:val="left"/>
        </w:tabs>
        <w:numPr>
          <w:ilvl w:val="0"/>
          <w:numId w:val="52"/>
        </w:numPr>
        <w:rPr>
          <w:rFonts w:ascii="Arial" w:cs="Arial" w:eastAsia="Arial" w:hAnsi="Arial"/>
          <w:sz w:val="20"/>
          <w:szCs w:val="20"/>
          <w:color w:val="582C83"/>
        </w:rPr>
      </w:pPr>
      <w:r>
        <w:rPr>
          <w:rFonts w:ascii="Arial" w:cs="Arial" w:eastAsia="Arial" w:hAnsi="Arial"/>
          <w:sz w:val="20"/>
          <w:szCs w:val="20"/>
          <w:color w:val="auto"/>
        </w:rPr>
        <w:t>Monitor significant developments in the regulatory environment relevant to the Company; and</w:t>
      </w:r>
    </w:p>
    <w:p>
      <w:pPr>
        <w:spacing w:after="0" w:line="92" w:lineRule="exact"/>
        <w:rPr>
          <w:rFonts w:ascii="Arial" w:cs="Arial" w:eastAsia="Arial" w:hAnsi="Arial"/>
          <w:sz w:val="20"/>
          <w:szCs w:val="20"/>
          <w:color w:val="582C83"/>
        </w:rPr>
      </w:pPr>
    </w:p>
    <w:p>
      <w:pPr>
        <w:ind w:left="161" w:right="80" w:hanging="161"/>
        <w:spacing w:after="0" w:line="295" w:lineRule="auto"/>
        <w:tabs>
          <w:tab w:leader="none" w:pos="161" w:val="left"/>
        </w:tabs>
        <w:numPr>
          <w:ilvl w:val="0"/>
          <w:numId w:val="52"/>
        </w:numPr>
        <w:rPr>
          <w:rFonts w:ascii="Arial" w:cs="Arial" w:eastAsia="Arial" w:hAnsi="Arial"/>
          <w:sz w:val="19"/>
          <w:szCs w:val="19"/>
          <w:color w:val="582C83"/>
        </w:rPr>
      </w:pPr>
      <w:r>
        <w:rPr>
          <w:rFonts w:ascii="Arial" w:cs="Arial" w:eastAsia="Arial" w:hAnsi="Arial"/>
          <w:sz w:val="19"/>
          <w:szCs w:val="19"/>
          <w:color w:val="auto"/>
        </w:rPr>
        <w:t>Perform any other duties and responsibilities that are consistent with the Governance Committee’s purpose, Articles of Incorporation and By-Laws, and governing law, as the Board or the Governance Committee deems necessary or appropriate.</w:t>
      </w:r>
    </w:p>
    <w:p>
      <w:pPr>
        <w:spacing w:after="0" w:line="84"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582C83"/>
        </w:rPr>
        <w:t>POLITICAL ACTIVITY AND GOVERNANCE</w:t>
      </w:r>
    </w:p>
    <w:p>
      <w:pPr>
        <w:spacing w:after="0" w:line="94" w:lineRule="exact"/>
        <w:rPr>
          <w:sz w:val="20"/>
          <w:szCs w:val="20"/>
          <w:color w:val="auto"/>
        </w:rPr>
      </w:pPr>
    </w:p>
    <w:p>
      <w:pPr>
        <w:ind w:left="1" w:right="60"/>
        <w:spacing w:after="0" w:line="242" w:lineRule="auto"/>
        <w:rPr>
          <w:sz w:val="20"/>
          <w:szCs w:val="20"/>
          <w:color w:val="auto"/>
        </w:rPr>
      </w:pPr>
      <w:r>
        <w:rPr>
          <w:rFonts w:ascii="Arial" w:cs="Arial" w:eastAsia="Arial" w:hAnsi="Arial"/>
          <w:sz w:val="20"/>
          <w:szCs w:val="20"/>
          <w:color w:val="auto"/>
        </w:rPr>
        <w:t>We maintain a robust governance framework for overseeing our political activities. We do so responsibly and transparently, with priority on compliance with federal, state and local laws. The Governance Committee oversees our policies and programs related to corporate citizenship and public policy issues significant to the Company. As our success depends on sound public policies, we regularly work with government officials regarding matters of concern in accordance with applicable laws and regulations.</w:t>
      </w:r>
    </w:p>
    <w:p>
      <w:pPr>
        <w:spacing w:after="0" w:line="132" w:lineRule="exact"/>
        <w:rPr>
          <w:sz w:val="20"/>
          <w:szCs w:val="20"/>
          <w:color w:val="auto"/>
        </w:rPr>
      </w:pPr>
    </w:p>
    <w:p>
      <w:pPr>
        <w:ind w:left="1" w:right="20"/>
        <w:spacing w:after="0" w:line="238" w:lineRule="auto"/>
        <w:rPr>
          <w:sz w:val="20"/>
          <w:szCs w:val="20"/>
          <w:color w:val="auto"/>
        </w:rPr>
      </w:pPr>
      <w:r>
        <w:rPr>
          <w:rFonts w:ascii="Arial" w:cs="Arial" w:eastAsia="Arial" w:hAnsi="Arial"/>
          <w:sz w:val="20"/>
          <w:szCs w:val="20"/>
          <w:color w:val="auto"/>
        </w:rPr>
        <w:t xml:space="preserve">Mondelēz International has a proud history of involvement in the communities where employees live and work, including participation in the political process to support policies that impact our communities, employees and businesses. We provide comprehensive disclosure of political activity through our website: </w:t>
      </w:r>
      <w:r>
        <w:rPr>
          <w:rFonts w:ascii="Arial" w:cs="Arial" w:eastAsia="Arial" w:hAnsi="Arial"/>
          <w:sz w:val="20"/>
          <w:szCs w:val="20"/>
          <w:i w:val="1"/>
          <w:iCs w:val="1"/>
          <w:color w:val="582C83"/>
        </w:rPr>
        <w:t xml:space="preserve">www.mondelezinternational.com/investors/corporate-governance/board-oversight-of-corporate-citizenship </w:t>
      </w:r>
      <w:r>
        <w:rPr>
          <w:rFonts w:ascii="Arial" w:cs="Arial" w:eastAsia="Arial" w:hAnsi="Arial"/>
          <w:sz w:val="20"/>
          <w:szCs w:val="20"/>
          <w:color w:val="000000"/>
        </w:rPr>
        <w:t>reflecting our policies and procedures for making political contributions and</w:t>
      </w:r>
      <w:r>
        <w:rPr>
          <w:rFonts w:ascii="Arial" w:cs="Arial" w:eastAsia="Arial" w:hAnsi="Arial"/>
          <w:sz w:val="20"/>
          <w:szCs w:val="20"/>
          <w:i w:val="1"/>
          <w:iCs w:val="1"/>
          <w:color w:val="582C83"/>
        </w:rPr>
        <w:t xml:space="preserve"> </w:t>
      </w:r>
      <w:r>
        <w:rPr>
          <w:rFonts w:ascii="Arial" w:cs="Arial" w:eastAsia="Arial" w:hAnsi="Arial"/>
          <w:sz w:val="20"/>
          <w:szCs w:val="20"/>
          <w:color w:val="000000"/>
        </w:rPr>
        <w:t>expenditures. In addition, the website provides information on our lobbying activities and a link to the lobbying disclosure reports we file with the United States Congress. A list of U.S. trade associations to which we pay dues of more than $50,000 annually, including the portion of dues attributable to lobbying, can also be found on our website. As demonstrated by our robust reporting, we are firmly committed to providing shareholders with transparency about our political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143115"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57" w:name="page58"/>
    <w:bookmarkEnd w:id="57"/>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People and Compensation Committee</w:t>
      </w:r>
    </w:p>
    <w:p>
      <w:pPr>
        <w:spacing w:after="0" w:line="176" w:lineRule="exact"/>
        <w:rPr>
          <w:sz w:val="20"/>
          <w:szCs w:val="20"/>
          <w:color w:val="auto"/>
        </w:rPr>
      </w:pPr>
    </w:p>
    <w:p>
      <w:pPr>
        <w:ind w:left="20" w:right="1580"/>
        <w:spacing w:after="0" w:line="288" w:lineRule="auto"/>
        <w:rPr>
          <w:sz w:val="20"/>
          <w:szCs w:val="20"/>
          <w:color w:val="auto"/>
        </w:rPr>
      </w:pPr>
      <w:r>
        <w:rPr>
          <w:rFonts w:ascii="Arial" w:cs="Arial" w:eastAsia="Arial" w:hAnsi="Arial"/>
          <w:sz w:val="22"/>
          <w:szCs w:val="22"/>
          <w:b w:val="1"/>
          <w:bCs w:val="1"/>
          <w:color w:val="582C83"/>
        </w:rPr>
        <w:t>PEOPLE AND COMPENSATION COMMITTEE INDEPENDENCE, INTERLOCKS AND INSIDER PARTICIPATION</w:t>
      </w:r>
    </w:p>
    <w:p>
      <w:pPr>
        <w:spacing w:after="0" w:line="1" w:lineRule="exact"/>
        <w:rPr>
          <w:sz w:val="20"/>
          <w:szCs w:val="20"/>
          <w:color w:val="auto"/>
        </w:rPr>
      </w:pPr>
    </w:p>
    <w:p>
      <w:pPr>
        <w:ind w:left="20" w:right="20"/>
        <w:spacing w:after="0" w:line="244" w:lineRule="auto"/>
        <w:rPr>
          <w:sz w:val="20"/>
          <w:szCs w:val="20"/>
          <w:color w:val="auto"/>
        </w:rPr>
      </w:pPr>
      <w:r>
        <w:rPr>
          <w:rFonts w:ascii="Arial" w:cs="Arial" w:eastAsia="Arial" w:hAnsi="Arial"/>
          <w:sz w:val="20"/>
          <w:szCs w:val="20"/>
          <w:color w:val="auto"/>
        </w:rPr>
        <w:t>The Board determined that all People and Compensation Committee members are independent within the meaning of the Nasdaq listing standards, including the heightened independence criteria for compensation committee members. All</w:t>
      </w:r>
      <w:r>
        <w:rPr>
          <w:rFonts w:ascii="Times New Roman" w:cs="Times New Roman" w:eastAsia="Times New Roman" w:hAnsi="Times New Roman"/>
          <w:sz w:val="20"/>
          <w:szCs w:val="20"/>
          <w:color w:val="auto"/>
        </w:rPr>
        <w:t> </w:t>
      </w:r>
      <w:r>
        <w:rPr>
          <w:rFonts w:ascii="Arial" w:cs="Arial" w:eastAsia="Arial" w:hAnsi="Arial"/>
          <w:sz w:val="20"/>
          <w:szCs w:val="20"/>
          <w:color w:val="auto"/>
        </w:rPr>
        <w:t>members are “non-employee directors” under SEC rules and outside directors under the Internal Revenue Code</w:t>
      </w:r>
      <w:r>
        <w:rPr>
          <w:rFonts w:ascii="Times New Roman" w:cs="Times New Roman" w:eastAsia="Times New Roman" w:hAnsi="Times New Roman"/>
          <w:sz w:val="20"/>
          <w:szCs w:val="20"/>
          <w:color w:val="auto"/>
        </w:rPr>
        <w:t> </w:t>
      </w:r>
      <w:r>
        <w:rPr>
          <w:rFonts w:ascii="Arial" w:cs="Arial" w:eastAsia="Arial" w:hAnsi="Arial"/>
          <w:sz w:val="20"/>
          <w:szCs w:val="20"/>
          <w:color w:val="auto"/>
        </w:rPr>
        <w:t>of</w:t>
      </w:r>
      <w:r>
        <w:rPr>
          <w:rFonts w:ascii="Times New Roman" w:cs="Times New Roman" w:eastAsia="Times New Roman" w:hAnsi="Times New Roman"/>
          <w:sz w:val="20"/>
          <w:szCs w:val="20"/>
          <w:color w:val="auto"/>
        </w:rPr>
        <w:t> </w:t>
      </w:r>
      <w:r>
        <w:rPr>
          <w:rFonts w:ascii="Arial" w:cs="Arial" w:eastAsia="Arial" w:hAnsi="Arial"/>
          <w:sz w:val="20"/>
          <w:szCs w:val="20"/>
          <w:color w:val="auto"/>
        </w:rPr>
        <w:t>1986, as amended (the “Code”). None of the People and Compensation Committee’s members are or were:</w:t>
      </w:r>
    </w:p>
    <w:p>
      <w:pPr>
        <w:spacing w:after="0" w:line="131" w:lineRule="exact"/>
        <w:rPr>
          <w:sz w:val="20"/>
          <w:szCs w:val="20"/>
          <w:color w:val="auto"/>
        </w:rPr>
      </w:pPr>
    </w:p>
    <w:p>
      <w:pPr>
        <w:ind w:left="180" w:hanging="161"/>
        <w:spacing w:after="0"/>
        <w:tabs>
          <w:tab w:leader="none" w:pos="180" w:val="left"/>
        </w:tabs>
        <w:numPr>
          <w:ilvl w:val="0"/>
          <w:numId w:val="53"/>
        </w:numPr>
        <w:rPr>
          <w:rFonts w:ascii="Arial" w:cs="Arial" w:eastAsia="Arial" w:hAnsi="Arial"/>
          <w:sz w:val="20"/>
          <w:szCs w:val="20"/>
          <w:color w:val="582C83"/>
        </w:rPr>
      </w:pPr>
      <w:r>
        <w:rPr>
          <w:rFonts w:ascii="Arial" w:cs="Arial" w:eastAsia="Arial" w:hAnsi="Arial"/>
          <w:sz w:val="20"/>
          <w:szCs w:val="20"/>
          <w:color w:val="auto"/>
        </w:rPr>
        <w:t>An officer or employee of Mondelēz International;</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53"/>
        </w:numPr>
        <w:rPr>
          <w:rFonts w:ascii="Arial" w:cs="Arial" w:eastAsia="Arial" w:hAnsi="Arial"/>
          <w:sz w:val="20"/>
          <w:szCs w:val="20"/>
          <w:color w:val="582C83"/>
        </w:rPr>
      </w:pPr>
      <w:r>
        <w:rPr>
          <w:rFonts w:ascii="Arial" w:cs="Arial" w:eastAsia="Arial" w:hAnsi="Arial"/>
          <w:sz w:val="20"/>
          <w:szCs w:val="20"/>
          <w:color w:val="auto"/>
        </w:rPr>
        <w:t>A participant in a related person transaction required to be disclosed under Item 404 of Regulation S-K; or</w:t>
      </w:r>
    </w:p>
    <w:p>
      <w:pPr>
        <w:spacing w:after="0" w:line="92" w:lineRule="exact"/>
        <w:rPr>
          <w:rFonts w:ascii="Arial" w:cs="Arial" w:eastAsia="Arial" w:hAnsi="Arial"/>
          <w:sz w:val="20"/>
          <w:szCs w:val="20"/>
          <w:color w:val="582C83"/>
        </w:rPr>
      </w:pPr>
    </w:p>
    <w:p>
      <w:pPr>
        <w:ind w:left="180" w:right="1140" w:hanging="161"/>
        <w:spacing w:after="0" w:line="268" w:lineRule="auto"/>
        <w:tabs>
          <w:tab w:leader="none" w:pos="180" w:val="left"/>
        </w:tabs>
        <w:numPr>
          <w:ilvl w:val="0"/>
          <w:numId w:val="53"/>
        </w:numPr>
        <w:rPr>
          <w:rFonts w:ascii="Arial" w:cs="Arial" w:eastAsia="Arial" w:hAnsi="Arial"/>
          <w:sz w:val="20"/>
          <w:szCs w:val="20"/>
          <w:color w:val="582C83"/>
        </w:rPr>
      </w:pPr>
      <w:r>
        <w:rPr>
          <w:rFonts w:ascii="Arial" w:cs="Arial" w:eastAsia="Arial" w:hAnsi="Arial"/>
          <w:sz w:val="20"/>
          <w:szCs w:val="20"/>
          <w:color w:val="auto"/>
        </w:rPr>
        <w:t>An executive officer of another entity at which one of our executive officers serves on the board of directors or the compensation committee.</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2C83"/>
        </w:rPr>
        <w:t>RESPONSIBILITIES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People and Compensation Committee’s responsibilities include:</w:t>
      </w:r>
    </w:p>
    <w:p>
      <w:pPr>
        <w:spacing w:after="0" w:line="167" w:lineRule="exact"/>
        <w:rPr>
          <w:sz w:val="20"/>
          <w:szCs w:val="20"/>
          <w:color w:val="auto"/>
        </w:rPr>
      </w:pPr>
    </w:p>
    <w:p>
      <w:pPr>
        <w:ind w:left="180" w:hanging="161"/>
        <w:spacing w:after="0"/>
        <w:tabs>
          <w:tab w:leader="none" w:pos="180" w:val="left"/>
        </w:tabs>
        <w:numPr>
          <w:ilvl w:val="0"/>
          <w:numId w:val="54"/>
        </w:numPr>
        <w:rPr>
          <w:rFonts w:ascii="Arial" w:cs="Arial" w:eastAsia="Arial" w:hAnsi="Arial"/>
          <w:sz w:val="20"/>
          <w:szCs w:val="20"/>
          <w:color w:val="582C83"/>
        </w:rPr>
      </w:pPr>
      <w:r>
        <w:rPr>
          <w:rFonts w:ascii="Arial" w:cs="Arial" w:eastAsia="Arial" w:hAnsi="Arial"/>
          <w:sz w:val="20"/>
          <w:szCs w:val="20"/>
          <w:color w:val="auto"/>
        </w:rPr>
        <w:t>Establish our executive compensation philosophy;</w:t>
      </w:r>
    </w:p>
    <w:p>
      <w:pPr>
        <w:spacing w:after="0" w:line="92" w:lineRule="exact"/>
        <w:rPr>
          <w:rFonts w:ascii="Arial" w:cs="Arial" w:eastAsia="Arial" w:hAnsi="Arial"/>
          <w:sz w:val="20"/>
          <w:szCs w:val="20"/>
          <w:color w:val="582C83"/>
        </w:rPr>
      </w:pPr>
    </w:p>
    <w:p>
      <w:pPr>
        <w:ind w:left="180" w:right="560" w:hanging="161"/>
        <w:spacing w:after="0" w:line="268" w:lineRule="auto"/>
        <w:tabs>
          <w:tab w:leader="none" w:pos="180" w:val="left"/>
        </w:tabs>
        <w:numPr>
          <w:ilvl w:val="0"/>
          <w:numId w:val="54"/>
        </w:numPr>
        <w:rPr>
          <w:rFonts w:ascii="Arial" w:cs="Arial" w:eastAsia="Arial" w:hAnsi="Arial"/>
          <w:sz w:val="20"/>
          <w:szCs w:val="20"/>
          <w:color w:val="582C83"/>
        </w:rPr>
      </w:pPr>
      <w:r>
        <w:rPr>
          <w:rFonts w:ascii="Arial" w:cs="Arial" w:eastAsia="Arial" w:hAnsi="Arial"/>
          <w:sz w:val="20"/>
          <w:szCs w:val="20"/>
          <w:color w:val="auto"/>
        </w:rPr>
        <w:t>Determine the group of companies the People and Compensation Committee uses to benchmark executive and director compensation (the “Compensation Survey Peer Group”);</w:t>
      </w:r>
    </w:p>
    <w:p>
      <w:pPr>
        <w:spacing w:after="0" w:line="32" w:lineRule="exact"/>
        <w:rPr>
          <w:rFonts w:ascii="Arial" w:cs="Arial" w:eastAsia="Arial" w:hAnsi="Arial"/>
          <w:sz w:val="20"/>
          <w:szCs w:val="20"/>
          <w:color w:val="582C83"/>
        </w:rPr>
      </w:pPr>
    </w:p>
    <w:p>
      <w:pPr>
        <w:ind w:left="180" w:right="480" w:hanging="161"/>
        <w:spacing w:after="0" w:line="244" w:lineRule="auto"/>
        <w:tabs>
          <w:tab w:leader="none" w:pos="180" w:val="left"/>
        </w:tabs>
        <w:numPr>
          <w:ilvl w:val="0"/>
          <w:numId w:val="54"/>
        </w:numPr>
        <w:rPr>
          <w:rFonts w:ascii="Arial" w:cs="Arial" w:eastAsia="Arial" w:hAnsi="Arial"/>
          <w:sz w:val="20"/>
          <w:szCs w:val="20"/>
          <w:color w:val="582C83"/>
        </w:rPr>
      </w:pPr>
      <w:r>
        <w:rPr>
          <w:rFonts w:ascii="Arial" w:cs="Arial" w:eastAsia="Arial" w:hAnsi="Arial"/>
          <w:sz w:val="20"/>
          <w:szCs w:val="20"/>
          <w:color w:val="auto"/>
        </w:rPr>
        <w:t>Periodically benchmark non-employee director compensation against the Compensation Survey Peer Group and general industry data, consider the appropriateness of the form and amount of non-employee director compensation, and make recommendations to the Board concerning director compensation with a view toward attracting and retaining qualified directors;</w:t>
      </w:r>
    </w:p>
    <w:p>
      <w:pPr>
        <w:spacing w:after="0" w:line="58" w:lineRule="exact"/>
        <w:rPr>
          <w:rFonts w:ascii="Arial" w:cs="Arial" w:eastAsia="Arial" w:hAnsi="Arial"/>
          <w:sz w:val="20"/>
          <w:szCs w:val="20"/>
          <w:color w:val="582C83"/>
        </w:rPr>
      </w:pPr>
    </w:p>
    <w:p>
      <w:pPr>
        <w:ind w:left="180" w:right="360" w:hanging="161"/>
        <w:spacing w:after="0" w:line="268" w:lineRule="auto"/>
        <w:tabs>
          <w:tab w:leader="none" w:pos="180" w:val="left"/>
        </w:tabs>
        <w:numPr>
          <w:ilvl w:val="0"/>
          <w:numId w:val="54"/>
        </w:numPr>
        <w:rPr>
          <w:rFonts w:ascii="Arial" w:cs="Arial" w:eastAsia="Arial" w:hAnsi="Arial"/>
          <w:sz w:val="20"/>
          <w:szCs w:val="20"/>
          <w:color w:val="582C83"/>
        </w:rPr>
      </w:pPr>
      <w:r>
        <w:rPr>
          <w:rFonts w:ascii="Arial" w:cs="Arial" w:eastAsia="Arial" w:hAnsi="Arial"/>
          <w:sz w:val="20"/>
          <w:szCs w:val="20"/>
          <w:color w:val="auto"/>
        </w:rPr>
        <w:t>Assess the appropriateness and competitiveness of our executive compensation programs, including severance programs and executive retirement income design;</w:t>
      </w:r>
    </w:p>
    <w:p>
      <w:pPr>
        <w:spacing w:after="0" w:line="32" w:lineRule="exact"/>
        <w:rPr>
          <w:rFonts w:ascii="Arial" w:cs="Arial" w:eastAsia="Arial" w:hAnsi="Arial"/>
          <w:sz w:val="20"/>
          <w:szCs w:val="20"/>
          <w:color w:val="582C83"/>
        </w:rPr>
      </w:pPr>
    </w:p>
    <w:p>
      <w:pPr>
        <w:ind w:left="180" w:hanging="161"/>
        <w:spacing w:after="0"/>
        <w:tabs>
          <w:tab w:leader="none" w:pos="180" w:val="left"/>
        </w:tabs>
        <w:numPr>
          <w:ilvl w:val="0"/>
          <w:numId w:val="54"/>
        </w:numPr>
        <w:rPr>
          <w:rFonts w:ascii="Arial" w:cs="Arial" w:eastAsia="Arial" w:hAnsi="Arial"/>
          <w:sz w:val="20"/>
          <w:szCs w:val="20"/>
          <w:color w:val="582C83"/>
        </w:rPr>
      </w:pPr>
      <w:r>
        <w:rPr>
          <w:rFonts w:ascii="Arial" w:cs="Arial" w:eastAsia="Arial" w:hAnsi="Arial"/>
          <w:sz w:val="20"/>
          <w:szCs w:val="20"/>
          <w:color w:val="auto"/>
        </w:rPr>
        <w:t>Oversee ESG strategic performance indicators (“SPIs”) for incentive plans;</w:t>
      </w:r>
    </w:p>
    <w:p>
      <w:pPr>
        <w:spacing w:after="0" w:line="92" w:lineRule="exact"/>
        <w:rPr>
          <w:rFonts w:ascii="Arial" w:cs="Arial" w:eastAsia="Arial" w:hAnsi="Arial"/>
          <w:sz w:val="20"/>
          <w:szCs w:val="20"/>
          <w:color w:val="582C83"/>
        </w:rPr>
      </w:pPr>
    </w:p>
    <w:p>
      <w:pPr>
        <w:ind w:left="180" w:right="140" w:hanging="161"/>
        <w:spacing w:after="0" w:line="250" w:lineRule="auto"/>
        <w:tabs>
          <w:tab w:leader="none" w:pos="180" w:val="left"/>
        </w:tabs>
        <w:numPr>
          <w:ilvl w:val="0"/>
          <w:numId w:val="54"/>
        </w:numPr>
        <w:rPr>
          <w:rFonts w:ascii="Arial" w:cs="Arial" w:eastAsia="Arial" w:hAnsi="Arial"/>
          <w:sz w:val="20"/>
          <w:szCs w:val="20"/>
          <w:color w:val="582C83"/>
        </w:rPr>
      </w:pPr>
      <w:r>
        <w:rPr>
          <w:rFonts w:ascii="Arial" w:cs="Arial" w:eastAsia="Arial" w:hAnsi="Arial"/>
          <w:sz w:val="20"/>
          <w:szCs w:val="20"/>
          <w:color w:val="auto"/>
        </w:rPr>
        <w:t>Review and approve goals and objectives of the CEO; evaluate the performance of the CEO in light of these goals and objectives; and based upon this evaluation, determine both the elements and amounts of the CEO’s compensation, including perquisites. The CEO may not be present during voting or deliberations on his or her compensation;</w:t>
      </w:r>
    </w:p>
    <w:p>
      <w:pPr>
        <w:spacing w:after="0" w:line="51" w:lineRule="exact"/>
        <w:rPr>
          <w:rFonts w:ascii="Arial" w:cs="Arial" w:eastAsia="Arial" w:hAnsi="Arial"/>
          <w:sz w:val="20"/>
          <w:szCs w:val="20"/>
          <w:color w:val="582C83"/>
        </w:rPr>
      </w:pPr>
    </w:p>
    <w:p>
      <w:pPr>
        <w:ind w:left="180" w:right="80" w:hanging="161"/>
        <w:spacing w:after="0" w:line="268" w:lineRule="auto"/>
        <w:tabs>
          <w:tab w:leader="none" w:pos="180" w:val="left"/>
        </w:tabs>
        <w:numPr>
          <w:ilvl w:val="0"/>
          <w:numId w:val="54"/>
        </w:numPr>
        <w:rPr>
          <w:rFonts w:ascii="Arial" w:cs="Arial" w:eastAsia="Arial" w:hAnsi="Arial"/>
          <w:sz w:val="20"/>
          <w:szCs w:val="20"/>
          <w:color w:val="582C83"/>
        </w:rPr>
      </w:pPr>
      <w:r>
        <w:rPr>
          <w:rFonts w:ascii="Arial" w:cs="Arial" w:eastAsia="Arial" w:hAnsi="Arial"/>
          <w:sz w:val="20"/>
          <w:szCs w:val="20"/>
          <w:color w:val="auto"/>
        </w:rPr>
        <w:t>Review management’s recommendations for, and approve the compensation of, the CEO’s executive direct reports and other officers subject to Section 16(a) of the Securities Exchange Act of 1934, as amended (the “Exchange Act”);</w:t>
      </w:r>
    </w:p>
    <w:p>
      <w:pPr>
        <w:spacing w:after="0" w:line="32" w:lineRule="exact"/>
        <w:rPr>
          <w:rFonts w:ascii="Arial" w:cs="Arial" w:eastAsia="Arial" w:hAnsi="Arial"/>
          <w:sz w:val="20"/>
          <w:szCs w:val="20"/>
          <w:color w:val="582C83"/>
        </w:rPr>
      </w:pPr>
    </w:p>
    <w:p>
      <w:pPr>
        <w:ind w:left="180" w:right="120" w:hanging="161"/>
        <w:spacing w:after="0" w:line="268" w:lineRule="auto"/>
        <w:tabs>
          <w:tab w:leader="none" w:pos="180" w:val="left"/>
        </w:tabs>
        <w:numPr>
          <w:ilvl w:val="0"/>
          <w:numId w:val="54"/>
        </w:numPr>
        <w:rPr>
          <w:rFonts w:ascii="Arial" w:cs="Arial" w:eastAsia="Arial" w:hAnsi="Arial"/>
          <w:sz w:val="20"/>
          <w:szCs w:val="20"/>
          <w:color w:val="582C83"/>
        </w:rPr>
      </w:pPr>
      <w:r>
        <w:rPr>
          <w:rFonts w:ascii="Arial" w:cs="Arial" w:eastAsia="Arial" w:hAnsi="Arial"/>
          <w:sz w:val="20"/>
          <w:szCs w:val="20"/>
          <w:color w:val="auto"/>
        </w:rPr>
        <w:t>Determine annual incentive compensation, equity awards and other long-term incentive awards granted under our equity and long-term incentive plans to eligible participants;</w:t>
      </w:r>
    </w:p>
    <w:p>
      <w:pPr>
        <w:spacing w:after="0" w:line="32" w:lineRule="exact"/>
        <w:rPr>
          <w:rFonts w:ascii="Arial" w:cs="Arial" w:eastAsia="Arial" w:hAnsi="Arial"/>
          <w:sz w:val="20"/>
          <w:szCs w:val="20"/>
          <w:color w:val="582C83"/>
        </w:rPr>
      </w:pPr>
    </w:p>
    <w:p>
      <w:pPr>
        <w:ind w:left="180" w:hanging="161"/>
        <w:spacing w:after="0"/>
        <w:tabs>
          <w:tab w:leader="none" w:pos="180" w:val="left"/>
        </w:tabs>
        <w:numPr>
          <w:ilvl w:val="0"/>
          <w:numId w:val="54"/>
        </w:numPr>
        <w:rPr>
          <w:rFonts w:ascii="Arial" w:cs="Arial" w:eastAsia="Arial" w:hAnsi="Arial"/>
          <w:sz w:val="20"/>
          <w:szCs w:val="20"/>
          <w:color w:val="582C83"/>
        </w:rPr>
      </w:pPr>
      <w:r>
        <w:rPr>
          <w:rFonts w:ascii="Arial" w:cs="Arial" w:eastAsia="Arial" w:hAnsi="Arial"/>
          <w:sz w:val="20"/>
          <w:szCs w:val="20"/>
          <w:color w:val="auto"/>
        </w:rPr>
        <w:t>Determine the policies governing options and other stock grants;</w:t>
      </w:r>
    </w:p>
    <w:p>
      <w:pPr>
        <w:spacing w:after="0" w:line="92" w:lineRule="exact"/>
        <w:rPr>
          <w:rFonts w:ascii="Arial" w:cs="Arial" w:eastAsia="Arial" w:hAnsi="Arial"/>
          <w:sz w:val="20"/>
          <w:szCs w:val="20"/>
          <w:color w:val="582C83"/>
        </w:rPr>
      </w:pPr>
    </w:p>
    <w:p>
      <w:pPr>
        <w:ind w:left="180" w:right="60" w:hanging="161"/>
        <w:spacing w:after="0" w:line="268" w:lineRule="auto"/>
        <w:tabs>
          <w:tab w:leader="none" w:pos="180" w:val="left"/>
        </w:tabs>
        <w:numPr>
          <w:ilvl w:val="0"/>
          <w:numId w:val="54"/>
        </w:numPr>
        <w:rPr>
          <w:rFonts w:ascii="Arial" w:cs="Arial" w:eastAsia="Arial" w:hAnsi="Arial"/>
          <w:sz w:val="20"/>
          <w:szCs w:val="20"/>
          <w:color w:val="582C83"/>
        </w:rPr>
      </w:pPr>
      <w:r>
        <w:rPr>
          <w:rFonts w:ascii="Arial" w:cs="Arial" w:eastAsia="Arial" w:hAnsi="Arial"/>
          <w:sz w:val="20"/>
          <w:szCs w:val="20"/>
          <w:color w:val="auto"/>
        </w:rPr>
        <w:t>Make recommendations to the Board with respect to incentive plans requiring shareholder approval; and approve eligibility for and design of executive compensation programs implemented under shareholder-approved plans;</w:t>
      </w:r>
    </w:p>
    <w:p>
      <w:pPr>
        <w:spacing w:after="0" w:line="32" w:lineRule="exact"/>
        <w:rPr>
          <w:rFonts w:ascii="Arial" w:cs="Arial" w:eastAsia="Arial" w:hAnsi="Arial"/>
          <w:sz w:val="20"/>
          <w:szCs w:val="20"/>
          <w:color w:val="582C83"/>
        </w:rPr>
      </w:pPr>
    </w:p>
    <w:p>
      <w:pPr>
        <w:ind w:left="180" w:right="220" w:hanging="161"/>
        <w:spacing w:after="0" w:line="250" w:lineRule="auto"/>
        <w:tabs>
          <w:tab w:leader="none" w:pos="180" w:val="left"/>
        </w:tabs>
        <w:numPr>
          <w:ilvl w:val="0"/>
          <w:numId w:val="54"/>
        </w:numPr>
        <w:rPr>
          <w:rFonts w:ascii="Arial" w:cs="Arial" w:eastAsia="Arial" w:hAnsi="Arial"/>
          <w:sz w:val="20"/>
          <w:szCs w:val="20"/>
          <w:color w:val="582C83"/>
        </w:rPr>
      </w:pPr>
      <w:r>
        <w:rPr>
          <w:rFonts w:ascii="Arial" w:cs="Arial" w:eastAsia="Arial" w:hAnsi="Arial"/>
          <w:sz w:val="20"/>
          <w:szCs w:val="20"/>
          <w:color w:val="auto"/>
        </w:rPr>
        <w:t>Review the compensation and benefits policies and practices for employees, including non-executive officers, as they relate to our risk management practices and risk-taking incentives, and review proposed material changes to these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167005</wp:posOffset>
            </wp:positionV>
            <wp:extent cx="7143115"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00" w:top="132" w:right="339" w:bottom="1440" w:gutter="0" w:footer="0" w:header="0"/>
        </w:sectPr>
      </w:pPr>
    </w:p>
    <w:bookmarkStart w:id="58" w:name="page59"/>
    <w:bookmarkEnd w:id="58"/>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61" w:right="180" w:hanging="161"/>
        <w:spacing w:after="0" w:line="250" w:lineRule="auto"/>
        <w:tabs>
          <w:tab w:leader="none" w:pos="161" w:val="left"/>
        </w:tabs>
        <w:numPr>
          <w:ilvl w:val="0"/>
          <w:numId w:val="55"/>
        </w:numPr>
        <w:rPr>
          <w:rFonts w:ascii="Arial" w:cs="Arial" w:eastAsia="Arial" w:hAnsi="Arial"/>
          <w:sz w:val="20"/>
          <w:szCs w:val="20"/>
          <w:color w:val="582C83"/>
        </w:rPr>
      </w:pPr>
      <w:r>
        <w:rPr>
          <w:rFonts w:ascii="Arial" w:cs="Arial" w:eastAsia="Arial" w:hAnsi="Arial"/>
          <w:sz w:val="20"/>
          <w:szCs w:val="20"/>
          <w:color w:val="auto"/>
        </w:rPr>
        <w:t>Oversee the talent development and succession planning process (including succession planning for emergencies) for the CEO and the CEO’s executive direct reports and, as appropriate, evaluate potential candidates and make recommendations to the Board regarding potential CEO candidates;</w:t>
      </w:r>
    </w:p>
    <w:p>
      <w:pPr>
        <w:spacing w:after="0" w:line="51" w:lineRule="exact"/>
        <w:rPr>
          <w:rFonts w:ascii="Arial" w:cs="Arial" w:eastAsia="Arial" w:hAnsi="Arial"/>
          <w:sz w:val="20"/>
          <w:szCs w:val="20"/>
          <w:color w:val="582C83"/>
        </w:rPr>
      </w:pPr>
    </w:p>
    <w:p>
      <w:pPr>
        <w:ind w:left="161" w:right="160" w:hanging="161"/>
        <w:spacing w:after="0" w:line="244" w:lineRule="auto"/>
        <w:tabs>
          <w:tab w:leader="none" w:pos="161" w:val="left"/>
        </w:tabs>
        <w:numPr>
          <w:ilvl w:val="0"/>
          <w:numId w:val="55"/>
        </w:numPr>
        <w:rPr>
          <w:rFonts w:ascii="Arial" w:cs="Arial" w:eastAsia="Arial" w:hAnsi="Arial"/>
          <w:sz w:val="20"/>
          <w:szCs w:val="20"/>
          <w:color w:val="582C83"/>
        </w:rPr>
      </w:pPr>
      <w:r>
        <w:rPr>
          <w:rFonts w:ascii="Arial" w:cs="Arial" w:eastAsia="Arial" w:hAnsi="Arial"/>
          <w:sz w:val="20"/>
          <w:szCs w:val="20"/>
          <w:color w:val="auto"/>
        </w:rPr>
        <w:t>Review periodically our key policies, practices and strategies related to human capital management, including but not limited to organizational engagement and effectiveness, employee wellness, DEI, pay equity, talent sourcing strategies, and talent management and development programs, and review human capital management disclosure in our annual report on Form 10-K and proxy statement;</w:t>
      </w:r>
    </w:p>
    <w:p>
      <w:pPr>
        <w:spacing w:after="0" w:line="58" w:lineRule="exact"/>
        <w:rPr>
          <w:rFonts w:ascii="Arial" w:cs="Arial" w:eastAsia="Arial" w:hAnsi="Arial"/>
          <w:sz w:val="20"/>
          <w:szCs w:val="20"/>
          <w:color w:val="582C83"/>
        </w:rPr>
      </w:pPr>
    </w:p>
    <w:p>
      <w:pPr>
        <w:ind w:left="161" w:right="100" w:hanging="161"/>
        <w:spacing w:after="0" w:line="268" w:lineRule="auto"/>
        <w:tabs>
          <w:tab w:leader="none" w:pos="161" w:val="left"/>
        </w:tabs>
        <w:numPr>
          <w:ilvl w:val="0"/>
          <w:numId w:val="55"/>
        </w:numPr>
        <w:rPr>
          <w:rFonts w:ascii="Arial" w:cs="Arial" w:eastAsia="Arial" w:hAnsi="Arial"/>
          <w:sz w:val="20"/>
          <w:szCs w:val="20"/>
          <w:color w:val="582C83"/>
        </w:rPr>
      </w:pPr>
      <w:r>
        <w:rPr>
          <w:rFonts w:ascii="Arial" w:cs="Arial" w:eastAsia="Arial" w:hAnsi="Arial"/>
          <w:sz w:val="20"/>
          <w:szCs w:val="20"/>
          <w:color w:val="auto"/>
        </w:rPr>
        <w:t>Monitor our policies, objectives and programs related to DEI and review periodically our DEI responsibilities and performance as an equal opportunity employer;</w:t>
      </w:r>
    </w:p>
    <w:p>
      <w:pPr>
        <w:spacing w:after="0" w:line="32" w:lineRule="exact"/>
        <w:rPr>
          <w:rFonts w:ascii="Arial" w:cs="Arial" w:eastAsia="Arial" w:hAnsi="Arial"/>
          <w:sz w:val="20"/>
          <w:szCs w:val="20"/>
          <w:color w:val="582C83"/>
        </w:rPr>
      </w:pPr>
    </w:p>
    <w:p>
      <w:pPr>
        <w:ind w:left="161" w:hanging="161"/>
        <w:spacing w:after="0"/>
        <w:tabs>
          <w:tab w:leader="none" w:pos="161" w:val="left"/>
        </w:tabs>
        <w:numPr>
          <w:ilvl w:val="0"/>
          <w:numId w:val="55"/>
        </w:numPr>
        <w:rPr>
          <w:rFonts w:ascii="Arial" w:cs="Arial" w:eastAsia="Arial" w:hAnsi="Arial"/>
          <w:sz w:val="20"/>
          <w:szCs w:val="20"/>
          <w:color w:val="582C83"/>
        </w:rPr>
      </w:pPr>
      <w:r>
        <w:rPr>
          <w:rFonts w:ascii="Arial" w:cs="Arial" w:eastAsia="Arial" w:hAnsi="Arial"/>
          <w:sz w:val="20"/>
          <w:szCs w:val="20"/>
          <w:color w:val="auto"/>
        </w:rPr>
        <w:t>Oversee policies as they relate to respect for employees and others within the business of Mondelēz International;</w:t>
      </w:r>
    </w:p>
    <w:p>
      <w:pPr>
        <w:spacing w:after="0" w:line="92" w:lineRule="exact"/>
        <w:rPr>
          <w:rFonts w:ascii="Arial" w:cs="Arial" w:eastAsia="Arial" w:hAnsi="Arial"/>
          <w:sz w:val="20"/>
          <w:szCs w:val="20"/>
          <w:color w:val="582C83"/>
        </w:rPr>
      </w:pPr>
    </w:p>
    <w:p>
      <w:pPr>
        <w:ind w:left="161" w:hanging="161"/>
        <w:spacing w:after="0"/>
        <w:tabs>
          <w:tab w:leader="none" w:pos="161" w:val="left"/>
        </w:tabs>
        <w:numPr>
          <w:ilvl w:val="0"/>
          <w:numId w:val="55"/>
        </w:numPr>
        <w:rPr>
          <w:rFonts w:ascii="Arial" w:cs="Arial" w:eastAsia="Arial" w:hAnsi="Arial"/>
          <w:sz w:val="20"/>
          <w:szCs w:val="20"/>
          <w:color w:val="582C83"/>
        </w:rPr>
      </w:pPr>
      <w:r>
        <w:rPr>
          <w:rFonts w:ascii="Arial" w:cs="Arial" w:eastAsia="Arial" w:hAnsi="Arial"/>
          <w:sz w:val="20"/>
          <w:szCs w:val="20"/>
          <w:color w:val="auto"/>
        </w:rPr>
        <w:t>Monitor executive officers’ compliance with our stock ownership guidelines;</w:t>
      </w:r>
    </w:p>
    <w:p>
      <w:pPr>
        <w:spacing w:after="0" w:line="92" w:lineRule="exact"/>
        <w:rPr>
          <w:rFonts w:ascii="Arial" w:cs="Arial" w:eastAsia="Arial" w:hAnsi="Arial"/>
          <w:sz w:val="20"/>
          <w:szCs w:val="20"/>
          <w:color w:val="582C83"/>
        </w:rPr>
      </w:pPr>
    </w:p>
    <w:p>
      <w:pPr>
        <w:ind w:left="161" w:right="100" w:hanging="161"/>
        <w:spacing w:after="0" w:line="268" w:lineRule="auto"/>
        <w:tabs>
          <w:tab w:leader="none" w:pos="161" w:val="left"/>
        </w:tabs>
        <w:numPr>
          <w:ilvl w:val="0"/>
          <w:numId w:val="55"/>
        </w:numPr>
        <w:rPr>
          <w:rFonts w:ascii="Arial" w:cs="Arial" w:eastAsia="Arial" w:hAnsi="Arial"/>
          <w:sz w:val="20"/>
          <w:szCs w:val="20"/>
          <w:color w:val="582C83"/>
        </w:rPr>
      </w:pPr>
      <w:r>
        <w:rPr>
          <w:rFonts w:ascii="Arial" w:cs="Arial" w:eastAsia="Arial" w:hAnsi="Arial"/>
          <w:sz w:val="20"/>
          <w:szCs w:val="20"/>
          <w:color w:val="auto"/>
        </w:rPr>
        <w:t>Advise the Board and assess the appropriateness of the compensation of independent directors for service on the Board and its committees;</w:t>
      </w:r>
    </w:p>
    <w:p>
      <w:pPr>
        <w:spacing w:after="0" w:line="32" w:lineRule="exact"/>
        <w:rPr>
          <w:rFonts w:ascii="Arial" w:cs="Arial" w:eastAsia="Arial" w:hAnsi="Arial"/>
          <w:sz w:val="20"/>
          <w:szCs w:val="20"/>
          <w:color w:val="582C83"/>
        </w:rPr>
      </w:pPr>
    </w:p>
    <w:p>
      <w:pPr>
        <w:ind w:left="161" w:right="120" w:hanging="161"/>
        <w:spacing w:after="0" w:line="250" w:lineRule="auto"/>
        <w:tabs>
          <w:tab w:leader="none" w:pos="161" w:val="left"/>
        </w:tabs>
        <w:numPr>
          <w:ilvl w:val="0"/>
          <w:numId w:val="55"/>
        </w:numPr>
        <w:rPr>
          <w:rFonts w:ascii="Arial" w:cs="Arial" w:eastAsia="Arial" w:hAnsi="Arial"/>
          <w:sz w:val="20"/>
          <w:szCs w:val="20"/>
          <w:color w:val="582C83"/>
        </w:rPr>
      </w:pPr>
      <w:r>
        <w:rPr>
          <w:rFonts w:ascii="Arial" w:cs="Arial" w:eastAsia="Arial" w:hAnsi="Arial"/>
          <w:sz w:val="20"/>
          <w:szCs w:val="20"/>
          <w:color w:val="auto"/>
        </w:rPr>
        <w:t>Review and discuss with management the CD&amp;A and related disclosures to be included in our proxy statement and annual report on Form 10-K; and prepare and approve the People and Compensation Committee’s annual report to shareholders for inclusion in our annual proxy statement;</w:t>
      </w:r>
    </w:p>
    <w:p>
      <w:pPr>
        <w:spacing w:after="0" w:line="51" w:lineRule="exact"/>
        <w:rPr>
          <w:rFonts w:ascii="Arial" w:cs="Arial" w:eastAsia="Arial" w:hAnsi="Arial"/>
          <w:sz w:val="20"/>
          <w:szCs w:val="20"/>
          <w:color w:val="582C83"/>
        </w:rPr>
      </w:pPr>
    </w:p>
    <w:p>
      <w:pPr>
        <w:ind w:left="161" w:right="340" w:hanging="161"/>
        <w:spacing w:after="0" w:line="268" w:lineRule="auto"/>
        <w:tabs>
          <w:tab w:leader="none" w:pos="161" w:val="left"/>
        </w:tabs>
        <w:numPr>
          <w:ilvl w:val="0"/>
          <w:numId w:val="55"/>
        </w:numPr>
        <w:rPr>
          <w:rFonts w:ascii="Arial" w:cs="Arial" w:eastAsia="Arial" w:hAnsi="Arial"/>
          <w:sz w:val="20"/>
          <w:szCs w:val="20"/>
          <w:color w:val="582C83"/>
        </w:rPr>
      </w:pPr>
      <w:r>
        <w:rPr>
          <w:rFonts w:ascii="Arial" w:cs="Arial" w:eastAsia="Arial" w:hAnsi="Arial"/>
          <w:sz w:val="20"/>
          <w:szCs w:val="20"/>
          <w:color w:val="auto"/>
        </w:rPr>
        <w:t>Review and approve the creation or revision of any clawback policy allowing recoupment of incentive-based compensation paid to executive officers in the event of an accounting restatement or as warranted;</w:t>
      </w:r>
    </w:p>
    <w:p>
      <w:pPr>
        <w:spacing w:after="0" w:line="32" w:lineRule="exact"/>
        <w:rPr>
          <w:rFonts w:ascii="Arial" w:cs="Arial" w:eastAsia="Arial" w:hAnsi="Arial"/>
          <w:sz w:val="20"/>
          <w:szCs w:val="20"/>
          <w:color w:val="582C83"/>
        </w:rPr>
      </w:pPr>
    </w:p>
    <w:p>
      <w:pPr>
        <w:ind w:left="161" w:right="460" w:hanging="161"/>
        <w:spacing w:after="0" w:line="250" w:lineRule="auto"/>
        <w:tabs>
          <w:tab w:leader="none" w:pos="161" w:val="left"/>
        </w:tabs>
        <w:numPr>
          <w:ilvl w:val="0"/>
          <w:numId w:val="55"/>
        </w:numPr>
        <w:rPr>
          <w:rFonts w:ascii="Arial" w:cs="Arial" w:eastAsia="Arial" w:hAnsi="Arial"/>
          <w:sz w:val="20"/>
          <w:szCs w:val="20"/>
          <w:color w:val="582C83"/>
        </w:rPr>
      </w:pPr>
      <w:r>
        <w:rPr>
          <w:rFonts w:ascii="Arial" w:cs="Arial" w:eastAsia="Arial" w:hAnsi="Arial"/>
          <w:sz w:val="20"/>
          <w:szCs w:val="20"/>
          <w:color w:val="auto"/>
        </w:rPr>
        <w:t>Assess the independence of any compensation consultant, outside counsel and other advisors (whether retained by the People and Compensation Committee or management) that provide advice to the People and Compensation Committee, before selecting or receiving advice from them, based on the factors set forth in the Nasdaq listing rules;</w:t>
      </w:r>
    </w:p>
    <w:p>
      <w:pPr>
        <w:spacing w:after="0" w:line="51" w:lineRule="exact"/>
        <w:rPr>
          <w:rFonts w:ascii="Arial" w:cs="Arial" w:eastAsia="Arial" w:hAnsi="Arial"/>
          <w:sz w:val="20"/>
          <w:szCs w:val="20"/>
          <w:color w:val="582C83"/>
        </w:rPr>
      </w:pPr>
    </w:p>
    <w:p>
      <w:pPr>
        <w:jc w:val="both"/>
        <w:ind w:left="161" w:right="140" w:hanging="161"/>
        <w:spacing w:after="0" w:line="250" w:lineRule="auto"/>
        <w:tabs>
          <w:tab w:leader="none" w:pos="161" w:val="left"/>
        </w:tabs>
        <w:numPr>
          <w:ilvl w:val="0"/>
          <w:numId w:val="55"/>
        </w:numPr>
        <w:rPr>
          <w:rFonts w:ascii="Arial" w:cs="Arial" w:eastAsia="Arial" w:hAnsi="Arial"/>
          <w:sz w:val="20"/>
          <w:szCs w:val="20"/>
          <w:color w:val="582C83"/>
        </w:rPr>
      </w:pPr>
      <w:r>
        <w:rPr>
          <w:rFonts w:ascii="Arial" w:cs="Arial" w:eastAsia="Arial" w:hAnsi="Arial"/>
          <w:sz w:val="20"/>
          <w:szCs w:val="20"/>
          <w:color w:val="auto"/>
        </w:rPr>
        <w:t>At least annually, assess whether the work of compensation consultants involved in determining or recommending executive or director compensation has raised any conflict of interest that is required to be disclosed in our annual report on Form 10-K and proxy statement;</w:t>
      </w:r>
    </w:p>
    <w:p>
      <w:pPr>
        <w:spacing w:after="0" w:line="51" w:lineRule="exact"/>
        <w:rPr>
          <w:rFonts w:ascii="Arial" w:cs="Arial" w:eastAsia="Arial" w:hAnsi="Arial"/>
          <w:sz w:val="20"/>
          <w:szCs w:val="20"/>
          <w:color w:val="582C83"/>
        </w:rPr>
      </w:pPr>
    </w:p>
    <w:p>
      <w:pPr>
        <w:ind w:left="161" w:hanging="161"/>
        <w:spacing w:after="0"/>
        <w:tabs>
          <w:tab w:leader="none" w:pos="161" w:val="left"/>
        </w:tabs>
        <w:numPr>
          <w:ilvl w:val="0"/>
          <w:numId w:val="55"/>
        </w:numPr>
        <w:rPr>
          <w:rFonts w:ascii="Arial" w:cs="Arial" w:eastAsia="Arial" w:hAnsi="Arial"/>
          <w:sz w:val="20"/>
          <w:szCs w:val="20"/>
          <w:color w:val="582C83"/>
        </w:rPr>
      </w:pPr>
      <w:r>
        <w:rPr>
          <w:rFonts w:ascii="Arial" w:cs="Arial" w:eastAsia="Arial" w:hAnsi="Arial"/>
          <w:sz w:val="20"/>
          <w:szCs w:val="20"/>
          <w:color w:val="auto"/>
        </w:rPr>
        <w:t>Assess the results of the most recent advisory vote on executive compensation; and</w:t>
      </w:r>
    </w:p>
    <w:p>
      <w:pPr>
        <w:spacing w:after="0" w:line="92" w:lineRule="exact"/>
        <w:rPr>
          <w:rFonts w:ascii="Arial" w:cs="Arial" w:eastAsia="Arial" w:hAnsi="Arial"/>
          <w:sz w:val="20"/>
          <w:szCs w:val="20"/>
          <w:color w:val="582C83"/>
        </w:rPr>
      </w:pPr>
    </w:p>
    <w:p>
      <w:pPr>
        <w:ind w:left="161" w:right="360" w:hanging="161"/>
        <w:spacing w:after="0" w:line="250" w:lineRule="auto"/>
        <w:tabs>
          <w:tab w:leader="none" w:pos="161" w:val="left"/>
        </w:tabs>
        <w:numPr>
          <w:ilvl w:val="0"/>
          <w:numId w:val="55"/>
        </w:numPr>
        <w:rPr>
          <w:rFonts w:ascii="Arial" w:cs="Arial" w:eastAsia="Arial" w:hAnsi="Arial"/>
          <w:sz w:val="20"/>
          <w:szCs w:val="20"/>
          <w:color w:val="582C83"/>
        </w:rPr>
      </w:pPr>
      <w:r>
        <w:rPr>
          <w:rFonts w:ascii="Arial" w:cs="Arial" w:eastAsia="Arial" w:hAnsi="Arial"/>
          <w:sz w:val="20"/>
          <w:szCs w:val="20"/>
          <w:color w:val="auto"/>
        </w:rPr>
        <w:t>Perform any other duties and responsibilities that are consistent with the People and Compensation Committee’s purpose, our Articles of Incorporation and By-Laws, and governing law, as the Board or the People and Compensation Committee deems necessary or appropriate.</w:t>
      </w:r>
    </w:p>
    <w:p>
      <w:pPr>
        <w:spacing w:after="0" w:line="51" w:lineRule="exact"/>
        <w:rPr>
          <w:sz w:val="20"/>
          <w:szCs w:val="20"/>
          <w:color w:val="auto"/>
        </w:rPr>
      </w:pPr>
    </w:p>
    <w:p>
      <w:pPr>
        <w:ind w:left="1" w:right="60"/>
        <w:spacing w:after="0" w:line="250" w:lineRule="auto"/>
        <w:rPr>
          <w:sz w:val="20"/>
          <w:szCs w:val="20"/>
          <w:color w:val="auto"/>
        </w:rPr>
      </w:pPr>
      <w:r>
        <w:rPr>
          <w:rFonts w:ascii="Arial" w:cs="Arial" w:eastAsia="Arial" w:hAnsi="Arial"/>
          <w:sz w:val="20"/>
          <w:szCs w:val="20"/>
          <w:color w:val="auto"/>
        </w:rPr>
        <w:t>The People and Compensation Committee has the authority to delegate any of its responsibilities to the committee’s Chair, another People and Compensation Committee member, or a subcommittee of People and Compensation Committee members, unless prohibited by law, regulation or any Nasdaq listing standard.</w:t>
      </w:r>
    </w:p>
    <w:p>
      <w:pPr>
        <w:spacing w:after="0" w:line="126" w:lineRule="exact"/>
        <w:rPr>
          <w:sz w:val="20"/>
          <w:szCs w:val="20"/>
          <w:color w:val="auto"/>
        </w:rPr>
      </w:pPr>
    </w:p>
    <w:p>
      <w:pPr>
        <w:ind w:left="1" w:right="460"/>
        <w:spacing w:after="0" w:line="272" w:lineRule="auto"/>
        <w:rPr>
          <w:sz w:val="20"/>
          <w:szCs w:val="20"/>
          <w:color w:val="auto"/>
        </w:rPr>
      </w:pPr>
      <w:r>
        <w:rPr>
          <w:rFonts w:ascii="Arial" w:cs="Arial" w:eastAsia="Arial" w:hAnsi="Arial"/>
          <w:sz w:val="22"/>
          <w:szCs w:val="22"/>
          <w:b w:val="1"/>
          <w:bCs w:val="1"/>
          <w:color w:val="582C83"/>
        </w:rPr>
        <w:t>EXECUTIVE OFFICERS HAVE A LIMITED ROLE IN THE PEOPLE AND COMPENSATION COMMITTEE’S DETERMINATION OF EXECUTIVE COMPENSATION AND RECOMMENDATIONS TO THE BOARD REGARDING NON-EMPLOYEE DIRECTOR COMPENSATION</w:t>
      </w:r>
    </w:p>
    <w:p>
      <w:pPr>
        <w:spacing w:after="0" w:line="9" w:lineRule="exact"/>
        <w:rPr>
          <w:sz w:val="20"/>
          <w:szCs w:val="20"/>
          <w:color w:val="auto"/>
        </w:rPr>
      </w:pPr>
    </w:p>
    <w:p>
      <w:pPr>
        <w:ind w:left="161" w:right="60" w:hanging="161"/>
        <w:spacing w:after="0" w:line="250" w:lineRule="auto"/>
        <w:tabs>
          <w:tab w:leader="none" w:pos="161" w:val="left"/>
        </w:tabs>
        <w:numPr>
          <w:ilvl w:val="0"/>
          <w:numId w:val="56"/>
        </w:numPr>
        <w:rPr>
          <w:rFonts w:ascii="Arial" w:cs="Arial" w:eastAsia="Arial" w:hAnsi="Arial"/>
          <w:sz w:val="20"/>
          <w:szCs w:val="20"/>
          <w:color w:val="582C83"/>
        </w:rPr>
      </w:pPr>
      <w:r>
        <w:rPr>
          <w:rFonts w:ascii="Arial" w:cs="Arial" w:eastAsia="Arial" w:hAnsi="Arial"/>
          <w:sz w:val="20"/>
          <w:szCs w:val="20"/>
          <w:color w:val="auto"/>
        </w:rPr>
        <w:t>Each year, the CEO presents compensation recommendations for his direct reports and the other executive officers, including the NEOs. The People and Compensation Committee reviews and discusses these recommendations with the CEO but retains full discretion over the compensation of these employees.</w:t>
      </w:r>
    </w:p>
    <w:p>
      <w:pPr>
        <w:spacing w:after="0" w:line="51" w:lineRule="exact"/>
        <w:rPr>
          <w:rFonts w:ascii="Arial" w:cs="Arial" w:eastAsia="Arial" w:hAnsi="Arial"/>
          <w:sz w:val="20"/>
          <w:szCs w:val="20"/>
          <w:color w:val="582C83"/>
        </w:rPr>
      </w:pPr>
    </w:p>
    <w:p>
      <w:pPr>
        <w:ind w:left="161" w:hanging="161"/>
        <w:spacing w:after="0"/>
        <w:tabs>
          <w:tab w:leader="none" w:pos="161" w:val="left"/>
        </w:tabs>
        <w:numPr>
          <w:ilvl w:val="0"/>
          <w:numId w:val="56"/>
        </w:numPr>
        <w:rPr>
          <w:rFonts w:ascii="Arial" w:cs="Arial" w:eastAsia="Arial" w:hAnsi="Arial"/>
          <w:sz w:val="20"/>
          <w:szCs w:val="20"/>
          <w:color w:val="582C83"/>
        </w:rPr>
      </w:pPr>
      <w:r>
        <w:rPr>
          <w:rFonts w:ascii="Arial" w:cs="Arial" w:eastAsia="Arial" w:hAnsi="Arial"/>
          <w:sz w:val="20"/>
          <w:szCs w:val="20"/>
          <w:color w:val="auto"/>
        </w:rPr>
        <w:t>The CEO does not make recommendations or participate in deliberations regarding his own compensation.</w:t>
      </w:r>
    </w:p>
    <w:p>
      <w:pPr>
        <w:spacing w:after="0" w:line="92" w:lineRule="exact"/>
        <w:rPr>
          <w:rFonts w:ascii="Arial" w:cs="Arial" w:eastAsia="Arial" w:hAnsi="Arial"/>
          <w:sz w:val="20"/>
          <w:szCs w:val="20"/>
          <w:color w:val="582C83"/>
        </w:rPr>
      </w:pPr>
    </w:p>
    <w:p>
      <w:pPr>
        <w:ind w:left="161" w:right="1060" w:hanging="161"/>
        <w:spacing w:after="0" w:line="268" w:lineRule="auto"/>
        <w:tabs>
          <w:tab w:leader="none" w:pos="161" w:val="left"/>
        </w:tabs>
        <w:numPr>
          <w:ilvl w:val="0"/>
          <w:numId w:val="56"/>
        </w:numPr>
        <w:rPr>
          <w:rFonts w:ascii="Arial" w:cs="Arial" w:eastAsia="Arial" w:hAnsi="Arial"/>
          <w:sz w:val="20"/>
          <w:szCs w:val="20"/>
          <w:color w:val="582C83"/>
        </w:rPr>
      </w:pPr>
      <w:r>
        <w:rPr>
          <w:rFonts w:ascii="Arial" w:cs="Arial" w:eastAsia="Arial" w:hAnsi="Arial"/>
          <w:sz w:val="20"/>
          <w:szCs w:val="20"/>
          <w:color w:val="auto"/>
        </w:rPr>
        <w:t>Executive officers do not play a role in determining or recommending the amount or form of non-employee director compensation.</w:t>
      </w:r>
    </w:p>
    <w:p>
      <w:pPr>
        <w:spacing w:after="0" w:line="33" w:lineRule="exact"/>
        <w:rPr>
          <w:sz w:val="20"/>
          <w:szCs w:val="20"/>
          <w:color w:val="auto"/>
        </w:rPr>
      </w:pPr>
    </w:p>
    <w:p>
      <w:pPr>
        <w:ind w:left="1"/>
        <w:spacing w:after="0"/>
        <w:rPr>
          <w:sz w:val="20"/>
          <w:szCs w:val="20"/>
          <w:color w:val="auto"/>
        </w:rPr>
      </w:pPr>
      <w:r>
        <w:rPr>
          <w:rFonts w:ascii="Arial" w:cs="Arial" w:eastAsia="Arial" w:hAnsi="Arial"/>
          <w:sz w:val="20"/>
          <w:szCs w:val="20"/>
          <w:color w:val="auto"/>
        </w:rPr>
        <w:t>See “How Compensation Decisions are Made” on page 86 for additional detail on roles in the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143115"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59" w:name="page60"/>
    <w:bookmarkEnd w:id="59"/>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 w:right="360"/>
        <w:spacing w:after="0" w:line="288" w:lineRule="auto"/>
        <w:rPr>
          <w:sz w:val="20"/>
          <w:szCs w:val="20"/>
          <w:color w:val="auto"/>
        </w:rPr>
      </w:pPr>
      <w:r>
        <w:rPr>
          <w:rFonts w:ascii="Arial" w:cs="Arial" w:eastAsia="Arial" w:hAnsi="Arial"/>
          <w:sz w:val="22"/>
          <w:szCs w:val="22"/>
          <w:b w:val="1"/>
          <w:bCs w:val="1"/>
          <w:color w:val="582C83"/>
        </w:rPr>
        <w:t>THE PEOPLE AND COMPENSATION COMMITTEE’S ROLE IN MANAGEMENT SUCCESSION PLANNING AND DEVELOPMENT</w:t>
      </w:r>
    </w:p>
    <w:p>
      <w:pPr>
        <w:spacing w:after="0" w:line="1" w:lineRule="exact"/>
        <w:rPr>
          <w:sz w:val="20"/>
          <w:szCs w:val="20"/>
          <w:color w:val="auto"/>
        </w:rPr>
      </w:pPr>
    </w:p>
    <w:p>
      <w:pPr>
        <w:ind w:left="1" w:right="140"/>
        <w:spacing w:after="0" w:line="242" w:lineRule="auto"/>
        <w:rPr>
          <w:sz w:val="20"/>
          <w:szCs w:val="20"/>
          <w:color w:val="auto"/>
        </w:rPr>
      </w:pPr>
      <w:r>
        <w:rPr>
          <w:rFonts w:ascii="Arial" w:cs="Arial" w:eastAsia="Arial" w:hAnsi="Arial"/>
          <w:sz w:val="20"/>
          <w:szCs w:val="20"/>
          <w:color w:val="auto"/>
        </w:rPr>
        <w:t>Succession planning for senior management positions, which facilitates continuity of leadership over the long term, is critical to our success and important at all levels within our organization. Our Board’s involvement in leadership development and succession planning is systematic, strategic and continuous. The People and Compensation Committee oversees the development and retention of senior management talent while also maintaining an appropriate succession plan for our CEO. Additionally, the Board has contingency plans for emergencies such as the death or disability of the CEO.</w:t>
      </w:r>
    </w:p>
    <w:p>
      <w:pPr>
        <w:spacing w:after="0" w:line="132" w:lineRule="exact"/>
        <w:rPr>
          <w:sz w:val="20"/>
          <w:szCs w:val="20"/>
          <w:color w:val="auto"/>
        </w:rPr>
      </w:pPr>
    </w:p>
    <w:p>
      <w:pPr>
        <w:ind w:left="1" w:right="20"/>
        <w:spacing w:after="0" w:line="239" w:lineRule="auto"/>
        <w:rPr>
          <w:sz w:val="20"/>
          <w:szCs w:val="20"/>
          <w:color w:val="auto"/>
        </w:rPr>
      </w:pPr>
      <w:r>
        <w:rPr>
          <w:rFonts w:ascii="Arial" w:cs="Arial" w:eastAsia="Arial" w:hAnsi="Arial"/>
          <w:sz w:val="20"/>
          <w:szCs w:val="20"/>
          <w:color w:val="auto"/>
        </w:rPr>
        <w:t>The People and Compensation Committee, together with the CEO, regularly reviews senior management talent, including readiness to take on additional leadership roles and developmental opportunities needed to prepare leaders for greater responsibilities. The CEO also provides a regular review to the People and Compensation Committee of the executive leadership team. While the People and Compensation Committee has the primary responsibility to develop succession plans for the CEO position, it annually reports to the Board and decisions are made at the Board level. Potential leaders interact with Board members through formal presentations and during informal events. More broadly, the Board is updated on human capital matters for the overall workforce, including recruiting, DEI and development programs.</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582C83"/>
        </w:rPr>
        <w:t>HOW THE PEOPLE AND COMPENSATION COMMITTEE MANAGES COMPENSATION-RELATED RISK</w:t>
      </w:r>
    </w:p>
    <w:p>
      <w:pPr>
        <w:spacing w:after="0" w:line="94" w:lineRule="exact"/>
        <w:rPr>
          <w:sz w:val="20"/>
          <w:szCs w:val="20"/>
          <w:color w:val="auto"/>
        </w:rPr>
      </w:pPr>
    </w:p>
    <w:p>
      <w:pPr>
        <w:ind w:left="1" w:right="60"/>
        <w:spacing w:after="0" w:line="239" w:lineRule="auto"/>
        <w:rPr>
          <w:sz w:val="20"/>
          <w:szCs w:val="20"/>
          <w:color w:val="auto"/>
        </w:rPr>
      </w:pPr>
      <w:r>
        <w:rPr>
          <w:rFonts w:ascii="Arial" w:cs="Arial" w:eastAsia="Arial" w:hAnsi="Arial"/>
          <w:sz w:val="20"/>
          <w:szCs w:val="20"/>
          <w:color w:val="auto"/>
        </w:rPr>
        <w:t>As it does each year, in 2022 the People and Compensation Committee evaluated whether our compensation designs, policies and practices operate to discourage our executive officers and other employees from taking unnecessary or excessive risks. As described above, we design our compensation to incentivize executives and other employees to achieve the Company’s financial and strategic goals as well as individual performance goals that promote long-term shareholder returns. Our compensation design discourages our executives and other employees from taking excessive risks for short-term benefits that may harm the Company and our shareholders in the long term. The compensation program includes several risk-mitigating elements, including:</w:t>
      </w:r>
    </w:p>
    <w:p>
      <w:pPr>
        <w:spacing w:after="0" w:line="61" w:lineRule="exact"/>
        <w:rPr>
          <w:sz w:val="20"/>
          <w:szCs w:val="20"/>
          <w:color w:val="auto"/>
        </w:rPr>
      </w:pPr>
    </w:p>
    <w:p>
      <w:pPr>
        <w:ind w:left="161" w:right="560" w:hanging="161"/>
        <w:spacing w:after="0" w:line="268" w:lineRule="auto"/>
        <w:tabs>
          <w:tab w:leader="none" w:pos="161" w:val="left"/>
        </w:tabs>
        <w:numPr>
          <w:ilvl w:val="0"/>
          <w:numId w:val="57"/>
        </w:numPr>
        <w:rPr>
          <w:rFonts w:ascii="Arial" w:cs="Arial" w:eastAsia="Arial" w:hAnsi="Arial"/>
          <w:sz w:val="20"/>
          <w:szCs w:val="20"/>
          <w:color w:val="582C83"/>
        </w:rPr>
      </w:pPr>
      <w:r>
        <w:rPr>
          <w:rFonts w:ascii="Arial" w:cs="Arial" w:eastAsia="Arial" w:hAnsi="Arial"/>
          <w:sz w:val="20"/>
          <w:szCs w:val="20"/>
          <w:color w:val="auto"/>
        </w:rPr>
        <w:t>Using both short-term and long-term performance-based compensation, so executives do not focus solely on short-term performance;</w:t>
      </w:r>
    </w:p>
    <w:p>
      <w:pPr>
        <w:spacing w:after="0" w:line="32" w:lineRule="exact"/>
        <w:rPr>
          <w:rFonts w:ascii="Arial" w:cs="Arial" w:eastAsia="Arial" w:hAnsi="Arial"/>
          <w:sz w:val="20"/>
          <w:szCs w:val="20"/>
          <w:color w:val="582C83"/>
        </w:rPr>
      </w:pPr>
    </w:p>
    <w:p>
      <w:pPr>
        <w:ind w:left="161" w:right="560" w:hanging="161"/>
        <w:spacing w:after="0" w:line="268" w:lineRule="auto"/>
        <w:tabs>
          <w:tab w:leader="none" w:pos="161" w:val="left"/>
        </w:tabs>
        <w:numPr>
          <w:ilvl w:val="0"/>
          <w:numId w:val="57"/>
        </w:numPr>
        <w:rPr>
          <w:rFonts w:ascii="Arial" w:cs="Arial" w:eastAsia="Arial" w:hAnsi="Arial"/>
          <w:sz w:val="20"/>
          <w:szCs w:val="20"/>
          <w:color w:val="582C83"/>
        </w:rPr>
      </w:pPr>
      <w:r>
        <w:rPr>
          <w:rFonts w:ascii="Arial" w:cs="Arial" w:eastAsia="Arial" w:hAnsi="Arial"/>
          <w:sz w:val="20"/>
          <w:szCs w:val="20"/>
          <w:color w:val="auto"/>
        </w:rPr>
        <w:t>Weighting executive compensation heavily toward long-term incentives to encourage sustainable shareholder value and accountability for long-term results;</w:t>
      </w:r>
    </w:p>
    <w:p>
      <w:pPr>
        <w:spacing w:after="0" w:line="32" w:lineRule="exact"/>
        <w:rPr>
          <w:rFonts w:ascii="Arial" w:cs="Arial" w:eastAsia="Arial" w:hAnsi="Arial"/>
          <w:sz w:val="20"/>
          <w:szCs w:val="20"/>
          <w:color w:val="582C83"/>
        </w:rPr>
      </w:pPr>
    </w:p>
    <w:p>
      <w:pPr>
        <w:ind w:left="161" w:right="40" w:hanging="161"/>
        <w:spacing w:after="0" w:line="268" w:lineRule="auto"/>
        <w:tabs>
          <w:tab w:leader="none" w:pos="161" w:val="left"/>
        </w:tabs>
        <w:numPr>
          <w:ilvl w:val="0"/>
          <w:numId w:val="57"/>
        </w:numPr>
        <w:rPr>
          <w:rFonts w:ascii="Arial" w:cs="Arial" w:eastAsia="Arial" w:hAnsi="Arial"/>
          <w:sz w:val="20"/>
          <w:szCs w:val="20"/>
          <w:color w:val="582C83"/>
        </w:rPr>
      </w:pPr>
      <w:r>
        <w:rPr>
          <w:rFonts w:ascii="Arial" w:cs="Arial" w:eastAsia="Arial" w:hAnsi="Arial"/>
          <w:sz w:val="20"/>
          <w:szCs w:val="20"/>
          <w:color w:val="auto"/>
        </w:rPr>
        <w:t>Using multiple relevant performance measures in our incentive plan designs, so executives do not place undue importance on one measure, which could distort the results that we want to incent;</w:t>
      </w:r>
    </w:p>
    <w:p>
      <w:pPr>
        <w:spacing w:after="0" w:line="32" w:lineRule="exact"/>
        <w:rPr>
          <w:rFonts w:ascii="Arial" w:cs="Arial" w:eastAsia="Arial" w:hAnsi="Arial"/>
          <w:sz w:val="20"/>
          <w:szCs w:val="20"/>
          <w:color w:val="582C83"/>
        </w:rPr>
      </w:pPr>
    </w:p>
    <w:p>
      <w:pPr>
        <w:ind w:left="161" w:hanging="161"/>
        <w:spacing w:after="0"/>
        <w:tabs>
          <w:tab w:leader="none" w:pos="161" w:val="left"/>
        </w:tabs>
        <w:numPr>
          <w:ilvl w:val="0"/>
          <w:numId w:val="57"/>
        </w:numPr>
        <w:rPr>
          <w:rFonts w:ascii="Arial" w:cs="Arial" w:eastAsia="Arial" w:hAnsi="Arial"/>
          <w:sz w:val="20"/>
          <w:szCs w:val="20"/>
          <w:color w:val="582C83"/>
        </w:rPr>
      </w:pPr>
      <w:r>
        <w:rPr>
          <w:rFonts w:ascii="Arial" w:cs="Arial" w:eastAsia="Arial" w:hAnsi="Arial"/>
          <w:sz w:val="20"/>
          <w:szCs w:val="20"/>
          <w:color w:val="auto"/>
        </w:rPr>
        <w:t>Weighting both business performance and strategic SPIs in our AIP, so executives do not have too narrow a focus;</w:t>
      </w:r>
    </w:p>
    <w:p>
      <w:pPr>
        <w:spacing w:after="0" w:line="92" w:lineRule="exact"/>
        <w:rPr>
          <w:rFonts w:ascii="Arial" w:cs="Arial" w:eastAsia="Arial" w:hAnsi="Arial"/>
          <w:sz w:val="20"/>
          <w:szCs w:val="20"/>
          <w:color w:val="582C83"/>
        </w:rPr>
      </w:pPr>
    </w:p>
    <w:p>
      <w:pPr>
        <w:ind w:left="161" w:hanging="161"/>
        <w:spacing w:after="0"/>
        <w:tabs>
          <w:tab w:leader="none" w:pos="161" w:val="left"/>
        </w:tabs>
        <w:numPr>
          <w:ilvl w:val="0"/>
          <w:numId w:val="57"/>
        </w:numPr>
        <w:rPr>
          <w:rFonts w:ascii="Arial" w:cs="Arial" w:eastAsia="Arial" w:hAnsi="Arial"/>
          <w:sz w:val="20"/>
          <w:szCs w:val="20"/>
          <w:color w:val="582C83"/>
        </w:rPr>
      </w:pPr>
      <w:r>
        <w:rPr>
          <w:rFonts w:ascii="Arial" w:cs="Arial" w:eastAsia="Arial" w:hAnsi="Arial"/>
          <w:sz w:val="20"/>
          <w:szCs w:val="20"/>
          <w:color w:val="auto"/>
        </w:rPr>
        <w:t>Capping the amount of incentives that may be awarded or granted;</w:t>
      </w:r>
    </w:p>
    <w:p>
      <w:pPr>
        <w:spacing w:after="0" w:line="92" w:lineRule="exact"/>
        <w:rPr>
          <w:rFonts w:ascii="Arial" w:cs="Arial" w:eastAsia="Arial" w:hAnsi="Arial"/>
          <w:sz w:val="20"/>
          <w:szCs w:val="20"/>
          <w:color w:val="582C83"/>
        </w:rPr>
      </w:pPr>
    </w:p>
    <w:p>
      <w:pPr>
        <w:ind w:left="161" w:right="960" w:hanging="161"/>
        <w:spacing w:after="0" w:line="250" w:lineRule="auto"/>
        <w:tabs>
          <w:tab w:leader="none" w:pos="161" w:val="left"/>
        </w:tabs>
        <w:numPr>
          <w:ilvl w:val="0"/>
          <w:numId w:val="57"/>
        </w:numPr>
        <w:rPr>
          <w:rFonts w:ascii="Arial" w:cs="Arial" w:eastAsia="Arial" w:hAnsi="Arial"/>
          <w:sz w:val="20"/>
          <w:szCs w:val="20"/>
          <w:color w:val="582C83"/>
        </w:rPr>
      </w:pPr>
      <w:r>
        <w:rPr>
          <w:rFonts w:ascii="Arial" w:cs="Arial" w:eastAsia="Arial" w:hAnsi="Arial"/>
          <w:sz w:val="20"/>
          <w:szCs w:val="20"/>
          <w:color w:val="auto"/>
        </w:rPr>
        <w:t>Retaining discretion to reduce incentive awards based on unforeseen or unintended consequences and claw back compensation upon certain financial restatements or significant misconduct that could damage the reputation of the Company;</w:t>
      </w:r>
    </w:p>
    <w:p>
      <w:pPr>
        <w:spacing w:after="0" w:line="51" w:lineRule="exact"/>
        <w:rPr>
          <w:rFonts w:ascii="Arial" w:cs="Arial" w:eastAsia="Arial" w:hAnsi="Arial"/>
          <w:sz w:val="20"/>
          <w:szCs w:val="20"/>
          <w:color w:val="582C83"/>
        </w:rPr>
      </w:pPr>
    </w:p>
    <w:p>
      <w:pPr>
        <w:ind w:left="161" w:right="200" w:hanging="161"/>
        <w:spacing w:after="0" w:line="268" w:lineRule="auto"/>
        <w:tabs>
          <w:tab w:leader="none" w:pos="161" w:val="left"/>
        </w:tabs>
        <w:numPr>
          <w:ilvl w:val="0"/>
          <w:numId w:val="57"/>
        </w:numPr>
        <w:rPr>
          <w:rFonts w:ascii="Arial" w:cs="Arial" w:eastAsia="Arial" w:hAnsi="Arial"/>
          <w:sz w:val="20"/>
          <w:szCs w:val="20"/>
          <w:color w:val="582C83"/>
        </w:rPr>
      </w:pPr>
      <w:r>
        <w:rPr>
          <w:rFonts w:ascii="Arial" w:cs="Arial" w:eastAsia="Arial" w:hAnsi="Arial"/>
          <w:sz w:val="20"/>
          <w:szCs w:val="20"/>
          <w:color w:val="auto"/>
        </w:rPr>
        <w:t>Requiring our top executives to hold a significant amount of their compensation in Common Stock and prohibiting them from hedging, pledging or engaging in short sales of their Common Stock;</w:t>
      </w:r>
    </w:p>
    <w:p>
      <w:pPr>
        <w:spacing w:after="0" w:line="32" w:lineRule="exact"/>
        <w:rPr>
          <w:rFonts w:ascii="Arial" w:cs="Arial" w:eastAsia="Arial" w:hAnsi="Arial"/>
          <w:sz w:val="20"/>
          <w:szCs w:val="20"/>
          <w:color w:val="582C83"/>
        </w:rPr>
      </w:pPr>
    </w:p>
    <w:p>
      <w:pPr>
        <w:ind w:left="161" w:hanging="161"/>
        <w:spacing w:after="0"/>
        <w:tabs>
          <w:tab w:leader="none" w:pos="161" w:val="left"/>
        </w:tabs>
        <w:numPr>
          <w:ilvl w:val="0"/>
          <w:numId w:val="57"/>
        </w:numPr>
        <w:rPr>
          <w:rFonts w:ascii="Arial" w:cs="Arial" w:eastAsia="Arial" w:hAnsi="Arial"/>
          <w:sz w:val="20"/>
          <w:szCs w:val="20"/>
          <w:color w:val="582C83"/>
        </w:rPr>
      </w:pPr>
      <w:r>
        <w:rPr>
          <w:rFonts w:ascii="Arial" w:cs="Arial" w:eastAsia="Arial" w:hAnsi="Arial"/>
          <w:sz w:val="20"/>
          <w:szCs w:val="20"/>
          <w:color w:val="auto"/>
        </w:rPr>
        <w:t>Minimizing use of employment contracts;</w:t>
      </w:r>
    </w:p>
    <w:p>
      <w:pPr>
        <w:spacing w:after="0" w:line="92" w:lineRule="exact"/>
        <w:rPr>
          <w:rFonts w:ascii="Arial" w:cs="Arial" w:eastAsia="Arial" w:hAnsi="Arial"/>
          <w:sz w:val="20"/>
          <w:szCs w:val="20"/>
          <w:color w:val="582C83"/>
        </w:rPr>
      </w:pPr>
    </w:p>
    <w:p>
      <w:pPr>
        <w:ind w:left="161" w:hanging="161"/>
        <w:spacing w:after="0"/>
        <w:tabs>
          <w:tab w:leader="none" w:pos="161" w:val="left"/>
        </w:tabs>
        <w:numPr>
          <w:ilvl w:val="0"/>
          <w:numId w:val="57"/>
        </w:numPr>
        <w:rPr>
          <w:rFonts w:ascii="Arial" w:cs="Arial" w:eastAsia="Arial" w:hAnsi="Arial"/>
          <w:sz w:val="20"/>
          <w:szCs w:val="20"/>
          <w:color w:val="582C83"/>
        </w:rPr>
      </w:pPr>
      <w:r>
        <w:rPr>
          <w:rFonts w:ascii="Arial" w:cs="Arial" w:eastAsia="Arial" w:hAnsi="Arial"/>
          <w:sz w:val="20"/>
          <w:szCs w:val="20"/>
          <w:color w:val="auto"/>
        </w:rPr>
        <w:t>Not backdating or re-pricing option grants; and</w:t>
      </w:r>
    </w:p>
    <w:p>
      <w:pPr>
        <w:spacing w:after="0" w:line="92" w:lineRule="exact"/>
        <w:rPr>
          <w:rFonts w:ascii="Arial" w:cs="Arial" w:eastAsia="Arial" w:hAnsi="Arial"/>
          <w:sz w:val="20"/>
          <w:szCs w:val="20"/>
          <w:color w:val="582C83"/>
        </w:rPr>
      </w:pPr>
    </w:p>
    <w:p>
      <w:pPr>
        <w:ind w:left="161" w:right="640" w:hanging="161"/>
        <w:spacing w:after="0" w:line="268" w:lineRule="auto"/>
        <w:tabs>
          <w:tab w:leader="none" w:pos="161" w:val="left"/>
        </w:tabs>
        <w:numPr>
          <w:ilvl w:val="0"/>
          <w:numId w:val="57"/>
        </w:numPr>
        <w:rPr>
          <w:rFonts w:ascii="Arial" w:cs="Arial" w:eastAsia="Arial" w:hAnsi="Arial"/>
          <w:sz w:val="20"/>
          <w:szCs w:val="20"/>
          <w:color w:val="582C83"/>
        </w:rPr>
      </w:pPr>
      <w:r>
        <w:rPr>
          <w:rFonts w:ascii="Arial" w:cs="Arial" w:eastAsia="Arial" w:hAnsi="Arial"/>
          <w:sz w:val="20"/>
          <w:szCs w:val="20"/>
          <w:color w:val="auto"/>
        </w:rPr>
        <w:t>Not paying severance benefits on change in control events unless the affected executive is first involuntarily terminated without cause or terminates due to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3115"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60" w:name="page61"/>
    <w:bookmarkEnd w:id="60"/>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 w:right="100"/>
        <w:spacing w:after="0" w:line="242" w:lineRule="auto"/>
        <w:rPr>
          <w:sz w:val="20"/>
          <w:szCs w:val="20"/>
          <w:color w:val="auto"/>
        </w:rPr>
      </w:pPr>
      <w:r>
        <w:rPr>
          <w:rFonts w:ascii="Arial" w:cs="Arial" w:eastAsia="Arial" w:hAnsi="Arial"/>
          <w:sz w:val="20"/>
          <w:szCs w:val="20"/>
          <w:color w:val="auto"/>
        </w:rPr>
        <w:t>The Audit Committee oversees our ethics and compliance programs that educate executives and other employees on appropriate behavior and the consequences of inappropriate actions. Additionally, the People and Compensation Committee reviews workplace compliance on an annual basis. These programs not only drive compliance and integrity but also encourage employees with knowledge of potential wrongdoing to report concerns by providing multiple reporting avenues while protecting reporting employees against retaliation.</w:t>
      </w:r>
    </w:p>
    <w:p>
      <w:pPr>
        <w:spacing w:after="0" w:line="132" w:lineRule="exact"/>
        <w:rPr>
          <w:sz w:val="20"/>
          <w:szCs w:val="20"/>
          <w:color w:val="auto"/>
        </w:rPr>
      </w:pPr>
    </w:p>
    <w:p>
      <w:pPr>
        <w:ind w:left="1" w:right="40"/>
        <w:spacing w:after="0" w:line="242" w:lineRule="auto"/>
        <w:rPr>
          <w:sz w:val="20"/>
          <w:szCs w:val="20"/>
          <w:color w:val="auto"/>
        </w:rPr>
      </w:pPr>
      <w:r>
        <w:rPr>
          <w:rFonts w:ascii="Arial" w:cs="Arial" w:eastAsia="Arial" w:hAnsi="Arial"/>
          <w:sz w:val="20"/>
          <w:szCs w:val="20"/>
          <w:color w:val="auto"/>
        </w:rPr>
        <w:t>In light of these considerations, the People and Compensation Committee believes that our compensation programs and processes do not encourage excessive risk taking, nor do they create risks that are reasonably likely to have a material adverse effect on the Company. The People and Compensation Committee’s independent compensation consultant, Semler Brossy, conducted a thorough annual review of our approach and reviewed the People and Compensation Committee’s risk analysis and agreed with this conclusion.</w:t>
      </w:r>
    </w:p>
    <w:p>
      <w:pPr>
        <w:spacing w:after="0" w:line="132" w:lineRule="exact"/>
        <w:rPr>
          <w:sz w:val="20"/>
          <w:szCs w:val="20"/>
          <w:color w:val="auto"/>
        </w:rPr>
      </w:pPr>
    </w:p>
    <w:p>
      <w:pPr>
        <w:ind w:left="1" w:right="920"/>
        <w:spacing w:after="0" w:line="288" w:lineRule="auto"/>
        <w:rPr>
          <w:sz w:val="20"/>
          <w:szCs w:val="20"/>
          <w:color w:val="auto"/>
        </w:rPr>
      </w:pPr>
      <w:r>
        <w:rPr>
          <w:rFonts w:ascii="Arial" w:cs="Arial" w:eastAsia="Arial" w:hAnsi="Arial"/>
          <w:sz w:val="22"/>
          <w:szCs w:val="22"/>
          <w:b w:val="1"/>
          <w:bCs w:val="1"/>
          <w:color w:val="582C83"/>
        </w:rPr>
        <w:t>GOVERNANCE FRAMEWORK AROUND THE USE OF EARNINGS PER SHARE IN OUR INCENTIVE PROGRAMS</w:t>
      </w:r>
    </w:p>
    <w:p>
      <w:pPr>
        <w:spacing w:after="0" w:line="1" w:lineRule="exact"/>
        <w:rPr>
          <w:sz w:val="20"/>
          <w:szCs w:val="20"/>
          <w:color w:val="auto"/>
        </w:rPr>
      </w:pPr>
    </w:p>
    <w:p>
      <w:pPr>
        <w:ind w:left="1" w:right="60"/>
        <w:spacing w:after="0" w:line="239" w:lineRule="auto"/>
        <w:rPr>
          <w:sz w:val="20"/>
          <w:szCs w:val="20"/>
          <w:color w:val="auto"/>
        </w:rPr>
      </w:pPr>
      <w:r>
        <w:rPr>
          <w:rFonts w:ascii="Arial" w:cs="Arial" w:eastAsia="Arial" w:hAnsi="Arial"/>
          <w:sz w:val="20"/>
          <w:szCs w:val="20"/>
          <w:color w:val="auto"/>
        </w:rPr>
        <w:t>The People and Compensation Committee believes it is appropriate to base executive compensation on performance metrics that align with our external reporting framework and the means by which shareholders and other stakeholders measure our performance. Accordingly, the Earnings Per Share (“EPS”) metric we use in our long-term incentive program, like our external targets, accounts for our capital allocation plans for the year, including expected share repurchases. The People and Compensation Committee recognizes there are differing views among investors as to whether share repurchases should be factored into EPS targets in executive compensation programs but believes our robust governance and compensation practices mitigate the risk that an executive would act imprudently. Specifically,</w:t>
      </w:r>
    </w:p>
    <w:p>
      <w:pPr>
        <w:spacing w:after="0" w:line="135" w:lineRule="exact"/>
        <w:rPr>
          <w:sz w:val="20"/>
          <w:szCs w:val="20"/>
          <w:color w:val="auto"/>
        </w:rPr>
      </w:pPr>
    </w:p>
    <w:p>
      <w:pPr>
        <w:ind w:left="161" w:right="40" w:hanging="161"/>
        <w:spacing w:after="0" w:line="268" w:lineRule="auto"/>
        <w:tabs>
          <w:tab w:leader="none" w:pos="161" w:val="left"/>
        </w:tabs>
        <w:numPr>
          <w:ilvl w:val="0"/>
          <w:numId w:val="58"/>
        </w:numPr>
        <w:rPr>
          <w:rFonts w:ascii="Arial" w:cs="Arial" w:eastAsia="Arial" w:hAnsi="Arial"/>
          <w:sz w:val="20"/>
          <w:szCs w:val="20"/>
          <w:color w:val="582C83"/>
        </w:rPr>
      </w:pPr>
      <w:r>
        <w:rPr>
          <w:rFonts w:ascii="Arial" w:cs="Arial" w:eastAsia="Arial" w:hAnsi="Arial"/>
          <w:sz w:val="20"/>
          <w:szCs w:val="20"/>
          <w:color w:val="auto"/>
        </w:rPr>
        <w:t>The People and Compensation Committee establishes the performance metrics and targets for both the annual and long-term incentive programs;</w:t>
      </w:r>
    </w:p>
    <w:p>
      <w:pPr>
        <w:spacing w:after="0" w:line="32" w:lineRule="exact"/>
        <w:rPr>
          <w:rFonts w:ascii="Arial" w:cs="Arial" w:eastAsia="Arial" w:hAnsi="Arial"/>
          <w:sz w:val="20"/>
          <w:szCs w:val="20"/>
          <w:color w:val="582C83"/>
        </w:rPr>
      </w:pPr>
    </w:p>
    <w:p>
      <w:pPr>
        <w:jc w:val="both"/>
        <w:ind w:left="161" w:right="300" w:hanging="161"/>
        <w:spacing w:after="0" w:line="250" w:lineRule="auto"/>
        <w:tabs>
          <w:tab w:leader="none" w:pos="161" w:val="left"/>
        </w:tabs>
        <w:numPr>
          <w:ilvl w:val="0"/>
          <w:numId w:val="58"/>
        </w:numPr>
        <w:rPr>
          <w:rFonts w:ascii="Arial" w:cs="Arial" w:eastAsia="Arial" w:hAnsi="Arial"/>
          <w:sz w:val="20"/>
          <w:szCs w:val="20"/>
          <w:color w:val="582C83"/>
        </w:rPr>
      </w:pPr>
      <w:r>
        <w:rPr>
          <w:rFonts w:ascii="Arial" w:cs="Arial" w:eastAsia="Arial" w:hAnsi="Arial"/>
          <w:sz w:val="20"/>
          <w:szCs w:val="20"/>
          <w:color w:val="auto"/>
        </w:rPr>
        <w:t>The Board oversees our capital allocation process and reviews a budget each year for capital deployment, including share repurchases, with the goal of balancing investment in growth and returning cash to shareholders (as demonstrated through our historical investments in capital expenditures and research and development);</w:t>
      </w:r>
    </w:p>
    <w:p>
      <w:pPr>
        <w:spacing w:after="0" w:line="51" w:lineRule="exact"/>
        <w:rPr>
          <w:rFonts w:ascii="Arial" w:cs="Arial" w:eastAsia="Arial" w:hAnsi="Arial"/>
          <w:sz w:val="20"/>
          <w:szCs w:val="20"/>
          <w:color w:val="582C83"/>
        </w:rPr>
      </w:pPr>
    </w:p>
    <w:p>
      <w:pPr>
        <w:ind w:left="161" w:right="140" w:hanging="161"/>
        <w:spacing w:after="0" w:line="250" w:lineRule="auto"/>
        <w:tabs>
          <w:tab w:leader="none" w:pos="161" w:val="left"/>
        </w:tabs>
        <w:numPr>
          <w:ilvl w:val="0"/>
          <w:numId w:val="58"/>
        </w:numPr>
        <w:rPr>
          <w:rFonts w:ascii="Arial" w:cs="Arial" w:eastAsia="Arial" w:hAnsi="Arial"/>
          <w:sz w:val="20"/>
          <w:szCs w:val="20"/>
          <w:color w:val="582C83"/>
        </w:rPr>
      </w:pPr>
      <w:r>
        <w:rPr>
          <w:rFonts w:ascii="Arial" w:cs="Arial" w:eastAsia="Arial" w:hAnsi="Arial"/>
          <w:sz w:val="20"/>
          <w:szCs w:val="20"/>
          <w:color w:val="auto"/>
        </w:rPr>
        <w:t>The People and Compensation Committee designs the long-term incentive program with a mix of performance metrics such that even if executives were able to deploy an excessive amount of cash towards share repurchases to maximize EPS, there would be offsetting impact on other performance metrics, with no clear visibility towards increasing payouts; and</w:t>
      </w:r>
    </w:p>
    <w:p>
      <w:pPr>
        <w:spacing w:after="0" w:line="51" w:lineRule="exact"/>
        <w:rPr>
          <w:rFonts w:ascii="Arial" w:cs="Arial" w:eastAsia="Arial" w:hAnsi="Arial"/>
          <w:sz w:val="20"/>
          <w:szCs w:val="20"/>
          <w:color w:val="582C83"/>
        </w:rPr>
      </w:pPr>
    </w:p>
    <w:p>
      <w:pPr>
        <w:ind w:left="161" w:hanging="161"/>
        <w:spacing w:after="0"/>
        <w:tabs>
          <w:tab w:leader="none" w:pos="161" w:val="left"/>
        </w:tabs>
        <w:numPr>
          <w:ilvl w:val="0"/>
          <w:numId w:val="58"/>
        </w:numPr>
        <w:rPr>
          <w:rFonts w:ascii="Arial" w:cs="Arial" w:eastAsia="Arial" w:hAnsi="Arial"/>
          <w:sz w:val="20"/>
          <w:szCs w:val="20"/>
          <w:color w:val="582C83"/>
        </w:rPr>
      </w:pPr>
      <w:r>
        <w:rPr>
          <w:rFonts w:ascii="Arial" w:cs="Arial" w:eastAsia="Arial" w:hAnsi="Arial"/>
          <w:sz w:val="20"/>
          <w:szCs w:val="20"/>
          <w:color w:val="auto"/>
        </w:rPr>
        <w:t>EPS is not the most heavily weighted metric in the long-term incentive plan.</w:t>
      </w:r>
    </w:p>
    <w:p>
      <w:pPr>
        <w:spacing w:after="0" w:line="93" w:lineRule="exact"/>
        <w:rPr>
          <w:sz w:val="20"/>
          <w:szCs w:val="20"/>
          <w:color w:val="auto"/>
        </w:rPr>
      </w:pPr>
    </w:p>
    <w:p>
      <w:pPr>
        <w:ind w:left="1" w:right="40"/>
        <w:spacing w:after="0" w:line="244" w:lineRule="auto"/>
        <w:rPr>
          <w:sz w:val="20"/>
          <w:szCs w:val="20"/>
          <w:color w:val="auto"/>
        </w:rPr>
      </w:pPr>
      <w:r>
        <w:rPr>
          <w:rFonts w:ascii="Arial" w:cs="Arial" w:eastAsia="Arial" w:hAnsi="Arial"/>
          <w:sz w:val="20"/>
          <w:szCs w:val="20"/>
          <w:color w:val="auto"/>
        </w:rPr>
        <w:t>In light of these considerations, the People and Compensation Committee believes that our compensation programs and processes do not encourage excessive risk taking, nor do they create risks that are reasonably likely to have a material adverse effect on the Company. Semler Brossy conducted a thorough annual review of our approach and reviewed the People and Compensation Committee’s risk analysis and agreed with this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43115"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61" w:name="page62"/>
    <w:bookmarkEnd w:id="61"/>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311785</wp:posOffset>
            </wp:positionV>
            <wp:extent cx="6307455" cy="15214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307455" cy="152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60" w:right="1780"/>
        <w:spacing w:after="0" w:line="291" w:lineRule="auto"/>
        <w:rPr>
          <w:sz w:val="20"/>
          <w:szCs w:val="20"/>
          <w:color w:val="auto"/>
        </w:rPr>
      </w:pPr>
      <w:r>
        <w:rPr>
          <w:rFonts w:ascii="Arial" w:cs="Arial" w:eastAsia="Arial" w:hAnsi="Arial"/>
          <w:sz w:val="43"/>
          <w:szCs w:val="43"/>
          <w:b w:val="1"/>
          <w:bCs w:val="1"/>
          <w:color w:val="582C83"/>
        </w:rPr>
        <w:t>OUR DISTINCTIVE APPROACH TO ENVIRONMENTAL AND SOCIAL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right="660"/>
        <w:spacing w:after="0" w:line="244" w:lineRule="auto"/>
        <w:rPr>
          <w:sz w:val="20"/>
          <w:szCs w:val="20"/>
          <w:color w:val="auto"/>
        </w:rPr>
      </w:pPr>
      <w:r>
        <w:rPr>
          <w:rFonts w:ascii="Arial" w:cs="Arial" w:eastAsia="Arial" w:hAnsi="Arial"/>
          <w:sz w:val="20"/>
          <w:szCs w:val="20"/>
          <w:color w:val="auto"/>
        </w:rPr>
        <w:t>Mondelēz International has a clear and distinctive approach to environmental and social matters aligned to our business strategy. Our approach is informed by our understanding of the issues that are significant to our business and to the communities we touch, and in turn by the priorities we have set for ourselves along our value chain.</w:t>
      </w:r>
    </w:p>
    <w:p>
      <w:pPr>
        <w:spacing w:after="0" w:line="133" w:lineRule="exact"/>
        <w:rPr>
          <w:sz w:val="20"/>
          <w:szCs w:val="20"/>
          <w:color w:val="auto"/>
        </w:rPr>
      </w:pPr>
    </w:p>
    <w:p>
      <w:pPr>
        <w:ind w:left="660" w:right="680"/>
        <w:spacing w:after="0"/>
        <w:rPr>
          <w:sz w:val="20"/>
          <w:szCs w:val="20"/>
          <w:color w:val="auto"/>
        </w:rPr>
      </w:pPr>
      <w:r>
        <w:rPr>
          <w:rFonts w:ascii="Arial" w:cs="Arial" w:eastAsia="Arial" w:hAnsi="Arial"/>
          <w:sz w:val="20"/>
          <w:szCs w:val="20"/>
          <w:color w:val="auto"/>
        </w:rPr>
        <w:t xml:space="preserve">Snacking Made Right is the lens through which we determine our ESG priorities to deliver on our mission of leading the future of snacking by offering the right snack, for the right moment, made the right way. We have a clear strategic approach to making snacking right, so we can drive innovative, more sustainable business growth the right way for people and the planet. At our investor update on May 10, 2022, we unveiled the evolution of our long-term growth strategy elevating </w:t>
      </w:r>
      <w:r>
        <w:rPr>
          <w:rFonts w:ascii="Arial" w:cs="Arial" w:eastAsia="Arial" w:hAnsi="Arial"/>
          <w:sz w:val="20"/>
          <w:szCs w:val="20"/>
          <w:i w:val="1"/>
          <w:iCs w:val="1"/>
          <w:color w:val="auto"/>
        </w:rPr>
        <w:t>Sustainability</w:t>
      </w:r>
      <w:r>
        <w:rPr>
          <w:rFonts w:ascii="Arial" w:cs="Arial" w:eastAsia="Arial" w:hAnsi="Arial"/>
          <w:sz w:val="20"/>
          <w:szCs w:val="20"/>
          <w:color w:val="auto"/>
        </w:rPr>
        <w:t xml:space="preserve"> as a fourth strategic growth pillar now sitting alongside </w:t>
      </w:r>
      <w:r>
        <w:rPr>
          <w:rFonts w:ascii="Arial" w:cs="Arial" w:eastAsia="Arial" w:hAnsi="Arial"/>
          <w:sz w:val="20"/>
          <w:szCs w:val="20"/>
          <w:i w:val="1"/>
          <w:iCs w:val="1"/>
          <w:color w:val="auto"/>
        </w:rPr>
        <w:t>Growth</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Execution </w:t>
      </w:r>
      <w:r>
        <w:rPr>
          <w:rFonts w:ascii="Arial" w:cs="Arial" w:eastAsia="Arial" w:hAnsi="Arial"/>
          <w:sz w:val="20"/>
          <w:szCs w:val="20"/>
          <w:color w:val="auto"/>
        </w:rPr>
        <w:t>and</w:t>
      </w:r>
      <w:r>
        <w:rPr>
          <w:rFonts w:ascii="Arial" w:cs="Arial" w:eastAsia="Arial" w:hAnsi="Arial"/>
          <w:sz w:val="20"/>
          <w:szCs w:val="20"/>
          <w:i w:val="1"/>
          <w:iCs w:val="1"/>
          <w:color w:val="auto"/>
        </w:rPr>
        <w:t xml:space="preserve"> Culture</w:t>
      </w:r>
      <w:r>
        <w:rPr>
          <w:rFonts w:ascii="Arial" w:cs="Arial" w:eastAsia="Arial" w:hAnsi="Arial"/>
          <w:sz w:val="20"/>
          <w:szCs w:val="20"/>
          <w:color w:val="auto"/>
        </w:rPr>
        <w:t>.</w:t>
      </w:r>
    </w:p>
    <w:p>
      <w:pPr>
        <w:spacing w:after="0" w:line="160" w:lineRule="exact"/>
        <w:rPr>
          <w:sz w:val="20"/>
          <w:szCs w:val="20"/>
          <w:color w:val="auto"/>
        </w:rPr>
      </w:pPr>
    </w:p>
    <w:p>
      <w:pPr>
        <w:ind w:left="660"/>
        <w:spacing w:after="0"/>
        <w:rPr>
          <w:sz w:val="20"/>
          <w:szCs w:val="20"/>
          <w:color w:val="auto"/>
        </w:rPr>
      </w:pPr>
      <w:r>
        <w:rPr>
          <w:sz w:val="1"/>
          <w:szCs w:val="1"/>
          <w:color w:val="auto"/>
        </w:rPr>
        <w:drawing>
          <wp:inline distT="0" distB="0" distL="0" distR="0">
            <wp:extent cx="157480" cy="157480"/>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Our Strategic Focus Areas</w:t>
      </w:r>
    </w:p>
    <w:p>
      <w:pPr>
        <w:spacing w:after="0" w:line="175" w:lineRule="exact"/>
        <w:rPr>
          <w:sz w:val="20"/>
          <w:szCs w:val="20"/>
          <w:color w:val="auto"/>
        </w:rPr>
      </w:pPr>
    </w:p>
    <w:p>
      <w:pPr>
        <w:ind w:left="660" w:right="740"/>
        <w:spacing w:after="0"/>
        <w:rPr>
          <w:sz w:val="20"/>
          <w:szCs w:val="20"/>
          <w:color w:val="auto"/>
        </w:rPr>
      </w:pPr>
      <w:r>
        <w:rPr>
          <w:rFonts w:ascii="Arial" w:cs="Arial" w:eastAsia="Arial" w:hAnsi="Arial"/>
          <w:sz w:val="20"/>
          <w:szCs w:val="20"/>
          <w:color w:val="auto"/>
        </w:rPr>
        <w:t>We focus where we believe we can make a bigger difference and deliver greater long-term positive impact. Our strategy and goals in addressing our key focus areas are central to supporting our growth around the world and creating long-term value for both the business and our stakeholders. We also work together in collaboration with partners, external advisors, regulators, shareholders and other stakeholders as we focus on increasing our long-term positive impact and supporting the needs of the planet, our consumers, our colleagues and our other stakeholders.</w:t>
      </w:r>
    </w:p>
    <w:p>
      <w:pPr>
        <w:spacing w:after="0" w:line="135" w:lineRule="exact"/>
        <w:rPr>
          <w:sz w:val="20"/>
          <w:szCs w:val="20"/>
          <w:color w:val="auto"/>
        </w:rPr>
      </w:pPr>
    </w:p>
    <w:p>
      <w:pPr>
        <w:ind w:left="660" w:right="1280"/>
        <w:spacing w:after="0" w:line="268" w:lineRule="auto"/>
        <w:rPr>
          <w:sz w:val="20"/>
          <w:szCs w:val="20"/>
          <w:color w:val="auto"/>
        </w:rPr>
      </w:pPr>
      <w:r>
        <w:rPr>
          <w:rFonts w:ascii="Arial" w:cs="Arial" w:eastAsia="Arial" w:hAnsi="Arial"/>
          <w:sz w:val="20"/>
          <w:szCs w:val="20"/>
          <w:color w:val="auto"/>
        </w:rPr>
        <w:t>We have identified certain environmental and social strategic focus areas that we believe are significant to building a more sustainable snacking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84455</wp:posOffset>
            </wp:positionV>
            <wp:extent cx="5566410" cy="18529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566410" cy="185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60" w:right="760"/>
        <w:spacing w:after="0" w:line="242" w:lineRule="auto"/>
        <w:rPr>
          <w:sz w:val="20"/>
          <w:szCs w:val="20"/>
          <w:color w:val="auto"/>
        </w:rPr>
      </w:pPr>
      <w:r>
        <w:rPr>
          <w:rFonts w:ascii="Arial" w:cs="Arial" w:eastAsia="Arial" w:hAnsi="Arial"/>
          <w:sz w:val="20"/>
          <w:szCs w:val="20"/>
          <w:color w:val="auto"/>
        </w:rPr>
        <w:t>Our strategic focus areas and progress goals map to the areas of our business that we believe account for our greatest opportunity to help make a positive lasting impact on the environment and communities we touch. They are also aligned to our long-term business success. By focusing our efforts in these areas, we can help drive more sustainable business growth and deliver meaningful progress in achieving our ambition to reduce our environmental impact and empower people and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43115"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2" w:name="page63"/>
    <w:bookmarkEnd w:id="62"/>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sz w:val="1"/>
          <w:szCs w:val="1"/>
          <w:color w:val="auto"/>
        </w:rPr>
        <w:drawing>
          <wp:inline distT="0" distB="0" distL="0" distR="0">
            <wp:extent cx="157480" cy="157480"/>
            <wp:effectExtent l="0" t="0" r="0" b="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Board Oversight and Governance of ESG</w:t>
      </w:r>
    </w:p>
    <w:p>
      <w:pPr>
        <w:spacing w:after="0" w:line="188" w:lineRule="exact"/>
        <w:rPr>
          <w:sz w:val="20"/>
          <w:szCs w:val="20"/>
          <w:color w:val="auto"/>
        </w:rPr>
      </w:pPr>
    </w:p>
    <w:p>
      <w:pPr>
        <w:ind w:left="20"/>
        <w:spacing w:after="0" w:line="244" w:lineRule="auto"/>
        <w:rPr>
          <w:sz w:val="20"/>
          <w:szCs w:val="20"/>
          <w:color w:val="auto"/>
        </w:rPr>
      </w:pPr>
      <w:r>
        <w:rPr>
          <w:rFonts w:ascii="Arial" w:cs="Arial" w:eastAsia="Arial" w:hAnsi="Arial"/>
          <w:sz w:val="20"/>
          <w:szCs w:val="20"/>
          <w:color w:val="auto"/>
        </w:rPr>
        <w:t>We have a comprehensive governance structure that provides strong oversight of our ESG efforts. Our Board oversees our ESG-related risks, strategy, progress, alignment with purpose, stakeholder interests, and strategic risks and opportunities, and reviews progress and challenges on evolving our growth culture and our DEI goals. Specific responsibilities are delegated to our Board committees, which are composed solely of independent directors.</w:t>
      </w:r>
    </w:p>
    <w:p>
      <w:pPr>
        <w:spacing w:after="0" w:line="133" w:lineRule="exact"/>
        <w:rPr>
          <w:sz w:val="20"/>
          <w:szCs w:val="20"/>
          <w:color w:val="auto"/>
        </w:rPr>
      </w:pPr>
    </w:p>
    <w:p>
      <w:pPr>
        <w:ind w:left="180" w:right="140" w:hanging="161"/>
        <w:spacing w:after="0" w:line="244" w:lineRule="auto"/>
        <w:tabs>
          <w:tab w:leader="none" w:pos="180" w:val="left"/>
        </w:tabs>
        <w:numPr>
          <w:ilvl w:val="0"/>
          <w:numId w:val="59"/>
        </w:numPr>
        <w:rPr>
          <w:rFonts w:ascii="Arial" w:cs="Arial" w:eastAsia="Arial" w:hAnsi="Arial"/>
          <w:sz w:val="20"/>
          <w:szCs w:val="20"/>
          <w:color w:val="582C83"/>
        </w:rPr>
      </w:pPr>
      <w:r>
        <w:rPr>
          <w:rFonts w:ascii="Arial" w:cs="Arial" w:eastAsia="Arial" w:hAnsi="Arial"/>
          <w:sz w:val="20"/>
          <w:szCs w:val="20"/>
          <w:b w:val="1"/>
          <w:bCs w:val="1"/>
          <w:color w:val="582C83"/>
        </w:rPr>
        <w:t>Governance, Membership and Sustainability Committee</w:t>
      </w:r>
      <w:r>
        <w:rPr>
          <w:rFonts w:ascii="Arial" w:cs="Arial" w:eastAsia="Arial" w:hAnsi="Arial"/>
          <w:sz w:val="20"/>
          <w:szCs w:val="20"/>
          <w:color w:val="000000"/>
        </w:rPr>
        <w:t>: Oversees our ESG policies and programs related to corporate</w:t>
      </w:r>
      <w:r>
        <w:rPr>
          <w:rFonts w:ascii="Arial" w:cs="Arial" w:eastAsia="Arial" w:hAnsi="Arial"/>
          <w:sz w:val="20"/>
          <w:szCs w:val="20"/>
          <w:b w:val="1"/>
          <w:bCs w:val="1"/>
          <w:color w:val="582C83"/>
        </w:rPr>
        <w:t xml:space="preserve"> </w:t>
      </w:r>
      <w:r>
        <w:rPr>
          <w:rFonts w:ascii="Arial" w:cs="Arial" w:eastAsia="Arial" w:hAnsi="Arial"/>
          <w:sz w:val="20"/>
          <w:szCs w:val="20"/>
          <w:color w:val="000000"/>
        </w:rPr>
        <w:t>citizenship, social responsibility and public policy issues significant to us, such as sustainability and environmental responsibility; food labeling, marketing and packaging; philanthropic and political activities and contributions; and Board ESG education and capabilities.</w:t>
      </w:r>
    </w:p>
    <w:p>
      <w:pPr>
        <w:spacing w:after="0" w:line="132" w:lineRule="exact"/>
        <w:rPr>
          <w:rFonts w:ascii="Arial" w:cs="Arial" w:eastAsia="Arial" w:hAnsi="Arial"/>
          <w:sz w:val="20"/>
          <w:szCs w:val="20"/>
          <w:color w:val="582C83"/>
        </w:rPr>
      </w:pPr>
    </w:p>
    <w:p>
      <w:pPr>
        <w:ind w:left="180" w:right="700" w:hanging="161"/>
        <w:spacing w:after="0" w:line="250" w:lineRule="auto"/>
        <w:tabs>
          <w:tab w:leader="none" w:pos="180" w:val="left"/>
        </w:tabs>
        <w:numPr>
          <w:ilvl w:val="0"/>
          <w:numId w:val="59"/>
        </w:numPr>
        <w:rPr>
          <w:rFonts w:ascii="Arial" w:cs="Arial" w:eastAsia="Arial" w:hAnsi="Arial"/>
          <w:sz w:val="20"/>
          <w:szCs w:val="20"/>
          <w:color w:val="582C83"/>
        </w:rPr>
      </w:pPr>
      <w:r>
        <w:rPr>
          <w:rFonts w:ascii="Arial" w:cs="Arial" w:eastAsia="Arial" w:hAnsi="Arial"/>
          <w:sz w:val="20"/>
          <w:szCs w:val="20"/>
          <w:b w:val="1"/>
          <w:bCs w:val="1"/>
          <w:color w:val="582C83"/>
        </w:rPr>
        <w:t>People and Compensation Committee</w:t>
      </w:r>
      <w:r>
        <w:rPr>
          <w:rFonts w:ascii="Arial" w:cs="Arial" w:eastAsia="Arial" w:hAnsi="Arial"/>
          <w:sz w:val="20"/>
          <w:szCs w:val="20"/>
          <w:color w:val="000000"/>
        </w:rPr>
        <w:t>: Oversees our DEI priorities, as well as workplace compliance and employee</w:t>
      </w:r>
      <w:r>
        <w:rPr>
          <w:rFonts w:ascii="Arial" w:cs="Arial" w:eastAsia="Arial" w:hAnsi="Arial"/>
          <w:sz w:val="20"/>
          <w:szCs w:val="20"/>
          <w:b w:val="1"/>
          <w:bCs w:val="1"/>
          <w:color w:val="582C83"/>
        </w:rPr>
        <w:t xml:space="preserve"> </w:t>
      </w:r>
      <w:r>
        <w:rPr>
          <w:rFonts w:ascii="Arial" w:cs="Arial" w:eastAsia="Arial" w:hAnsi="Arial"/>
          <w:sz w:val="20"/>
          <w:szCs w:val="20"/>
          <w:color w:val="000000"/>
        </w:rPr>
        <w:t>wellness, pay equity, talent sourcing strategies, talent management and development programs, and ESG strategic performance indicators for incentive plans.</w:t>
      </w:r>
    </w:p>
    <w:p>
      <w:pPr>
        <w:spacing w:after="0" w:line="51" w:lineRule="exact"/>
        <w:rPr>
          <w:rFonts w:ascii="Arial" w:cs="Arial" w:eastAsia="Arial" w:hAnsi="Arial"/>
          <w:sz w:val="20"/>
          <w:szCs w:val="20"/>
          <w:color w:val="582C83"/>
        </w:rPr>
      </w:pPr>
    </w:p>
    <w:p>
      <w:pPr>
        <w:ind w:left="180" w:right="180" w:hanging="161"/>
        <w:spacing w:after="0" w:line="268" w:lineRule="auto"/>
        <w:tabs>
          <w:tab w:leader="none" w:pos="180" w:val="left"/>
        </w:tabs>
        <w:numPr>
          <w:ilvl w:val="0"/>
          <w:numId w:val="59"/>
        </w:numPr>
        <w:rPr>
          <w:rFonts w:ascii="Arial" w:cs="Arial" w:eastAsia="Arial" w:hAnsi="Arial"/>
          <w:sz w:val="20"/>
          <w:szCs w:val="20"/>
          <w:color w:val="582C83"/>
        </w:rPr>
      </w:pPr>
      <w:r>
        <w:rPr>
          <w:rFonts w:ascii="Arial" w:cs="Arial" w:eastAsia="Arial" w:hAnsi="Arial"/>
          <w:sz w:val="20"/>
          <w:szCs w:val="20"/>
          <w:b w:val="1"/>
          <w:bCs w:val="1"/>
          <w:color w:val="582C83"/>
        </w:rPr>
        <w:t>Audit Committee</w:t>
      </w:r>
      <w:r>
        <w:rPr>
          <w:rFonts w:ascii="Arial" w:cs="Arial" w:eastAsia="Arial" w:hAnsi="Arial"/>
          <w:sz w:val="20"/>
          <w:szCs w:val="20"/>
          <w:color w:val="000000"/>
        </w:rPr>
        <w:t>: Oversees our safety priorities, goals and performance, as well as our ESG-related disclosure and control</w:t>
      </w:r>
      <w:r>
        <w:rPr>
          <w:rFonts w:ascii="Arial" w:cs="Arial" w:eastAsia="Arial" w:hAnsi="Arial"/>
          <w:sz w:val="20"/>
          <w:szCs w:val="20"/>
          <w:b w:val="1"/>
          <w:bCs w:val="1"/>
          <w:color w:val="582C83"/>
        </w:rPr>
        <w:t xml:space="preserve"> </w:t>
      </w:r>
      <w:r>
        <w:rPr>
          <w:rFonts w:ascii="Arial" w:cs="Arial" w:eastAsia="Arial" w:hAnsi="Arial"/>
          <w:sz w:val="20"/>
          <w:szCs w:val="20"/>
          <w:color w:val="000000"/>
        </w:rPr>
        <w:t>processes in connection with SEC filings.</w:t>
      </w:r>
    </w:p>
    <w:p>
      <w:pPr>
        <w:spacing w:after="0" w:line="33" w:lineRule="exact"/>
        <w:rPr>
          <w:sz w:val="20"/>
          <w:szCs w:val="20"/>
          <w:color w:val="auto"/>
        </w:rPr>
      </w:pPr>
    </w:p>
    <w:p>
      <w:pPr>
        <w:ind w:left="20" w:right="120"/>
        <w:spacing w:after="0" w:line="239" w:lineRule="auto"/>
        <w:rPr>
          <w:sz w:val="20"/>
          <w:szCs w:val="20"/>
          <w:color w:val="auto"/>
        </w:rPr>
      </w:pPr>
      <w:r>
        <w:rPr>
          <w:rFonts w:ascii="Arial" w:cs="Arial" w:eastAsia="Arial" w:hAnsi="Arial"/>
          <w:sz w:val="20"/>
          <w:szCs w:val="20"/>
          <w:color w:val="auto"/>
        </w:rPr>
        <w:t>Management is responsible for the day-day-day management and oversight of our critical sustainability programming and strategy development, in addition to regular progress reviews. Our SVP, Chief Impact &amp; Sustainability Officer (“Chief Impact Officer”) leads our sustainability strategy development and oversees our sustainability strategy through implementation, as well as our long-term sustainability vision. Our Sustainability Steering Committee, chaired by our Chief Impact Officer, includes leaders from our key global functions and businesses and focuses on our environmental and social sustainability-related strategies. Our Chief Impact Officer and our EVP, Corporate &amp; Legal Affairs and General Counsel regularly report on sustainability matters to the Board and the Governance Committee.</w:t>
      </w:r>
    </w:p>
    <w:p>
      <w:pPr>
        <w:spacing w:after="0" w:line="135" w:lineRule="exact"/>
        <w:rPr>
          <w:sz w:val="20"/>
          <w:szCs w:val="20"/>
          <w:color w:val="auto"/>
        </w:rPr>
      </w:pPr>
    </w:p>
    <w:p>
      <w:pPr>
        <w:jc w:val="both"/>
        <w:ind w:left="20" w:right="140"/>
        <w:spacing w:after="0" w:line="250" w:lineRule="auto"/>
        <w:rPr>
          <w:sz w:val="20"/>
          <w:szCs w:val="20"/>
          <w:color w:val="auto"/>
        </w:rPr>
      </w:pPr>
      <w:r>
        <w:rPr>
          <w:rFonts w:ascii="Arial" w:cs="Arial" w:eastAsia="Arial" w:hAnsi="Arial"/>
          <w:sz w:val="20"/>
          <w:szCs w:val="20"/>
          <w:color w:val="auto"/>
        </w:rPr>
        <w:t>We take a disciplined approach to our sustainability initiatives and are committed to remaining transparent and proactive about our progress. We track, report on and hold management accountable for achieving our goals, and we include ESG goals in the annual compensation plan for executives.</w:t>
      </w:r>
    </w:p>
    <w:p>
      <w:pPr>
        <w:spacing w:after="0" w:line="126" w:lineRule="exact"/>
        <w:rPr>
          <w:sz w:val="20"/>
          <w:szCs w:val="20"/>
          <w:color w:val="auto"/>
        </w:rPr>
      </w:pPr>
    </w:p>
    <w:p>
      <w:pPr>
        <w:ind w:left="20" w:right="20"/>
        <w:spacing w:after="0"/>
        <w:rPr>
          <w:sz w:val="20"/>
          <w:szCs w:val="20"/>
          <w:color w:val="auto"/>
        </w:rPr>
      </w:pPr>
      <w:r>
        <w:rPr>
          <w:rFonts w:ascii="Arial" w:cs="Arial" w:eastAsia="Arial" w:hAnsi="Arial"/>
          <w:sz w:val="20"/>
          <w:szCs w:val="20"/>
          <w:color w:val="auto"/>
        </w:rPr>
        <w:t>As part of our goal of promoting accountability, many of our long-term public goals and associated action plans are developed in partnership with external advisors. We consider perspectives from our ongoing engagement with shareholders and other stakeholders, and we actively engage with multiple ESG ratings organizations and indices as we advance our disclosure and promote transparency. This two-way dialogue informs our ESG approach, which defines our assessment of the environmental and social issues most significant to us. Materials and processes that guide our assessment include our ERM program for identifying, assessing, prioritizing, mitigating and monitoring risks.</w:t>
      </w:r>
    </w:p>
    <w:p>
      <w:pPr>
        <w:spacing w:after="0" w:line="148"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Our Goals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20"/>
          <w:szCs w:val="20"/>
          <w:color w:val="auto"/>
        </w:rPr>
        <w:t>We have set public goals to achieve meaningful progress and drive positive, lasting change. Our goals include more sustainable sourcing of key ingredients, reducing our environmental footprint, promoting the rights of people across our value chain and offering a broad range of high-quality snacks addressing consumer needs while encouraging consumers to snack mindfully. In 2022, we made progress against these goals, such as by expanding our signature raw material sourcing programs, including our 2022 announcement of the next phase of Cocoa Life backed by an additional $600 million through 2030, for a total of $1 billion investment since the start of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102235</wp:posOffset>
            </wp:positionV>
            <wp:extent cx="7143115"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00" w:top="132" w:right="339" w:bottom="1440" w:gutter="0" w:footer="0" w:header="0"/>
        </w:sectPr>
      </w:pPr>
    </w:p>
    <w:bookmarkStart w:id="63" w:name="page64"/>
    <w:bookmarkEnd w:id="63"/>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United Nations Sustainable Development Goals</w:t>
      </w:r>
    </w:p>
    <w:p>
      <w:pPr>
        <w:spacing w:after="0" w:line="175"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Our goals are aligned to our business ambition to lead the future of snacking at Mondelēz International. Several of our ESG goals and the work we are doing to advance ESG align with the U.N. Sustainable Development Goals (“SDGs”). We focus on those SDGs where we believe we can make a bigger impact or where our signature programming, like Cocoa Life, has a direct contribution. Our programs are mapped to the SDGs to ensure they remain aligned.</w:t>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ESG Reporting</w:t>
      </w:r>
    </w:p>
    <w:p>
      <w:pPr>
        <w:spacing w:after="0" w:line="175"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 xml:space="preserve">We are committed to being transparent and effective in sharing our progress against our public goals and will share detailed updates in our annual ESG </w:t>
      </w:r>
      <w:r>
        <w:rPr>
          <w:rFonts w:ascii="Arial" w:cs="Arial" w:eastAsia="Arial" w:hAnsi="Arial"/>
          <w:sz w:val="20"/>
          <w:szCs w:val="20"/>
          <w:i w:val="1"/>
          <w:iCs w:val="1"/>
          <w:color w:val="auto"/>
        </w:rPr>
        <w:t>Snacking Made Right</w:t>
      </w:r>
      <w:r>
        <w:rPr>
          <w:rFonts w:ascii="Arial" w:cs="Arial" w:eastAsia="Arial" w:hAnsi="Arial"/>
          <w:sz w:val="20"/>
          <w:szCs w:val="20"/>
          <w:color w:val="auto"/>
        </w:rPr>
        <w:t xml:space="preserve"> report. We expect to publish our next update in May 2023 as part of our 2022 </w:t>
      </w:r>
      <w:r>
        <w:rPr>
          <w:rFonts w:ascii="Arial" w:cs="Arial" w:eastAsia="Arial" w:hAnsi="Arial"/>
          <w:sz w:val="20"/>
          <w:szCs w:val="20"/>
          <w:i w:val="1"/>
          <w:iCs w:val="1"/>
          <w:color w:val="auto"/>
        </w:rPr>
        <w:t xml:space="preserve">Snacking Made Right </w:t>
      </w:r>
      <w:r>
        <w:rPr>
          <w:rFonts w:ascii="Arial" w:cs="Arial" w:eastAsia="Arial" w:hAnsi="Arial"/>
          <w:sz w:val="20"/>
          <w:szCs w:val="20"/>
          <w:color w:val="auto"/>
        </w:rPr>
        <w:t>report, which will be available on our website,</w:t>
      </w:r>
      <w:r>
        <w:rPr>
          <w:rFonts w:ascii="Arial" w:cs="Arial" w:eastAsia="Arial" w:hAnsi="Arial"/>
          <w:sz w:val="20"/>
          <w:szCs w:val="20"/>
          <w:i w:val="1"/>
          <w:iCs w:val="1"/>
          <w:color w:val="auto"/>
        </w:rPr>
        <w:t xml:space="preserve"> </w:t>
      </w:r>
      <w:r>
        <w:rPr>
          <w:rFonts w:ascii="Arial" w:cs="Arial" w:eastAsia="Arial" w:hAnsi="Arial"/>
          <w:sz w:val="20"/>
          <w:szCs w:val="20"/>
          <w:i w:val="1"/>
          <w:iCs w:val="1"/>
          <w:color w:val="582C83"/>
        </w:rPr>
        <w:t>www.mondelezinternational.com</w:t>
      </w:r>
      <w:r>
        <w:rPr>
          <w:rFonts w:ascii="Arial" w:cs="Arial" w:eastAsia="Arial" w:hAnsi="Arial"/>
          <w:sz w:val="20"/>
          <w:szCs w:val="20"/>
          <w:color w:val="auto"/>
        </w:rPr>
        <w:t>. The report will include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updates on our activities to more sustainably source key ingredients, such as cocoa, wheat and palm oil, and our progress on sourcing cage-free eggs globally. We will also provide updates on our efforts to promote rights of people across our value chain, including our efforts to help address the systemic issue of child labor in the cocoa supply chain, as well as information on the steps we are taking to reduce our environmental footprint. We provide additional information regarding our efforts to help address the systemic issue of child labor in the cocoa supply chain in our annual </w:t>
      </w:r>
      <w:r>
        <w:rPr>
          <w:rFonts w:ascii="Arial" w:cs="Arial" w:eastAsia="Arial" w:hAnsi="Arial"/>
          <w:sz w:val="20"/>
          <w:szCs w:val="20"/>
          <w:i w:val="1"/>
          <w:iCs w:val="1"/>
          <w:color w:val="auto"/>
        </w:rPr>
        <w:t>Human Rights Due Diligence &amp; Modern</w:t>
      </w:r>
      <w:r>
        <w:rPr>
          <w:rFonts w:ascii="Arial" w:cs="Arial" w:eastAsia="Arial" w:hAnsi="Arial"/>
          <w:sz w:val="20"/>
          <w:szCs w:val="20"/>
          <w:color w:val="auto"/>
        </w:rPr>
        <w:t xml:space="preserve"> </w:t>
      </w:r>
      <w:r>
        <w:rPr>
          <w:rFonts w:ascii="Arial" w:cs="Arial" w:eastAsia="Arial" w:hAnsi="Arial"/>
          <w:sz w:val="20"/>
          <w:szCs w:val="20"/>
          <w:i w:val="1"/>
          <w:iCs w:val="1"/>
          <w:color w:val="auto"/>
        </w:rPr>
        <w:t>Slavery Report</w:t>
      </w:r>
      <w:r>
        <w:rPr>
          <w:rFonts w:ascii="Arial" w:cs="Arial" w:eastAsia="Arial" w:hAnsi="Arial"/>
          <w:sz w:val="20"/>
          <w:szCs w:val="20"/>
          <w:color w:val="auto"/>
        </w:rPr>
        <w:t>, which also will be available on our website,</w:t>
      </w:r>
      <w:r>
        <w:rPr>
          <w:rFonts w:ascii="Arial" w:cs="Arial" w:eastAsia="Arial" w:hAnsi="Arial"/>
          <w:sz w:val="20"/>
          <w:szCs w:val="20"/>
          <w:i w:val="1"/>
          <w:iCs w:val="1"/>
          <w:color w:val="auto"/>
        </w:rPr>
        <w:t xml:space="preserve"> </w:t>
      </w:r>
      <w:r>
        <w:rPr>
          <w:rFonts w:ascii="Arial" w:cs="Arial" w:eastAsia="Arial" w:hAnsi="Arial"/>
          <w:sz w:val="20"/>
          <w:szCs w:val="20"/>
          <w:i w:val="1"/>
          <w:iCs w:val="1"/>
          <w:color w:val="582C83"/>
        </w:rPr>
        <w:t>www.mondelezinternational.com</w:t>
      </w:r>
      <w:r>
        <w:rPr>
          <w:rFonts w:ascii="Arial" w:cs="Arial" w:eastAsia="Arial" w:hAnsi="Arial"/>
          <w:sz w:val="20"/>
          <w:szCs w:val="20"/>
          <w:color w:val="auto"/>
        </w:rPr>
        <w:t>. In addition, we are tracking</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adoption of standards such as those published by the Sustainability Accounting Standards Board (“SASB”) and the Task Force on Climate-related Financial Disclosures (“TCFD”), and we disclose alignment indexes to SASB and TCFD on our website. Our 2022 </w:t>
      </w:r>
      <w:r>
        <w:rPr>
          <w:rFonts w:ascii="Arial" w:cs="Arial" w:eastAsia="Arial" w:hAnsi="Arial"/>
          <w:sz w:val="20"/>
          <w:szCs w:val="20"/>
          <w:i w:val="1"/>
          <w:iCs w:val="1"/>
          <w:color w:val="auto"/>
        </w:rPr>
        <w:t>Snacking Made Right</w:t>
      </w:r>
      <w:r>
        <w:rPr>
          <w:rFonts w:ascii="Arial" w:cs="Arial" w:eastAsia="Arial" w:hAnsi="Arial"/>
          <w:sz w:val="20"/>
          <w:szCs w:val="20"/>
          <w:color w:val="auto"/>
        </w:rPr>
        <w:t xml:space="preserve"> report will detail alignment between those standards and our current disclosures, and we will continue to consider shareholder feedback as we align our sustainability reporting with evolving standards. We monitor investor voting policies and continue to evolve our practices and disclosures. We also disclose our consolidated EEO-1 statement of the race and gender of U.S.-based employees, as well as our Board diversity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143115"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4" w:name="page65"/>
    <w:bookmarkEnd w:id="64"/>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311785</wp:posOffset>
            </wp:positionV>
            <wp:extent cx="6307455" cy="1545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right="2200"/>
        <w:spacing w:after="0" w:line="291" w:lineRule="auto"/>
        <w:rPr>
          <w:sz w:val="20"/>
          <w:szCs w:val="20"/>
          <w:color w:val="auto"/>
        </w:rPr>
      </w:pPr>
      <w:r>
        <w:rPr>
          <w:rFonts w:ascii="Arial" w:cs="Arial" w:eastAsia="Arial" w:hAnsi="Arial"/>
          <w:sz w:val="43"/>
          <w:szCs w:val="43"/>
          <w:b w:val="1"/>
          <w:bCs w:val="1"/>
          <w:color w:val="582C83"/>
        </w:rPr>
        <w:t>COMPENSATION OF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sz w:val="1"/>
          <w:szCs w:val="1"/>
          <w:color w:val="auto"/>
        </w:rPr>
        <w:drawing>
          <wp:inline distT="0" distB="0" distL="0" distR="0">
            <wp:extent cx="157480" cy="157480"/>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Review of Non-Employee Director Compensation</w:t>
      </w:r>
    </w:p>
    <w:p>
      <w:pPr>
        <w:spacing w:after="0" w:line="175" w:lineRule="exact"/>
        <w:rPr>
          <w:sz w:val="20"/>
          <w:szCs w:val="20"/>
          <w:color w:val="auto"/>
        </w:rPr>
      </w:pPr>
    </w:p>
    <w:p>
      <w:pPr>
        <w:ind w:left="660" w:right="660"/>
        <w:spacing w:after="0" w:line="247" w:lineRule="auto"/>
        <w:rPr>
          <w:sz w:val="20"/>
          <w:szCs w:val="20"/>
          <w:color w:val="auto"/>
        </w:rPr>
      </w:pPr>
      <w:r>
        <w:rPr>
          <w:rFonts w:ascii="Arial" w:cs="Arial" w:eastAsia="Arial" w:hAnsi="Arial"/>
          <w:sz w:val="20"/>
          <w:szCs w:val="20"/>
          <w:color w:val="auto"/>
        </w:rPr>
        <w:t>The People and Compensation Committee reviews non-employee director compensation annually to confirm that the compensation we offer is market-competitive without being excessive. To support the People and Compensation Committee’s review, at the People and Compensation Committee’s request, Semler Brossy:</w:t>
      </w:r>
    </w:p>
    <w:p>
      <w:pPr>
        <w:spacing w:after="0" w:line="60" w:lineRule="exact"/>
        <w:rPr>
          <w:sz w:val="20"/>
          <w:szCs w:val="20"/>
          <w:color w:val="auto"/>
        </w:rPr>
      </w:pPr>
    </w:p>
    <w:p>
      <w:pPr>
        <w:ind w:left="820" w:right="1160" w:hanging="163"/>
        <w:spacing w:after="0" w:line="181" w:lineRule="auto"/>
        <w:tabs>
          <w:tab w:leader="none" w:pos="820" w:val="left"/>
        </w:tabs>
        <w:numPr>
          <w:ilvl w:val="0"/>
          <w:numId w:val="60"/>
        </w:numPr>
        <w:rPr>
          <w:rFonts w:ascii="Arial" w:cs="Arial" w:eastAsia="Arial" w:hAnsi="Arial"/>
          <w:sz w:val="37"/>
          <w:szCs w:val="37"/>
          <w:color w:val="582C83"/>
          <w:vertAlign w:val="subscript"/>
        </w:rPr>
      </w:pPr>
      <w:r>
        <w:rPr>
          <w:rFonts w:ascii="Arial" w:cs="Arial" w:eastAsia="Arial" w:hAnsi="Arial"/>
          <w:sz w:val="19"/>
          <w:szCs w:val="19"/>
          <w:color w:val="auto"/>
        </w:rPr>
        <w:t>benchmarks our non-employee director compensation against our Compensation Survey Peer Group and other Fortune 100 companies;</w:t>
      </w:r>
    </w:p>
    <w:p>
      <w:pPr>
        <w:spacing w:after="0" w:line="1" w:lineRule="exact"/>
        <w:rPr>
          <w:rFonts w:ascii="Arial" w:cs="Arial" w:eastAsia="Arial" w:hAnsi="Arial"/>
          <w:sz w:val="37"/>
          <w:szCs w:val="37"/>
          <w:color w:val="582C83"/>
          <w:vertAlign w:val="subscript"/>
        </w:rPr>
      </w:pPr>
    </w:p>
    <w:p>
      <w:pPr>
        <w:ind w:left="820" w:hanging="163"/>
        <w:spacing w:after="0" w:line="182" w:lineRule="auto"/>
        <w:tabs>
          <w:tab w:leader="none" w:pos="820" w:val="left"/>
        </w:tabs>
        <w:numPr>
          <w:ilvl w:val="0"/>
          <w:numId w:val="60"/>
        </w:numPr>
        <w:rPr>
          <w:rFonts w:ascii="Arial" w:cs="Arial" w:eastAsia="Arial" w:hAnsi="Arial"/>
          <w:sz w:val="37"/>
          <w:szCs w:val="37"/>
          <w:color w:val="582C83"/>
          <w:vertAlign w:val="subscript"/>
        </w:rPr>
      </w:pPr>
      <w:r>
        <w:rPr>
          <w:rFonts w:ascii="Arial" w:cs="Arial" w:eastAsia="Arial" w:hAnsi="Arial"/>
          <w:sz w:val="19"/>
          <w:szCs w:val="19"/>
          <w:color w:val="auto"/>
        </w:rPr>
        <w:t>assesses the form and amount of our non-employee director compensation; and</w:t>
      </w:r>
    </w:p>
    <w:p>
      <w:pPr>
        <w:spacing w:after="0" w:line="59" w:lineRule="exact"/>
        <w:rPr>
          <w:rFonts w:ascii="Arial" w:cs="Arial" w:eastAsia="Arial" w:hAnsi="Arial"/>
          <w:sz w:val="37"/>
          <w:szCs w:val="37"/>
          <w:color w:val="582C83"/>
          <w:vertAlign w:val="subscript"/>
        </w:rPr>
      </w:pPr>
    </w:p>
    <w:p>
      <w:pPr>
        <w:ind w:left="820" w:right="1220" w:hanging="163"/>
        <w:spacing w:after="0" w:line="181" w:lineRule="auto"/>
        <w:tabs>
          <w:tab w:leader="none" w:pos="820" w:val="left"/>
        </w:tabs>
        <w:numPr>
          <w:ilvl w:val="0"/>
          <w:numId w:val="60"/>
        </w:numPr>
        <w:rPr>
          <w:rFonts w:ascii="Arial" w:cs="Arial" w:eastAsia="Arial" w:hAnsi="Arial"/>
          <w:sz w:val="37"/>
          <w:szCs w:val="37"/>
          <w:color w:val="582C83"/>
          <w:vertAlign w:val="subscript"/>
        </w:rPr>
      </w:pPr>
      <w:r>
        <w:rPr>
          <w:rFonts w:ascii="Arial" w:cs="Arial" w:eastAsia="Arial" w:hAnsi="Arial"/>
          <w:sz w:val="19"/>
          <w:szCs w:val="19"/>
          <w:color w:val="auto"/>
        </w:rPr>
        <w:t>provides the People and Compensation Committee with this data and an independent assessment of the appropriateness and competitiveness of our non-employee director compensation.</w:t>
      </w:r>
    </w:p>
    <w:p>
      <w:pPr>
        <w:spacing w:after="0" w:line="135" w:lineRule="exact"/>
        <w:rPr>
          <w:sz w:val="20"/>
          <w:szCs w:val="20"/>
          <w:color w:val="auto"/>
        </w:rPr>
      </w:pPr>
    </w:p>
    <w:p>
      <w:pPr>
        <w:ind w:left="660" w:right="1280"/>
        <w:spacing w:after="0" w:line="268" w:lineRule="auto"/>
        <w:rPr>
          <w:sz w:val="20"/>
          <w:szCs w:val="20"/>
          <w:color w:val="auto"/>
        </w:rPr>
      </w:pPr>
      <w:r>
        <w:rPr>
          <w:rFonts w:ascii="Arial" w:cs="Arial" w:eastAsia="Arial" w:hAnsi="Arial"/>
          <w:sz w:val="20"/>
          <w:szCs w:val="20"/>
          <w:color w:val="auto"/>
        </w:rPr>
        <w:t>Executive officers do not play a role in determining or recommending the amount or form of non-employee director compensation.</w:t>
      </w:r>
    </w:p>
    <w:p>
      <w:pPr>
        <w:spacing w:after="0" w:line="107" w:lineRule="exact"/>
        <w:rPr>
          <w:sz w:val="20"/>
          <w:szCs w:val="20"/>
          <w:color w:val="auto"/>
        </w:rPr>
      </w:pPr>
    </w:p>
    <w:p>
      <w:pPr>
        <w:jc w:val="both"/>
        <w:ind w:left="660" w:right="720"/>
        <w:spacing w:after="0" w:line="250" w:lineRule="auto"/>
        <w:rPr>
          <w:sz w:val="20"/>
          <w:szCs w:val="20"/>
          <w:color w:val="auto"/>
        </w:rPr>
      </w:pPr>
      <w:r>
        <w:rPr>
          <w:rFonts w:ascii="Arial" w:cs="Arial" w:eastAsia="Arial" w:hAnsi="Arial"/>
          <w:sz w:val="20"/>
          <w:szCs w:val="20"/>
          <w:color w:val="auto"/>
        </w:rPr>
        <w:t>Using Semler Brossy’s assessment, the People and Compensation Committee recommended no changes to the non-employee director compensation program in 2022. The average total pay of $308,000 approximates market median and the pay mix of 38% cash and 62% equity is aligned with market.</w:t>
      </w:r>
    </w:p>
    <w:p>
      <w:pPr>
        <w:spacing w:after="0" w:line="138" w:lineRule="exact"/>
        <w:rPr>
          <w:sz w:val="20"/>
          <w:szCs w:val="20"/>
          <w:color w:val="auto"/>
        </w:rPr>
      </w:pPr>
    </w:p>
    <w:p>
      <w:pPr>
        <w:ind w:left="660"/>
        <w:spacing w:after="0"/>
        <w:rPr>
          <w:sz w:val="20"/>
          <w:szCs w:val="20"/>
          <w:color w:val="auto"/>
        </w:rPr>
      </w:pPr>
      <w:r>
        <w:rPr>
          <w:sz w:val="1"/>
          <w:szCs w:val="1"/>
          <w:color w:val="auto"/>
        </w:rPr>
        <w:drawing>
          <wp:inline distT="0" distB="0" distL="0" distR="0">
            <wp:extent cx="157480" cy="157480"/>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Summary of 2022 Compensation Elements</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794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Annual Compensation Elements</w:t>
            </w:r>
          </w:p>
        </w:tc>
        <w:tc>
          <w:tcPr>
            <w:tcW w:w="20" w:type="dxa"/>
            <w:vAlign w:val="bottom"/>
            <w:tcBorders>
              <w:bottom w:val="single" w:sz="8" w:color="582C83"/>
            </w:tcBorders>
          </w:tcPr>
          <w:p>
            <w:pPr>
              <w:spacing w:after="0"/>
              <w:rPr>
                <w:sz w:val="20"/>
                <w:szCs w:val="20"/>
                <w:color w:val="auto"/>
              </w:rPr>
            </w:pPr>
          </w:p>
        </w:tc>
        <w:tc>
          <w:tcPr>
            <w:tcW w:w="19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Amount ($)</w:t>
            </w:r>
          </w:p>
        </w:tc>
      </w:tr>
      <w:tr>
        <w:trPr>
          <w:trHeight w:val="291"/>
        </w:trPr>
        <w:tc>
          <w:tcPr>
            <w:tcW w:w="79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Annual Cash Retainer</w:t>
            </w:r>
          </w:p>
        </w:tc>
        <w:tc>
          <w:tcPr>
            <w:tcW w:w="20" w:type="dxa"/>
            <w:vAlign w:val="bottom"/>
            <w:tcBorders>
              <w:bottom w:val="single" w:sz="8" w:color="EBE6F0"/>
            </w:tcBorders>
            <w:shd w:val="clear" w:color="auto" w:fill="EBE6F0"/>
          </w:tcPr>
          <w:p>
            <w:pPr>
              <w:spacing w:after="0"/>
              <w:rPr>
                <w:sz w:val="24"/>
                <w:szCs w:val="24"/>
                <w:color w:val="auto"/>
              </w:rPr>
            </w:pPr>
          </w:p>
        </w:tc>
        <w:tc>
          <w:tcPr>
            <w:tcW w:w="19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110,000</w:t>
            </w:r>
          </w:p>
        </w:tc>
      </w:tr>
      <w:tr>
        <w:trPr>
          <w:trHeight w:val="243"/>
        </w:trPr>
        <w:tc>
          <w:tcPr>
            <w:tcW w:w="794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Value of Annual Equity Retainer</w:t>
            </w:r>
          </w:p>
        </w:tc>
        <w:tc>
          <w:tcPr>
            <w:tcW w:w="20" w:type="dxa"/>
            <w:vAlign w:val="bottom"/>
            <w:tcBorders>
              <w:top w:val="single" w:sz="8" w:color="EBE6F0"/>
            </w:tcBorders>
          </w:tcPr>
          <w:p>
            <w:pPr>
              <w:spacing w:after="0"/>
              <w:rPr>
                <w:sz w:val="21"/>
                <w:szCs w:val="21"/>
                <w:color w:val="auto"/>
              </w:rPr>
            </w:pPr>
          </w:p>
        </w:tc>
        <w:tc>
          <w:tcPr>
            <w:tcW w:w="19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190,000</w:t>
            </w:r>
          </w:p>
        </w:tc>
      </w:tr>
      <w:tr>
        <w:trPr>
          <w:trHeight w:val="35"/>
        </w:trPr>
        <w:tc>
          <w:tcPr>
            <w:tcW w:w="794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980" w:type="dxa"/>
            <w:vAlign w:val="bottom"/>
            <w:tcBorders>
              <w:bottom w:val="single" w:sz="8" w:color="582C83"/>
            </w:tcBorders>
          </w:tcPr>
          <w:p>
            <w:pPr>
              <w:spacing w:after="0"/>
              <w:rPr>
                <w:sz w:val="3"/>
                <w:szCs w:val="3"/>
                <w:color w:val="auto"/>
              </w:rPr>
            </w:pPr>
          </w:p>
        </w:tc>
      </w:tr>
      <w:tr>
        <w:trPr>
          <w:trHeight w:val="283"/>
        </w:trPr>
        <w:tc>
          <w:tcPr>
            <w:tcW w:w="79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Additional Cash Compensation</w:t>
            </w:r>
          </w:p>
        </w:tc>
        <w:tc>
          <w:tcPr>
            <w:tcW w:w="20" w:type="dxa"/>
            <w:vAlign w:val="bottom"/>
            <w:tcBorders>
              <w:bottom w:val="single" w:sz="8" w:color="EBE6F0"/>
            </w:tcBorders>
            <w:shd w:val="clear" w:color="auto" w:fill="EBE6F0"/>
          </w:tcPr>
          <w:p>
            <w:pPr>
              <w:spacing w:after="0"/>
              <w:rPr>
                <w:sz w:val="24"/>
                <w:szCs w:val="24"/>
                <w:color w:val="auto"/>
              </w:rPr>
            </w:pPr>
          </w:p>
        </w:tc>
        <w:tc>
          <w:tcPr>
            <w:tcW w:w="1980" w:type="dxa"/>
            <w:vAlign w:val="bottom"/>
            <w:tcBorders>
              <w:bottom w:val="single" w:sz="8" w:color="EBE6F0"/>
            </w:tcBorders>
            <w:shd w:val="clear" w:color="auto" w:fill="EBE6F0"/>
          </w:tcPr>
          <w:p>
            <w:pPr>
              <w:spacing w:after="0"/>
              <w:rPr>
                <w:sz w:val="24"/>
                <w:szCs w:val="24"/>
                <w:color w:val="auto"/>
              </w:rPr>
            </w:pPr>
          </w:p>
        </w:tc>
      </w:tr>
      <w:tr>
        <w:trPr>
          <w:trHeight w:val="243"/>
        </w:trPr>
        <w:tc>
          <w:tcPr>
            <w:tcW w:w="7940" w:type="dxa"/>
            <w:vAlign w:val="bottom"/>
            <w:tcBorders>
              <w:top w:val="single" w:sz="8" w:color="582C83"/>
            </w:tcBorders>
          </w:tcPr>
          <w:p>
            <w:pPr>
              <w:ind w:left="220"/>
              <w:spacing w:after="0"/>
              <w:rPr>
                <w:sz w:val="20"/>
                <w:szCs w:val="20"/>
                <w:color w:val="auto"/>
              </w:rPr>
            </w:pPr>
            <w:r>
              <w:rPr>
                <w:rFonts w:ascii="Arial" w:cs="Arial" w:eastAsia="Arial" w:hAnsi="Arial"/>
                <w:sz w:val="16"/>
                <w:szCs w:val="16"/>
                <w:color w:val="auto"/>
              </w:rPr>
              <w:t>Lead Director Retainer</w:t>
            </w:r>
          </w:p>
        </w:tc>
        <w:tc>
          <w:tcPr>
            <w:tcW w:w="20" w:type="dxa"/>
            <w:vAlign w:val="bottom"/>
            <w:tcBorders>
              <w:top w:val="single" w:sz="8" w:color="EBE6F0"/>
            </w:tcBorders>
          </w:tcPr>
          <w:p>
            <w:pPr>
              <w:spacing w:after="0"/>
              <w:rPr>
                <w:sz w:val="21"/>
                <w:szCs w:val="21"/>
                <w:color w:val="auto"/>
              </w:rPr>
            </w:pPr>
          </w:p>
        </w:tc>
        <w:tc>
          <w:tcPr>
            <w:tcW w:w="19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30,000</w:t>
            </w:r>
          </w:p>
        </w:tc>
      </w:tr>
      <w:tr>
        <w:trPr>
          <w:trHeight w:val="35"/>
        </w:trPr>
        <w:tc>
          <w:tcPr>
            <w:tcW w:w="794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980" w:type="dxa"/>
            <w:vAlign w:val="bottom"/>
            <w:tcBorders>
              <w:bottom w:val="single" w:sz="8" w:color="582C83"/>
            </w:tcBorders>
          </w:tcPr>
          <w:p>
            <w:pPr>
              <w:spacing w:after="0"/>
              <w:rPr>
                <w:sz w:val="3"/>
                <w:szCs w:val="3"/>
                <w:color w:val="auto"/>
              </w:rPr>
            </w:pPr>
          </w:p>
        </w:tc>
      </w:tr>
      <w:tr>
        <w:trPr>
          <w:trHeight w:val="283"/>
        </w:trPr>
        <w:tc>
          <w:tcPr>
            <w:tcW w:w="7940" w:type="dxa"/>
            <w:vAlign w:val="bottom"/>
            <w:tcBorders>
              <w:bottom w:val="single" w:sz="8" w:color="EBE6F0"/>
            </w:tcBorders>
            <w:shd w:val="clear" w:color="auto" w:fill="EBE6F0"/>
          </w:tcPr>
          <w:p>
            <w:pPr>
              <w:ind w:left="240"/>
              <w:spacing w:after="0"/>
              <w:rPr>
                <w:sz w:val="20"/>
                <w:szCs w:val="20"/>
                <w:color w:val="auto"/>
              </w:rPr>
            </w:pPr>
            <w:r>
              <w:rPr>
                <w:rFonts w:ascii="Arial" w:cs="Arial" w:eastAsia="Arial" w:hAnsi="Arial"/>
                <w:sz w:val="16"/>
                <w:szCs w:val="16"/>
                <w:color w:val="auto"/>
              </w:rPr>
              <w:t>Audit Committee Chair Retainer</w:t>
            </w:r>
          </w:p>
        </w:tc>
        <w:tc>
          <w:tcPr>
            <w:tcW w:w="20" w:type="dxa"/>
            <w:vAlign w:val="bottom"/>
            <w:tcBorders>
              <w:bottom w:val="single" w:sz="8" w:color="EBE6F0"/>
            </w:tcBorders>
            <w:shd w:val="clear" w:color="auto" w:fill="EBE6F0"/>
          </w:tcPr>
          <w:p>
            <w:pPr>
              <w:spacing w:after="0"/>
              <w:rPr>
                <w:sz w:val="24"/>
                <w:szCs w:val="24"/>
                <w:color w:val="auto"/>
              </w:rPr>
            </w:pPr>
          </w:p>
        </w:tc>
        <w:tc>
          <w:tcPr>
            <w:tcW w:w="19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25,000</w:t>
            </w:r>
          </w:p>
        </w:tc>
      </w:tr>
      <w:tr>
        <w:trPr>
          <w:trHeight w:val="243"/>
        </w:trPr>
        <w:tc>
          <w:tcPr>
            <w:tcW w:w="7940" w:type="dxa"/>
            <w:vAlign w:val="bottom"/>
            <w:tcBorders>
              <w:top w:val="single" w:sz="8" w:color="582C83"/>
            </w:tcBorders>
          </w:tcPr>
          <w:p>
            <w:pPr>
              <w:ind w:left="220"/>
              <w:spacing w:after="0"/>
              <w:rPr>
                <w:sz w:val="20"/>
                <w:szCs w:val="20"/>
                <w:color w:val="auto"/>
              </w:rPr>
            </w:pPr>
            <w:r>
              <w:rPr>
                <w:rFonts w:ascii="Arial" w:cs="Arial" w:eastAsia="Arial" w:hAnsi="Arial"/>
                <w:sz w:val="16"/>
                <w:szCs w:val="16"/>
                <w:color w:val="auto"/>
              </w:rPr>
              <w:t>People and Compensation Committee Chair Retainer</w:t>
            </w:r>
          </w:p>
        </w:tc>
        <w:tc>
          <w:tcPr>
            <w:tcW w:w="20" w:type="dxa"/>
            <w:vAlign w:val="bottom"/>
            <w:tcBorders>
              <w:top w:val="single" w:sz="8" w:color="EBE6F0"/>
            </w:tcBorders>
          </w:tcPr>
          <w:p>
            <w:pPr>
              <w:spacing w:after="0"/>
              <w:rPr>
                <w:sz w:val="21"/>
                <w:szCs w:val="21"/>
                <w:color w:val="auto"/>
              </w:rPr>
            </w:pPr>
          </w:p>
        </w:tc>
        <w:tc>
          <w:tcPr>
            <w:tcW w:w="19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25,000</w:t>
            </w:r>
          </w:p>
        </w:tc>
      </w:tr>
      <w:tr>
        <w:trPr>
          <w:trHeight w:val="35"/>
        </w:trPr>
        <w:tc>
          <w:tcPr>
            <w:tcW w:w="794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980" w:type="dxa"/>
            <w:vAlign w:val="bottom"/>
            <w:tcBorders>
              <w:bottom w:val="single" w:sz="8" w:color="582C83"/>
            </w:tcBorders>
          </w:tcPr>
          <w:p>
            <w:pPr>
              <w:spacing w:after="0"/>
              <w:rPr>
                <w:sz w:val="3"/>
                <w:szCs w:val="3"/>
                <w:color w:val="auto"/>
              </w:rPr>
            </w:pPr>
          </w:p>
        </w:tc>
      </w:tr>
      <w:tr>
        <w:trPr>
          <w:trHeight w:val="283"/>
        </w:trPr>
        <w:tc>
          <w:tcPr>
            <w:tcW w:w="7940" w:type="dxa"/>
            <w:vAlign w:val="bottom"/>
            <w:tcBorders>
              <w:bottom w:val="single" w:sz="8" w:color="EBE6F0"/>
            </w:tcBorders>
            <w:shd w:val="clear" w:color="auto" w:fill="EBE6F0"/>
          </w:tcPr>
          <w:p>
            <w:pPr>
              <w:ind w:left="240"/>
              <w:spacing w:after="0"/>
              <w:rPr>
                <w:sz w:val="20"/>
                <w:szCs w:val="20"/>
                <w:color w:val="auto"/>
              </w:rPr>
            </w:pPr>
            <w:r>
              <w:rPr>
                <w:rFonts w:ascii="Arial" w:cs="Arial" w:eastAsia="Arial" w:hAnsi="Arial"/>
                <w:sz w:val="16"/>
                <w:szCs w:val="16"/>
                <w:color w:val="auto"/>
              </w:rPr>
              <w:t>Governance Committee Chair Retainer</w:t>
            </w:r>
          </w:p>
        </w:tc>
        <w:tc>
          <w:tcPr>
            <w:tcW w:w="20" w:type="dxa"/>
            <w:vAlign w:val="bottom"/>
            <w:tcBorders>
              <w:bottom w:val="single" w:sz="8" w:color="EBE6F0"/>
            </w:tcBorders>
            <w:shd w:val="clear" w:color="auto" w:fill="EBE6F0"/>
          </w:tcPr>
          <w:p>
            <w:pPr>
              <w:spacing w:after="0"/>
              <w:rPr>
                <w:sz w:val="24"/>
                <w:szCs w:val="24"/>
                <w:color w:val="auto"/>
              </w:rPr>
            </w:pPr>
          </w:p>
        </w:tc>
        <w:tc>
          <w:tcPr>
            <w:tcW w:w="19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20,000</w:t>
            </w:r>
          </w:p>
        </w:tc>
      </w:tr>
      <w:tr>
        <w:trPr>
          <w:trHeight w:val="243"/>
        </w:trPr>
        <w:tc>
          <w:tcPr>
            <w:tcW w:w="7940" w:type="dxa"/>
            <w:vAlign w:val="bottom"/>
            <w:tcBorders>
              <w:top w:val="single" w:sz="8" w:color="582C83"/>
            </w:tcBorders>
          </w:tcPr>
          <w:p>
            <w:pPr>
              <w:ind w:left="220"/>
              <w:spacing w:after="0"/>
              <w:rPr>
                <w:sz w:val="20"/>
                <w:szCs w:val="20"/>
                <w:color w:val="auto"/>
              </w:rPr>
            </w:pPr>
            <w:r>
              <w:rPr>
                <w:rFonts w:ascii="Arial" w:cs="Arial" w:eastAsia="Arial" w:hAnsi="Arial"/>
                <w:sz w:val="16"/>
                <w:szCs w:val="16"/>
                <w:color w:val="auto"/>
              </w:rPr>
              <w:t>Finance Committee Chair Retainer</w:t>
            </w:r>
          </w:p>
        </w:tc>
        <w:tc>
          <w:tcPr>
            <w:tcW w:w="20" w:type="dxa"/>
            <w:vAlign w:val="bottom"/>
            <w:tcBorders>
              <w:top w:val="single" w:sz="8" w:color="EBE6F0"/>
            </w:tcBorders>
          </w:tcPr>
          <w:p>
            <w:pPr>
              <w:spacing w:after="0"/>
              <w:rPr>
                <w:sz w:val="21"/>
                <w:szCs w:val="21"/>
                <w:color w:val="auto"/>
              </w:rPr>
            </w:pPr>
          </w:p>
        </w:tc>
        <w:tc>
          <w:tcPr>
            <w:tcW w:w="19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20,000</w:t>
            </w:r>
          </w:p>
        </w:tc>
      </w:tr>
      <w:tr>
        <w:trPr>
          <w:trHeight w:val="35"/>
        </w:trPr>
        <w:tc>
          <w:tcPr>
            <w:tcW w:w="794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980" w:type="dxa"/>
            <w:vAlign w:val="bottom"/>
            <w:tcBorders>
              <w:bottom w:val="single" w:sz="8" w:color="582C83"/>
            </w:tcBorders>
          </w:tcPr>
          <w:p>
            <w:pPr>
              <w:spacing w:after="0"/>
              <w:rPr>
                <w:sz w:val="3"/>
                <w:szCs w:val="3"/>
                <w:color w:val="auto"/>
              </w:rPr>
            </w:pPr>
          </w:p>
        </w:tc>
      </w:tr>
    </w:tbl>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do not pay non-employee directors meeting fees.</w:t>
      </w:r>
    </w:p>
    <w:p>
      <w:pPr>
        <w:spacing w:after="0" w:line="167" w:lineRule="exact"/>
        <w:rPr>
          <w:sz w:val="20"/>
          <w:szCs w:val="20"/>
          <w:color w:val="auto"/>
        </w:rPr>
      </w:pPr>
    </w:p>
    <w:p>
      <w:pPr>
        <w:jc w:val="both"/>
        <w:ind w:left="660" w:right="660"/>
        <w:spacing w:after="0" w:line="268" w:lineRule="auto"/>
        <w:rPr>
          <w:sz w:val="20"/>
          <w:szCs w:val="20"/>
          <w:color w:val="auto"/>
        </w:rPr>
      </w:pPr>
      <w:r>
        <w:rPr>
          <w:rFonts w:ascii="Arial" w:cs="Arial" w:eastAsia="Arial" w:hAnsi="Arial"/>
          <w:sz w:val="20"/>
          <w:szCs w:val="20"/>
          <w:color w:val="auto"/>
        </w:rPr>
        <w:t>We also do not pay any Company employee who serves as director any additional compensation for serving as a director. Mr. Van de Put is the only director who is also a Company employee.</w:t>
      </w:r>
    </w:p>
    <w:p>
      <w:pPr>
        <w:spacing w:after="0" w:line="107" w:lineRule="exact"/>
        <w:rPr>
          <w:sz w:val="20"/>
          <w:szCs w:val="20"/>
          <w:color w:val="auto"/>
        </w:rPr>
      </w:pPr>
    </w:p>
    <w:p>
      <w:pPr>
        <w:ind w:left="660"/>
        <w:spacing w:after="0"/>
        <w:rPr>
          <w:sz w:val="20"/>
          <w:szCs w:val="20"/>
          <w:color w:val="auto"/>
        </w:rPr>
      </w:pPr>
      <w:r>
        <w:rPr>
          <w:sz w:val="1"/>
          <w:szCs w:val="1"/>
          <w:color w:val="auto"/>
        </w:rPr>
        <w:drawing>
          <wp:inline distT="0" distB="0" distL="0" distR="0">
            <wp:extent cx="157480" cy="157480"/>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Plan Limits on Non-Employee Director Grants</w:t>
      </w:r>
    </w:p>
    <w:p>
      <w:pPr>
        <w:spacing w:after="0" w:line="163" w:lineRule="exact"/>
        <w:rPr>
          <w:sz w:val="20"/>
          <w:szCs w:val="20"/>
          <w:color w:val="auto"/>
        </w:rPr>
      </w:pPr>
    </w:p>
    <w:p>
      <w:pPr>
        <w:ind w:left="660" w:right="660"/>
        <w:spacing w:after="0" w:line="244" w:lineRule="auto"/>
        <w:rPr>
          <w:sz w:val="20"/>
          <w:szCs w:val="20"/>
          <w:color w:val="auto"/>
        </w:rPr>
      </w:pPr>
      <w:r>
        <w:rPr>
          <w:rFonts w:ascii="Arial" w:cs="Arial" w:eastAsia="Arial" w:hAnsi="Arial"/>
          <w:sz w:val="20"/>
          <w:szCs w:val="20"/>
          <w:color w:val="auto"/>
        </w:rPr>
        <w:t>Our shareholder-approved Amended and Restated 2005 Performance Incentive Plan (the “Equity Plan”) caps the maximum fair market value of Common Stock grants made to any non-employee director in any calendar year at $500,000. See the “2022 Non-Employee Director Compensation” and “2022 Non-Employee Director Awards” tables on pages 63-64 for specific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43115"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5" w:name="page66"/>
    <w:bookmarkEnd w:id="65"/>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60" w:right="300" w:hanging="322"/>
        <w:spacing w:after="0"/>
        <w:rPr>
          <w:sz w:val="20"/>
          <w:szCs w:val="20"/>
          <w:color w:val="auto"/>
        </w:rPr>
      </w:pPr>
      <w:r>
        <w:rPr>
          <w:sz w:val="1"/>
          <w:szCs w:val="1"/>
          <w:color w:val="auto"/>
        </w:rPr>
        <w:drawing>
          <wp:inline distT="0" distB="0" distL="0" distR="0">
            <wp:extent cx="157480" cy="157480"/>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Cash Compensation – Board, Independent Lead Director and Committee Chair Retainers</w:t>
      </w:r>
    </w:p>
    <w:p>
      <w:pPr>
        <w:spacing w:after="0" w:line="116" w:lineRule="exact"/>
        <w:rPr>
          <w:sz w:val="20"/>
          <w:szCs w:val="20"/>
          <w:color w:val="auto"/>
        </w:rPr>
      </w:pPr>
    </w:p>
    <w:p>
      <w:pPr>
        <w:ind w:left="20" w:right="40"/>
        <w:spacing w:after="0" w:line="244" w:lineRule="auto"/>
        <w:rPr>
          <w:sz w:val="20"/>
          <w:szCs w:val="20"/>
          <w:color w:val="auto"/>
        </w:rPr>
      </w:pPr>
      <w:r>
        <w:rPr>
          <w:rFonts w:ascii="Arial" w:cs="Arial" w:eastAsia="Arial" w:hAnsi="Arial"/>
          <w:sz w:val="20"/>
          <w:szCs w:val="20"/>
          <w:color w:val="auto"/>
        </w:rPr>
        <w:t>We pay our non-employee directors their cash retainers quarterly. The Mondelēz International, Inc. 2001 Compensation Plan for Non-Employee Directors allows directors to defer 25%, 50%, 75% or 100% of their cash retainers into notional unfunded accounts. These accounts are credited with gains/losses based upon the performance of investment funds that mirror certain of the investment options available under the Thrift Plan offered to U.S. salaried employees.</w:t>
      </w:r>
    </w:p>
    <w:p>
      <w:pPr>
        <w:spacing w:after="0" w:line="133" w:lineRule="exact"/>
        <w:rPr>
          <w:sz w:val="20"/>
          <w:szCs w:val="20"/>
          <w:color w:val="auto"/>
        </w:rPr>
      </w:pPr>
    </w:p>
    <w:p>
      <w:pPr>
        <w:ind w:left="20" w:right="160"/>
        <w:spacing w:after="0" w:line="268" w:lineRule="auto"/>
        <w:rPr>
          <w:sz w:val="20"/>
          <w:szCs w:val="20"/>
          <w:color w:val="auto"/>
        </w:rPr>
      </w:pPr>
      <w:r>
        <w:rPr>
          <w:rFonts w:ascii="Arial" w:cs="Arial" w:eastAsia="Arial" w:hAnsi="Arial"/>
          <w:sz w:val="20"/>
          <w:szCs w:val="20"/>
          <w:color w:val="auto"/>
        </w:rPr>
        <w:t>If the Board appoints a new non-employee director during the year (i.e., other than at the Annual Meeting of Shareholders), we pay that director prorated compensation based on the number of days remaining in the calendar year.</w:t>
      </w:r>
    </w:p>
    <w:p>
      <w:pPr>
        <w:spacing w:after="0" w:line="120"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Equity Compensation – Annual Equity Grant</w:t>
      </w:r>
    </w:p>
    <w:p>
      <w:pPr>
        <w:spacing w:after="0" w:line="175" w:lineRule="exact"/>
        <w:rPr>
          <w:sz w:val="20"/>
          <w:szCs w:val="20"/>
          <w:color w:val="auto"/>
        </w:rPr>
      </w:pPr>
    </w:p>
    <w:p>
      <w:pPr>
        <w:ind w:left="20" w:right="200"/>
        <w:spacing w:after="0"/>
        <w:rPr>
          <w:sz w:val="20"/>
          <w:szCs w:val="20"/>
          <w:color w:val="auto"/>
        </w:rPr>
      </w:pPr>
      <w:r>
        <w:rPr>
          <w:rFonts w:ascii="Arial" w:cs="Arial" w:eastAsia="Arial" w:hAnsi="Arial"/>
          <w:sz w:val="20"/>
          <w:szCs w:val="20"/>
          <w:color w:val="auto"/>
        </w:rPr>
        <w:t>We make annual equity grants to our non-employee directors following the Annual Meeting of Shareholders. In order to align directors’ interests with shareholders during the directors’ service, grants are in the form of vested deferred stock units. We settle these deferred stock units by distributing actual shares six months after a director ends his or her service as a director. When we pay a dividend on our Common Stock, we accrue the value of the dividends that we would have paid on the shares underlying the deferred stock units. Directors receive shares equal to the accumulated value of the dividends at the same time their deferred stock units are settled.</w:t>
      </w:r>
    </w:p>
    <w:p>
      <w:pPr>
        <w:spacing w:after="0" w:line="135" w:lineRule="exact"/>
        <w:rPr>
          <w:sz w:val="20"/>
          <w:szCs w:val="20"/>
          <w:color w:val="auto"/>
        </w:rPr>
      </w:pPr>
    </w:p>
    <w:p>
      <w:pPr>
        <w:ind w:left="20" w:right="160"/>
        <w:spacing w:after="0" w:line="268" w:lineRule="auto"/>
        <w:rPr>
          <w:sz w:val="20"/>
          <w:szCs w:val="20"/>
          <w:color w:val="auto"/>
        </w:rPr>
      </w:pPr>
      <w:r>
        <w:rPr>
          <w:rFonts w:ascii="Arial" w:cs="Arial" w:eastAsia="Arial" w:hAnsi="Arial"/>
          <w:sz w:val="20"/>
          <w:szCs w:val="20"/>
          <w:color w:val="auto"/>
        </w:rPr>
        <w:t>If the Board appoints a new non-employee director during the year (i.e., other than at the Annual Meeting of Shareholders), we prorate the annual equity grant value based on the number of months until the next Annual Meeting of Shareholders.</w:t>
      </w:r>
    </w:p>
    <w:p>
      <w:pPr>
        <w:spacing w:after="0" w:line="120"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Director Stock Ownership Guidelines</w:t>
      </w:r>
    </w:p>
    <w:p>
      <w:pPr>
        <w:spacing w:after="0" w:line="175" w:lineRule="exact"/>
        <w:rPr>
          <w:sz w:val="20"/>
          <w:szCs w:val="20"/>
          <w:color w:val="auto"/>
        </w:rPr>
      </w:pPr>
    </w:p>
    <w:p>
      <w:pPr>
        <w:ind w:left="20" w:right="40"/>
        <w:spacing w:after="0" w:line="268" w:lineRule="auto"/>
        <w:rPr>
          <w:sz w:val="20"/>
          <w:szCs w:val="20"/>
          <w:color w:val="auto"/>
        </w:rPr>
      </w:pPr>
      <w:r>
        <w:rPr>
          <w:rFonts w:ascii="Arial" w:cs="Arial" w:eastAsia="Arial" w:hAnsi="Arial"/>
          <w:sz w:val="20"/>
          <w:szCs w:val="20"/>
          <w:color w:val="auto"/>
        </w:rPr>
        <w:t>To align the interests of our non-employee directors and our shareholders, we expect our non-employee directors to hold shares of our Common Stock. Our expectations are as follows: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92"/>
        </w:trPr>
        <w:tc>
          <w:tcPr>
            <w:tcW w:w="3490" w:type="dxa"/>
            <w:vAlign w:val="bottom"/>
            <w:tcBorders>
              <w:bottom w:val="single" w:sz="8" w:color="582C83"/>
            </w:tcBorders>
          </w:tcPr>
          <w:p>
            <w:pPr>
              <w:ind w:left="60"/>
              <w:spacing w:after="0"/>
              <w:rPr>
                <w:sz w:val="20"/>
                <w:szCs w:val="20"/>
                <w:color w:val="auto"/>
              </w:rPr>
            </w:pPr>
            <w:r>
              <w:rPr>
                <w:rFonts w:ascii="Arial" w:cs="Arial" w:eastAsia="Arial" w:hAnsi="Arial"/>
                <w:sz w:val="20"/>
                <w:szCs w:val="20"/>
                <w:b w:val="1"/>
                <w:bCs w:val="1"/>
                <w:color w:val="auto"/>
              </w:rPr>
              <w:t>Key Provisions</w:t>
            </w:r>
          </w:p>
        </w:tc>
        <w:tc>
          <w:tcPr>
            <w:tcW w:w="7750" w:type="dxa"/>
            <w:vAlign w:val="bottom"/>
            <w:tcBorders>
              <w:bottom w:val="single" w:sz="8" w:color="582C83"/>
            </w:tcBorders>
          </w:tcPr>
          <w:p>
            <w:pPr>
              <w:ind w:left="70"/>
              <w:spacing w:after="0"/>
              <w:rPr>
                <w:sz w:val="20"/>
                <w:szCs w:val="20"/>
                <w:color w:val="auto"/>
              </w:rPr>
            </w:pPr>
            <w:r>
              <w:rPr>
                <w:rFonts w:ascii="Arial" w:cs="Arial" w:eastAsia="Arial" w:hAnsi="Arial"/>
                <w:sz w:val="20"/>
                <w:szCs w:val="20"/>
                <w:b w:val="1"/>
                <w:bCs w:val="1"/>
                <w:color w:val="auto"/>
              </w:rPr>
              <w:t>Explanation of Key Provisions</w:t>
            </w:r>
          </w:p>
        </w:tc>
        <w:tc>
          <w:tcPr>
            <w:tcW w:w="20" w:type="dxa"/>
            <w:vAlign w:val="bottom"/>
            <w:tcBorders>
              <w:bottom w:val="single" w:sz="8" w:color="582C83"/>
            </w:tcBorders>
          </w:tcPr>
          <w:p>
            <w:pPr>
              <w:spacing w:after="0"/>
              <w:rPr>
                <w:sz w:val="24"/>
                <w:szCs w:val="24"/>
                <w:color w:val="auto"/>
              </w:rPr>
            </w:pPr>
          </w:p>
        </w:tc>
      </w:tr>
      <w:tr>
        <w:trPr>
          <w:trHeight w:val="315"/>
        </w:trPr>
        <w:tc>
          <w:tcPr>
            <w:tcW w:w="349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0"/>
                <w:szCs w:val="20"/>
                <w:b w:val="1"/>
                <w:bCs w:val="1"/>
                <w:color w:val="auto"/>
              </w:rPr>
              <w:t>Ownership expectation</w:t>
            </w:r>
          </w:p>
        </w:tc>
        <w:tc>
          <w:tcPr>
            <w:tcW w:w="7750" w:type="dxa"/>
            <w:vAlign w:val="bottom"/>
            <w:tcBorders>
              <w:bottom w:val="single" w:sz="8" w:color="EBE6F0"/>
            </w:tcBorders>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Amount equal to five times the annual Board cash retainer (i.e., $550,000).</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97"/>
        </w:trPr>
        <w:tc>
          <w:tcPr>
            <w:tcW w:w="3490" w:type="dxa"/>
            <w:vAlign w:val="bottom"/>
          </w:tcPr>
          <w:p>
            <w:pPr>
              <w:ind w:left="60"/>
              <w:spacing w:after="0"/>
              <w:rPr>
                <w:sz w:val="20"/>
                <w:szCs w:val="20"/>
                <w:color w:val="auto"/>
              </w:rPr>
            </w:pPr>
            <w:r>
              <w:rPr>
                <w:rFonts w:ascii="Arial" w:cs="Arial" w:eastAsia="Arial" w:hAnsi="Arial"/>
                <w:sz w:val="20"/>
                <w:szCs w:val="20"/>
                <w:b w:val="1"/>
                <w:bCs w:val="1"/>
                <w:color w:val="auto"/>
              </w:rPr>
              <w:t>Time to meet expectation</w:t>
            </w:r>
          </w:p>
        </w:tc>
        <w:tc>
          <w:tcPr>
            <w:tcW w:w="7750" w:type="dxa"/>
            <w:vAlign w:val="bottom"/>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Five years from joining the Board as a director.</w:t>
            </w:r>
          </w:p>
        </w:tc>
        <w:tc>
          <w:tcPr>
            <w:tcW w:w="20" w:type="dxa"/>
            <w:vAlign w:val="bottom"/>
          </w:tcPr>
          <w:p>
            <w:pPr>
              <w:spacing w:after="0"/>
              <w:rPr>
                <w:sz w:val="24"/>
                <w:szCs w:val="24"/>
                <w:color w:val="auto"/>
              </w:rPr>
            </w:pPr>
          </w:p>
        </w:tc>
      </w:tr>
      <w:tr>
        <w:trPr>
          <w:trHeight w:val="25"/>
        </w:trPr>
        <w:tc>
          <w:tcPr>
            <w:tcW w:w="3490" w:type="dxa"/>
            <w:vAlign w:val="bottom"/>
          </w:tcPr>
          <w:p>
            <w:pPr>
              <w:spacing w:after="0"/>
              <w:rPr>
                <w:sz w:val="2"/>
                <w:szCs w:val="2"/>
                <w:color w:val="auto"/>
              </w:rPr>
            </w:pPr>
          </w:p>
        </w:tc>
        <w:tc>
          <w:tcPr>
            <w:tcW w:w="775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0"/>
        </w:trPr>
        <w:tc>
          <w:tcPr>
            <w:tcW w:w="349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auto"/>
              </w:rPr>
              <w:t>Shares counted toward ownership</w:t>
            </w:r>
          </w:p>
        </w:tc>
        <w:tc>
          <w:tcPr>
            <w:tcW w:w="775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Common Stock, including sole ownership, deferred stock units and accounts over</w:t>
            </w:r>
          </w:p>
        </w:tc>
        <w:tc>
          <w:tcPr>
            <w:tcW w:w="20" w:type="dxa"/>
            <w:vAlign w:val="bottom"/>
            <w:shd w:val="clear" w:color="auto" w:fill="EBE6F0"/>
          </w:tcPr>
          <w:p>
            <w:pPr>
              <w:spacing w:after="0"/>
              <w:rPr>
                <w:sz w:val="22"/>
                <w:szCs w:val="22"/>
                <w:color w:val="auto"/>
              </w:rPr>
            </w:pPr>
          </w:p>
        </w:tc>
      </w:tr>
      <w:tr>
        <w:trPr>
          <w:trHeight w:val="292"/>
        </w:trPr>
        <w:tc>
          <w:tcPr>
            <w:tcW w:w="3490" w:type="dxa"/>
            <w:vAlign w:val="bottom"/>
            <w:tcBorders>
              <w:bottom w:val="single" w:sz="8" w:color="EBE6F0"/>
            </w:tcBorders>
            <w:shd w:val="clear" w:color="auto" w:fill="EBE6F0"/>
          </w:tcPr>
          <w:p>
            <w:pPr>
              <w:spacing w:after="0"/>
              <w:rPr>
                <w:sz w:val="24"/>
                <w:szCs w:val="24"/>
                <w:color w:val="auto"/>
              </w:rPr>
            </w:pPr>
          </w:p>
        </w:tc>
        <w:tc>
          <w:tcPr>
            <w:tcW w:w="7750" w:type="dxa"/>
            <w:vAlign w:val="bottom"/>
            <w:tcBorders>
              <w:bottom w:val="single" w:sz="8" w:color="EBE6F0"/>
            </w:tcBorders>
            <w:shd w:val="clear" w:color="auto" w:fill="EBE6F0"/>
          </w:tcPr>
          <w:p>
            <w:pPr>
              <w:ind w:left="230"/>
              <w:spacing w:after="0"/>
              <w:rPr>
                <w:sz w:val="20"/>
                <w:szCs w:val="20"/>
                <w:color w:val="auto"/>
              </w:rPr>
            </w:pPr>
            <w:r>
              <w:rPr>
                <w:rFonts w:ascii="Arial" w:cs="Arial" w:eastAsia="Arial" w:hAnsi="Arial"/>
                <w:sz w:val="20"/>
                <w:szCs w:val="20"/>
                <w:color w:val="auto"/>
              </w:rPr>
              <w:t>which the director has direct or indirect ownership or control.</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47"/>
        </w:trPr>
        <w:tc>
          <w:tcPr>
            <w:tcW w:w="3490" w:type="dxa"/>
            <w:vAlign w:val="bottom"/>
          </w:tcPr>
          <w:p>
            <w:pPr>
              <w:ind w:left="60"/>
              <w:spacing w:after="0"/>
              <w:rPr>
                <w:sz w:val="20"/>
                <w:szCs w:val="20"/>
                <w:color w:val="auto"/>
              </w:rPr>
            </w:pPr>
            <w:r>
              <w:rPr>
                <w:rFonts w:ascii="Arial" w:cs="Arial" w:eastAsia="Arial" w:hAnsi="Arial"/>
                <w:sz w:val="20"/>
                <w:szCs w:val="20"/>
                <w:b w:val="1"/>
                <w:bCs w:val="1"/>
                <w:color w:val="auto"/>
              </w:rPr>
              <w:t>Holding expectation</w:t>
            </w:r>
          </w:p>
        </w:tc>
        <w:tc>
          <w:tcPr>
            <w:tcW w:w="7750" w:type="dxa"/>
            <w:vAlign w:val="bottom"/>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The Company does not release the shares underlying deferred stock units until six</w:t>
            </w:r>
          </w:p>
        </w:tc>
        <w:tc>
          <w:tcPr>
            <w:tcW w:w="20" w:type="dxa"/>
            <w:vAlign w:val="bottom"/>
          </w:tcPr>
          <w:p>
            <w:pPr>
              <w:spacing w:after="0"/>
              <w:rPr>
                <w:sz w:val="21"/>
                <w:szCs w:val="21"/>
                <w:color w:val="auto"/>
              </w:rPr>
            </w:pPr>
          </w:p>
        </w:tc>
      </w:tr>
      <w:tr>
        <w:trPr>
          <w:trHeight w:val="223"/>
        </w:trPr>
        <w:tc>
          <w:tcPr>
            <w:tcW w:w="3490" w:type="dxa"/>
            <w:vAlign w:val="bottom"/>
          </w:tcPr>
          <w:p>
            <w:pPr>
              <w:spacing w:after="0"/>
              <w:rPr>
                <w:sz w:val="19"/>
                <w:szCs w:val="19"/>
                <w:color w:val="auto"/>
              </w:rPr>
            </w:pPr>
          </w:p>
        </w:tc>
        <w:tc>
          <w:tcPr>
            <w:tcW w:w="7750" w:type="dxa"/>
            <w:vAlign w:val="bottom"/>
          </w:tcPr>
          <w:p>
            <w:pPr>
              <w:ind w:left="230"/>
              <w:spacing w:after="0" w:line="224" w:lineRule="exact"/>
              <w:rPr>
                <w:sz w:val="20"/>
                <w:szCs w:val="20"/>
                <w:color w:val="auto"/>
              </w:rPr>
            </w:pPr>
            <w:r>
              <w:rPr>
                <w:rFonts w:ascii="Arial" w:cs="Arial" w:eastAsia="Arial" w:hAnsi="Arial"/>
                <w:sz w:val="20"/>
                <w:szCs w:val="20"/>
                <w:color w:val="auto"/>
              </w:rPr>
              <w:t>months after the director ends his or her service as a director. The Company does</w:t>
            </w:r>
          </w:p>
        </w:tc>
        <w:tc>
          <w:tcPr>
            <w:tcW w:w="20" w:type="dxa"/>
            <w:vAlign w:val="bottom"/>
          </w:tcPr>
          <w:p>
            <w:pPr>
              <w:spacing w:after="0"/>
              <w:rPr>
                <w:sz w:val="19"/>
                <w:szCs w:val="19"/>
                <w:color w:val="auto"/>
              </w:rPr>
            </w:pPr>
          </w:p>
        </w:tc>
      </w:tr>
      <w:tr>
        <w:trPr>
          <w:trHeight w:val="264"/>
        </w:trPr>
        <w:tc>
          <w:tcPr>
            <w:tcW w:w="3490" w:type="dxa"/>
            <w:vAlign w:val="bottom"/>
          </w:tcPr>
          <w:p>
            <w:pPr>
              <w:spacing w:after="0"/>
              <w:rPr>
                <w:sz w:val="22"/>
                <w:szCs w:val="22"/>
                <w:color w:val="auto"/>
              </w:rPr>
            </w:pPr>
          </w:p>
        </w:tc>
        <w:tc>
          <w:tcPr>
            <w:tcW w:w="7750" w:type="dxa"/>
            <w:vAlign w:val="bottom"/>
          </w:tcPr>
          <w:p>
            <w:pPr>
              <w:ind w:left="230"/>
              <w:spacing w:after="0"/>
              <w:rPr>
                <w:sz w:val="20"/>
                <w:szCs w:val="20"/>
                <w:color w:val="auto"/>
              </w:rPr>
            </w:pPr>
            <w:r>
              <w:rPr>
                <w:rFonts w:ascii="Arial" w:cs="Arial" w:eastAsia="Arial" w:hAnsi="Arial"/>
                <w:sz w:val="20"/>
                <w:szCs w:val="20"/>
                <w:color w:val="auto"/>
              </w:rPr>
              <w:t>not require that shares be held after distribution/issuance.</w:t>
            </w:r>
          </w:p>
        </w:tc>
        <w:tc>
          <w:tcPr>
            <w:tcW w:w="20" w:type="dxa"/>
            <w:vAlign w:val="bottom"/>
          </w:tcPr>
          <w:p>
            <w:pPr>
              <w:spacing w:after="0"/>
              <w:rPr>
                <w:sz w:val="22"/>
                <w:szCs w:val="22"/>
                <w:color w:val="auto"/>
              </w:rPr>
            </w:pPr>
          </w:p>
        </w:tc>
      </w:tr>
      <w:tr>
        <w:trPr>
          <w:trHeight w:val="35"/>
        </w:trPr>
        <w:tc>
          <w:tcPr>
            <w:tcW w:w="3490" w:type="dxa"/>
            <w:vAlign w:val="bottom"/>
            <w:tcBorders>
              <w:bottom w:val="single" w:sz="8" w:color="582C83"/>
            </w:tcBorders>
          </w:tcPr>
          <w:p>
            <w:pPr>
              <w:spacing w:after="0"/>
              <w:rPr>
                <w:sz w:val="3"/>
                <w:szCs w:val="3"/>
                <w:color w:val="auto"/>
              </w:rPr>
            </w:pPr>
          </w:p>
        </w:tc>
        <w:tc>
          <w:tcPr>
            <w:tcW w:w="775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148" w:lineRule="exact"/>
        <w:rPr>
          <w:sz w:val="20"/>
          <w:szCs w:val="20"/>
          <w:color w:val="auto"/>
        </w:rPr>
      </w:pPr>
    </w:p>
    <w:p>
      <w:pPr>
        <w:ind w:left="20" w:right="20"/>
        <w:spacing w:after="0" w:line="250" w:lineRule="auto"/>
        <w:rPr>
          <w:sz w:val="20"/>
          <w:szCs w:val="20"/>
          <w:color w:val="auto"/>
        </w:rPr>
      </w:pPr>
      <w:r>
        <w:rPr>
          <w:rFonts w:ascii="Arial" w:cs="Arial" w:eastAsia="Arial" w:hAnsi="Arial"/>
          <w:sz w:val="20"/>
          <w:szCs w:val="20"/>
          <w:color w:val="auto"/>
        </w:rPr>
        <w:t>If a non-employee director does not meet these ownership expectations, the Lead Director will consider the non-employee director’s particular situation and may take action as deemed appropriate. As of March 8, 2023, each director serving for at least five years met or exceeded the ownership expectation.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104140</wp:posOffset>
            </wp:positionV>
            <wp:extent cx="7143115"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9"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58358F"/>
        </w:rPr>
        <w:t>2023 PROXY STATEMENT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66" w:name="page67"/>
    <w:bookmarkEnd w:id="66"/>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Company Match for Director Charitable Contributions</w:t>
      </w:r>
    </w:p>
    <w:p>
      <w:pPr>
        <w:spacing w:after="0" w:line="175" w:lineRule="exact"/>
        <w:rPr>
          <w:sz w:val="20"/>
          <w:szCs w:val="20"/>
          <w:color w:val="auto"/>
        </w:rPr>
      </w:pPr>
    </w:p>
    <w:p>
      <w:pPr>
        <w:ind w:left="20" w:right="420"/>
        <w:spacing w:after="0" w:line="250" w:lineRule="auto"/>
        <w:rPr>
          <w:sz w:val="20"/>
          <w:szCs w:val="20"/>
          <w:color w:val="auto"/>
        </w:rPr>
      </w:pPr>
      <w:r>
        <w:rPr>
          <w:rFonts w:ascii="Arial" w:cs="Arial" w:eastAsia="Arial" w:hAnsi="Arial"/>
          <w:sz w:val="20"/>
          <w:szCs w:val="20"/>
          <w:color w:val="auto"/>
        </w:rPr>
        <w:t>Non-employee directors are eligible to participate in the Mondelēz International Foundation (the “Foundation”) Matching Gift Program. Each year, the Foundation will generally match up to $15,000 in contributions by a non-employee director to any 501(c)(3) non-profit organization(s).</w:t>
      </w:r>
    </w:p>
    <w:p>
      <w:pPr>
        <w:spacing w:after="0" w:line="138"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2022 Non-Employee Director Compensation</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Fees Earned or</w:t>
            </w: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All Other</w:t>
            </w:r>
          </w:p>
        </w:tc>
        <w:tc>
          <w:tcPr>
            <w:tcW w:w="2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jc w:val="right"/>
              <w:spacing w:after="0" w:line="188" w:lineRule="exact"/>
              <w:rPr>
                <w:sz w:val="20"/>
                <w:szCs w:val="20"/>
                <w:color w:val="auto"/>
              </w:rPr>
            </w:pPr>
            <w:r>
              <w:rPr>
                <w:rFonts w:ascii="Arial" w:cs="Arial" w:eastAsia="Arial" w:hAnsi="Arial"/>
                <w:sz w:val="16"/>
                <w:szCs w:val="16"/>
                <w:b w:val="1"/>
                <w:bCs w:val="1"/>
                <w:color w:val="auto"/>
              </w:rPr>
              <w:t>Paid in Cash</w:t>
            </w:r>
            <w:r>
              <w:rPr>
                <w:rFonts w:ascii="Arial" w:cs="Arial" w:eastAsia="Arial" w:hAnsi="Arial"/>
                <w:sz w:val="19"/>
                <w:szCs w:val="19"/>
                <w:b w:val="1"/>
                <w:bCs w:val="1"/>
                <w:color w:val="auto"/>
                <w:vertAlign w:val="superscript"/>
              </w:rPr>
              <w:t>(1)</w:t>
            </w:r>
          </w:p>
        </w:tc>
        <w:tc>
          <w:tcPr>
            <w:tcW w:w="20" w:type="dxa"/>
            <w:vAlign w:val="bottom"/>
          </w:tcPr>
          <w:p>
            <w:pPr>
              <w:spacing w:after="0"/>
              <w:rPr>
                <w:sz w:val="16"/>
                <w:szCs w:val="16"/>
                <w:color w:val="auto"/>
              </w:rPr>
            </w:pPr>
          </w:p>
        </w:tc>
        <w:tc>
          <w:tcPr>
            <w:tcW w:w="1780" w:type="dxa"/>
            <w:vAlign w:val="bottom"/>
          </w:tcPr>
          <w:p>
            <w:pPr>
              <w:jc w:val="right"/>
              <w:spacing w:after="0" w:line="188" w:lineRule="exact"/>
              <w:rPr>
                <w:sz w:val="20"/>
                <w:szCs w:val="20"/>
                <w:color w:val="auto"/>
              </w:rPr>
            </w:pPr>
            <w:r>
              <w:rPr>
                <w:rFonts w:ascii="Arial" w:cs="Arial" w:eastAsia="Arial" w:hAnsi="Arial"/>
                <w:sz w:val="16"/>
                <w:szCs w:val="16"/>
                <w:b w:val="1"/>
                <w:bCs w:val="1"/>
                <w:color w:val="auto"/>
              </w:rPr>
              <w:t>Stock Awards</w:t>
            </w:r>
            <w:r>
              <w:rPr>
                <w:rFonts w:ascii="Arial" w:cs="Arial" w:eastAsia="Arial" w:hAnsi="Arial"/>
                <w:sz w:val="19"/>
                <w:szCs w:val="19"/>
                <w:b w:val="1"/>
                <w:bCs w:val="1"/>
                <w:color w:val="auto"/>
                <w:vertAlign w:val="superscript"/>
              </w:rPr>
              <w:t>(2)</w:t>
            </w:r>
          </w:p>
        </w:tc>
        <w:tc>
          <w:tcPr>
            <w:tcW w:w="20" w:type="dxa"/>
            <w:vAlign w:val="bottom"/>
          </w:tcPr>
          <w:p>
            <w:pPr>
              <w:spacing w:after="0"/>
              <w:rPr>
                <w:sz w:val="16"/>
                <w:szCs w:val="16"/>
                <w:color w:val="auto"/>
              </w:rPr>
            </w:pPr>
          </w:p>
        </w:tc>
        <w:tc>
          <w:tcPr>
            <w:tcW w:w="1780" w:type="dxa"/>
            <w:vAlign w:val="bottom"/>
          </w:tcPr>
          <w:p>
            <w:pPr>
              <w:jc w:val="right"/>
              <w:spacing w:after="0" w:line="188" w:lineRule="exact"/>
              <w:rPr>
                <w:sz w:val="20"/>
                <w:szCs w:val="20"/>
                <w:color w:val="auto"/>
              </w:rPr>
            </w:pPr>
            <w:r>
              <w:rPr>
                <w:rFonts w:ascii="Arial" w:cs="Arial" w:eastAsia="Arial" w:hAnsi="Arial"/>
                <w:sz w:val="16"/>
                <w:szCs w:val="16"/>
                <w:b w:val="1"/>
                <w:bCs w:val="1"/>
                <w:color w:val="auto"/>
              </w:rPr>
              <w:t>Compensation</w:t>
            </w:r>
            <w:r>
              <w:rPr>
                <w:rFonts w:ascii="Arial" w:cs="Arial" w:eastAsia="Arial" w:hAnsi="Arial"/>
                <w:sz w:val="19"/>
                <w:szCs w:val="19"/>
                <w:b w:val="1"/>
                <w:bCs w:val="1"/>
                <w:color w:val="auto"/>
                <w:vertAlign w:val="superscript"/>
              </w:rPr>
              <w:t>(3)</w:t>
            </w:r>
          </w:p>
        </w:tc>
        <w:tc>
          <w:tcPr>
            <w:tcW w:w="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582C83"/>
            </w:tcBorders>
          </w:tcPr>
          <w:p>
            <w:pPr>
              <w:spacing w:after="0"/>
              <w:rPr>
                <w:sz w:val="20"/>
                <w:szCs w:val="20"/>
                <w:color w:val="auto"/>
              </w:rPr>
            </w:pPr>
          </w:p>
        </w:tc>
        <w:tc>
          <w:tcPr>
            <w:tcW w:w="448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Name</w:t>
            </w:r>
          </w:p>
        </w:tc>
        <w:tc>
          <w:tcPr>
            <w:tcW w:w="1800" w:type="dxa"/>
            <w:vAlign w:val="bottom"/>
            <w:tcBorders>
              <w:bottom w:val="single" w:sz="8" w:color="582C83"/>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582C83"/>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582C83"/>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582C83"/>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582C83"/>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Borders>
              <w:bottom w:val="single" w:sz="8" w:color="EBE6F0"/>
            </w:tcBorders>
            <w:shd w:val="clear" w:color="auto" w:fill="EBE6F0"/>
          </w:tcPr>
          <w:p>
            <w:pPr>
              <w:spacing w:after="0"/>
              <w:rPr>
                <w:sz w:val="24"/>
                <w:szCs w:val="24"/>
                <w:color w:val="auto"/>
              </w:rPr>
            </w:pPr>
          </w:p>
        </w:tc>
        <w:tc>
          <w:tcPr>
            <w:tcW w:w="448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Booth, Lewis</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125,453</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190,011</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15,000</w:t>
            </w:r>
          </w:p>
        </w:tc>
        <w:tc>
          <w:tcPr>
            <w:tcW w:w="20" w:type="dxa"/>
            <w:vAlign w:val="bottom"/>
            <w:tcBorders>
              <w:bottom w:val="single" w:sz="8" w:color="EBE6F0"/>
            </w:tcBorders>
            <w:shd w:val="clear" w:color="auto" w:fill="EBE6F0"/>
          </w:tcPr>
          <w:p>
            <w:pPr>
              <w:spacing w:after="0"/>
              <w:rPr>
                <w:sz w:val="24"/>
                <w:szCs w:val="24"/>
                <w:color w:val="auto"/>
              </w:rPr>
            </w:pPr>
          </w:p>
        </w:tc>
        <w:tc>
          <w:tcPr>
            <w:tcW w:w="13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330,464</w:t>
            </w:r>
          </w:p>
        </w:tc>
        <w:tc>
          <w:tcPr>
            <w:tcW w:w="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448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Bunch, Charles</w:t>
            </w:r>
          </w:p>
        </w:tc>
        <w:tc>
          <w:tcPr>
            <w:tcW w:w="20" w:type="dxa"/>
            <w:vAlign w:val="bottom"/>
            <w:tcBorders>
              <w:top w:val="single" w:sz="8" w:color="EBE6F0"/>
            </w:tcBorders>
          </w:tcPr>
          <w:p>
            <w:pPr>
              <w:spacing w:after="0"/>
              <w:rPr>
                <w:sz w:val="21"/>
                <w:szCs w:val="21"/>
                <w:color w:val="auto"/>
              </w:rPr>
            </w:pPr>
          </w:p>
        </w:tc>
        <w:tc>
          <w:tcPr>
            <w:tcW w:w="17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130,000</w:t>
            </w:r>
          </w:p>
        </w:tc>
        <w:tc>
          <w:tcPr>
            <w:tcW w:w="20" w:type="dxa"/>
            <w:vAlign w:val="bottom"/>
            <w:tcBorders>
              <w:top w:val="single" w:sz="8" w:color="EBE6F0"/>
            </w:tcBorders>
          </w:tcPr>
          <w:p>
            <w:pPr>
              <w:spacing w:after="0"/>
              <w:rPr>
                <w:sz w:val="21"/>
                <w:szCs w:val="21"/>
                <w:color w:val="auto"/>
              </w:rPr>
            </w:pPr>
          </w:p>
        </w:tc>
        <w:tc>
          <w:tcPr>
            <w:tcW w:w="17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190,011</w:t>
            </w:r>
          </w:p>
        </w:tc>
        <w:tc>
          <w:tcPr>
            <w:tcW w:w="20" w:type="dxa"/>
            <w:vAlign w:val="bottom"/>
            <w:tcBorders>
              <w:top w:val="single" w:sz="8" w:color="EBE6F0"/>
            </w:tcBorders>
          </w:tcPr>
          <w:p>
            <w:pPr>
              <w:spacing w:after="0"/>
              <w:rPr>
                <w:sz w:val="21"/>
                <w:szCs w:val="21"/>
                <w:color w:val="auto"/>
              </w:rPr>
            </w:pPr>
          </w:p>
        </w:tc>
        <w:tc>
          <w:tcPr>
            <w:tcW w:w="17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15,000</w:t>
            </w:r>
          </w:p>
        </w:tc>
        <w:tc>
          <w:tcPr>
            <w:tcW w:w="20" w:type="dxa"/>
            <w:vAlign w:val="bottom"/>
            <w:tcBorders>
              <w:top w:val="single" w:sz="8" w:color="EBE6F0"/>
            </w:tcBorders>
          </w:tcPr>
          <w:p>
            <w:pPr>
              <w:spacing w:after="0"/>
              <w:rPr>
                <w:sz w:val="21"/>
                <w:szCs w:val="21"/>
                <w:color w:val="auto"/>
              </w:rPr>
            </w:pPr>
          </w:p>
        </w:tc>
        <w:tc>
          <w:tcPr>
            <w:tcW w:w="132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335,011</w:t>
            </w:r>
          </w:p>
        </w:tc>
        <w:tc>
          <w:tcPr>
            <w:tcW w:w="20" w:type="dxa"/>
            <w:vAlign w:val="bottom"/>
            <w:tcBorders>
              <w:top w:val="single" w:sz="8" w:color="EBE6F0"/>
            </w:tcBorders>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Borders>
              <w:bottom w:val="single" w:sz="8" w:color="582C83"/>
            </w:tcBorders>
          </w:tcPr>
          <w:p>
            <w:pPr>
              <w:spacing w:after="0"/>
              <w:rPr>
                <w:sz w:val="3"/>
                <w:szCs w:val="3"/>
                <w:color w:val="auto"/>
              </w:rPr>
            </w:pPr>
          </w:p>
        </w:tc>
        <w:tc>
          <w:tcPr>
            <w:tcW w:w="44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7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7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7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32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20" w:type="dxa"/>
            <w:vAlign w:val="bottom"/>
            <w:tcBorders>
              <w:bottom w:val="single" w:sz="8" w:color="EBE6F0"/>
            </w:tcBorders>
            <w:shd w:val="clear" w:color="auto" w:fill="EBE6F0"/>
          </w:tcPr>
          <w:p>
            <w:pPr>
              <w:spacing w:after="0"/>
              <w:rPr>
                <w:sz w:val="24"/>
                <w:szCs w:val="24"/>
                <w:color w:val="auto"/>
              </w:rPr>
            </w:pPr>
          </w:p>
        </w:tc>
        <w:tc>
          <w:tcPr>
            <w:tcW w:w="4480" w:type="dxa"/>
            <w:vAlign w:val="bottom"/>
            <w:tcBorders>
              <w:bottom w:val="single" w:sz="8" w:color="582C83"/>
            </w:tcBorders>
            <w:shd w:val="clear" w:color="auto" w:fill="EBE6F0"/>
          </w:tcPr>
          <w:p>
            <w:pPr>
              <w:ind w:left="60"/>
              <w:spacing w:after="0"/>
              <w:rPr>
                <w:sz w:val="20"/>
                <w:szCs w:val="20"/>
                <w:color w:val="auto"/>
              </w:rPr>
            </w:pPr>
            <w:r>
              <w:rPr>
                <w:rFonts w:ascii="Arial" w:cs="Arial" w:eastAsia="Arial" w:hAnsi="Arial"/>
                <w:sz w:val="16"/>
                <w:szCs w:val="16"/>
                <w:color w:val="auto"/>
              </w:rPr>
              <w:t>Cousin, Ertharin</w:t>
            </w:r>
            <w:r>
              <w:rPr>
                <w:rFonts w:ascii="Arial" w:cs="Arial" w:eastAsia="Arial" w:hAnsi="Arial"/>
                <w:sz w:val="19"/>
                <w:szCs w:val="19"/>
                <w:color w:val="auto"/>
                <w:vertAlign w:val="superscript"/>
              </w:rPr>
              <w:t>(4)</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110,000</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269,241</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Borders>
              <w:bottom w:val="single" w:sz="8" w:color="EBE6F0"/>
            </w:tcBorders>
            <w:shd w:val="clear" w:color="auto" w:fill="EBE6F0"/>
          </w:tcPr>
          <w:p>
            <w:pPr>
              <w:spacing w:after="0"/>
              <w:rPr>
                <w:sz w:val="24"/>
                <w:szCs w:val="24"/>
                <w:color w:val="auto"/>
              </w:rPr>
            </w:pPr>
          </w:p>
        </w:tc>
        <w:tc>
          <w:tcPr>
            <w:tcW w:w="132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380,241</w:t>
            </w:r>
          </w:p>
        </w:tc>
        <w:tc>
          <w:tcPr>
            <w:tcW w:w="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ind w:left="60"/>
              <w:spacing w:after="0"/>
              <w:rPr>
                <w:sz w:val="20"/>
                <w:szCs w:val="20"/>
                <w:color w:val="auto"/>
              </w:rPr>
            </w:pPr>
            <w:r>
              <w:rPr>
                <w:rFonts w:ascii="Arial" w:cs="Arial" w:eastAsia="Arial" w:hAnsi="Arial"/>
                <w:sz w:val="16"/>
                <w:szCs w:val="16"/>
                <w:color w:val="auto"/>
              </w:rPr>
              <w:t>Juliber, Lois</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135,000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190,011</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5,000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330,011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Borders>
              <w:bottom w:val="single" w:sz="8" w:color="582C83"/>
            </w:tcBorders>
          </w:tcPr>
          <w:p>
            <w:pPr>
              <w:spacing w:after="0"/>
              <w:rPr>
                <w:sz w:val="3"/>
                <w:szCs w:val="3"/>
                <w:color w:val="auto"/>
              </w:rPr>
            </w:pPr>
          </w:p>
        </w:tc>
        <w:tc>
          <w:tcPr>
            <w:tcW w:w="44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7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7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7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32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20" w:type="dxa"/>
            <w:vAlign w:val="bottom"/>
            <w:tcBorders>
              <w:bottom w:val="single" w:sz="8" w:color="EBE6F0"/>
            </w:tcBorders>
            <w:shd w:val="clear" w:color="auto" w:fill="EBE6F0"/>
          </w:tcPr>
          <w:p>
            <w:pPr>
              <w:spacing w:after="0"/>
              <w:rPr>
                <w:sz w:val="24"/>
                <w:szCs w:val="24"/>
                <w:color w:val="auto"/>
              </w:rPr>
            </w:pPr>
          </w:p>
        </w:tc>
        <w:tc>
          <w:tcPr>
            <w:tcW w:w="4480" w:type="dxa"/>
            <w:vAlign w:val="bottom"/>
            <w:tcBorders>
              <w:bottom w:val="single" w:sz="8" w:color="582C83"/>
            </w:tcBorders>
            <w:shd w:val="clear" w:color="auto" w:fill="EBE6F0"/>
          </w:tcPr>
          <w:p>
            <w:pPr>
              <w:ind w:left="60"/>
              <w:spacing w:after="0"/>
              <w:rPr>
                <w:sz w:val="20"/>
                <w:szCs w:val="20"/>
                <w:color w:val="auto"/>
              </w:rPr>
            </w:pPr>
            <w:r>
              <w:rPr>
                <w:rFonts w:ascii="Arial" w:cs="Arial" w:eastAsia="Arial" w:hAnsi="Arial"/>
                <w:sz w:val="16"/>
                <w:szCs w:val="16"/>
                <w:color w:val="auto"/>
              </w:rPr>
              <w:t>May, Peter</w:t>
            </w:r>
            <w:r>
              <w:rPr>
                <w:rFonts w:ascii="Arial" w:cs="Arial" w:eastAsia="Arial" w:hAnsi="Arial"/>
                <w:sz w:val="19"/>
                <w:szCs w:val="19"/>
                <w:color w:val="auto"/>
                <w:vertAlign w:val="superscript"/>
              </w:rPr>
              <w:t>(5)</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42,005</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BE6F0"/>
            </w:tcBorders>
            <w:shd w:val="clear" w:color="auto" w:fill="EBE6F0"/>
          </w:tcPr>
          <w:p>
            <w:pPr>
              <w:spacing w:after="0"/>
              <w:rPr>
                <w:sz w:val="24"/>
                <w:szCs w:val="24"/>
                <w:color w:val="auto"/>
              </w:rPr>
            </w:pPr>
          </w:p>
        </w:tc>
        <w:tc>
          <w:tcPr>
            <w:tcW w:w="132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42,005</w:t>
            </w:r>
          </w:p>
        </w:tc>
        <w:tc>
          <w:tcPr>
            <w:tcW w:w="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ind w:left="60"/>
              <w:spacing w:after="0"/>
              <w:rPr>
                <w:sz w:val="20"/>
                <w:szCs w:val="20"/>
                <w:color w:val="auto"/>
              </w:rPr>
            </w:pPr>
            <w:r>
              <w:rPr>
                <w:rFonts w:ascii="Arial" w:cs="Arial" w:eastAsia="Arial" w:hAnsi="Arial"/>
                <w:sz w:val="16"/>
                <w:szCs w:val="16"/>
                <w:color w:val="auto"/>
              </w:rPr>
              <w:t>Mesquita, Jorge</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110,000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190,011</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300,011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Borders>
              <w:bottom w:val="single" w:sz="8" w:color="582C83"/>
            </w:tcBorders>
          </w:tcPr>
          <w:p>
            <w:pPr>
              <w:spacing w:after="0"/>
              <w:rPr>
                <w:sz w:val="3"/>
                <w:szCs w:val="3"/>
                <w:color w:val="auto"/>
              </w:rPr>
            </w:pPr>
          </w:p>
        </w:tc>
        <w:tc>
          <w:tcPr>
            <w:tcW w:w="44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7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7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7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32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EBE6F0"/>
            </w:tcBorders>
            <w:shd w:val="clear" w:color="auto" w:fill="EBE6F0"/>
          </w:tcPr>
          <w:p>
            <w:pPr>
              <w:spacing w:after="0"/>
              <w:rPr>
                <w:sz w:val="24"/>
                <w:szCs w:val="24"/>
                <w:color w:val="auto"/>
              </w:rPr>
            </w:pPr>
          </w:p>
        </w:tc>
        <w:tc>
          <w:tcPr>
            <w:tcW w:w="448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Nielsen, Jane</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110,000</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190,011</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BE6F0"/>
            </w:tcBorders>
            <w:shd w:val="clear" w:color="auto" w:fill="EBE6F0"/>
          </w:tcPr>
          <w:p>
            <w:pPr>
              <w:spacing w:after="0"/>
              <w:rPr>
                <w:sz w:val="24"/>
                <w:szCs w:val="24"/>
                <w:color w:val="auto"/>
              </w:rPr>
            </w:pPr>
          </w:p>
        </w:tc>
        <w:tc>
          <w:tcPr>
            <w:tcW w:w="13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300,011</w:t>
            </w:r>
          </w:p>
        </w:tc>
        <w:tc>
          <w:tcPr>
            <w:tcW w:w="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Borders>
              <w:top w:val="single" w:sz="8" w:color="EBE6F0"/>
              <w:bottom w:val="single" w:sz="8" w:color="582C83"/>
            </w:tcBorders>
          </w:tcPr>
          <w:p>
            <w:pPr>
              <w:spacing w:after="0"/>
              <w:rPr>
                <w:sz w:val="24"/>
                <w:szCs w:val="24"/>
                <w:color w:val="auto"/>
              </w:rPr>
            </w:pPr>
          </w:p>
        </w:tc>
        <w:tc>
          <w:tcPr>
            <w:tcW w:w="4480" w:type="dxa"/>
            <w:vAlign w:val="bottom"/>
            <w:tcBorders>
              <w:top w:val="single" w:sz="8" w:color="582C83"/>
              <w:bottom w:val="single" w:sz="8" w:color="582C83"/>
            </w:tcBorders>
          </w:tcPr>
          <w:p>
            <w:pPr>
              <w:ind w:left="60"/>
              <w:spacing w:after="0"/>
              <w:rPr>
                <w:sz w:val="20"/>
                <w:szCs w:val="20"/>
                <w:color w:val="auto"/>
              </w:rPr>
            </w:pPr>
            <w:r>
              <w:rPr>
                <w:rFonts w:ascii="Arial" w:cs="Arial" w:eastAsia="Arial" w:hAnsi="Arial"/>
                <w:sz w:val="16"/>
                <w:szCs w:val="16"/>
                <w:color w:val="auto"/>
              </w:rPr>
              <w:t>Reynolds, Fredric</w:t>
            </w:r>
            <w:r>
              <w:rPr>
                <w:rFonts w:ascii="Arial" w:cs="Arial" w:eastAsia="Arial" w:hAnsi="Arial"/>
                <w:sz w:val="19"/>
                <w:szCs w:val="19"/>
                <w:color w:val="auto"/>
                <w:vertAlign w:val="superscript"/>
              </w:rPr>
              <w:t>(5)</w:t>
            </w:r>
          </w:p>
        </w:tc>
        <w:tc>
          <w:tcPr>
            <w:tcW w:w="20" w:type="dxa"/>
            <w:vAlign w:val="bottom"/>
            <w:tcBorders>
              <w:top w:val="single" w:sz="8" w:color="EBE6F0"/>
              <w:bottom w:val="single" w:sz="8" w:color="582C83"/>
            </w:tcBorders>
          </w:tcPr>
          <w:p>
            <w:pPr>
              <w:spacing w:after="0"/>
              <w:rPr>
                <w:sz w:val="24"/>
                <w:szCs w:val="24"/>
                <w:color w:val="auto"/>
              </w:rPr>
            </w:pPr>
          </w:p>
        </w:tc>
        <w:tc>
          <w:tcPr>
            <w:tcW w:w="17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175,039</w:t>
            </w:r>
          </w:p>
        </w:tc>
        <w:tc>
          <w:tcPr>
            <w:tcW w:w="20" w:type="dxa"/>
            <w:vAlign w:val="bottom"/>
            <w:tcBorders>
              <w:top w:val="single" w:sz="8" w:color="EBE6F0"/>
              <w:bottom w:val="single" w:sz="8" w:color="582C83"/>
            </w:tcBorders>
          </w:tcPr>
          <w:p>
            <w:pPr>
              <w:spacing w:after="0"/>
              <w:rPr>
                <w:sz w:val="24"/>
                <w:szCs w:val="24"/>
                <w:color w:val="auto"/>
              </w:rPr>
            </w:pPr>
          </w:p>
        </w:tc>
        <w:tc>
          <w:tcPr>
            <w:tcW w:w="17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582C83"/>
            </w:tcBorders>
          </w:tcPr>
          <w:p>
            <w:pPr>
              <w:spacing w:after="0"/>
              <w:rPr>
                <w:sz w:val="24"/>
                <w:szCs w:val="24"/>
                <w:color w:val="auto"/>
              </w:rPr>
            </w:pPr>
          </w:p>
        </w:tc>
        <w:tc>
          <w:tcPr>
            <w:tcW w:w="17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30,000</w:t>
            </w:r>
          </w:p>
        </w:tc>
        <w:tc>
          <w:tcPr>
            <w:tcW w:w="20" w:type="dxa"/>
            <w:vAlign w:val="bottom"/>
            <w:tcBorders>
              <w:top w:val="single" w:sz="8" w:color="EBE6F0"/>
              <w:bottom w:val="single" w:sz="8" w:color="582C83"/>
            </w:tcBorders>
          </w:tcPr>
          <w:p>
            <w:pPr>
              <w:spacing w:after="0"/>
              <w:rPr>
                <w:sz w:val="24"/>
                <w:szCs w:val="24"/>
                <w:color w:val="auto"/>
              </w:rPr>
            </w:pPr>
          </w:p>
        </w:tc>
        <w:tc>
          <w:tcPr>
            <w:tcW w:w="132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205,039</w:t>
            </w:r>
          </w:p>
        </w:tc>
        <w:tc>
          <w:tcPr>
            <w:tcW w:w="20" w:type="dxa"/>
            <w:vAlign w:val="bottom"/>
            <w:tcBorders>
              <w:top w:val="single" w:sz="8" w:color="EBE6F0"/>
              <w:bottom w:val="single" w:sz="8" w:color="582C83"/>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EBE6F0"/>
            </w:tcBorders>
            <w:shd w:val="clear" w:color="auto" w:fill="EBE6F0"/>
          </w:tcPr>
          <w:p>
            <w:pPr>
              <w:spacing w:after="0"/>
              <w:rPr>
                <w:sz w:val="24"/>
                <w:szCs w:val="24"/>
                <w:color w:val="auto"/>
              </w:rPr>
            </w:pPr>
          </w:p>
        </w:tc>
        <w:tc>
          <w:tcPr>
            <w:tcW w:w="448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Shi, Christiana</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110,000</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190,011</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BE6F0"/>
            </w:tcBorders>
            <w:shd w:val="clear" w:color="auto" w:fill="EBE6F0"/>
          </w:tcPr>
          <w:p>
            <w:pPr>
              <w:spacing w:after="0"/>
              <w:rPr>
                <w:sz w:val="24"/>
                <w:szCs w:val="24"/>
                <w:color w:val="auto"/>
              </w:rPr>
            </w:pPr>
          </w:p>
        </w:tc>
        <w:tc>
          <w:tcPr>
            <w:tcW w:w="13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300,011</w:t>
            </w:r>
          </w:p>
        </w:tc>
        <w:tc>
          <w:tcPr>
            <w:tcW w:w="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448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Siewert, Patrick</w:t>
            </w:r>
          </w:p>
        </w:tc>
        <w:tc>
          <w:tcPr>
            <w:tcW w:w="20" w:type="dxa"/>
            <w:vAlign w:val="bottom"/>
            <w:tcBorders>
              <w:top w:val="single" w:sz="8" w:color="EBE6F0"/>
            </w:tcBorders>
          </w:tcPr>
          <w:p>
            <w:pPr>
              <w:spacing w:after="0"/>
              <w:rPr>
                <w:sz w:val="21"/>
                <w:szCs w:val="21"/>
                <w:color w:val="auto"/>
              </w:rPr>
            </w:pPr>
          </w:p>
        </w:tc>
        <w:tc>
          <w:tcPr>
            <w:tcW w:w="17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136,181</w:t>
            </w:r>
          </w:p>
        </w:tc>
        <w:tc>
          <w:tcPr>
            <w:tcW w:w="20" w:type="dxa"/>
            <w:vAlign w:val="bottom"/>
            <w:tcBorders>
              <w:top w:val="single" w:sz="8" w:color="EBE6F0"/>
            </w:tcBorders>
          </w:tcPr>
          <w:p>
            <w:pPr>
              <w:spacing w:after="0"/>
              <w:rPr>
                <w:sz w:val="21"/>
                <w:szCs w:val="21"/>
                <w:color w:val="auto"/>
              </w:rPr>
            </w:pPr>
          </w:p>
        </w:tc>
        <w:tc>
          <w:tcPr>
            <w:tcW w:w="17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190,011</w:t>
            </w:r>
          </w:p>
        </w:tc>
        <w:tc>
          <w:tcPr>
            <w:tcW w:w="20" w:type="dxa"/>
            <w:vAlign w:val="bottom"/>
            <w:tcBorders>
              <w:top w:val="single" w:sz="8" w:color="EBE6F0"/>
            </w:tcBorders>
          </w:tcPr>
          <w:p>
            <w:pPr>
              <w:spacing w:after="0"/>
              <w:rPr>
                <w:sz w:val="21"/>
                <w:szCs w:val="21"/>
                <w:color w:val="auto"/>
              </w:rPr>
            </w:pPr>
          </w:p>
        </w:tc>
        <w:tc>
          <w:tcPr>
            <w:tcW w:w="17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10,000</w:t>
            </w:r>
          </w:p>
        </w:tc>
        <w:tc>
          <w:tcPr>
            <w:tcW w:w="20" w:type="dxa"/>
            <w:vAlign w:val="bottom"/>
            <w:tcBorders>
              <w:top w:val="single" w:sz="8" w:color="EBE6F0"/>
            </w:tcBorders>
          </w:tcPr>
          <w:p>
            <w:pPr>
              <w:spacing w:after="0"/>
              <w:rPr>
                <w:sz w:val="21"/>
                <w:szCs w:val="21"/>
                <w:color w:val="auto"/>
              </w:rPr>
            </w:pPr>
          </w:p>
        </w:tc>
        <w:tc>
          <w:tcPr>
            <w:tcW w:w="132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336,192</w:t>
            </w:r>
          </w:p>
        </w:tc>
        <w:tc>
          <w:tcPr>
            <w:tcW w:w="20" w:type="dxa"/>
            <w:vAlign w:val="bottom"/>
            <w:tcBorders>
              <w:top w:val="single" w:sz="8" w:color="EBE6F0"/>
            </w:tcBorders>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Borders>
              <w:bottom w:val="single" w:sz="8" w:color="582C83"/>
            </w:tcBorders>
          </w:tcPr>
          <w:p>
            <w:pPr>
              <w:spacing w:after="0"/>
              <w:rPr>
                <w:sz w:val="3"/>
                <w:szCs w:val="3"/>
                <w:color w:val="auto"/>
              </w:rPr>
            </w:pPr>
          </w:p>
        </w:tc>
        <w:tc>
          <w:tcPr>
            <w:tcW w:w="44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7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7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7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32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EBE6F0"/>
            </w:tcBorders>
            <w:shd w:val="clear" w:color="auto" w:fill="EBE6F0"/>
          </w:tcPr>
          <w:p>
            <w:pPr>
              <w:spacing w:after="0"/>
              <w:rPr>
                <w:sz w:val="24"/>
                <w:szCs w:val="24"/>
                <w:color w:val="auto"/>
              </w:rPr>
            </w:pPr>
          </w:p>
        </w:tc>
        <w:tc>
          <w:tcPr>
            <w:tcW w:w="448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Todman, Michael</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122,363</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190,011</w:t>
            </w:r>
          </w:p>
        </w:tc>
        <w:tc>
          <w:tcPr>
            <w:tcW w:w="20" w:type="dxa"/>
            <w:vAlign w:val="bottom"/>
            <w:tcBorders>
              <w:bottom w:val="single" w:sz="8" w:color="EBE6F0"/>
            </w:tcBorders>
            <w:shd w:val="clear" w:color="auto" w:fill="EBE6F0"/>
          </w:tcPr>
          <w:p>
            <w:pPr>
              <w:spacing w:after="0"/>
              <w:rPr>
                <w:sz w:val="24"/>
                <w:szCs w:val="24"/>
                <w:color w:val="auto"/>
              </w:rPr>
            </w:pPr>
          </w:p>
        </w:tc>
        <w:tc>
          <w:tcPr>
            <w:tcW w:w="1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BE6F0"/>
            </w:tcBorders>
            <w:shd w:val="clear" w:color="auto" w:fill="EBE6F0"/>
          </w:tcPr>
          <w:p>
            <w:pPr>
              <w:spacing w:after="0"/>
              <w:rPr>
                <w:sz w:val="24"/>
                <w:szCs w:val="24"/>
                <w:color w:val="auto"/>
              </w:rPr>
            </w:pPr>
          </w:p>
        </w:tc>
        <w:tc>
          <w:tcPr>
            <w:tcW w:w="13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312,374</w:t>
            </w:r>
          </w:p>
        </w:tc>
        <w:tc>
          <w:tcPr>
            <w:tcW w:w="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Borders>
              <w:top w:val="single" w:sz="8" w:color="EBE6F0"/>
            </w:tcBorders>
          </w:tcPr>
          <w:p>
            <w:pPr>
              <w:spacing w:after="0"/>
              <w:rPr>
                <w:sz w:val="24"/>
                <w:szCs w:val="24"/>
                <w:color w:val="auto"/>
              </w:rPr>
            </w:pPr>
          </w:p>
        </w:tc>
        <w:tc>
          <w:tcPr>
            <w:tcW w:w="448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van Boxmeer, Jean-François</w:t>
            </w:r>
            <w:r>
              <w:rPr>
                <w:rFonts w:ascii="Arial" w:cs="Arial" w:eastAsia="Arial" w:hAnsi="Arial"/>
                <w:sz w:val="19"/>
                <w:szCs w:val="19"/>
                <w:color w:val="auto"/>
                <w:vertAlign w:val="superscript"/>
              </w:rPr>
              <w:t>(5)</w:t>
            </w:r>
          </w:p>
        </w:tc>
        <w:tc>
          <w:tcPr>
            <w:tcW w:w="20" w:type="dxa"/>
            <w:vAlign w:val="bottom"/>
            <w:tcBorders>
              <w:top w:val="single" w:sz="8" w:color="EBE6F0"/>
            </w:tcBorders>
          </w:tcPr>
          <w:p>
            <w:pPr>
              <w:spacing w:after="0"/>
              <w:rPr>
                <w:sz w:val="24"/>
                <w:szCs w:val="24"/>
                <w:color w:val="auto"/>
              </w:rPr>
            </w:pPr>
          </w:p>
        </w:tc>
        <w:tc>
          <w:tcPr>
            <w:tcW w:w="17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141,406</w:t>
            </w:r>
          </w:p>
        </w:tc>
        <w:tc>
          <w:tcPr>
            <w:tcW w:w="20" w:type="dxa"/>
            <w:vAlign w:val="bottom"/>
            <w:tcBorders>
              <w:top w:val="single" w:sz="8" w:color="EBE6F0"/>
            </w:tcBorders>
          </w:tcPr>
          <w:p>
            <w:pPr>
              <w:spacing w:after="0"/>
              <w:rPr>
                <w:sz w:val="24"/>
                <w:szCs w:val="24"/>
                <w:color w:val="auto"/>
              </w:rPr>
            </w:pPr>
          </w:p>
        </w:tc>
        <w:tc>
          <w:tcPr>
            <w:tcW w:w="17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tcBorders>
          </w:tcPr>
          <w:p>
            <w:pPr>
              <w:spacing w:after="0"/>
              <w:rPr>
                <w:sz w:val="24"/>
                <w:szCs w:val="24"/>
                <w:color w:val="auto"/>
              </w:rPr>
            </w:pPr>
          </w:p>
        </w:tc>
        <w:tc>
          <w:tcPr>
            <w:tcW w:w="17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tcBorders>
          </w:tcPr>
          <w:p>
            <w:pPr>
              <w:spacing w:after="0"/>
              <w:rPr>
                <w:sz w:val="24"/>
                <w:szCs w:val="24"/>
                <w:color w:val="auto"/>
              </w:rPr>
            </w:pPr>
          </w:p>
        </w:tc>
        <w:tc>
          <w:tcPr>
            <w:tcW w:w="132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141,406</w:t>
            </w:r>
          </w:p>
        </w:tc>
        <w:tc>
          <w:tcPr>
            <w:tcW w:w="20" w:type="dxa"/>
            <w:vAlign w:val="bottom"/>
            <w:tcBorders>
              <w:top w:val="single" w:sz="8" w:color="EBE6F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7143115"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4" w:lineRule="exact"/>
        <w:rPr>
          <w:sz w:val="20"/>
          <w:szCs w:val="20"/>
          <w:color w:val="auto"/>
        </w:rPr>
      </w:pPr>
    </w:p>
    <w:p>
      <w:pPr>
        <w:ind w:left="360" w:hanging="266"/>
        <w:spacing w:after="0"/>
        <w:tabs>
          <w:tab w:leader="none" w:pos="3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Includes all retainer fees earned or deferred pursuant to the 2001 Compensation Plan for Non-Employee Directors.</w:t>
      </w:r>
    </w:p>
    <w:p>
      <w:pPr>
        <w:spacing w:after="0" w:line="51" w:lineRule="exact"/>
        <w:rPr>
          <w:rFonts w:ascii="Arial" w:cs="Arial" w:eastAsia="Arial" w:hAnsi="Arial"/>
          <w:sz w:val="15"/>
          <w:szCs w:val="15"/>
          <w:color w:val="auto"/>
        </w:rPr>
      </w:pPr>
    </w:p>
    <w:p>
      <w:pPr>
        <w:ind w:left="360" w:right="140" w:hanging="266"/>
        <w:spacing w:after="0" w:line="250" w:lineRule="auto"/>
        <w:tabs>
          <w:tab w:leader="none" w:pos="3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amounts shown in this column represent the full grant date fair value of the deferred stock unit grants in 2022 as computed in accordance with Financial Accounting Standards Board (“FASB”) Accounting Standards Codification (“ASC”) Topic 718. Assumptions used in the calculation of these amounts are included in Note 12 to the consolidated financial statements contained in our 2022 Form 10-K. The deferred stock units are immediately vested, but receipt of the shares is deferred until six months after the director separates from service on the Board. The 2022 Non-Employee Director Equity Awards table provides further detail on the non-employee director grants made in 2022 and the number of stock awards outstanding as of December 31, 2022.</w:t>
      </w:r>
    </w:p>
    <w:p>
      <w:pPr>
        <w:spacing w:after="0" w:line="20" w:lineRule="exact"/>
        <w:rPr>
          <w:rFonts w:ascii="Arial" w:cs="Arial" w:eastAsia="Arial" w:hAnsi="Arial"/>
          <w:sz w:val="15"/>
          <w:szCs w:val="15"/>
          <w:color w:val="auto"/>
        </w:rPr>
      </w:pPr>
    </w:p>
    <w:p>
      <w:pPr>
        <w:ind w:left="360" w:right="220" w:hanging="266"/>
        <w:spacing w:after="0" w:line="275" w:lineRule="auto"/>
        <w:tabs>
          <w:tab w:leader="none" w:pos="3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Represents Foundation contributions made as part of the Foundation Matching Gift Program. Annual match limits are based on gift date, not the match date by the Foundation. As such, the amounts reflected may represent gifts that directors made in 2021, but the Foundation did not match until 2022.</w:t>
      </w:r>
    </w:p>
    <w:p>
      <w:pPr>
        <w:spacing w:after="0" w:line="2" w:lineRule="exact"/>
        <w:rPr>
          <w:rFonts w:ascii="Arial" w:cs="Arial" w:eastAsia="Arial" w:hAnsi="Arial"/>
          <w:sz w:val="15"/>
          <w:szCs w:val="15"/>
          <w:color w:val="auto"/>
        </w:rPr>
      </w:pPr>
    </w:p>
    <w:p>
      <w:pPr>
        <w:ind w:left="360" w:right="200" w:hanging="266"/>
        <w:spacing w:after="0" w:line="275" w:lineRule="auto"/>
        <w:tabs>
          <w:tab w:leader="none" w:pos="3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Ms. Cousin appointed to the Board effective January 1, 2022 and received a pro-rated equity award of $79,229.97, for her service from January 3, 2022 to May 17, 2022.</w:t>
      </w:r>
    </w:p>
    <w:p>
      <w:pPr>
        <w:spacing w:after="0" w:line="2" w:lineRule="exact"/>
        <w:rPr>
          <w:rFonts w:ascii="Arial" w:cs="Arial" w:eastAsia="Arial" w:hAnsi="Arial"/>
          <w:sz w:val="15"/>
          <w:szCs w:val="15"/>
          <w:color w:val="auto"/>
        </w:rPr>
      </w:pPr>
    </w:p>
    <w:p>
      <w:pPr>
        <w:ind w:left="360" w:right="220" w:hanging="266"/>
        <w:spacing w:after="0" w:line="275" w:lineRule="auto"/>
        <w:tabs>
          <w:tab w:leader="none" w:pos="3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Effective May 17, 2022, Mr. May, Mr. Reynolds and Mr. van Boxmeer concluded their service on the Board. Their respective 2022 retainer payments were prorated based on the date their terms ended. They did not receive an annual equity grant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127635</wp:posOffset>
            </wp:positionV>
            <wp:extent cx="7143115"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55" w:lineRule="exact"/>
        <w:rPr>
          <w:sz w:val="20"/>
          <w:szCs w:val="20"/>
          <w:color w:val="auto"/>
        </w:rPr>
      </w:pPr>
    </w:p>
    <w:p>
      <w:pPr>
        <w:ind w:left="9080"/>
        <w:spacing w:after="0"/>
        <w:rPr>
          <w:sz w:val="20"/>
          <w:szCs w:val="20"/>
          <w:color w:val="auto"/>
        </w:rPr>
      </w:pPr>
      <w:r>
        <w:rPr>
          <w:rFonts w:ascii="Arial" w:cs="Arial" w:eastAsia="Arial" w:hAnsi="Arial"/>
          <w:sz w:val="15"/>
          <w:szCs w:val="15"/>
          <w:b w:val="1"/>
          <w:bCs w:val="1"/>
          <w:color w:val="58358F"/>
        </w:rPr>
        <w:t>2023 PROXY STATEMENT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67" w:name="page68"/>
    <w:bookmarkEnd w:id="67"/>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2022 Non-Employee Director Equity Awards</w:t>
      </w:r>
    </w:p>
    <w:p>
      <w:pPr>
        <w:spacing w:after="0" w:line="263" w:lineRule="exact"/>
        <w:rPr>
          <w:sz w:val="20"/>
          <w:szCs w:val="20"/>
          <w:color w:val="auto"/>
        </w:rPr>
      </w:pPr>
    </w:p>
    <w:tbl>
      <w:tblPr>
        <w:tblLayout w:type="fixed"/>
        <w:tblInd w:w="3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60" w:type="dxa"/>
            <w:vAlign w:val="bottom"/>
          </w:tcPr>
          <w:p>
            <w:pPr>
              <w:jc w:val="right"/>
              <w:ind w:right="79"/>
              <w:spacing w:after="0"/>
              <w:rPr>
                <w:sz w:val="20"/>
                <w:szCs w:val="20"/>
                <w:color w:val="auto"/>
              </w:rPr>
            </w:pPr>
            <w:r>
              <w:rPr>
                <w:rFonts w:ascii="Arial" w:cs="Arial" w:eastAsia="Arial" w:hAnsi="Arial"/>
                <w:sz w:val="16"/>
                <w:szCs w:val="16"/>
                <w:b w:val="1"/>
                <w:bCs w:val="1"/>
                <w:color w:val="auto"/>
              </w:rPr>
              <w:t>All Stock Awards:</w:t>
            </w:r>
          </w:p>
        </w:tc>
        <w:tc>
          <w:tcPr>
            <w:tcW w:w="2240" w:type="dxa"/>
            <w:vAlign w:val="bottom"/>
          </w:tcPr>
          <w:p>
            <w:pPr>
              <w:spacing w:after="0"/>
              <w:rPr>
                <w:sz w:val="19"/>
                <w:szCs w:val="19"/>
                <w:color w:val="auto"/>
              </w:rPr>
            </w:pPr>
          </w:p>
        </w:tc>
      </w:tr>
      <w:tr>
        <w:trPr>
          <w:trHeight w:val="225"/>
        </w:trPr>
        <w:tc>
          <w:tcPr>
            <w:tcW w:w="4520" w:type="dxa"/>
            <w:vAlign w:val="bottom"/>
          </w:tcPr>
          <w:p>
            <w:pPr>
              <w:spacing w:after="0"/>
              <w:rPr>
                <w:sz w:val="19"/>
                <w:szCs w:val="19"/>
                <w:color w:val="auto"/>
              </w:rPr>
            </w:pPr>
          </w:p>
        </w:tc>
        <w:tc>
          <w:tcPr>
            <w:tcW w:w="2240" w:type="dxa"/>
            <w:vAlign w:val="bottom"/>
          </w:tcPr>
          <w:p>
            <w:pPr>
              <w:jc w:val="right"/>
              <w:ind w:right="79"/>
              <w:spacing w:after="0"/>
              <w:rPr>
                <w:sz w:val="20"/>
                <w:szCs w:val="20"/>
                <w:color w:val="auto"/>
              </w:rPr>
            </w:pPr>
            <w:r>
              <w:rPr>
                <w:rFonts w:ascii="Arial" w:cs="Arial" w:eastAsia="Arial" w:hAnsi="Arial"/>
                <w:sz w:val="16"/>
                <w:szCs w:val="16"/>
                <w:b w:val="1"/>
                <w:bCs w:val="1"/>
                <w:color w:val="auto"/>
              </w:rPr>
              <w:t>All Stock Awards:</w:t>
            </w:r>
          </w:p>
        </w:tc>
        <w:tc>
          <w:tcPr>
            <w:tcW w:w="2260" w:type="dxa"/>
            <w:vAlign w:val="bottom"/>
          </w:tcPr>
          <w:p>
            <w:pPr>
              <w:jc w:val="right"/>
              <w:ind w:right="79"/>
              <w:spacing w:after="0"/>
              <w:rPr>
                <w:sz w:val="20"/>
                <w:szCs w:val="20"/>
                <w:color w:val="auto"/>
              </w:rPr>
            </w:pPr>
            <w:r>
              <w:rPr>
                <w:rFonts w:ascii="Arial" w:cs="Arial" w:eastAsia="Arial" w:hAnsi="Arial"/>
                <w:sz w:val="16"/>
                <w:szCs w:val="16"/>
                <w:b w:val="1"/>
                <w:bCs w:val="1"/>
                <w:color w:val="auto"/>
              </w:rPr>
              <w:t>Grant Date Fair</w:t>
            </w:r>
          </w:p>
        </w:tc>
        <w:tc>
          <w:tcPr>
            <w:tcW w:w="2240" w:type="dxa"/>
            <w:vAlign w:val="bottom"/>
          </w:tcPr>
          <w:p>
            <w:pPr>
              <w:jc w:val="right"/>
              <w:spacing w:after="0"/>
              <w:rPr>
                <w:sz w:val="20"/>
                <w:szCs w:val="20"/>
                <w:color w:val="auto"/>
              </w:rPr>
            </w:pPr>
            <w:r>
              <w:rPr>
                <w:rFonts w:ascii="Arial" w:cs="Arial" w:eastAsia="Arial" w:hAnsi="Arial"/>
                <w:sz w:val="16"/>
                <w:szCs w:val="16"/>
                <w:b w:val="1"/>
                <w:bCs w:val="1"/>
                <w:color w:val="auto"/>
              </w:rPr>
              <w:t>Outstanding</w:t>
            </w:r>
          </w:p>
        </w:tc>
      </w:tr>
      <w:tr>
        <w:trPr>
          <w:trHeight w:val="222"/>
        </w:trPr>
        <w:tc>
          <w:tcPr>
            <w:tcW w:w="4520" w:type="dxa"/>
            <w:vAlign w:val="bottom"/>
          </w:tcPr>
          <w:p>
            <w:pPr>
              <w:spacing w:after="0"/>
              <w:rPr>
                <w:sz w:val="19"/>
                <w:szCs w:val="19"/>
                <w:color w:val="auto"/>
              </w:rPr>
            </w:pPr>
          </w:p>
        </w:tc>
        <w:tc>
          <w:tcPr>
            <w:tcW w:w="2240" w:type="dxa"/>
            <w:vAlign w:val="bottom"/>
          </w:tcPr>
          <w:p>
            <w:pPr>
              <w:jc w:val="right"/>
              <w:ind w:right="79"/>
              <w:spacing w:after="0"/>
              <w:rPr>
                <w:sz w:val="20"/>
                <w:szCs w:val="20"/>
                <w:color w:val="auto"/>
              </w:rPr>
            </w:pPr>
            <w:r>
              <w:rPr>
                <w:rFonts w:ascii="Arial" w:cs="Arial" w:eastAsia="Arial" w:hAnsi="Arial"/>
                <w:sz w:val="16"/>
                <w:szCs w:val="16"/>
                <w:b w:val="1"/>
                <w:bCs w:val="1"/>
                <w:color w:val="auto"/>
              </w:rPr>
              <w:t>Number of</w:t>
            </w:r>
          </w:p>
        </w:tc>
        <w:tc>
          <w:tcPr>
            <w:tcW w:w="2260" w:type="dxa"/>
            <w:vAlign w:val="bottom"/>
          </w:tcPr>
          <w:p>
            <w:pPr>
              <w:jc w:val="right"/>
              <w:ind w:right="79"/>
              <w:spacing w:after="0"/>
              <w:rPr>
                <w:sz w:val="20"/>
                <w:szCs w:val="20"/>
                <w:color w:val="auto"/>
              </w:rPr>
            </w:pPr>
            <w:r>
              <w:rPr>
                <w:rFonts w:ascii="Arial" w:cs="Arial" w:eastAsia="Arial" w:hAnsi="Arial"/>
                <w:sz w:val="16"/>
                <w:szCs w:val="16"/>
                <w:b w:val="1"/>
                <w:bCs w:val="1"/>
                <w:color w:val="auto"/>
              </w:rPr>
              <w:t>Value of Stock</w:t>
            </w:r>
          </w:p>
        </w:tc>
        <w:tc>
          <w:tcPr>
            <w:tcW w:w="2240" w:type="dxa"/>
            <w:vAlign w:val="bottom"/>
          </w:tcPr>
          <w:p>
            <w:pPr>
              <w:jc w:val="right"/>
              <w:spacing w:after="0"/>
              <w:rPr>
                <w:sz w:val="20"/>
                <w:szCs w:val="20"/>
                <w:color w:val="auto"/>
              </w:rPr>
            </w:pPr>
            <w:r>
              <w:rPr>
                <w:rFonts w:ascii="Arial" w:cs="Arial" w:eastAsia="Arial" w:hAnsi="Arial"/>
                <w:sz w:val="16"/>
                <w:szCs w:val="16"/>
                <w:b w:val="1"/>
                <w:bCs w:val="1"/>
                <w:color w:val="auto"/>
              </w:rPr>
              <w:t>Stock</w:t>
            </w:r>
          </w:p>
        </w:tc>
      </w:tr>
      <w:tr>
        <w:trPr>
          <w:trHeight w:val="223"/>
        </w:trPr>
        <w:tc>
          <w:tcPr>
            <w:tcW w:w="4520" w:type="dxa"/>
            <w:vAlign w:val="bottom"/>
          </w:tcPr>
          <w:p>
            <w:pPr>
              <w:spacing w:after="0"/>
              <w:rPr>
                <w:sz w:val="19"/>
                <w:szCs w:val="19"/>
                <w:color w:val="auto"/>
              </w:rPr>
            </w:pPr>
          </w:p>
        </w:tc>
        <w:tc>
          <w:tcPr>
            <w:tcW w:w="2240" w:type="dxa"/>
            <w:vAlign w:val="bottom"/>
          </w:tcPr>
          <w:p>
            <w:pPr>
              <w:jc w:val="right"/>
              <w:ind w:right="79"/>
              <w:spacing w:after="0"/>
              <w:rPr>
                <w:sz w:val="20"/>
                <w:szCs w:val="20"/>
                <w:color w:val="auto"/>
              </w:rPr>
            </w:pPr>
            <w:r>
              <w:rPr>
                <w:rFonts w:ascii="Arial" w:cs="Arial" w:eastAsia="Arial" w:hAnsi="Arial"/>
                <w:sz w:val="16"/>
                <w:szCs w:val="16"/>
                <w:b w:val="1"/>
                <w:bCs w:val="1"/>
                <w:color w:val="auto"/>
              </w:rPr>
              <w:t>Stocks or Units</w:t>
            </w:r>
          </w:p>
        </w:tc>
        <w:tc>
          <w:tcPr>
            <w:tcW w:w="2260" w:type="dxa"/>
            <w:vAlign w:val="bottom"/>
          </w:tcPr>
          <w:p>
            <w:pPr>
              <w:jc w:val="right"/>
              <w:ind w:right="79"/>
              <w:spacing w:after="0"/>
              <w:rPr>
                <w:sz w:val="20"/>
                <w:szCs w:val="20"/>
                <w:color w:val="auto"/>
              </w:rPr>
            </w:pPr>
            <w:r>
              <w:rPr>
                <w:rFonts w:ascii="Arial" w:cs="Arial" w:eastAsia="Arial" w:hAnsi="Arial"/>
                <w:sz w:val="16"/>
                <w:szCs w:val="16"/>
                <w:b w:val="1"/>
                <w:bCs w:val="1"/>
                <w:color w:val="auto"/>
              </w:rPr>
              <w:t>or Units</w:t>
            </w:r>
          </w:p>
        </w:tc>
        <w:tc>
          <w:tcPr>
            <w:tcW w:w="2240" w:type="dxa"/>
            <w:vAlign w:val="bottom"/>
          </w:tcPr>
          <w:p>
            <w:pPr>
              <w:jc w:val="right"/>
              <w:spacing w:after="0"/>
              <w:rPr>
                <w:sz w:val="20"/>
                <w:szCs w:val="20"/>
                <w:color w:val="auto"/>
              </w:rPr>
            </w:pPr>
            <w:r>
              <w:rPr>
                <w:rFonts w:ascii="Arial" w:cs="Arial" w:eastAsia="Arial" w:hAnsi="Arial"/>
                <w:sz w:val="16"/>
                <w:szCs w:val="16"/>
                <w:b w:val="1"/>
                <w:bCs w:val="1"/>
                <w:color w:val="auto"/>
              </w:rPr>
              <w:t>Awards as of</w:t>
            </w:r>
          </w:p>
        </w:tc>
      </w:tr>
      <w:tr>
        <w:trPr>
          <w:trHeight w:val="188"/>
        </w:trPr>
        <w:tc>
          <w:tcPr>
            <w:tcW w:w="4520" w:type="dxa"/>
            <w:vAlign w:val="bottom"/>
          </w:tcPr>
          <w:p>
            <w:pPr>
              <w:spacing w:after="0"/>
              <w:rPr>
                <w:sz w:val="16"/>
                <w:szCs w:val="16"/>
                <w:color w:val="auto"/>
              </w:rPr>
            </w:pPr>
          </w:p>
        </w:tc>
        <w:tc>
          <w:tcPr>
            <w:tcW w:w="2240" w:type="dxa"/>
            <w:vAlign w:val="bottom"/>
          </w:tcPr>
          <w:p>
            <w:pPr>
              <w:jc w:val="right"/>
              <w:ind w:right="79"/>
              <w:spacing w:after="0"/>
              <w:rPr>
                <w:sz w:val="20"/>
                <w:szCs w:val="20"/>
                <w:color w:val="auto"/>
              </w:rPr>
            </w:pPr>
            <w:r>
              <w:rPr>
                <w:rFonts w:ascii="Arial" w:cs="Arial" w:eastAsia="Arial" w:hAnsi="Arial"/>
                <w:sz w:val="16"/>
                <w:szCs w:val="16"/>
                <w:b w:val="1"/>
                <w:bCs w:val="1"/>
                <w:color w:val="auto"/>
              </w:rPr>
              <w:t>Granted in 2022</w:t>
            </w:r>
          </w:p>
        </w:tc>
        <w:tc>
          <w:tcPr>
            <w:tcW w:w="2260" w:type="dxa"/>
            <w:vAlign w:val="bottom"/>
          </w:tcPr>
          <w:p>
            <w:pPr>
              <w:jc w:val="right"/>
              <w:ind w:right="79"/>
              <w:spacing w:after="0" w:line="188" w:lineRule="exact"/>
              <w:rPr>
                <w:sz w:val="20"/>
                <w:szCs w:val="20"/>
                <w:color w:val="auto"/>
              </w:rPr>
            </w:pPr>
            <w:r>
              <w:rPr>
                <w:rFonts w:ascii="Arial" w:cs="Arial" w:eastAsia="Arial" w:hAnsi="Arial"/>
                <w:sz w:val="16"/>
                <w:szCs w:val="16"/>
                <w:b w:val="1"/>
                <w:bCs w:val="1"/>
                <w:color w:val="auto"/>
              </w:rPr>
              <w:t>Granted in 2022</w:t>
            </w:r>
            <w:r>
              <w:rPr>
                <w:rFonts w:ascii="Arial" w:cs="Arial" w:eastAsia="Arial" w:hAnsi="Arial"/>
                <w:sz w:val="19"/>
                <w:szCs w:val="19"/>
                <w:b w:val="1"/>
                <w:bCs w:val="1"/>
                <w:color w:val="auto"/>
                <w:vertAlign w:val="superscript"/>
              </w:rPr>
              <w:t>(1)</w:t>
            </w:r>
          </w:p>
        </w:tc>
        <w:tc>
          <w:tcPr>
            <w:tcW w:w="2240" w:type="dxa"/>
            <w:vAlign w:val="bottom"/>
          </w:tcPr>
          <w:p>
            <w:pPr>
              <w:jc w:val="right"/>
              <w:spacing w:after="0" w:line="188" w:lineRule="exact"/>
              <w:rPr>
                <w:sz w:val="20"/>
                <w:szCs w:val="20"/>
                <w:color w:val="auto"/>
              </w:rPr>
            </w:pPr>
            <w:r>
              <w:rPr>
                <w:rFonts w:ascii="Arial" w:cs="Arial" w:eastAsia="Arial" w:hAnsi="Arial"/>
                <w:sz w:val="16"/>
                <w:szCs w:val="16"/>
                <w:b w:val="1"/>
                <w:bCs w:val="1"/>
                <w:color w:val="auto"/>
              </w:rPr>
              <w:t>December 31, 2022</w:t>
            </w:r>
            <w:r>
              <w:rPr>
                <w:rFonts w:ascii="Arial" w:cs="Arial" w:eastAsia="Arial" w:hAnsi="Arial"/>
                <w:sz w:val="19"/>
                <w:szCs w:val="19"/>
                <w:b w:val="1"/>
                <w:bCs w:val="1"/>
                <w:color w:val="auto"/>
                <w:vertAlign w:val="superscript"/>
              </w:rPr>
              <w:t>(2)</w:t>
            </w:r>
          </w:p>
        </w:tc>
      </w:tr>
      <w:tr>
        <w:trPr>
          <w:trHeight w:val="241"/>
        </w:trPr>
        <w:tc>
          <w:tcPr>
            <w:tcW w:w="4520" w:type="dxa"/>
            <w:vAlign w:val="bottom"/>
            <w:tcBorders>
              <w:bottom w:val="single" w:sz="8" w:color="582C83"/>
            </w:tcBorders>
          </w:tcPr>
          <w:p>
            <w:pPr>
              <w:ind w:left="80"/>
              <w:spacing w:after="0"/>
              <w:rPr>
                <w:sz w:val="20"/>
                <w:szCs w:val="20"/>
                <w:color w:val="auto"/>
              </w:rPr>
            </w:pPr>
            <w:r>
              <w:rPr>
                <w:rFonts w:ascii="Arial" w:cs="Arial" w:eastAsia="Arial" w:hAnsi="Arial"/>
                <w:sz w:val="16"/>
                <w:szCs w:val="16"/>
                <w:b w:val="1"/>
                <w:bCs w:val="1"/>
                <w:color w:val="auto"/>
              </w:rPr>
              <w:t>Name</w:t>
            </w:r>
          </w:p>
        </w:tc>
        <w:tc>
          <w:tcPr>
            <w:tcW w:w="2240" w:type="dxa"/>
            <w:vAlign w:val="bottom"/>
            <w:tcBorders>
              <w:bottom w:val="single" w:sz="8" w:color="582C83"/>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260" w:type="dxa"/>
            <w:vAlign w:val="bottom"/>
            <w:tcBorders>
              <w:bottom w:val="single" w:sz="8" w:color="582C83"/>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2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91"/>
        </w:trPr>
        <w:tc>
          <w:tcPr>
            <w:tcW w:w="452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Booth, Lewis</w:t>
            </w:r>
          </w:p>
        </w:tc>
        <w:tc>
          <w:tcPr>
            <w:tcW w:w="2240" w:type="dxa"/>
            <w:vAlign w:val="bottom"/>
            <w:tcBorders>
              <w:bottom w:val="single" w:sz="8" w:color="EBE6F0"/>
            </w:tcBorders>
            <w:shd w:val="clear" w:color="auto" w:fill="EBE6F0"/>
          </w:tcPr>
          <w:p>
            <w:pPr>
              <w:jc w:val="right"/>
              <w:ind w:right="79"/>
              <w:spacing w:after="0"/>
              <w:rPr>
                <w:sz w:val="20"/>
                <w:szCs w:val="20"/>
                <w:color w:val="auto"/>
              </w:rPr>
            </w:pPr>
            <w:r>
              <w:rPr>
                <w:rFonts w:ascii="Arial" w:cs="Arial" w:eastAsia="Arial" w:hAnsi="Arial"/>
                <w:sz w:val="16"/>
                <w:szCs w:val="16"/>
                <w:color w:val="auto"/>
              </w:rPr>
              <w:t>3,118</w:t>
            </w:r>
          </w:p>
        </w:tc>
        <w:tc>
          <w:tcPr>
            <w:tcW w:w="2260" w:type="dxa"/>
            <w:vAlign w:val="bottom"/>
            <w:tcBorders>
              <w:bottom w:val="single" w:sz="8" w:color="EBE6F0"/>
              <w:right w:val="single" w:sz="8" w:color="EBE6F0"/>
            </w:tcBorders>
            <w:shd w:val="clear" w:color="auto" w:fill="EBE6F0"/>
          </w:tcPr>
          <w:p>
            <w:pPr>
              <w:jc w:val="right"/>
              <w:ind w:right="79"/>
              <w:spacing w:after="0"/>
              <w:rPr>
                <w:sz w:val="20"/>
                <w:szCs w:val="20"/>
                <w:color w:val="auto"/>
              </w:rPr>
            </w:pPr>
            <w:r>
              <w:rPr>
                <w:rFonts w:ascii="Arial" w:cs="Arial" w:eastAsia="Arial" w:hAnsi="Arial"/>
                <w:sz w:val="16"/>
                <w:szCs w:val="16"/>
                <w:color w:val="auto"/>
              </w:rPr>
              <w:t>190,011</w:t>
            </w:r>
          </w:p>
        </w:tc>
        <w:tc>
          <w:tcPr>
            <w:tcW w:w="22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45,642</w:t>
            </w:r>
          </w:p>
        </w:tc>
      </w:tr>
      <w:tr>
        <w:trPr>
          <w:trHeight w:val="243"/>
        </w:trPr>
        <w:tc>
          <w:tcPr>
            <w:tcW w:w="452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Bunch, Charles</w:t>
            </w:r>
          </w:p>
        </w:tc>
        <w:tc>
          <w:tcPr>
            <w:tcW w:w="2240" w:type="dxa"/>
            <w:vAlign w:val="bottom"/>
            <w:tcBorders>
              <w:top w:val="single" w:sz="8" w:color="582C83"/>
            </w:tcBorders>
          </w:tcPr>
          <w:p>
            <w:pPr>
              <w:jc w:val="right"/>
              <w:ind w:right="79"/>
              <w:spacing w:after="0"/>
              <w:rPr>
                <w:sz w:val="20"/>
                <w:szCs w:val="20"/>
                <w:color w:val="auto"/>
              </w:rPr>
            </w:pPr>
            <w:r>
              <w:rPr>
                <w:rFonts w:ascii="Arial" w:cs="Arial" w:eastAsia="Arial" w:hAnsi="Arial"/>
                <w:sz w:val="16"/>
                <w:szCs w:val="16"/>
                <w:color w:val="auto"/>
              </w:rPr>
              <w:t>3,118</w:t>
            </w:r>
          </w:p>
        </w:tc>
        <w:tc>
          <w:tcPr>
            <w:tcW w:w="2260" w:type="dxa"/>
            <w:vAlign w:val="bottom"/>
            <w:tcBorders>
              <w:top w:val="single" w:sz="8" w:color="582C83"/>
            </w:tcBorders>
          </w:tcPr>
          <w:p>
            <w:pPr>
              <w:jc w:val="right"/>
              <w:ind w:right="79"/>
              <w:spacing w:after="0"/>
              <w:rPr>
                <w:sz w:val="20"/>
                <w:szCs w:val="20"/>
                <w:color w:val="auto"/>
              </w:rPr>
            </w:pPr>
            <w:r>
              <w:rPr>
                <w:rFonts w:ascii="Arial" w:cs="Arial" w:eastAsia="Arial" w:hAnsi="Arial"/>
                <w:sz w:val="16"/>
                <w:szCs w:val="16"/>
                <w:color w:val="auto"/>
              </w:rPr>
              <w:t>190,011</w:t>
            </w:r>
          </w:p>
        </w:tc>
        <w:tc>
          <w:tcPr>
            <w:tcW w:w="224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26,084</w:t>
            </w:r>
          </w:p>
        </w:tc>
      </w:tr>
      <w:tr>
        <w:trPr>
          <w:trHeight w:val="35"/>
        </w:trPr>
        <w:tc>
          <w:tcPr>
            <w:tcW w:w="4520" w:type="dxa"/>
            <w:vAlign w:val="bottom"/>
            <w:tcBorders>
              <w:bottom w:val="single" w:sz="8" w:color="582C83"/>
            </w:tcBorders>
          </w:tcPr>
          <w:p>
            <w:pPr>
              <w:spacing w:after="0"/>
              <w:rPr>
                <w:sz w:val="3"/>
                <w:szCs w:val="3"/>
                <w:color w:val="auto"/>
              </w:rPr>
            </w:pPr>
          </w:p>
        </w:tc>
        <w:tc>
          <w:tcPr>
            <w:tcW w:w="2240" w:type="dxa"/>
            <w:vAlign w:val="bottom"/>
            <w:tcBorders>
              <w:bottom w:val="single" w:sz="8" w:color="582C83"/>
            </w:tcBorders>
          </w:tcPr>
          <w:p>
            <w:pPr>
              <w:spacing w:after="0"/>
              <w:rPr>
                <w:sz w:val="3"/>
                <w:szCs w:val="3"/>
                <w:color w:val="auto"/>
              </w:rPr>
            </w:pPr>
          </w:p>
        </w:tc>
        <w:tc>
          <w:tcPr>
            <w:tcW w:w="2260" w:type="dxa"/>
            <w:vAlign w:val="bottom"/>
            <w:tcBorders>
              <w:bottom w:val="single" w:sz="8" w:color="582C83"/>
            </w:tcBorders>
          </w:tcPr>
          <w:p>
            <w:pPr>
              <w:spacing w:after="0"/>
              <w:rPr>
                <w:sz w:val="3"/>
                <w:szCs w:val="3"/>
                <w:color w:val="auto"/>
              </w:rPr>
            </w:pPr>
          </w:p>
        </w:tc>
        <w:tc>
          <w:tcPr>
            <w:tcW w:w="2240" w:type="dxa"/>
            <w:vAlign w:val="bottom"/>
            <w:tcBorders>
              <w:bottom w:val="single" w:sz="8" w:color="582C83"/>
            </w:tcBorders>
          </w:tcPr>
          <w:p>
            <w:pPr>
              <w:spacing w:after="0"/>
              <w:rPr>
                <w:sz w:val="3"/>
                <w:szCs w:val="3"/>
                <w:color w:val="auto"/>
              </w:rPr>
            </w:pPr>
          </w:p>
        </w:tc>
      </w:tr>
      <w:tr>
        <w:trPr>
          <w:trHeight w:val="283"/>
        </w:trPr>
        <w:tc>
          <w:tcPr>
            <w:tcW w:w="452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Cousin, Ertharin</w:t>
            </w:r>
          </w:p>
        </w:tc>
        <w:tc>
          <w:tcPr>
            <w:tcW w:w="2240" w:type="dxa"/>
            <w:vAlign w:val="bottom"/>
            <w:tcBorders>
              <w:bottom w:val="single" w:sz="8" w:color="EBE6F0"/>
            </w:tcBorders>
            <w:shd w:val="clear" w:color="auto" w:fill="EBE6F0"/>
          </w:tcPr>
          <w:p>
            <w:pPr>
              <w:jc w:val="right"/>
              <w:ind w:right="79"/>
              <w:spacing w:after="0"/>
              <w:rPr>
                <w:sz w:val="20"/>
                <w:szCs w:val="20"/>
                <w:color w:val="auto"/>
              </w:rPr>
            </w:pPr>
            <w:r>
              <w:rPr>
                <w:rFonts w:ascii="Arial" w:cs="Arial" w:eastAsia="Arial" w:hAnsi="Arial"/>
                <w:sz w:val="16"/>
                <w:szCs w:val="16"/>
                <w:color w:val="auto"/>
              </w:rPr>
              <w:t>4,319</w:t>
            </w:r>
          </w:p>
        </w:tc>
        <w:tc>
          <w:tcPr>
            <w:tcW w:w="2260" w:type="dxa"/>
            <w:vAlign w:val="bottom"/>
            <w:tcBorders>
              <w:bottom w:val="single" w:sz="8" w:color="EBE6F0"/>
              <w:right w:val="single" w:sz="8" w:color="EBE6F0"/>
            </w:tcBorders>
            <w:shd w:val="clear" w:color="auto" w:fill="EBE6F0"/>
          </w:tcPr>
          <w:p>
            <w:pPr>
              <w:jc w:val="right"/>
              <w:ind w:right="79"/>
              <w:spacing w:after="0"/>
              <w:rPr>
                <w:sz w:val="20"/>
                <w:szCs w:val="20"/>
                <w:color w:val="auto"/>
              </w:rPr>
            </w:pPr>
            <w:r>
              <w:rPr>
                <w:rFonts w:ascii="Arial" w:cs="Arial" w:eastAsia="Arial" w:hAnsi="Arial"/>
                <w:sz w:val="16"/>
                <w:szCs w:val="16"/>
                <w:color w:val="auto"/>
              </w:rPr>
              <w:t>269,241</w:t>
            </w:r>
          </w:p>
        </w:tc>
        <w:tc>
          <w:tcPr>
            <w:tcW w:w="22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4,379</w:t>
            </w:r>
          </w:p>
        </w:tc>
      </w:tr>
      <w:tr>
        <w:trPr>
          <w:trHeight w:val="243"/>
        </w:trPr>
        <w:tc>
          <w:tcPr>
            <w:tcW w:w="452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Juliber, Lois</w:t>
            </w:r>
          </w:p>
        </w:tc>
        <w:tc>
          <w:tcPr>
            <w:tcW w:w="2240" w:type="dxa"/>
            <w:vAlign w:val="bottom"/>
            <w:tcBorders>
              <w:top w:val="single" w:sz="8" w:color="582C83"/>
            </w:tcBorders>
          </w:tcPr>
          <w:p>
            <w:pPr>
              <w:jc w:val="right"/>
              <w:ind w:right="79"/>
              <w:spacing w:after="0"/>
              <w:rPr>
                <w:sz w:val="20"/>
                <w:szCs w:val="20"/>
                <w:color w:val="auto"/>
              </w:rPr>
            </w:pPr>
            <w:r>
              <w:rPr>
                <w:rFonts w:ascii="Arial" w:cs="Arial" w:eastAsia="Arial" w:hAnsi="Arial"/>
                <w:sz w:val="16"/>
                <w:szCs w:val="16"/>
                <w:color w:val="auto"/>
              </w:rPr>
              <w:t>3,118</w:t>
            </w:r>
          </w:p>
        </w:tc>
        <w:tc>
          <w:tcPr>
            <w:tcW w:w="2260" w:type="dxa"/>
            <w:vAlign w:val="bottom"/>
            <w:tcBorders>
              <w:top w:val="single" w:sz="8" w:color="582C83"/>
            </w:tcBorders>
          </w:tcPr>
          <w:p>
            <w:pPr>
              <w:jc w:val="right"/>
              <w:ind w:right="79"/>
              <w:spacing w:after="0"/>
              <w:rPr>
                <w:sz w:val="20"/>
                <w:szCs w:val="20"/>
                <w:color w:val="auto"/>
              </w:rPr>
            </w:pPr>
            <w:r>
              <w:rPr>
                <w:rFonts w:ascii="Arial" w:cs="Arial" w:eastAsia="Arial" w:hAnsi="Arial"/>
                <w:sz w:val="16"/>
                <w:szCs w:val="16"/>
                <w:color w:val="auto"/>
              </w:rPr>
              <w:t>190,011</w:t>
            </w:r>
          </w:p>
        </w:tc>
        <w:tc>
          <w:tcPr>
            <w:tcW w:w="224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68,625</w:t>
            </w:r>
          </w:p>
        </w:tc>
      </w:tr>
      <w:tr>
        <w:trPr>
          <w:trHeight w:val="35"/>
        </w:trPr>
        <w:tc>
          <w:tcPr>
            <w:tcW w:w="4520" w:type="dxa"/>
            <w:vAlign w:val="bottom"/>
            <w:tcBorders>
              <w:bottom w:val="single" w:sz="8" w:color="582C83"/>
            </w:tcBorders>
          </w:tcPr>
          <w:p>
            <w:pPr>
              <w:spacing w:after="0"/>
              <w:rPr>
                <w:sz w:val="3"/>
                <w:szCs w:val="3"/>
                <w:color w:val="auto"/>
              </w:rPr>
            </w:pPr>
          </w:p>
        </w:tc>
        <w:tc>
          <w:tcPr>
            <w:tcW w:w="2240" w:type="dxa"/>
            <w:vAlign w:val="bottom"/>
            <w:tcBorders>
              <w:bottom w:val="single" w:sz="8" w:color="582C83"/>
            </w:tcBorders>
          </w:tcPr>
          <w:p>
            <w:pPr>
              <w:spacing w:after="0"/>
              <w:rPr>
                <w:sz w:val="3"/>
                <w:szCs w:val="3"/>
                <w:color w:val="auto"/>
              </w:rPr>
            </w:pPr>
          </w:p>
        </w:tc>
        <w:tc>
          <w:tcPr>
            <w:tcW w:w="2260" w:type="dxa"/>
            <w:vAlign w:val="bottom"/>
            <w:tcBorders>
              <w:bottom w:val="single" w:sz="8" w:color="582C83"/>
            </w:tcBorders>
          </w:tcPr>
          <w:p>
            <w:pPr>
              <w:spacing w:after="0"/>
              <w:rPr>
                <w:sz w:val="3"/>
                <w:szCs w:val="3"/>
                <w:color w:val="auto"/>
              </w:rPr>
            </w:pPr>
          </w:p>
        </w:tc>
        <w:tc>
          <w:tcPr>
            <w:tcW w:w="2240" w:type="dxa"/>
            <w:vAlign w:val="bottom"/>
            <w:tcBorders>
              <w:bottom w:val="single" w:sz="8" w:color="582C83"/>
            </w:tcBorders>
          </w:tcPr>
          <w:p>
            <w:pPr>
              <w:spacing w:after="0"/>
              <w:rPr>
                <w:sz w:val="3"/>
                <w:szCs w:val="3"/>
                <w:color w:val="auto"/>
              </w:rPr>
            </w:pPr>
          </w:p>
        </w:tc>
      </w:tr>
      <w:tr>
        <w:trPr>
          <w:trHeight w:val="283"/>
        </w:trPr>
        <w:tc>
          <w:tcPr>
            <w:tcW w:w="452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Mesquita, Jorge</w:t>
            </w:r>
          </w:p>
        </w:tc>
        <w:tc>
          <w:tcPr>
            <w:tcW w:w="2240" w:type="dxa"/>
            <w:vAlign w:val="bottom"/>
            <w:tcBorders>
              <w:bottom w:val="single" w:sz="8" w:color="EBE6F0"/>
            </w:tcBorders>
            <w:shd w:val="clear" w:color="auto" w:fill="EBE6F0"/>
          </w:tcPr>
          <w:p>
            <w:pPr>
              <w:jc w:val="right"/>
              <w:ind w:right="79"/>
              <w:spacing w:after="0"/>
              <w:rPr>
                <w:sz w:val="20"/>
                <w:szCs w:val="20"/>
                <w:color w:val="auto"/>
              </w:rPr>
            </w:pPr>
            <w:r>
              <w:rPr>
                <w:rFonts w:ascii="Arial" w:cs="Arial" w:eastAsia="Arial" w:hAnsi="Arial"/>
                <w:sz w:val="16"/>
                <w:szCs w:val="16"/>
                <w:color w:val="auto"/>
              </w:rPr>
              <w:t>3,118</w:t>
            </w:r>
          </w:p>
        </w:tc>
        <w:tc>
          <w:tcPr>
            <w:tcW w:w="2260" w:type="dxa"/>
            <w:vAlign w:val="bottom"/>
            <w:tcBorders>
              <w:bottom w:val="single" w:sz="8" w:color="EBE6F0"/>
              <w:right w:val="single" w:sz="8" w:color="EBE6F0"/>
            </w:tcBorders>
            <w:shd w:val="clear" w:color="auto" w:fill="EBE6F0"/>
          </w:tcPr>
          <w:p>
            <w:pPr>
              <w:jc w:val="right"/>
              <w:ind w:right="79"/>
              <w:spacing w:after="0"/>
              <w:rPr>
                <w:sz w:val="20"/>
                <w:szCs w:val="20"/>
                <w:color w:val="auto"/>
              </w:rPr>
            </w:pPr>
            <w:r>
              <w:rPr>
                <w:rFonts w:ascii="Arial" w:cs="Arial" w:eastAsia="Arial" w:hAnsi="Arial"/>
                <w:sz w:val="16"/>
                <w:szCs w:val="16"/>
                <w:color w:val="auto"/>
              </w:rPr>
              <w:t>190,011</w:t>
            </w:r>
          </w:p>
        </w:tc>
        <w:tc>
          <w:tcPr>
            <w:tcW w:w="22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45,996</w:t>
            </w:r>
          </w:p>
        </w:tc>
      </w:tr>
      <w:tr>
        <w:trPr>
          <w:trHeight w:val="243"/>
        </w:trPr>
        <w:tc>
          <w:tcPr>
            <w:tcW w:w="452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Nielsen, Jane</w:t>
            </w:r>
          </w:p>
        </w:tc>
        <w:tc>
          <w:tcPr>
            <w:tcW w:w="2240" w:type="dxa"/>
            <w:vAlign w:val="bottom"/>
            <w:tcBorders>
              <w:top w:val="single" w:sz="8" w:color="582C83"/>
            </w:tcBorders>
          </w:tcPr>
          <w:p>
            <w:pPr>
              <w:jc w:val="right"/>
              <w:ind w:right="79"/>
              <w:spacing w:after="0"/>
              <w:rPr>
                <w:sz w:val="20"/>
                <w:szCs w:val="20"/>
                <w:color w:val="auto"/>
              </w:rPr>
            </w:pPr>
            <w:r>
              <w:rPr>
                <w:rFonts w:ascii="Arial" w:cs="Arial" w:eastAsia="Arial" w:hAnsi="Arial"/>
                <w:sz w:val="16"/>
                <w:szCs w:val="16"/>
                <w:color w:val="auto"/>
              </w:rPr>
              <w:t>3,118</w:t>
            </w:r>
          </w:p>
        </w:tc>
        <w:tc>
          <w:tcPr>
            <w:tcW w:w="2260" w:type="dxa"/>
            <w:vAlign w:val="bottom"/>
            <w:tcBorders>
              <w:top w:val="single" w:sz="8" w:color="582C83"/>
            </w:tcBorders>
          </w:tcPr>
          <w:p>
            <w:pPr>
              <w:jc w:val="right"/>
              <w:ind w:right="79"/>
              <w:spacing w:after="0"/>
              <w:rPr>
                <w:sz w:val="20"/>
                <w:szCs w:val="20"/>
                <w:color w:val="auto"/>
              </w:rPr>
            </w:pPr>
            <w:r>
              <w:rPr>
                <w:rFonts w:ascii="Arial" w:cs="Arial" w:eastAsia="Arial" w:hAnsi="Arial"/>
                <w:sz w:val="16"/>
                <w:szCs w:val="16"/>
                <w:color w:val="auto"/>
              </w:rPr>
              <w:t>190,011</w:t>
            </w:r>
          </w:p>
        </w:tc>
        <w:tc>
          <w:tcPr>
            <w:tcW w:w="224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6,309</w:t>
            </w:r>
          </w:p>
        </w:tc>
      </w:tr>
      <w:tr>
        <w:trPr>
          <w:trHeight w:val="35"/>
        </w:trPr>
        <w:tc>
          <w:tcPr>
            <w:tcW w:w="4520" w:type="dxa"/>
            <w:vAlign w:val="bottom"/>
            <w:tcBorders>
              <w:bottom w:val="single" w:sz="8" w:color="582C83"/>
            </w:tcBorders>
          </w:tcPr>
          <w:p>
            <w:pPr>
              <w:spacing w:after="0"/>
              <w:rPr>
                <w:sz w:val="3"/>
                <w:szCs w:val="3"/>
                <w:color w:val="auto"/>
              </w:rPr>
            </w:pPr>
          </w:p>
        </w:tc>
        <w:tc>
          <w:tcPr>
            <w:tcW w:w="2240" w:type="dxa"/>
            <w:vAlign w:val="bottom"/>
            <w:tcBorders>
              <w:bottom w:val="single" w:sz="8" w:color="582C83"/>
            </w:tcBorders>
          </w:tcPr>
          <w:p>
            <w:pPr>
              <w:spacing w:after="0"/>
              <w:rPr>
                <w:sz w:val="3"/>
                <w:szCs w:val="3"/>
                <w:color w:val="auto"/>
              </w:rPr>
            </w:pPr>
          </w:p>
        </w:tc>
        <w:tc>
          <w:tcPr>
            <w:tcW w:w="2260" w:type="dxa"/>
            <w:vAlign w:val="bottom"/>
            <w:tcBorders>
              <w:bottom w:val="single" w:sz="8" w:color="582C83"/>
            </w:tcBorders>
          </w:tcPr>
          <w:p>
            <w:pPr>
              <w:spacing w:after="0"/>
              <w:rPr>
                <w:sz w:val="3"/>
                <w:szCs w:val="3"/>
                <w:color w:val="auto"/>
              </w:rPr>
            </w:pPr>
          </w:p>
        </w:tc>
        <w:tc>
          <w:tcPr>
            <w:tcW w:w="2240" w:type="dxa"/>
            <w:vAlign w:val="bottom"/>
            <w:tcBorders>
              <w:bottom w:val="single" w:sz="8" w:color="582C83"/>
            </w:tcBorders>
          </w:tcPr>
          <w:p>
            <w:pPr>
              <w:spacing w:after="0"/>
              <w:rPr>
                <w:sz w:val="3"/>
                <w:szCs w:val="3"/>
                <w:color w:val="auto"/>
              </w:rPr>
            </w:pPr>
          </w:p>
        </w:tc>
      </w:tr>
      <w:tr>
        <w:trPr>
          <w:trHeight w:val="283"/>
        </w:trPr>
        <w:tc>
          <w:tcPr>
            <w:tcW w:w="452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Shi, Christiana</w:t>
            </w:r>
          </w:p>
        </w:tc>
        <w:tc>
          <w:tcPr>
            <w:tcW w:w="2240" w:type="dxa"/>
            <w:vAlign w:val="bottom"/>
            <w:tcBorders>
              <w:bottom w:val="single" w:sz="8" w:color="EBE6F0"/>
            </w:tcBorders>
            <w:shd w:val="clear" w:color="auto" w:fill="EBE6F0"/>
          </w:tcPr>
          <w:p>
            <w:pPr>
              <w:jc w:val="right"/>
              <w:ind w:right="79"/>
              <w:spacing w:after="0"/>
              <w:rPr>
                <w:sz w:val="20"/>
                <w:szCs w:val="20"/>
                <w:color w:val="auto"/>
              </w:rPr>
            </w:pPr>
            <w:r>
              <w:rPr>
                <w:rFonts w:ascii="Arial" w:cs="Arial" w:eastAsia="Arial" w:hAnsi="Arial"/>
                <w:sz w:val="16"/>
                <w:szCs w:val="16"/>
                <w:color w:val="auto"/>
              </w:rPr>
              <w:t>3,118</w:t>
            </w:r>
          </w:p>
        </w:tc>
        <w:tc>
          <w:tcPr>
            <w:tcW w:w="2260" w:type="dxa"/>
            <w:vAlign w:val="bottom"/>
            <w:tcBorders>
              <w:bottom w:val="single" w:sz="8" w:color="EBE6F0"/>
              <w:right w:val="single" w:sz="8" w:color="EBE6F0"/>
            </w:tcBorders>
            <w:shd w:val="clear" w:color="auto" w:fill="EBE6F0"/>
          </w:tcPr>
          <w:p>
            <w:pPr>
              <w:jc w:val="right"/>
              <w:ind w:right="79"/>
              <w:spacing w:after="0"/>
              <w:rPr>
                <w:sz w:val="20"/>
                <w:szCs w:val="20"/>
                <w:color w:val="auto"/>
              </w:rPr>
            </w:pPr>
            <w:r>
              <w:rPr>
                <w:rFonts w:ascii="Arial" w:cs="Arial" w:eastAsia="Arial" w:hAnsi="Arial"/>
                <w:sz w:val="16"/>
                <w:szCs w:val="16"/>
                <w:color w:val="auto"/>
              </w:rPr>
              <w:t>190,011</w:t>
            </w:r>
          </w:p>
        </w:tc>
        <w:tc>
          <w:tcPr>
            <w:tcW w:w="22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28,957</w:t>
            </w:r>
          </w:p>
        </w:tc>
      </w:tr>
      <w:tr>
        <w:trPr>
          <w:trHeight w:val="243"/>
        </w:trPr>
        <w:tc>
          <w:tcPr>
            <w:tcW w:w="452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Siewert, Patrick</w:t>
            </w:r>
          </w:p>
        </w:tc>
        <w:tc>
          <w:tcPr>
            <w:tcW w:w="2240" w:type="dxa"/>
            <w:vAlign w:val="bottom"/>
            <w:tcBorders>
              <w:top w:val="single" w:sz="8" w:color="582C83"/>
            </w:tcBorders>
          </w:tcPr>
          <w:p>
            <w:pPr>
              <w:jc w:val="right"/>
              <w:ind w:right="79"/>
              <w:spacing w:after="0"/>
              <w:rPr>
                <w:sz w:val="20"/>
                <w:szCs w:val="20"/>
                <w:color w:val="auto"/>
              </w:rPr>
            </w:pPr>
            <w:r>
              <w:rPr>
                <w:rFonts w:ascii="Arial" w:cs="Arial" w:eastAsia="Arial" w:hAnsi="Arial"/>
                <w:sz w:val="16"/>
                <w:szCs w:val="16"/>
                <w:color w:val="auto"/>
              </w:rPr>
              <w:t>3,118</w:t>
            </w:r>
          </w:p>
        </w:tc>
        <w:tc>
          <w:tcPr>
            <w:tcW w:w="2260" w:type="dxa"/>
            <w:vAlign w:val="bottom"/>
            <w:tcBorders>
              <w:top w:val="single" w:sz="8" w:color="582C83"/>
            </w:tcBorders>
          </w:tcPr>
          <w:p>
            <w:pPr>
              <w:jc w:val="right"/>
              <w:ind w:right="79"/>
              <w:spacing w:after="0"/>
              <w:rPr>
                <w:sz w:val="20"/>
                <w:szCs w:val="20"/>
                <w:color w:val="auto"/>
              </w:rPr>
            </w:pPr>
            <w:r>
              <w:rPr>
                <w:rFonts w:ascii="Arial" w:cs="Arial" w:eastAsia="Arial" w:hAnsi="Arial"/>
                <w:sz w:val="16"/>
                <w:szCs w:val="16"/>
                <w:color w:val="auto"/>
              </w:rPr>
              <w:t>190,011</w:t>
            </w:r>
          </w:p>
        </w:tc>
        <w:tc>
          <w:tcPr>
            <w:tcW w:w="224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45,777</w:t>
            </w:r>
          </w:p>
        </w:tc>
      </w:tr>
      <w:tr>
        <w:trPr>
          <w:trHeight w:val="35"/>
        </w:trPr>
        <w:tc>
          <w:tcPr>
            <w:tcW w:w="4520" w:type="dxa"/>
            <w:vAlign w:val="bottom"/>
            <w:tcBorders>
              <w:bottom w:val="single" w:sz="8" w:color="582C83"/>
            </w:tcBorders>
          </w:tcPr>
          <w:p>
            <w:pPr>
              <w:spacing w:after="0"/>
              <w:rPr>
                <w:sz w:val="3"/>
                <w:szCs w:val="3"/>
                <w:color w:val="auto"/>
              </w:rPr>
            </w:pPr>
          </w:p>
        </w:tc>
        <w:tc>
          <w:tcPr>
            <w:tcW w:w="2240" w:type="dxa"/>
            <w:vAlign w:val="bottom"/>
            <w:tcBorders>
              <w:bottom w:val="single" w:sz="8" w:color="582C83"/>
            </w:tcBorders>
          </w:tcPr>
          <w:p>
            <w:pPr>
              <w:spacing w:after="0"/>
              <w:rPr>
                <w:sz w:val="3"/>
                <w:szCs w:val="3"/>
                <w:color w:val="auto"/>
              </w:rPr>
            </w:pPr>
          </w:p>
        </w:tc>
        <w:tc>
          <w:tcPr>
            <w:tcW w:w="2260" w:type="dxa"/>
            <w:vAlign w:val="bottom"/>
            <w:tcBorders>
              <w:bottom w:val="single" w:sz="8" w:color="582C83"/>
            </w:tcBorders>
          </w:tcPr>
          <w:p>
            <w:pPr>
              <w:spacing w:after="0"/>
              <w:rPr>
                <w:sz w:val="3"/>
                <w:szCs w:val="3"/>
                <w:color w:val="auto"/>
              </w:rPr>
            </w:pPr>
          </w:p>
        </w:tc>
        <w:tc>
          <w:tcPr>
            <w:tcW w:w="2240" w:type="dxa"/>
            <w:vAlign w:val="bottom"/>
            <w:tcBorders>
              <w:bottom w:val="single" w:sz="8" w:color="582C83"/>
            </w:tcBorders>
          </w:tcPr>
          <w:p>
            <w:pPr>
              <w:spacing w:after="0"/>
              <w:rPr>
                <w:sz w:val="3"/>
                <w:szCs w:val="3"/>
                <w:color w:val="auto"/>
              </w:rPr>
            </w:pPr>
          </w:p>
        </w:tc>
      </w:tr>
      <w:tr>
        <w:trPr>
          <w:trHeight w:val="258"/>
        </w:trPr>
        <w:tc>
          <w:tcPr>
            <w:tcW w:w="452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Todman, Michael</w:t>
            </w:r>
          </w:p>
        </w:tc>
        <w:tc>
          <w:tcPr>
            <w:tcW w:w="2240" w:type="dxa"/>
            <w:vAlign w:val="bottom"/>
            <w:tcBorders>
              <w:bottom w:val="single" w:sz="8" w:color="EBE6F0"/>
            </w:tcBorders>
            <w:shd w:val="clear" w:color="auto" w:fill="EBE6F0"/>
          </w:tcPr>
          <w:p>
            <w:pPr>
              <w:jc w:val="right"/>
              <w:ind w:right="79"/>
              <w:spacing w:after="0"/>
              <w:rPr>
                <w:sz w:val="20"/>
                <w:szCs w:val="20"/>
                <w:color w:val="auto"/>
              </w:rPr>
            </w:pPr>
            <w:r>
              <w:rPr>
                <w:rFonts w:ascii="Arial" w:cs="Arial" w:eastAsia="Arial" w:hAnsi="Arial"/>
                <w:sz w:val="16"/>
                <w:szCs w:val="16"/>
                <w:color w:val="auto"/>
              </w:rPr>
              <w:t>3,118</w:t>
            </w:r>
          </w:p>
        </w:tc>
        <w:tc>
          <w:tcPr>
            <w:tcW w:w="2260" w:type="dxa"/>
            <w:vAlign w:val="bottom"/>
            <w:tcBorders>
              <w:bottom w:val="single" w:sz="8" w:color="EBE6F0"/>
              <w:right w:val="single" w:sz="8" w:color="EBE6F0"/>
            </w:tcBorders>
            <w:shd w:val="clear" w:color="auto" w:fill="EBE6F0"/>
          </w:tcPr>
          <w:p>
            <w:pPr>
              <w:jc w:val="right"/>
              <w:ind w:right="79"/>
              <w:spacing w:after="0"/>
              <w:rPr>
                <w:sz w:val="20"/>
                <w:szCs w:val="20"/>
                <w:color w:val="auto"/>
              </w:rPr>
            </w:pPr>
            <w:r>
              <w:rPr>
                <w:rFonts w:ascii="Arial" w:cs="Arial" w:eastAsia="Arial" w:hAnsi="Arial"/>
                <w:sz w:val="16"/>
                <w:szCs w:val="16"/>
                <w:color w:val="auto"/>
              </w:rPr>
              <w:t>190,011</w:t>
            </w:r>
          </w:p>
        </w:tc>
        <w:tc>
          <w:tcPr>
            <w:tcW w:w="22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10,042</w:t>
            </w:r>
          </w:p>
        </w:tc>
      </w:tr>
      <w:tr>
        <w:trPr>
          <w:trHeight w:val="20"/>
        </w:trPr>
        <w:tc>
          <w:tcPr>
            <w:tcW w:w="4520" w:type="dxa"/>
            <w:vAlign w:val="bottom"/>
            <w:tcBorders>
              <w:left w:val="single" w:sz="8" w:color="EBE6F0"/>
              <w:right w:val="single" w:sz="8" w:color="EBE6F0"/>
            </w:tcBorders>
            <w:shd w:val="clear" w:color="auto" w:fill="582C83"/>
          </w:tcPr>
          <w:p>
            <w:pPr>
              <w:spacing w:after="0" w:line="20" w:lineRule="exact"/>
              <w:rPr>
                <w:sz w:val="1"/>
                <w:szCs w:val="1"/>
                <w:color w:val="auto"/>
              </w:rPr>
            </w:pPr>
          </w:p>
        </w:tc>
        <w:tc>
          <w:tcPr>
            <w:tcW w:w="2240" w:type="dxa"/>
            <w:vAlign w:val="bottom"/>
            <w:shd w:val="clear" w:color="auto" w:fill="582C83"/>
          </w:tcPr>
          <w:p>
            <w:pPr>
              <w:spacing w:after="0" w:line="20" w:lineRule="exact"/>
              <w:rPr>
                <w:sz w:val="1"/>
                <w:szCs w:val="1"/>
                <w:color w:val="auto"/>
              </w:rPr>
            </w:pPr>
          </w:p>
        </w:tc>
        <w:tc>
          <w:tcPr>
            <w:tcW w:w="2260" w:type="dxa"/>
            <w:vAlign w:val="bottom"/>
            <w:tcBorders>
              <w:right w:val="single" w:sz="8" w:color="EBE6F0"/>
            </w:tcBorders>
            <w:shd w:val="clear" w:color="auto" w:fill="582C83"/>
          </w:tcPr>
          <w:p>
            <w:pPr>
              <w:spacing w:after="0" w:line="20" w:lineRule="exact"/>
              <w:rPr>
                <w:sz w:val="1"/>
                <w:szCs w:val="1"/>
                <w:color w:val="auto"/>
              </w:rPr>
            </w:pPr>
          </w:p>
        </w:tc>
        <w:tc>
          <w:tcPr>
            <w:tcW w:w="2240" w:type="dxa"/>
            <w:vAlign w:val="bottom"/>
            <w:tcBorders>
              <w:right w:val="single" w:sz="8" w:color="EBE6F0"/>
            </w:tcBorders>
            <w:shd w:val="clear" w:color="auto" w:fill="582C83"/>
          </w:tcPr>
          <w:p>
            <w:pPr>
              <w:spacing w:after="0" w:line="20" w:lineRule="exact"/>
              <w:rPr>
                <w:sz w:val="1"/>
                <w:szCs w:val="1"/>
                <w:color w:val="auto"/>
              </w:rPr>
            </w:pPr>
          </w:p>
        </w:tc>
      </w:tr>
    </w:tbl>
    <w:p>
      <w:pPr>
        <w:spacing w:after="0" w:line="50" w:lineRule="exact"/>
        <w:rPr>
          <w:sz w:val="20"/>
          <w:szCs w:val="20"/>
          <w:color w:val="auto"/>
        </w:rPr>
      </w:pPr>
    </w:p>
    <w:p>
      <w:pPr>
        <w:ind w:left="360" w:right="340" w:hanging="266"/>
        <w:spacing w:after="0" w:line="275" w:lineRule="auto"/>
        <w:tabs>
          <w:tab w:leader="none" w:pos="3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amounts shown in this column represent the full grant date fair value of the deferred stock units granted in 2022 as computed in accordance with FASB ASC Topic 718.</w:t>
      </w:r>
    </w:p>
    <w:p>
      <w:pPr>
        <w:spacing w:after="0" w:line="2" w:lineRule="exact"/>
        <w:rPr>
          <w:rFonts w:ascii="Arial" w:cs="Arial" w:eastAsia="Arial" w:hAnsi="Arial"/>
          <w:sz w:val="15"/>
          <w:szCs w:val="15"/>
          <w:color w:val="auto"/>
        </w:rPr>
      </w:pPr>
    </w:p>
    <w:p>
      <w:pPr>
        <w:ind w:left="360" w:hanging="266"/>
        <w:spacing w:after="0"/>
        <w:tabs>
          <w:tab w:leader="none" w:pos="3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Shares are fully vested but receipt of shares is deferred until six months after the director separates from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143115"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04" w:lineRule="exact"/>
        <w:rPr>
          <w:sz w:val="20"/>
          <w:szCs w:val="20"/>
          <w:color w:val="auto"/>
        </w:rPr>
      </w:pPr>
    </w:p>
    <w:p>
      <w:pPr>
        <w:ind w:left="9080"/>
        <w:spacing w:after="0"/>
        <w:rPr>
          <w:sz w:val="20"/>
          <w:szCs w:val="20"/>
          <w:color w:val="auto"/>
        </w:rPr>
      </w:pPr>
      <w:r>
        <w:rPr>
          <w:rFonts w:ascii="Arial" w:cs="Arial" w:eastAsia="Arial" w:hAnsi="Arial"/>
          <w:sz w:val="15"/>
          <w:szCs w:val="15"/>
          <w:b w:val="1"/>
          <w:bCs w:val="1"/>
          <w:color w:val="58358F"/>
        </w:rPr>
        <w:t>2023 PROXY STATEMENT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68" w:name="page69"/>
    <w:bookmarkEnd w:id="68"/>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311785</wp:posOffset>
            </wp:positionV>
            <wp:extent cx="6307455" cy="2420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307455" cy="24206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160" w:right="440"/>
        <w:spacing w:after="0" w:line="266" w:lineRule="auto"/>
        <w:rPr>
          <w:sz w:val="20"/>
          <w:szCs w:val="20"/>
          <w:color w:val="auto"/>
        </w:rPr>
      </w:pPr>
      <w:r>
        <w:rPr>
          <w:rFonts w:ascii="Arial" w:cs="Arial" w:eastAsia="Arial" w:hAnsi="Arial"/>
          <w:sz w:val="43"/>
          <w:szCs w:val="43"/>
          <w:b w:val="1"/>
          <w:bCs w:val="1"/>
          <w:color w:val="582C83"/>
        </w:rPr>
        <w:t>COMPENSATION DISCUSSION AND ANALYSIS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3140" w:type="dxa"/>
            <w:vAlign w:val="bottom"/>
          </w:tcPr>
          <w:p>
            <w:pPr>
              <w:spacing w:after="0"/>
              <w:rPr>
                <w:sz w:val="20"/>
                <w:szCs w:val="20"/>
                <w:color w:val="auto"/>
              </w:rPr>
            </w:pPr>
            <w:r>
              <w:rPr>
                <w:rFonts w:ascii="Arial" w:cs="Arial" w:eastAsia="Arial" w:hAnsi="Arial"/>
                <w:sz w:val="16"/>
                <w:szCs w:val="16"/>
                <w:b w:val="1"/>
                <w:bCs w:val="1"/>
                <w:color w:val="582C83"/>
              </w:rPr>
              <w:t>TABLE OF CONTENTS</w:t>
            </w:r>
          </w:p>
        </w:tc>
        <w:tc>
          <w:tcPr>
            <w:tcW w:w="1080" w:type="dxa"/>
            <w:vAlign w:val="bottom"/>
          </w:tcPr>
          <w:p>
            <w:pPr>
              <w:spacing w:after="0"/>
              <w:rPr>
                <w:sz w:val="19"/>
                <w:szCs w:val="19"/>
                <w:color w:val="auto"/>
              </w:rPr>
            </w:pPr>
          </w:p>
        </w:tc>
      </w:tr>
      <w:tr>
        <w:trPr>
          <w:trHeight w:val="435"/>
        </w:trPr>
        <w:tc>
          <w:tcPr>
            <w:tcW w:w="3140" w:type="dxa"/>
            <w:vAlign w:val="bottom"/>
          </w:tcPr>
          <w:p>
            <w:pPr>
              <w:spacing w:after="0"/>
              <w:rPr>
                <w:sz w:val="20"/>
                <w:szCs w:val="20"/>
                <w:color w:val="auto"/>
              </w:rPr>
            </w:pPr>
            <w:r>
              <w:rPr>
                <w:rFonts w:ascii="Arial" w:cs="Arial" w:eastAsia="Arial" w:hAnsi="Arial"/>
                <w:sz w:val="16"/>
                <w:szCs w:val="16"/>
                <w:b w:val="1"/>
                <w:bCs w:val="1"/>
                <w:color w:val="582C83"/>
              </w:rPr>
              <w:t>Executive Summary</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582C83"/>
              </w:rPr>
              <w:t>65</w:t>
            </w:r>
          </w:p>
        </w:tc>
      </w:tr>
      <w:tr>
        <w:trPr>
          <w:trHeight w:val="248"/>
        </w:trPr>
        <w:tc>
          <w:tcPr>
            <w:tcW w:w="3140" w:type="dxa"/>
            <w:vAlign w:val="bottom"/>
          </w:tcPr>
          <w:p>
            <w:pPr>
              <w:spacing w:after="0"/>
              <w:rPr>
                <w:sz w:val="20"/>
                <w:szCs w:val="20"/>
                <w:color w:val="auto"/>
              </w:rPr>
            </w:pPr>
            <w:r>
              <w:rPr>
                <w:rFonts w:ascii="Arial" w:cs="Arial" w:eastAsia="Arial" w:hAnsi="Arial"/>
                <w:sz w:val="16"/>
                <w:szCs w:val="16"/>
                <w:b w:val="1"/>
                <w:bCs w:val="1"/>
                <w:color w:val="582C83"/>
              </w:rPr>
              <w:t>Detailed Program Discussion</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582C83"/>
              </w:rPr>
              <w:t>72</w:t>
            </w:r>
          </w:p>
        </w:tc>
      </w:tr>
      <w:tr>
        <w:trPr>
          <w:trHeight w:val="248"/>
        </w:trPr>
        <w:tc>
          <w:tcPr>
            <w:tcW w:w="3140" w:type="dxa"/>
            <w:vAlign w:val="bottom"/>
          </w:tcPr>
          <w:p>
            <w:pPr>
              <w:spacing w:after="0"/>
              <w:rPr>
                <w:sz w:val="20"/>
                <w:szCs w:val="20"/>
                <w:color w:val="auto"/>
              </w:rPr>
            </w:pPr>
            <w:r>
              <w:rPr>
                <w:rFonts w:ascii="Arial" w:cs="Arial" w:eastAsia="Arial" w:hAnsi="Arial"/>
                <w:sz w:val="16"/>
                <w:szCs w:val="16"/>
                <w:b w:val="1"/>
                <w:bCs w:val="1"/>
                <w:color w:val="582C83"/>
              </w:rPr>
              <w:t>Compensation Governance</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582C83"/>
              </w:rPr>
              <w:t>90</w:t>
            </w:r>
          </w:p>
        </w:tc>
      </w:tr>
    </w:tbl>
    <w:p>
      <w:pPr>
        <w:spacing w:after="0" w:line="614" w:lineRule="exact"/>
        <w:rPr>
          <w:sz w:val="20"/>
          <w:szCs w:val="20"/>
          <w:color w:val="auto"/>
        </w:rPr>
      </w:pPr>
    </w:p>
    <w:p>
      <w:pPr>
        <w:sectPr>
          <w:pgSz w:w="11900" w:h="16838" w:orient="portrait"/>
          <w:cols w:equalWidth="0" w:num="2">
            <w:col w:w="5120" w:space="720"/>
            <w:col w:w="5400"/>
          </w:cols>
          <w:pgMar w:left="320" w:top="1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60" w:right="860"/>
        <w:spacing w:after="0" w:line="270" w:lineRule="auto"/>
        <w:rPr>
          <w:sz w:val="20"/>
          <w:szCs w:val="20"/>
          <w:color w:val="auto"/>
        </w:rPr>
      </w:pPr>
      <w:r>
        <w:rPr>
          <w:rFonts w:ascii="Arial" w:cs="Arial" w:eastAsia="Arial" w:hAnsi="Arial"/>
          <w:sz w:val="19"/>
          <w:szCs w:val="19"/>
          <w:color w:val="auto"/>
        </w:rPr>
        <w:t>This CD&amp;A details our alignment of pay with financial and strategic performance, provides an overview of compensation programs, explains the guiding principles and practices upon which our executive compensation program is based and describes the compensation paid to the following individuals, who were our 2022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84455</wp:posOffset>
            </wp:positionV>
            <wp:extent cx="5834380" cy="7886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8343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263"/>
        </w:trPr>
        <w:tc>
          <w:tcPr>
            <w:tcW w:w="1660" w:type="dxa"/>
            <w:vAlign w:val="bottom"/>
          </w:tcPr>
          <w:p>
            <w:pPr>
              <w:jc w:val="center"/>
              <w:ind w:right="101"/>
              <w:spacing w:after="0"/>
              <w:rPr>
                <w:sz w:val="20"/>
                <w:szCs w:val="20"/>
                <w:color w:val="auto"/>
              </w:rPr>
            </w:pPr>
            <w:r>
              <w:rPr>
                <w:rFonts w:ascii="Arial" w:cs="Arial" w:eastAsia="Arial" w:hAnsi="Arial"/>
                <w:sz w:val="20"/>
                <w:szCs w:val="20"/>
                <w:b w:val="1"/>
                <w:bCs w:val="1"/>
                <w:color w:val="auto"/>
                <w:w w:val="98"/>
              </w:rPr>
              <w:t>Dirk Van de Put</w:t>
            </w:r>
          </w:p>
        </w:tc>
        <w:tc>
          <w:tcPr>
            <w:tcW w:w="2040" w:type="dxa"/>
            <w:vAlign w:val="bottom"/>
          </w:tcPr>
          <w:p>
            <w:pPr>
              <w:jc w:val="center"/>
              <w:spacing w:after="0"/>
              <w:rPr>
                <w:sz w:val="20"/>
                <w:szCs w:val="20"/>
                <w:color w:val="auto"/>
              </w:rPr>
            </w:pPr>
            <w:r>
              <w:rPr>
                <w:rFonts w:ascii="Arial" w:cs="Arial" w:eastAsia="Arial" w:hAnsi="Arial"/>
                <w:sz w:val="20"/>
                <w:szCs w:val="20"/>
                <w:b w:val="1"/>
                <w:bCs w:val="1"/>
                <w:color w:val="auto"/>
                <w:w w:val="98"/>
              </w:rPr>
              <w:t>Luca Zaramella</w:t>
            </w:r>
          </w:p>
        </w:tc>
        <w:tc>
          <w:tcPr>
            <w:tcW w:w="2080" w:type="dxa"/>
            <w:vAlign w:val="bottom"/>
          </w:tcPr>
          <w:p>
            <w:pPr>
              <w:jc w:val="center"/>
              <w:spacing w:after="0"/>
              <w:rPr>
                <w:sz w:val="20"/>
                <w:szCs w:val="20"/>
                <w:color w:val="auto"/>
              </w:rPr>
            </w:pPr>
            <w:r>
              <w:rPr>
                <w:rFonts w:ascii="Arial" w:cs="Arial" w:eastAsia="Arial" w:hAnsi="Arial"/>
                <w:sz w:val="20"/>
                <w:szCs w:val="20"/>
                <w:b w:val="1"/>
                <w:bCs w:val="1"/>
                <w:color w:val="auto"/>
                <w:w w:val="99"/>
              </w:rPr>
              <w:t>Maurizio Brusadelli</w:t>
            </w:r>
          </w:p>
        </w:tc>
        <w:tc>
          <w:tcPr>
            <w:tcW w:w="1940" w:type="dxa"/>
            <w:vAlign w:val="bottom"/>
          </w:tcPr>
          <w:p>
            <w:pPr>
              <w:jc w:val="center"/>
              <w:ind w:right="21"/>
              <w:spacing w:after="0"/>
              <w:rPr>
                <w:sz w:val="20"/>
                <w:szCs w:val="20"/>
                <w:color w:val="auto"/>
              </w:rPr>
            </w:pPr>
            <w:r>
              <w:rPr>
                <w:rFonts w:ascii="Arial" w:cs="Arial" w:eastAsia="Arial" w:hAnsi="Arial"/>
                <w:sz w:val="20"/>
                <w:szCs w:val="20"/>
                <w:b w:val="1"/>
                <w:bCs w:val="1"/>
                <w:color w:val="auto"/>
                <w:w w:val="99"/>
              </w:rPr>
              <w:t>Vinzenz Gruber</w:t>
            </w:r>
          </w:p>
        </w:tc>
        <w:tc>
          <w:tcPr>
            <w:tcW w:w="1600" w:type="dxa"/>
            <w:vAlign w:val="bottom"/>
          </w:tcPr>
          <w:p>
            <w:pPr>
              <w:jc w:val="center"/>
              <w:ind w:left="201"/>
              <w:spacing w:after="0"/>
              <w:rPr>
                <w:sz w:val="20"/>
                <w:szCs w:val="20"/>
                <w:color w:val="auto"/>
              </w:rPr>
            </w:pPr>
            <w:r>
              <w:rPr>
                <w:rFonts w:ascii="Arial" w:cs="Arial" w:eastAsia="Arial" w:hAnsi="Arial"/>
                <w:sz w:val="20"/>
                <w:szCs w:val="20"/>
                <w:b w:val="1"/>
                <w:bCs w:val="1"/>
                <w:color w:val="auto"/>
                <w:w w:val="98"/>
              </w:rPr>
              <w:t>Gustavo Valle</w:t>
            </w:r>
          </w:p>
        </w:tc>
      </w:tr>
      <w:tr>
        <w:trPr>
          <w:trHeight w:val="261"/>
        </w:trPr>
        <w:tc>
          <w:tcPr>
            <w:tcW w:w="1660" w:type="dxa"/>
            <w:vAlign w:val="bottom"/>
          </w:tcPr>
          <w:p>
            <w:pPr>
              <w:jc w:val="center"/>
              <w:ind w:right="101"/>
              <w:spacing w:after="0"/>
              <w:rPr>
                <w:sz w:val="20"/>
                <w:szCs w:val="20"/>
                <w:color w:val="auto"/>
              </w:rPr>
            </w:pPr>
            <w:r>
              <w:rPr>
                <w:rFonts w:ascii="Arial" w:cs="Arial" w:eastAsia="Arial" w:hAnsi="Arial"/>
                <w:sz w:val="20"/>
                <w:szCs w:val="20"/>
                <w:i w:val="1"/>
                <w:iCs w:val="1"/>
                <w:color w:val="auto"/>
              </w:rPr>
              <w:t>Chairman and</w:t>
            </w:r>
          </w:p>
        </w:tc>
        <w:tc>
          <w:tcPr>
            <w:tcW w:w="2040" w:type="dxa"/>
            <w:vAlign w:val="bottom"/>
          </w:tcPr>
          <w:p>
            <w:pPr>
              <w:jc w:val="center"/>
              <w:spacing w:after="0"/>
              <w:rPr>
                <w:sz w:val="20"/>
                <w:szCs w:val="20"/>
                <w:color w:val="auto"/>
              </w:rPr>
            </w:pPr>
            <w:r>
              <w:rPr>
                <w:rFonts w:ascii="Arial" w:cs="Arial" w:eastAsia="Arial" w:hAnsi="Arial"/>
                <w:sz w:val="20"/>
                <w:szCs w:val="20"/>
                <w:i w:val="1"/>
                <w:iCs w:val="1"/>
                <w:color w:val="auto"/>
                <w:w w:val="99"/>
              </w:rPr>
              <w:t>Executive Vice</w:t>
            </w:r>
          </w:p>
        </w:tc>
        <w:tc>
          <w:tcPr>
            <w:tcW w:w="2080" w:type="dxa"/>
            <w:vAlign w:val="bottom"/>
          </w:tcPr>
          <w:p>
            <w:pPr>
              <w:jc w:val="center"/>
              <w:spacing w:after="0"/>
              <w:rPr>
                <w:sz w:val="20"/>
                <w:szCs w:val="20"/>
                <w:color w:val="auto"/>
              </w:rPr>
            </w:pPr>
            <w:r>
              <w:rPr>
                <w:rFonts w:ascii="Arial" w:cs="Arial" w:eastAsia="Arial" w:hAnsi="Arial"/>
                <w:sz w:val="20"/>
                <w:szCs w:val="20"/>
                <w:i w:val="1"/>
                <w:iCs w:val="1"/>
                <w:color w:val="auto"/>
                <w:w w:val="99"/>
              </w:rPr>
              <w:t>Executive Vice</w:t>
            </w:r>
          </w:p>
        </w:tc>
        <w:tc>
          <w:tcPr>
            <w:tcW w:w="1940" w:type="dxa"/>
            <w:vAlign w:val="bottom"/>
          </w:tcPr>
          <w:p>
            <w:pPr>
              <w:jc w:val="center"/>
              <w:ind w:right="21"/>
              <w:spacing w:after="0"/>
              <w:rPr>
                <w:sz w:val="20"/>
                <w:szCs w:val="20"/>
                <w:color w:val="auto"/>
              </w:rPr>
            </w:pPr>
            <w:r>
              <w:rPr>
                <w:rFonts w:ascii="Arial" w:cs="Arial" w:eastAsia="Arial" w:hAnsi="Arial"/>
                <w:sz w:val="20"/>
                <w:szCs w:val="20"/>
                <w:i w:val="1"/>
                <w:iCs w:val="1"/>
                <w:color w:val="auto"/>
                <w:w w:val="99"/>
              </w:rPr>
              <w:t>Executive Vice</w:t>
            </w:r>
          </w:p>
        </w:tc>
        <w:tc>
          <w:tcPr>
            <w:tcW w:w="1600" w:type="dxa"/>
            <w:vAlign w:val="bottom"/>
          </w:tcPr>
          <w:p>
            <w:pPr>
              <w:jc w:val="center"/>
              <w:ind w:left="201"/>
              <w:spacing w:after="0"/>
              <w:rPr>
                <w:sz w:val="20"/>
                <w:szCs w:val="20"/>
                <w:color w:val="auto"/>
              </w:rPr>
            </w:pPr>
            <w:r>
              <w:rPr>
                <w:rFonts w:ascii="Arial" w:cs="Arial" w:eastAsia="Arial" w:hAnsi="Arial"/>
                <w:sz w:val="20"/>
                <w:szCs w:val="20"/>
                <w:i w:val="1"/>
                <w:iCs w:val="1"/>
                <w:color w:val="auto"/>
                <w:w w:val="99"/>
              </w:rPr>
              <w:t>Executive Vice</w:t>
            </w:r>
          </w:p>
        </w:tc>
      </w:tr>
      <w:tr>
        <w:trPr>
          <w:trHeight w:val="236"/>
        </w:trPr>
        <w:tc>
          <w:tcPr>
            <w:tcW w:w="1660" w:type="dxa"/>
            <w:vAlign w:val="bottom"/>
          </w:tcPr>
          <w:p>
            <w:pPr>
              <w:jc w:val="center"/>
              <w:ind w:right="101"/>
              <w:spacing w:after="0"/>
              <w:rPr>
                <w:sz w:val="20"/>
                <w:szCs w:val="20"/>
                <w:color w:val="auto"/>
              </w:rPr>
            </w:pPr>
            <w:r>
              <w:rPr>
                <w:rFonts w:ascii="Arial" w:cs="Arial" w:eastAsia="Arial" w:hAnsi="Arial"/>
                <w:sz w:val="20"/>
                <w:szCs w:val="20"/>
                <w:i w:val="1"/>
                <w:iCs w:val="1"/>
                <w:color w:val="auto"/>
                <w:w w:val="99"/>
              </w:rPr>
              <w:t>Chief Executive</w:t>
            </w:r>
          </w:p>
        </w:tc>
        <w:tc>
          <w:tcPr>
            <w:tcW w:w="2040" w:type="dxa"/>
            <w:vAlign w:val="bottom"/>
          </w:tcPr>
          <w:p>
            <w:pPr>
              <w:jc w:val="center"/>
              <w:spacing w:after="0"/>
              <w:rPr>
                <w:sz w:val="20"/>
                <w:szCs w:val="20"/>
                <w:color w:val="auto"/>
              </w:rPr>
            </w:pPr>
            <w:r>
              <w:rPr>
                <w:rFonts w:ascii="Arial" w:cs="Arial" w:eastAsia="Arial" w:hAnsi="Arial"/>
                <w:sz w:val="20"/>
                <w:szCs w:val="20"/>
                <w:i w:val="1"/>
                <w:iCs w:val="1"/>
                <w:color w:val="auto"/>
                <w:w w:val="99"/>
              </w:rPr>
              <w:t>President and Chief</w:t>
            </w:r>
          </w:p>
        </w:tc>
        <w:tc>
          <w:tcPr>
            <w:tcW w:w="2080" w:type="dxa"/>
            <w:vAlign w:val="bottom"/>
          </w:tcPr>
          <w:p>
            <w:pPr>
              <w:jc w:val="center"/>
              <w:spacing w:after="0"/>
              <w:rPr>
                <w:sz w:val="20"/>
                <w:szCs w:val="20"/>
                <w:color w:val="auto"/>
              </w:rPr>
            </w:pPr>
            <w:r>
              <w:rPr>
                <w:rFonts w:ascii="Arial" w:cs="Arial" w:eastAsia="Arial" w:hAnsi="Arial"/>
                <w:sz w:val="20"/>
                <w:szCs w:val="20"/>
                <w:i w:val="1"/>
                <w:iCs w:val="1"/>
                <w:color w:val="auto"/>
                <w:w w:val="98"/>
              </w:rPr>
              <w:t>President and</w:t>
            </w:r>
          </w:p>
        </w:tc>
        <w:tc>
          <w:tcPr>
            <w:tcW w:w="1940" w:type="dxa"/>
            <w:vAlign w:val="bottom"/>
          </w:tcPr>
          <w:p>
            <w:pPr>
              <w:jc w:val="center"/>
              <w:ind w:right="21"/>
              <w:spacing w:after="0"/>
              <w:rPr>
                <w:sz w:val="20"/>
                <w:szCs w:val="20"/>
                <w:color w:val="auto"/>
              </w:rPr>
            </w:pPr>
            <w:r>
              <w:rPr>
                <w:rFonts w:ascii="Arial" w:cs="Arial" w:eastAsia="Arial" w:hAnsi="Arial"/>
                <w:sz w:val="20"/>
                <w:szCs w:val="20"/>
                <w:i w:val="1"/>
                <w:iCs w:val="1"/>
                <w:color w:val="auto"/>
                <w:w w:val="98"/>
              </w:rPr>
              <w:t>President and</w:t>
            </w:r>
          </w:p>
        </w:tc>
        <w:tc>
          <w:tcPr>
            <w:tcW w:w="1600" w:type="dxa"/>
            <w:vAlign w:val="bottom"/>
          </w:tcPr>
          <w:p>
            <w:pPr>
              <w:jc w:val="center"/>
              <w:ind w:left="221"/>
              <w:spacing w:after="0"/>
              <w:rPr>
                <w:sz w:val="20"/>
                <w:szCs w:val="20"/>
                <w:color w:val="auto"/>
              </w:rPr>
            </w:pPr>
            <w:r>
              <w:rPr>
                <w:rFonts w:ascii="Arial" w:cs="Arial" w:eastAsia="Arial" w:hAnsi="Arial"/>
                <w:sz w:val="20"/>
                <w:szCs w:val="20"/>
                <w:i w:val="1"/>
                <w:iCs w:val="1"/>
                <w:color w:val="auto"/>
              </w:rPr>
              <w:t>President and</w:t>
            </w:r>
          </w:p>
        </w:tc>
      </w:tr>
      <w:tr>
        <w:trPr>
          <w:trHeight w:val="286"/>
        </w:trPr>
        <w:tc>
          <w:tcPr>
            <w:tcW w:w="1660" w:type="dxa"/>
            <w:vAlign w:val="bottom"/>
          </w:tcPr>
          <w:p>
            <w:pPr>
              <w:jc w:val="center"/>
              <w:ind w:right="101"/>
              <w:spacing w:after="0"/>
              <w:rPr>
                <w:sz w:val="20"/>
                <w:szCs w:val="20"/>
                <w:color w:val="auto"/>
              </w:rPr>
            </w:pPr>
            <w:r>
              <w:rPr>
                <w:rFonts w:ascii="Arial" w:cs="Arial" w:eastAsia="Arial" w:hAnsi="Arial"/>
                <w:sz w:val="20"/>
                <w:szCs w:val="20"/>
                <w:i w:val="1"/>
                <w:iCs w:val="1"/>
                <w:color w:val="auto"/>
                <w:w w:val="98"/>
              </w:rPr>
              <w:t>Officer</w:t>
            </w:r>
          </w:p>
        </w:tc>
        <w:tc>
          <w:tcPr>
            <w:tcW w:w="2040" w:type="dxa"/>
            <w:vAlign w:val="bottom"/>
          </w:tcPr>
          <w:p>
            <w:pPr>
              <w:jc w:val="center"/>
              <w:spacing w:after="0"/>
              <w:rPr>
                <w:sz w:val="20"/>
                <w:szCs w:val="20"/>
                <w:color w:val="auto"/>
              </w:rPr>
            </w:pPr>
            <w:r>
              <w:rPr>
                <w:rFonts w:ascii="Arial" w:cs="Arial" w:eastAsia="Arial" w:hAnsi="Arial"/>
                <w:sz w:val="20"/>
                <w:szCs w:val="20"/>
                <w:i w:val="1"/>
                <w:iCs w:val="1"/>
                <w:color w:val="auto"/>
                <w:w w:val="99"/>
              </w:rPr>
              <w:t>Financial Officer</w:t>
            </w:r>
          </w:p>
        </w:tc>
        <w:tc>
          <w:tcPr>
            <w:tcW w:w="2080" w:type="dxa"/>
            <w:vAlign w:val="bottom"/>
          </w:tcPr>
          <w:p>
            <w:pPr>
              <w:jc w:val="center"/>
              <w:spacing w:after="0"/>
              <w:rPr>
                <w:sz w:val="20"/>
                <w:szCs w:val="20"/>
                <w:color w:val="auto"/>
              </w:rPr>
            </w:pPr>
            <w:r>
              <w:rPr>
                <w:rFonts w:ascii="Arial" w:cs="Arial" w:eastAsia="Arial" w:hAnsi="Arial"/>
                <w:sz w:val="20"/>
                <w:szCs w:val="20"/>
                <w:i w:val="1"/>
                <w:iCs w:val="1"/>
                <w:color w:val="auto"/>
                <w:w w:val="99"/>
              </w:rPr>
              <w:t>President,</w:t>
            </w:r>
          </w:p>
        </w:tc>
        <w:tc>
          <w:tcPr>
            <w:tcW w:w="1940" w:type="dxa"/>
            <w:vAlign w:val="bottom"/>
          </w:tcPr>
          <w:p>
            <w:pPr>
              <w:jc w:val="center"/>
              <w:ind w:right="21"/>
              <w:spacing w:after="0"/>
              <w:rPr>
                <w:sz w:val="20"/>
                <w:szCs w:val="20"/>
                <w:color w:val="auto"/>
              </w:rPr>
            </w:pPr>
            <w:r>
              <w:rPr>
                <w:rFonts w:ascii="Arial" w:cs="Arial" w:eastAsia="Arial" w:hAnsi="Arial"/>
                <w:sz w:val="20"/>
                <w:szCs w:val="20"/>
                <w:i w:val="1"/>
                <w:iCs w:val="1"/>
                <w:color w:val="auto"/>
                <w:w w:val="99"/>
              </w:rPr>
              <w:t>President,</w:t>
            </w:r>
          </w:p>
        </w:tc>
        <w:tc>
          <w:tcPr>
            <w:tcW w:w="1600" w:type="dxa"/>
            <w:vAlign w:val="bottom"/>
          </w:tcPr>
          <w:p>
            <w:pPr>
              <w:jc w:val="center"/>
              <w:ind w:left="221"/>
              <w:spacing w:after="0"/>
              <w:rPr>
                <w:sz w:val="20"/>
                <w:szCs w:val="20"/>
                <w:color w:val="auto"/>
              </w:rPr>
            </w:pPr>
            <w:r>
              <w:rPr>
                <w:rFonts w:ascii="Arial" w:cs="Arial" w:eastAsia="Arial" w:hAnsi="Arial"/>
                <w:sz w:val="20"/>
                <w:szCs w:val="20"/>
                <w:i w:val="1"/>
                <w:iCs w:val="1"/>
                <w:color w:val="auto"/>
                <w:w w:val="97"/>
              </w:rPr>
              <w:t>President,</w:t>
            </w:r>
          </w:p>
        </w:tc>
      </w:tr>
      <w:tr>
        <w:trPr>
          <w:trHeight w:val="221"/>
        </w:trPr>
        <w:tc>
          <w:tcPr>
            <w:tcW w:w="16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80" w:type="dxa"/>
            <w:vAlign w:val="bottom"/>
          </w:tcPr>
          <w:p>
            <w:pPr>
              <w:jc w:val="center"/>
              <w:spacing w:after="0" w:line="222" w:lineRule="exact"/>
              <w:rPr>
                <w:sz w:val="20"/>
                <w:szCs w:val="20"/>
                <w:color w:val="auto"/>
              </w:rPr>
            </w:pPr>
            <w:r>
              <w:rPr>
                <w:rFonts w:ascii="Arial" w:cs="Arial" w:eastAsia="Arial" w:hAnsi="Arial"/>
                <w:sz w:val="20"/>
                <w:szCs w:val="20"/>
                <w:i w:val="1"/>
                <w:iCs w:val="1"/>
                <w:color w:val="auto"/>
                <w:w w:val="99"/>
              </w:rPr>
              <w:t>Asia, Middle East &amp;</w:t>
            </w:r>
          </w:p>
        </w:tc>
        <w:tc>
          <w:tcPr>
            <w:tcW w:w="1940" w:type="dxa"/>
            <w:vAlign w:val="bottom"/>
          </w:tcPr>
          <w:p>
            <w:pPr>
              <w:jc w:val="center"/>
              <w:ind w:right="1"/>
              <w:spacing w:after="0" w:line="222" w:lineRule="exact"/>
              <w:rPr>
                <w:sz w:val="20"/>
                <w:szCs w:val="20"/>
                <w:color w:val="auto"/>
              </w:rPr>
            </w:pPr>
            <w:r>
              <w:rPr>
                <w:rFonts w:ascii="Arial" w:cs="Arial" w:eastAsia="Arial" w:hAnsi="Arial"/>
                <w:sz w:val="20"/>
                <w:szCs w:val="20"/>
                <w:i w:val="1"/>
                <w:iCs w:val="1"/>
                <w:color w:val="auto"/>
                <w:w w:val="99"/>
              </w:rPr>
              <w:t>Europe</w:t>
            </w:r>
          </w:p>
        </w:tc>
        <w:tc>
          <w:tcPr>
            <w:tcW w:w="1600" w:type="dxa"/>
            <w:vAlign w:val="bottom"/>
          </w:tcPr>
          <w:p>
            <w:pPr>
              <w:jc w:val="center"/>
              <w:ind w:left="201"/>
              <w:spacing w:after="0" w:line="222" w:lineRule="exact"/>
              <w:rPr>
                <w:sz w:val="20"/>
                <w:szCs w:val="20"/>
                <w:color w:val="auto"/>
              </w:rPr>
            </w:pPr>
            <w:r>
              <w:rPr>
                <w:rFonts w:ascii="Arial" w:cs="Arial" w:eastAsia="Arial" w:hAnsi="Arial"/>
                <w:sz w:val="20"/>
                <w:szCs w:val="20"/>
                <w:i w:val="1"/>
                <w:iCs w:val="1"/>
                <w:color w:val="auto"/>
                <w:w w:val="98"/>
              </w:rPr>
              <w:t>North America</w:t>
            </w:r>
          </w:p>
        </w:tc>
      </w:tr>
      <w:tr>
        <w:trPr>
          <w:trHeight w:val="264"/>
        </w:trPr>
        <w:tc>
          <w:tcPr>
            <w:tcW w:w="16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Arial" w:cs="Arial" w:eastAsia="Arial" w:hAnsi="Arial"/>
                <w:sz w:val="20"/>
                <w:szCs w:val="20"/>
                <w:i w:val="1"/>
                <w:iCs w:val="1"/>
                <w:color w:val="auto"/>
                <w:w w:val="99"/>
              </w:rPr>
              <w:t xml:space="preserve">Africa </w:t>
            </w:r>
            <w:r>
              <w:rPr>
                <w:rFonts w:ascii="Arial" w:cs="Arial" w:eastAsia="Arial" w:hAnsi="Arial"/>
                <w:sz w:val="20"/>
                <w:szCs w:val="20"/>
                <w:color w:val="auto"/>
                <w:w w:val="99"/>
              </w:rPr>
              <w:t>(“AMEA”)</w:t>
            </w:r>
          </w:p>
        </w:tc>
        <w:tc>
          <w:tcPr>
            <w:tcW w:w="1940" w:type="dxa"/>
            <w:vAlign w:val="bottom"/>
          </w:tcPr>
          <w:p>
            <w:pPr>
              <w:spacing w:after="0"/>
              <w:rPr>
                <w:sz w:val="22"/>
                <w:szCs w:val="22"/>
                <w:color w:val="auto"/>
              </w:rPr>
            </w:pPr>
          </w:p>
        </w:tc>
        <w:tc>
          <w:tcPr>
            <w:tcW w:w="1600" w:type="dxa"/>
            <w:vAlign w:val="bottom"/>
          </w:tcPr>
          <w:p>
            <w:pPr>
              <w:spacing w:after="0"/>
              <w:rPr>
                <w:sz w:val="22"/>
                <w:szCs w:val="22"/>
                <w:color w:val="auto"/>
              </w:rPr>
            </w:pPr>
          </w:p>
        </w:tc>
      </w:tr>
    </w:tbl>
    <w:p>
      <w:pPr>
        <w:spacing w:after="0" w:line="246" w:lineRule="exact"/>
        <w:rPr>
          <w:sz w:val="20"/>
          <w:szCs w:val="20"/>
          <w:color w:val="auto"/>
        </w:rPr>
      </w:pPr>
    </w:p>
    <w:p>
      <w:pPr>
        <w:ind w:left="660"/>
        <w:spacing w:after="0"/>
        <w:rPr>
          <w:sz w:val="20"/>
          <w:szCs w:val="20"/>
          <w:color w:val="auto"/>
        </w:rPr>
      </w:pPr>
      <w:r>
        <w:rPr>
          <w:sz w:val="1"/>
          <w:szCs w:val="1"/>
          <w:color w:val="auto"/>
        </w:rPr>
        <w:drawing>
          <wp:inline distT="0" distB="0" distL="0" distR="0">
            <wp:extent cx="157480" cy="15748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Executive Summary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582C83"/>
        </w:rPr>
        <w:t>OUR GROWTH STRATEGY</w:t>
      </w:r>
    </w:p>
    <w:p>
      <w:pPr>
        <w:spacing w:after="0" w:line="94" w:lineRule="exact"/>
        <w:rPr>
          <w:sz w:val="20"/>
          <w:szCs w:val="20"/>
          <w:color w:val="auto"/>
        </w:rPr>
      </w:pPr>
    </w:p>
    <w:p>
      <w:pPr>
        <w:ind w:left="660" w:right="680"/>
        <w:spacing w:after="0" w:line="242" w:lineRule="auto"/>
        <w:rPr>
          <w:sz w:val="20"/>
          <w:szCs w:val="20"/>
          <w:color w:val="auto"/>
        </w:rPr>
      </w:pPr>
      <w:r>
        <w:rPr>
          <w:rFonts w:ascii="Arial" w:cs="Arial" w:eastAsia="Arial" w:hAnsi="Arial"/>
          <w:sz w:val="20"/>
          <w:szCs w:val="20"/>
          <w:color w:val="auto"/>
        </w:rPr>
        <w:t xml:space="preserve">We have continued to make significant progress against our long-term strategy - investing in differentiated marketing and sales capabilities, while strengthening our local-first operating model to further empower local markets and promote a growth culture. Recognizing the urgent challenges facing the planet and the communities in which we operate, we have elevated </w:t>
      </w:r>
      <w:r>
        <w:rPr>
          <w:rFonts w:ascii="Arial" w:cs="Arial" w:eastAsia="Arial" w:hAnsi="Arial"/>
          <w:sz w:val="20"/>
          <w:szCs w:val="20"/>
          <w:i w:val="1"/>
          <w:iCs w:val="1"/>
          <w:color w:val="auto"/>
        </w:rPr>
        <w:t>Sustainability</w:t>
      </w:r>
      <w:r>
        <w:rPr>
          <w:rFonts w:ascii="Arial" w:cs="Arial" w:eastAsia="Arial" w:hAnsi="Arial"/>
          <w:sz w:val="20"/>
          <w:szCs w:val="20"/>
          <w:color w:val="auto"/>
        </w:rPr>
        <w:t xml:space="preserve"> to become a fourth pillar of our long-term growth strategy - </w:t>
      </w:r>
      <w:r>
        <w:rPr>
          <w:rFonts w:ascii="Arial" w:cs="Arial" w:eastAsia="Arial" w:hAnsi="Arial"/>
          <w:sz w:val="20"/>
          <w:szCs w:val="20"/>
          <w:i w:val="1"/>
          <w:iCs w:val="1"/>
          <w:color w:val="auto"/>
        </w:rPr>
        <w:t>Growth, Execution</w:t>
      </w:r>
      <w:r>
        <w:rPr>
          <w:rFonts w:ascii="Arial" w:cs="Arial" w:eastAsia="Arial" w:hAnsi="Arial"/>
          <w:sz w:val="20"/>
          <w:szCs w:val="20"/>
          <w:color w:val="auto"/>
        </w:rPr>
        <w:t>,</w:t>
      </w:r>
      <w:r>
        <w:rPr>
          <w:rFonts w:ascii="Arial" w:cs="Arial" w:eastAsia="Arial" w:hAnsi="Arial"/>
          <w:sz w:val="20"/>
          <w:szCs w:val="20"/>
          <w:i w:val="1"/>
          <w:iCs w:val="1"/>
          <w:color w:val="auto"/>
        </w:rPr>
        <w:t xml:space="preserve"> Culture </w:t>
      </w:r>
      <w:r>
        <w:rPr>
          <w:rFonts w:ascii="Arial" w:cs="Arial" w:eastAsia="Arial" w:hAnsi="Arial"/>
          <w:sz w:val="20"/>
          <w:szCs w:val="20"/>
          <w:color w:val="auto"/>
        </w:rPr>
        <w:t>and</w:t>
      </w:r>
      <w:r>
        <w:rPr>
          <w:rFonts w:ascii="Arial" w:cs="Arial" w:eastAsia="Arial" w:hAnsi="Arial"/>
          <w:sz w:val="20"/>
          <w:szCs w:val="20"/>
          <w:i w:val="1"/>
          <w:iCs w:val="1"/>
          <w:color w:val="auto"/>
        </w:rPr>
        <w:t xml:space="preserve"> Sustainability</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3115"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69" w:name="page70"/>
    <w:bookmarkEnd w:id="69"/>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
        <w:spacing w:after="0"/>
        <w:rPr>
          <w:sz w:val="20"/>
          <w:szCs w:val="20"/>
          <w:color w:val="auto"/>
        </w:rPr>
      </w:pPr>
      <w:r>
        <w:rPr>
          <w:rFonts w:ascii="Arial" w:cs="Arial" w:eastAsia="Arial" w:hAnsi="Arial"/>
          <w:sz w:val="20"/>
          <w:szCs w:val="20"/>
          <w:color w:val="auto"/>
        </w:rPr>
        <w:t>We aim to be the global leader in snacking by continuing to focus on these four priorities:</w:t>
      </w:r>
    </w:p>
    <w:p>
      <w:pPr>
        <w:spacing w:after="0" w:line="93" w:lineRule="exact"/>
        <w:rPr>
          <w:sz w:val="20"/>
          <w:szCs w:val="20"/>
          <w:color w:val="auto"/>
        </w:rPr>
      </w:pPr>
    </w:p>
    <w:p>
      <w:pPr>
        <w:ind w:left="161" w:right="400" w:hanging="161"/>
        <w:spacing w:after="0" w:line="268" w:lineRule="auto"/>
        <w:tabs>
          <w:tab w:leader="none" w:pos="161" w:val="left"/>
        </w:tabs>
        <w:numPr>
          <w:ilvl w:val="0"/>
          <w:numId w:val="63"/>
        </w:numPr>
        <w:rPr>
          <w:rFonts w:ascii="Arial" w:cs="Arial" w:eastAsia="Arial" w:hAnsi="Arial"/>
          <w:sz w:val="20"/>
          <w:szCs w:val="20"/>
          <w:color w:val="582C83"/>
        </w:rPr>
      </w:pPr>
      <w:r>
        <w:rPr>
          <w:rFonts w:ascii="Arial" w:cs="Arial" w:eastAsia="Arial" w:hAnsi="Arial"/>
          <w:sz w:val="20"/>
          <w:szCs w:val="20"/>
          <w:b w:val="1"/>
          <w:bCs w:val="1"/>
          <w:i w:val="1"/>
          <w:iCs w:val="1"/>
          <w:color w:val="auto"/>
        </w:rPr>
        <w:t>Growth</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Accelerating growth and focusing the portfolio on generating 90% of revenue from chocolate, biscuits and baked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snacks.</w:t>
      </w:r>
    </w:p>
    <w:p>
      <w:pPr>
        <w:spacing w:after="0" w:line="32" w:lineRule="exact"/>
        <w:rPr>
          <w:rFonts w:ascii="Arial" w:cs="Arial" w:eastAsia="Arial" w:hAnsi="Arial"/>
          <w:sz w:val="20"/>
          <w:szCs w:val="20"/>
          <w:color w:val="582C83"/>
        </w:rPr>
      </w:pPr>
    </w:p>
    <w:p>
      <w:pPr>
        <w:ind w:left="161" w:right="500" w:hanging="161"/>
        <w:spacing w:after="0" w:line="268" w:lineRule="auto"/>
        <w:tabs>
          <w:tab w:leader="none" w:pos="161" w:val="left"/>
        </w:tabs>
        <w:numPr>
          <w:ilvl w:val="0"/>
          <w:numId w:val="63"/>
        </w:numPr>
        <w:rPr>
          <w:rFonts w:ascii="Arial" w:cs="Arial" w:eastAsia="Arial" w:hAnsi="Arial"/>
          <w:sz w:val="20"/>
          <w:szCs w:val="20"/>
          <w:color w:val="582C83"/>
        </w:rPr>
      </w:pPr>
      <w:r>
        <w:rPr>
          <w:rFonts w:ascii="Arial" w:cs="Arial" w:eastAsia="Arial" w:hAnsi="Arial"/>
          <w:sz w:val="20"/>
          <w:szCs w:val="20"/>
          <w:b w:val="1"/>
          <w:bCs w:val="1"/>
          <w:i w:val="1"/>
          <w:iCs w:val="1"/>
          <w:color w:val="auto"/>
        </w:rPr>
        <w:t>Execution</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Investing more than $1 billion to become the digital commerce snacks leader while advancing future-forward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commercial growth capabilities.</w:t>
      </w:r>
    </w:p>
    <w:p>
      <w:pPr>
        <w:spacing w:after="0" w:line="32" w:lineRule="exact"/>
        <w:rPr>
          <w:rFonts w:ascii="Arial" w:cs="Arial" w:eastAsia="Arial" w:hAnsi="Arial"/>
          <w:sz w:val="20"/>
          <w:szCs w:val="20"/>
          <w:color w:val="582C83"/>
        </w:rPr>
      </w:pPr>
    </w:p>
    <w:p>
      <w:pPr>
        <w:ind w:left="161" w:right="120" w:hanging="161"/>
        <w:spacing w:after="0" w:line="268" w:lineRule="auto"/>
        <w:tabs>
          <w:tab w:leader="none" w:pos="161" w:val="left"/>
        </w:tabs>
        <w:numPr>
          <w:ilvl w:val="0"/>
          <w:numId w:val="63"/>
        </w:numPr>
        <w:rPr>
          <w:rFonts w:ascii="Arial" w:cs="Arial" w:eastAsia="Arial" w:hAnsi="Arial"/>
          <w:sz w:val="20"/>
          <w:szCs w:val="20"/>
          <w:color w:val="582C83"/>
        </w:rPr>
      </w:pPr>
      <w:r>
        <w:rPr>
          <w:rFonts w:ascii="Arial" w:cs="Arial" w:eastAsia="Arial" w:hAnsi="Arial"/>
          <w:sz w:val="20"/>
          <w:szCs w:val="20"/>
          <w:b w:val="1"/>
          <w:bCs w:val="1"/>
          <w:i w:val="1"/>
          <w:iCs w:val="1"/>
          <w:color w:val="auto"/>
        </w:rPr>
        <w:t>Culture</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Strengthening the Company’s local-first operating model to further empower employees, promoting a growth culture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continue building a team of deep and diverse talent.</w:t>
      </w:r>
    </w:p>
    <w:p>
      <w:pPr>
        <w:spacing w:after="0" w:line="32" w:lineRule="exact"/>
        <w:rPr>
          <w:rFonts w:ascii="Arial" w:cs="Arial" w:eastAsia="Arial" w:hAnsi="Arial"/>
          <w:sz w:val="20"/>
          <w:szCs w:val="20"/>
          <w:color w:val="582C83"/>
        </w:rPr>
      </w:pPr>
    </w:p>
    <w:p>
      <w:pPr>
        <w:ind w:left="161" w:right="100" w:hanging="161"/>
        <w:spacing w:after="0" w:line="268" w:lineRule="auto"/>
        <w:tabs>
          <w:tab w:leader="none" w:pos="161" w:val="left"/>
        </w:tabs>
        <w:numPr>
          <w:ilvl w:val="0"/>
          <w:numId w:val="63"/>
        </w:numPr>
        <w:rPr>
          <w:rFonts w:ascii="Arial" w:cs="Arial" w:eastAsia="Arial" w:hAnsi="Arial"/>
          <w:sz w:val="20"/>
          <w:szCs w:val="20"/>
          <w:color w:val="582C83"/>
        </w:rPr>
      </w:pPr>
      <w:r>
        <w:rPr>
          <w:rFonts w:ascii="Arial" w:cs="Arial" w:eastAsia="Arial" w:hAnsi="Arial"/>
          <w:sz w:val="20"/>
          <w:szCs w:val="20"/>
          <w:b w:val="1"/>
          <w:bCs w:val="1"/>
          <w:i w:val="1"/>
          <w:iCs w:val="1"/>
          <w:color w:val="auto"/>
        </w:rPr>
        <w:t>Sustainability</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Helping to drive positive change at scale across the Company’s focused set of ESG priorities – creating long-term value for both the business and its stakeholders.</w:t>
      </w:r>
    </w:p>
    <w:p>
      <w:pPr>
        <w:spacing w:after="0" w:line="107" w:lineRule="exact"/>
        <w:rPr>
          <w:sz w:val="20"/>
          <w:szCs w:val="20"/>
          <w:color w:val="auto"/>
        </w:rPr>
      </w:pPr>
    </w:p>
    <w:p>
      <w:pPr>
        <w:ind w:left="1"/>
        <w:spacing w:after="0"/>
        <w:rPr>
          <w:sz w:val="20"/>
          <w:szCs w:val="20"/>
          <w:color w:val="auto"/>
        </w:rPr>
      </w:pPr>
      <w:r>
        <w:rPr>
          <w:rFonts w:ascii="Arial" w:cs="Arial" w:eastAsia="Arial" w:hAnsi="Arial"/>
          <w:sz w:val="20"/>
          <w:szCs w:val="20"/>
          <w:color w:val="auto"/>
        </w:rPr>
        <w:t>Our financial results demonstrate the success of our strategy and continued execution against it. Over the past five years, we have seen a marked increase in our top-line growth, volume, gross profit dollar growth and cash flow generation. We believe our current momentum, superior brand portfolio, advantaged geographic and attractive categories, expanded ESG agenda and ability to reshape our portfolio position us well to continue creating strong shareholder value. Our reward structure continues to be tightly aligned with our strategy, using incentive plan metrics that are intended to drive high quality results against each of the four pillars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143115"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70" w:name="page71"/>
    <w:bookmarkEnd w:id="70"/>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582C83"/>
        </w:rPr>
        <w:t>PERFORMANCE OVERVIEW</w:t>
      </w:r>
    </w:p>
    <w:p>
      <w:pPr>
        <w:spacing w:after="0" w:line="94" w:lineRule="exact"/>
        <w:rPr>
          <w:sz w:val="20"/>
          <w:szCs w:val="20"/>
          <w:color w:val="auto"/>
        </w:rPr>
      </w:pPr>
    </w:p>
    <w:p>
      <w:pPr>
        <w:ind w:left="1" w:right="520"/>
        <w:spacing w:after="0" w:line="250" w:lineRule="auto"/>
        <w:rPr>
          <w:sz w:val="20"/>
          <w:szCs w:val="20"/>
          <w:color w:val="auto"/>
        </w:rPr>
      </w:pPr>
      <w:r>
        <w:rPr>
          <w:rFonts w:ascii="Arial" w:cs="Arial" w:eastAsia="Arial" w:hAnsi="Arial"/>
          <w:sz w:val="20"/>
          <w:szCs w:val="20"/>
          <w:color w:val="auto"/>
        </w:rPr>
        <w:t>Our 2022 performance demonstrates that our strategic priorities and long-term strategy are working while focusing on navigating through a volatile environment. Year-over-year highlights of our 2022 performance, which reflects the near term challenging operating conditions,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96520</wp:posOffset>
            </wp:positionV>
            <wp:extent cx="5629275" cy="26492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62927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01" w:right="160" w:hanging="301"/>
        <w:spacing w:after="0"/>
        <w:tabs>
          <w:tab w:leader="none" w:pos="301" w:val="left"/>
        </w:tabs>
        <w:numPr>
          <w:ilvl w:val="0"/>
          <w:numId w:val="64"/>
        </w:numPr>
        <w:rPr>
          <w:rFonts w:ascii="Arial" w:cs="Arial" w:eastAsia="Arial" w:hAnsi="Arial"/>
          <w:sz w:val="20"/>
          <w:szCs w:val="20"/>
          <w:color w:val="auto"/>
        </w:rPr>
      </w:pPr>
      <w:r>
        <w:rPr>
          <w:rFonts w:ascii="Arial" w:cs="Arial" w:eastAsia="Arial" w:hAnsi="Arial"/>
          <w:sz w:val="20"/>
          <w:szCs w:val="20"/>
          <w:color w:val="auto"/>
        </w:rPr>
        <w:t>Given the nature of non-recurring items that impacted our 2022 reported diluted EPS growth, we believe adjusted EPS growth provides the most accurate picture of our 2022 performance. Our 2022 reported diluted EPS growth was negatively impacted by significant currency headwinds due to the stronger US$ and other items affecting comparability, including lapping prior-year net gains on equity method transactions, unfavorable year-over-year mark-to-market impacts from currency and commodity derivatives as we lapped prior year gains, the impact from the European Commission legal matter and higher acquisition-related costs. Please refer to Annex A for more information on these items.</w:t>
      </w:r>
    </w:p>
    <w:p>
      <w:pPr>
        <w:spacing w:after="0" w:line="135" w:lineRule="exact"/>
        <w:rPr>
          <w:sz w:val="20"/>
          <w:szCs w:val="20"/>
          <w:color w:val="auto"/>
        </w:rPr>
      </w:pPr>
    </w:p>
    <w:p>
      <w:pPr>
        <w:ind w:left="1" w:right="100"/>
        <w:spacing w:after="0" w:line="250" w:lineRule="auto"/>
        <w:rPr>
          <w:sz w:val="20"/>
          <w:szCs w:val="20"/>
          <w:color w:val="auto"/>
        </w:rPr>
      </w:pPr>
      <w:r>
        <w:rPr>
          <w:rFonts w:ascii="Arial" w:cs="Arial" w:eastAsia="Arial" w:hAnsi="Arial"/>
          <w:sz w:val="20"/>
          <w:szCs w:val="20"/>
          <w:color w:val="auto"/>
        </w:rPr>
        <w:t>We report our financial results in accordance with U.S. GAAP. However, we use non-GAAP financial measures in making financial, operating and planning decisions and in evaluating our performance. See definitions of these measures and GAAP to non-GAAP reconciliations in Annex A.</w:t>
      </w:r>
    </w:p>
    <w:p>
      <w:pPr>
        <w:spacing w:after="0" w:line="126" w:lineRule="exact"/>
        <w:rPr>
          <w:sz w:val="20"/>
          <w:szCs w:val="20"/>
          <w:color w:val="auto"/>
        </w:rPr>
      </w:pPr>
    </w:p>
    <w:p>
      <w:pPr>
        <w:ind w:left="1" w:right="40"/>
        <w:spacing w:after="0" w:line="242" w:lineRule="auto"/>
        <w:rPr>
          <w:sz w:val="20"/>
          <w:szCs w:val="20"/>
          <w:color w:val="auto"/>
        </w:rPr>
      </w:pPr>
      <w:r>
        <w:rPr>
          <w:rFonts w:ascii="Arial" w:cs="Arial" w:eastAsia="Arial" w:hAnsi="Arial"/>
          <w:sz w:val="20"/>
          <w:szCs w:val="20"/>
          <w:color w:val="auto"/>
        </w:rPr>
        <w:t>Our results continue to demonstrate the power of our brands, the strength of our global footprint and the potential of our strategic plan. In 2022, we delivered robust top-line growth, continued strength in both emerging and developed markets, strong profit dollar growth and a strengthened portfolio with mergers and acquisitions. As demonstrated below, our execution of our strategy over the past five years continues to drive positive Total Shareholder Return (“TSR”) performance and has often outpaced most of our industry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3115"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71" w:name="page72"/>
    <w:bookmarkEnd w:id="71"/>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Annualized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114935</wp:posOffset>
            </wp:positionV>
            <wp:extent cx="5629275" cy="15455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62927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In 2022, we delivered approximately $2 billion in dividends to shareholders and returned approximately $2 billion in capital to shareholders in the form of share repurchases while continuing to make significant investments in our business. All of this was made possible through our strong Free Cash Flow of approximately $4 billion for 2022. See definition of Free Cash Flow and GAAP to non-GAAP reconciliations in 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43115"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2" w:name="page73"/>
    <w:bookmarkEnd w:id="72"/>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582C83"/>
        </w:rPr>
        <w:t>OVERVIEW OF PAY ELEMENTS</w:t>
      </w:r>
    </w:p>
    <w:p>
      <w:pPr>
        <w:spacing w:after="0" w:line="94" w:lineRule="exact"/>
        <w:rPr>
          <w:sz w:val="20"/>
          <w:szCs w:val="20"/>
          <w:color w:val="auto"/>
        </w:rPr>
      </w:pPr>
    </w:p>
    <w:p>
      <w:pPr>
        <w:jc w:val="both"/>
        <w:ind w:left="1" w:right="140"/>
        <w:spacing w:after="0" w:line="244" w:lineRule="auto"/>
        <w:rPr>
          <w:sz w:val="20"/>
          <w:szCs w:val="20"/>
          <w:color w:val="auto"/>
        </w:rPr>
      </w:pPr>
      <w:r>
        <w:rPr>
          <w:rFonts w:ascii="Arial" w:cs="Arial" w:eastAsia="Arial" w:hAnsi="Arial"/>
          <w:sz w:val="20"/>
          <w:szCs w:val="20"/>
          <w:color w:val="auto"/>
        </w:rPr>
        <w:t xml:space="preserve">This table identifies and describes the primary elements of the 2022 executive compensation program for our NEOs. The pay elements below are aligned directly to the key business goals highlighted in the Performance Overview section above. A </w:t>
      </w:r>
      <w:r>
        <w:rPr>
          <w:rFonts w:ascii="Times New Roman" w:cs="Times New Roman" w:eastAsia="Times New Roman" w:hAnsi="Times New Roman"/>
          <w:sz w:val="20"/>
          <w:szCs w:val="20"/>
          <w:color w:val="auto"/>
        </w:rPr>
        <w:t> </w:t>
      </w:r>
      <w:r>
        <w:rPr>
          <w:rFonts w:ascii="Arial" w:cs="Arial" w:eastAsia="Arial" w:hAnsi="Arial"/>
          <w:sz w:val="20"/>
          <w:szCs w:val="20"/>
          <w:color w:val="auto"/>
        </w:rPr>
        <w:t>more detailed discussion, including definitions of the financial measures used in our AIP and PSU grants, appears later in this CD&amp;A and in 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179070</wp:posOffset>
            </wp:positionV>
            <wp:extent cx="5605780" cy="383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605780" cy="383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81" w:hanging="281"/>
        <w:spacing w:after="0"/>
        <w:tabs>
          <w:tab w:leader="none" w:pos="281" w:val="left"/>
        </w:tabs>
        <w:numPr>
          <w:ilvl w:val="0"/>
          <w:numId w:val="65"/>
        </w:numPr>
        <w:rPr>
          <w:rFonts w:ascii="Arial" w:cs="Arial" w:eastAsia="Arial" w:hAnsi="Arial"/>
          <w:sz w:val="15"/>
          <w:szCs w:val="15"/>
          <w:color w:val="auto"/>
        </w:rPr>
      </w:pPr>
      <w:r>
        <w:rPr>
          <w:rFonts w:ascii="Arial" w:cs="Arial" w:eastAsia="Arial" w:hAnsi="Arial"/>
          <w:sz w:val="15"/>
          <w:szCs w:val="15"/>
          <w:color w:val="auto"/>
        </w:rPr>
        <w:t>See definitions in Annex A.</w:t>
      </w:r>
    </w:p>
    <w:p>
      <w:pPr>
        <w:spacing w:after="0" w:line="38" w:lineRule="exact"/>
        <w:rPr>
          <w:rFonts w:ascii="Arial" w:cs="Arial" w:eastAsia="Arial" w:hAnsi="Arial"/>
          <w:sz w:val="15"/>
          <w:szCs w:val="15"/>
          <w:color w:val="auto"/>
        </w:rPr>
      </w:pPr>
    </w:p>
    <w:p>
      <w:pPr>
        <w:ind w:left="281" w:hanging="281"/>
        <w:spacing w:after="0"/>
        <w:tabs>
          <w:tab w:leader="none" w:pos="281" w:val="left"/>
        </w:tabs>
        <w:numPr>
          <w:ilvl w:val="0"/>
          <w:numId w:val="65"/>
        </w:numPr>
        <w:rPr>
          <w:rFonts w:ascii="Arial" w:cs="Arial" w:eastAsia="Arial" w:hAnsi="Arial"/>
          <w:sz w:val="15"/>
          <w:szCs w:val="15"/>
          <w:color w:val="auto"/>
        </w:rPr>
      </w:pPr>
      <w:r>
        <w:rPr>
          <w:rFonts w:ascii="Arial" w:cs="Arial" w:eastAsia="Arial" w:hAnsi="Arial"/>
          <w:sz w:val="15"/>
          <w:szCs w:val="15"/>
          <w:color w:val="auto"/>
        </w:rPr>
        <w:t>Based on SPI goals, including ESG goals. See Strategic Progress Indicators on page 77 for detail on the 2022 SPI goals.</w:t>
      </w:r>
    </w:p>
    <w:p>
      <w:pPr>
        <w:spacing w:after="0" w:line="23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2022 COMPENSATION PROGRAM DESIGN CHANGES</w:t>
      </w:r>
    </w:p>
    <w:p>
      <w:pPr>
        <w:spacing w:after="0" w:line="167" w:lineRule="exact"/>
        <w:rPr>
          <w:sz w:val="20"/>
          <w:szCs w:val="20"/>
          <w:color w:val="auto"/>
        </w:rPr>
      </w:pPr>
    </w:p>
    <w:p>
      <w:pPr>
        <w:ind w:left="1" w:right="60"/>
        <w:spacing w:after="0" w:line="268" w:lineRule="auto"/>
        <w:rPr>
          <w:sz w:val="20"/>
          <w:szCs w:val="20"/>
          <w:color w:val="auto"/>
        </w:rPr>
      </w:pPr>
      <w:r>
        <w:rPr>
          <w:rFonts w:ascii="Arial" w:cs="Arial" w:eastAsia="Arial" w:hAnsi="Arial"/>
          <w:sz w:val="20"/>
          <w:szCs w:val="20"/>
          <w:color w:val="auto"/>
        </w:rPr>
        <w:t>We did not make any material changes to our 2022 design relative to our design in 2021. Our program remains aligned with our business strategy and reflects the strength of ongoing shareholder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3115"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73" w:name="page74"/>
    <w:bookmarkEnd w:id="73"/>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EXECUTIVE COMPENSATION GOALS AND PRINCIPLES</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The People and Compensation Committee oversees our executive compensation program focusing on four primary principles.</w:t>
      </w:r>
    </w:p>
    <w:p>
      <w:pPr>
        <w:spacing w:after="0" w:line="278" w:lineRule="exact"/>
        <w:rPr>
          <w:sz w:val="20"/>
          <w:szCs w:val="20"/>
          <w:color w:val="auto"/>
        </w:rPr>
      </w:pPr>
    </w:p>
    <w:p>
      <w:pPr>
        <w:ind w:left="60"/>
        <w:spacing w:after="0"/>
        <w:tabs>
          <w:tab w:leader="none" w:pos="5100" w:val="left"/>
        </w:tabs>
        <w:rPr>
          <w:sz w:val="20"/>
          <w:szCs w:val="20"/>
          <w:color w:val="auto"/>
        </w:rPr>
      </w:pPr>
      <w:r>
        <w:rPr>
          <w:rFonts w:ascii="Arial" w:cs="Arial" w:eastAsia="Arial" w:hAnsi="Arial"/>
          <w:sz w:val="20"/>
          <w:szCs w:val="20"/>
          <w:b w:val="1"/>
          <w:bCs w:val="1"/>
          <w:color w:val="auto"/>
        </w:rPr>
        <w:t>Principle</w:t>
      </w:r>
      <w:r>
        <w:rPr>
          <w:sz w:val="20"/>
          <w:szCs w:val="20"/>
          <w:color w:val="auto"/>
        </w:rPr>
        <w:tab/>
      </w:r>
      <w:r>
        <w:rPr>
          <w:rFonts w:ascii="Arial" w:cs="Arial" w:eastAsia="Arial" w:hAnsi="Arial"/>
          <w:sz w:val="20"/>
          <w:szCs w:val="20"/>
          <w:b w:val="1"/>
          <w:bCs w:val="1"/>
          <w:color w:val="auto"/>
        </w:rPr>
        <w:t>How We Accomplish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51370" cy="5200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1370" cy="52006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p>
      <w:pPr>
        <w:spacing w:after="0" w:line="105" w:lineRule="exact"/>
        <w:rPr>
          <w:sz w:val="20"/>
          <w:szCs w:val="20"/>
          <w:color w:val="auto"/>
        </w:rPr>
      </w:pPr>
    </w:p>
    <w:p>
      <w:pPr>
        <w:ind w:left="80"/>
        <w:spacing w:after="0" w:line="268" w:lineRule="auto"/>
        <w:rPr>
          <w:sz w:val="20"/>
          <w:szCs w:val="20"/>
          <w:color w:val="auto"/>
        </w:rPr>
      </w:pPr>
      <w:r>
        <w:rPr>
          <w:rFonts w:ascii="Arial" w:cs="Arial" w:eastAsia="Arial" w:hAnsi="Arial"/>
          <w:sz w:val="20"/>
          <w:szCs w:val="20"/>
          <w:color w:val="auto"/>
        </w:rPr>
        <w:t>Attract, retain and motivate talented executives and develop world-class business leaders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160" w:right="340" w:hanging="160"/>
        <w:spacing w:after="0" w:line="250" w:lineRule="auto"/>
        <w:tabs>
          <w:tab w:leader="none" w:pos="160" w:val="left"/>
        </w:tabs>
        <w:numPr>
          <w:ilvl w:val="0"/>
          <w:numId w:val="66"/>
        </w:numPr>
        <w:rPr>
          <w:rFonts w:ascii="Arial" w:cs="Arial" w:eastAsia="Arial" w:hAnsi="Arial"/>
          <w:sz w:val="20"/>
          <w:szCs w:val="20"/>
          <w:color w:val="582C83"/>
        </w:rPr>
      </w:pPr>
      <w:r>
        <w:rPr>
          <w:rFonts w:ascii="Arial" w:cs="Arial" w:eastAsia="Arial" w:hAnsi="Arial"/>
          <w:sz w:val="20"/>
          <w:szCs w:val="20"/>
          <w:color w:val="auto"/>
        </w:rPr>
        <w:t>Align our executive pay packages with comparable positions at companies in our Compensation Survey Peer Group, taking into account tenure, performance and complexity of scope</w:t>
      </w:r>
    </w:p>
    <w:p>
      <w:pPr>
        <w:spacing w:after="0" w:line="64" w:lineRule="exact"/>
        <w:rPr>
          <w:sz w:val="20"/>
          <w:szCs w:val="20"/>
          <w:color w:val="auto"/>
        </w:rPr>
      </w:pPr>
    </w:p>
    <w:p>
      <w:pPr>
        <w:sectPr>
          <w:pgSz w:w="11900" w:h="16838" w:orient="portrait"/>
          <w:cols w:equalWidth="0" w:num="2">
            <w:col w:w="4600" w:space="540"/>
            <w:col w:w="6120"/>
          </w:cols>
          <w:pgMar w:left="320" w:top="132" w:right="319" w:bottom="1440" w:gutter="0" w:footer="0" w:header="0"/>
          <w:type w:val="continuous"/>
        </w:sectPr>
      </w:pPr>
    </w:p>
    <w:p>
      <w:pPr>
        <w:ind w:left="60"/>
        <w:spacing w:after="0" w:line="244" w:lineRule="auto"/>
        <w:rPr>
          <w:sz w:val="20"/>
          <w:szCs w:val="20"/>
          <w:color w:val="auto"/>
        </w:rPr>
      </w:pPr>
      <w:r>
        <w:rPr>
          <w:rFonts w:ascii="Arial" w:cs="Arial" w:eastAsia="Arial" w:hAnsi="Arial"/>
          <w:sz w:val="20"/>
          <w:szCs w:val="20"/>
          <w:color w:val="auto"/>
        </w:rPr>
        <w:t>Align pay and performance by making a significant portion of our executives’ compensation dependent on achieving financial and other critical strategic and individual goals</w:t>
      </w:r>
    </w:p>
    <w:p>
      <w:pPr>
        <w:spacing w:after="0" w:line="20" w:lineRule="exact"/>
        <w:rPr>
          <w:sz w:val="20"/>
          <w:szCs w:val="20"/>
          <w:color w:val="auto"/>
        </w:rPr>
      </w:pPr>
      <w:r>
        <w:rPr>
          <w:sz w:val="20"/>
          <w:szCs w:val="20"/>
          <w:color w:val="auto"/>
        </w:rPr>
        <w:br w:type="column"/>
      </w:r>
    </w:p>
    <w:p>
      <w:pPr>
        <w:ind w:left="173" w:right="160" w:hanging="173"/>
        <w:spacing w:after="0" w:line="247" w:lineRule="auto"/>
        <w:tabs>
          <w:tab w:leader="none" w:pos="173" w:val="left"/>
        </w:tabs>
        <w:numPr>
          <w:ilvl w:val="0"/>
          <w:numId w:val="67"/>
        </w:numPr>
        <w:rPr>
          <w:rFonts w:ascii="Arial" w:cs="Arial" w:eastAsia="Arial" w:hAnsi="Arial"/>
          <w:sz w:val="20"/>
          <w:szCs w:val="20"/>
          <w:color w:val="582C83"/>
        </w:rPr>
      </w:pPr>
      <w:r>
        <w:rPr>
          <w:rFonts w:ascii="Arial" w:cs="Arial" w:eastAsia="Arial" w:hAnsi="Arial"/>
          <w:sz w:val="20"/>
          <w:szCs w:val="20"/>
          <w:color w:val="auto"/>
        </w:rPr>
        <w:t>Set substantive performance goals reflecting strategy at the beginning of performance cycles and hold executives accountable for delivering on those targets</w:t>
      </w:r>
    </w:p>
    <w:p>
      <w:pPr>
        <w:ind w:left="173" w:right="220" w:hanging="173"/>
        <w:spacing w:after="0" w:line="265" w:lineRule="auto"/>
        <w:tabs>
          <w:tab w:leader="none" w:pos="173" w:val="left"/>
        </w:tabs>
        <w:numPr>
          <w:ilvl w:val="0"/>
          <w:numId w:val="67"/>
        </w:numPr>
        <w:rPr>
          <w:rFonts w:ascii="Arial" w:cs="Arial" w:eastAsia="Arial" w:hAnsi="Arial"/>
          <w:sz w:val="20"/>
          <w:szCs w:val="20"/>
          <w:color w:val="582C83"/>
        </w:rPr>
      </w:pPr>
      <w:r>
        <w:rPr>
          <w:rFonts w:ascii="Arial" w:cs="Arial" w:eastAsia="Arial" w:hAnsi="Arial"/>
          <w:sz w:val="20"/>
          <w:szCs w:val="20"/>
          <w:color w:val="auto"/>
        </w:rPr>
        <w:t>Consider individual performance in achievement against strategic goals</w:t>
      </w:r>
    </w:p>
    <w:p>
      <w:pPr>
        <w:spacing w:after="0" w:line="12" w:lineRule="exact"/>
        <w:rPr>
          <w:sz w:val="20"/>
          <w:szCs w:val="20"/>
          <w:color w:val="auto"/>
        </w:rPr>
      </w:pPr>
    </w:p>
    <w:p>
      <w:pPr>
        <w:sectPr>
          <w:pgSz w:w="11900" w:h="16838" w:orient="portrait"/>
          <w:cols w:equalWidth="0" w:num="2">
            <w:col w:w="4840" w:space="287"/>
            <w:col w:w="6133"/>
          </w:cols>
          <w:pgMar w:left="320" w:top="132" w:right="31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5070" w:type="dxa"/>
            <w:vAlign w:val="bottom"/>
            <w:shd w:val="clear" w:color="auto" w:fill="EBE6F0"/>
          </w:tcPr>
          <w:p>
            <w:pPr>
              <w:ind w:left="80"/>
              <w:spacing w:after="0"/>
              <w:rPr>
                <w:sz w:val="20"/>
                <w:szCs w:val="20"/>
                <w:color w:val="auto"/>
              </w:rPr>
            </w:pPr>
            <w:r>
              <w:rPr>
                <w:rFonts w:ascii="Arial" w:cs="Arial" w:eastAsia="Arial" w:hAnsi="Arial"/>
                <w:sz w:val="20"/>
                <w:szCs w:val="20"/>
                <w:color w:val="auto"/>
              </w:rPr>
              <w:t>Put pay at risk by heavily weighting the mix of fixed and</w:t>
            </w:r>
          </w:p>
        </w:tc>
        <w:tc>
          <w:tcPr>
            <w:tcW w:w="617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90% of our CEO’s compensation and on average 83% of the other</w:t>
            </w:r>
          </w:p>
        </w:tc>
        <w:tc>
          <w:tcPr>
            <w:tcW w:w="20" w:type="dxa"/>
            <w:vAlign w:val="bottom"/>
            <w:shd w:val="clear" w:color="auto" w:fill="EBE6F0"/>
          </w:tcPr>
          <w:p>
            <w:pPr>
              <w:spacing w:after="0"/>
              <w:rPr>
                <w:sz w:val="22"/>
                <w:szCs w:val="22"/>
                <w:color w:val="auto"/>
              </w:rPr>
            </w:pPr>
          </w:p>
        </w:tc>
      </w:tr>
      <w:tr>
        <w:trPr>
          <w:trHeight w:val="292"/>
        </w:trPr>
        <w:tc>
          <w:tcPr>
            <w:tcW w:w="507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0"/>
                <w:szCs w:val="20"/>
                <w:color w:val="auto"/>
              </w:rPr>
              <w:t>variable compensation toward variable components</w:t>
            </w:r>
          </w:p>
        </w:tc>
        <w:tc>
          <w:tcPr>
            <w:tcW w:w="6170" w:type="dxa"/>
            <w:vAlign w:val="bottom"/>
            <w:tcBorders>
              <w:bottom w:val="single" w:sz="8" w:color="EBE6F0"/>
            </w:tcBorders>
            <w:shd w:val="clear" w:color="auto" w:fill="EBE6F0"/>
          </w:tcPr>
          <w:p>
            <w:pPr>
              <w:ind w:left="230"/>
              <w:spacing w:after="0"/>
              <w:rPr>
                <w:sz w:val="20"/>
                <w:szCs w:val="20"/>
                <w:color w:val="auto"/>
              </w:rPr>
            </w:pPr>
            <w:r>
              <w:rPr>
                <w:rFonts w:ascii="Arial" w:cs="Arial" w:eastAsia="Arial" w:hAnsi="Arial"/>
                <w:sz w:val="20"/>
                <w:szCs w:val="20"/>
                <w:color w:val="auto"/>
              </w:rPr>
              <w:t>NEOs’ compensation is at risk</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47"/>
        </w:trPr>
        <w:tc>
          <w:tcPr>
            <w:tcW w:w="5070" w:type="dxa"/>
            <w:vAlign w:val="bottom"/>
          </w:tcPr>
          <w:p>
            <w:pPr>
              <w:ind w:left="60"/>
              <w:spacing w:after="0"/>
              <w:rPr>
                <w:sz w:val="20"/>
                <w:szCs w:val="20"/>
                <w:color w:val="auto"/>
              </w:rPr>
            </w:pPr>
            <w:r>
              <w:rPr>
                <w:rFonts w:ascii="Arial" w:cs="Arial" w:eastAsia="Arial" w:hAnsi="Arial"/>
                <w:sz w:val="20"/>
                <w:szCs w:val="20"/>
                <w:color w:val="auto"/>
              </w:rPr>
              <w:t>Align our executives’ and shareholders’ interests to</w:t>
            </w:r>
          </w:p>
        </w:tc>
        <w:tc>
          <w:tcPr>
            <w:tcW w:w="6170" w:type="dxa"/>
            <w:vAlign w:val="bottom"/>
          </w:tcPr>
          <w:p>
            <w:pPr>
              <w:ind w:left="5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70% of our CEO’s compensation and on average 65% of the other</w:t>
            </w:r>
          </w:p>
        </w:tc>
        <w:tc>
          <w:tcPr>
            <w:tcW w:w="20" w:type="dxa"/>
            <w:vAlign w:val="bottom"/>
          </w:tcPr>
          <w:p>
            <w:pPr>
              <w:spacing w:after="0"/>
              <w:rPr>
                <w:sz w:val="21"/>
                <w:szCs w:val="21"/>
                <w:color w:val="auto"/>
              </w:rPr>
            </w:pPr>
          </w:p>
        </w:tc>
      </w:tr>
      <w:tr>
        <w:trPr>
          <w:trHeight w:val="223"/>
        </w:trPr>
        <w:tc>
          <w:tcPr>
            <w:tcW w:w="5070" w:type="dxa"/>
            <w:vAlign w:val="bottom"/>
          </w:tcPr>
          <w:p>
            <w:pPr>
              <w:ind w:left="60"/>
              <w:spacing w:after="0" w:line="224" w:lineRule="exact"/>
              <w:rPr>
                <w:sz w:val="20"/>
                <w:szCs w:val="20"/>
                <w:color w:val="auto"/>
              </w:rPr>
            </w:pPr>
            <w:r>
              <w:rPr>
                <w:rFonts w:ascii="Arial" w:cs="Arial" w:eastAsia="Arial" w:hAnsi="Arial"/>
                <w:sz w:val="20"/>
                <w:szCs w:val="20"/>
                <w:color w:val="auto"/>
              </w:rPr>
              <w:t>promote sustained and superior long-term shareholder</w:t>
            </w:r>
          </w:p>
        </w:tc>
        <w:tc>
          <w:tcPr>
            <w:tcW w:w="6170" w:type="dxa"/>
            <w:vAlign w:val="bottom"/>
          </w:tcPr>
          <w:p>
            <w:pPr>
              <w:ind w:left="230"/>
              <w:spacing w:after="0" w:line="224" w:lineRule="exact"/>
              <w:rPr>
                <w:sz w:val="20"/>
                <w:szCs w:val="20"/>
                <w:color w:val="auto"/>
              </w:rPr>
            </w:pPr>
            <w:r>
              <w:rPr>
                <w:rFonts w:ascii="Arial" w:cs="Arial" w:eastAsia="Arial" w:hAnsi="Arial"/>
                <w:sz w:val="20"/>
                <w:szCs w:val="20"/>
                <w:color w:val="auto"/>
              </w:rPr>
              <w:t>NEOs’ compensation is in equity-based grants</w:t>
            </w:r>
          </w:p>
        </w:tc>
        <w:tc>
          <w:tcPr>
            <w:tcW w:w="20" w:type="dxa"/>
            <w:vAlign w:val="bottom"/>
          </w:tcPr>
          <w:p>
            <w:pPr>
              <w:spacing w:after="0"/>
              <w:rPr>
                <w:sz w:val="19"/>
                <w:szCs w:val="19"/>
                <w:color w:val="auto"/>
              </w:rPr>
            </w:pPr>
          </w:p>
        </w:tc>
      </w:tr>
      <w:tr>
        <w:trPr>
          <w:trHeight w:val="261"/>
        </w:trPr>
        <w:tc>
          <w:tcPr>
            <w:tcW w:w="5070" w:type="dxa"/>
            <w:vAlign w:val="bottom"/>
          </w:tcPr>
          <w:p>
            <w:pPr>
              <w:ind w:left="60"/>
              <w:spacing w:after="0"/>
              <w:rPr>
                <w:sz w:val="20"/>
                <w:szCs w:val="20"/>
                <w:color w:val="auto"/>
              </w:rPr>
            </w:pPr>
            <w:r>
              <w:rPr>
                <w:rFonts w:ascii="Arial" w:cs="Arial" w:eastAsia="Arial" w:hAnsi="Arial"/>
                <w:sz w:val="20"/>
                <w:szCs w:val="20"/>
                <w:color w:val="auto"/>
              </w:rPr>
              <w:t>returns</w:t>
            </w:r>
          </w:p>
        </w:tc>
        <w:tc>
          <w:tcPr>
            <w:tcW w:w="6170" w:type="dxa"/>
            <w:vAlign w:val="bottom"/>
          </w:tcPr>
          <w:p>
            <w:pPr>
              <w:ind w:left="5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Maintain stock ownership policy that requires ownership at or</w:t>
            </w:r>
          </w:p>
        </w:tc>
        <w:tc>
          <w:tcPr>
            <w:tcW w:w="20" w:type="dxa"/>
            <w:vAlign w:val="bottom"/>
          </w:tcPr>
          <w:p>
            <w:pPr>
              <w:spacing w:after="0"/>
              <w:rPr>
                <w:sz w:val="22"/>
                <w:szCs w:val="22"/>
                <w:color w:val="auto"/>
              </w:rPr>
            </w:pPr>
          </w:p>
        </w:tc>
      </w:tr>
      <w:tr>
        <w:trPr>
          <w:trHeight w:val="223"/>
        </w:trPr>
        <w:tc>
          <w:tcPr>
            <w:tcW w:w="5070" w:type="dxa"/>
            <w:vAlign w:val="bottom"/>
          </w:tcPr>
          <w:p>
            <w:pPr>
              <w:spacing w:after="0"/>
              <w:rPr>
                <w:sz w:val="19"/>
                <w:szCs w:val="19"/>
                <w:color w:val="auto"/>
              </w:rPr>
            </w:pPr>
          </w:p>
        </w:tc>
        <w:tc>
          <w:tcPr>
            <w:tcW w:w="6170" w:type="dxa"/>
            <w:vAlign w:val="bottom"/>
          </w:tcPr>
          <w:p>
            <w:pPr>
              <w:ind w:left="230"/>
              <w:spacing w:after="0" w:line="224" w:lineRule="exact"/>
              <w:rPr>
                <w:sz w:val="20"/>
                <w:szCs w:val="20"/>
                <w:color w:val="auto"/>
              </w:rPr>
            </w:pPr>
            <w:r>
              <w:rPr>
                <w:rFonts w:ascii="Arial" w:cs="Arial" w:eastAsia="Arial" w:hAnsi="Arial"/>
                <w:sz w:val="20"/>
                <w:szCs w:val="20"/>
                <w:color w:val="auto"/>
              </w:rPr>
              <w:t>above peer benchmark levels: CEO must hold 8 times salary and</w:t>
            </w:r>
          </w:p>
        </w:tc>
        <w:tc>
          <w:tcPr>
            <w:tcW w:w="20" w:type="dxa"/>
            <w:vAlign w:val="bottom"/>
          </w:tcPr>
          <w:p>
            <w:pPr>
              <w:spacing w:after="0"/>
              <w:rPr>
                <w:sz w:val="19"/>
                <w:szCs w:val="19"/>
                <w:color w:val="auto"/>
              </w:rPr>
            </w:pPr>
          </w:p>
        </w:tc>
      </w:tr>
      <w:tr>
        <w:trPr>
          <w:trHeight w:val="264"/>
        </w:trPr>
        <w:tc>
          <w:tcPr>
            <w:tcW w:w="5070" w:type="dxa"/>
            <w:vAlign w:val="bottom"/>
          </w:tcPr>
          <w:p>
            <w:pPr>
              <w:spacing w:after="0"/>
              <w:rPr>
                <w:sz w:val="22"/>
                <w:szCs w:val="22"/>
                <w:color w:val="auto"/>
              </w:rPr>
            </w:pPr>
          </w:p>
        </w:tc>
        <w:tc>
          <w:tcPr>
            <w:tcW w:w="6170" w:type="dxa"/>
            <w:vAlign w:val="bottom"/>
          </w:tcPr>
          <w:p>
            <w:pPr>
              <w:ind w:left="230"/>
              <w:spacing w:after="0"/>
              <w:rPr>
                <w:sz w:val="20"/>
                <w:szCs w:val="20"/>
                <w:color w:val="auto"/>
              </w:rPr>
            </w:pPr>
            <w:r>
              <w:rPr>
                <w:rFonts w:ascii="Arial" w:cs="Arial" w:eastAsia="Arial" w:hAnsi="Arial"/>
                <w:sz w:val="20"/>
                <w:szCs w:val="20"/>
                <w:color w:val="auto"/>
              </w:rPr>
              <w:t>other NEOs must hold 4 times salary</w:t>
            </w:r>
          </w:p>
        </w:tc>
        <w:tc>
          <w:tcPr>
            <w:tcW w:w="20" w:type="dxa"/>
            <w:vAlign w:val="bottom"/>
          </w:tcPr>
          <w:p>
            <w:pPr>
              <w:spacing w:after="0"/>
              <w:rPr>
                <w:sz w:val="22"/>
                <w:szCs w:val="22"/>
                <w:color w:val="auto"/>
              </w:rPr>
            </w:pPr>
          </w:p>
        </w:tc>
      </w:tr>
      <w:tr>
        <w:trPr>
          <w:trHeight w:val="35"/>
        </w:trPr>
        <w:tc>
          <w:tcPr>
            <w:tcW w:w="5070" w:type="dxa"/>
            <w:vAlign w:val="bottom"/>
            <w:tcBorders>
              <w:bottom w:val="single" w:sz="8" w:color="582C83"/>
            </w:tcBorders>
          </w:tcPr>
          <w:p>
            <w:pPr>
              <w:spacing w:after="0"/>
              <w:rPr>
                <w:sz w:val="3"/>
                <w:szCs w:val="3"/>
                <w:color w:val="auto"/>
              </w:rPr>
            </w:pPr>
          </w:p>
        </w:tc>
        <w:tc>
          <w:tcPr>
            <w:tcW w:w="617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SHAREHOLDER ENGAGEMENT ON EXECUTIVE COMPENSATION</w:t>
      </w:r>
    </w:p>
    <w:p>
      <w:pPr>
        <w:spacing w:after="0" w:line="94"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The Board encourages open and constructive dialogue with shareholders regarding our executive compensation policies and practices. At the 2022 Annual Meeting of Shareholders, more than 93% of the votes cast in our say-on-pay advisory vote were in favor of our executive compensation policies and practices. We did not make any changes to our compensation program as a result of the advisory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1520190</wp:posOffset>
            </wp:positionV>
            <wp:extent cx="7143115"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100965</wp:posOffset>
            </wp:positionV>
            <wp:extent cx="5913120" cy="12223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913120" cy="122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060"/>
        <w:spacing w:after="0"/>
        <w:rPr>
          <w:sz w:val="20"/>
          <w:szCs w:val="20"/>
          <w:color w:val="auto"/>
        </w:rPr>
      </w:pPr>
      <w:r>
        <w:rPr>
          <w:rFonts w:ascii="Arial" w:cs="Arial" w:eastAsia="Arial" w:hAnsi="Arial"/>
          <w:sz w:val="15"/>
          <w:szCs w:val="15"/>
          <w:b w:val="1"/>
          <w:bCs w:val="1"/>
          <w:color w:val="58358F"/>
        </w:rPr>
        <w:t>2023 PROXY STATEMENT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COMPENSATION PROGRAM GOVERNANCE</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Our executive compensation governance reflects best practices to protect and promote our shareholders’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90740" cy="4864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90740" cy="486473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60"/>
        <w:spacing w:after="0"/>
        <w:rPr>
          <w:sz w:val="20"/>
          <w:szCs w:val="20"/>
          <w:color w:val="auto"/>
        </w:rPr>
      </w:pPr>
      <w:r>
        <w:rPr>
          <w:rFonts w:ascii="Arial" w:cs="Arial" w:eastAsia="Arial" w:hAnsi="Arial"/>
          <w:sz w:val="20"/>
          <w:szCs w:val="20"/>
          <w:b w:val="1"/>
          <w:bCs w:val="1"/>
          <w:color w:val="582C83"/>
        </w:rPr>
        <w:t>WHAT WE DO</w:t>
      </w:r>
    </w:p>
    <w:p>
      <w:pPr>
        <w:spacing w:after="0" w:line="242" w:lineRule="exact"/>
        <w:rPr>
          <w:sz w:val="20"/>
          <w:szCs w:val="20"/>
          <w:color w:val="auto"/>
        </w:rPr>
      </w:pPr>
    </w:p>
    <w:p>
      <w:pPr>
        <w:ind w:left="420"/>
        <w:spacing w:after="0"/>
        <w:rPr>
          <w:sz w:val="20"/>
          <w:szCs w:val="20"/>
          <w:color w:val="auto"/>
        </w:rPr>
      </w:pPr>
      <w:r>
        <w:rPr>
          <w:rFonts w:ascii="Arial" w:cs="Arial" w:eastAsia="Arial" w:hAnsi="Arial"/>
          <w:sz w:val="20"/>
          <w:szCs w:val="20"/>
          <w:color w:val="auto"/>
        </w:rPr>
        <w:t>Require significant stock ownership</w:t>
      </w:r>
    </w:p>
    <w:p>
      <w:pPr>
        <w:spacing w:after="0" w:line="118" w:lineRule="exact"/>
        <w:rPr>
          <w:sz w:val="20"/>
          <w:szCs w:val="20"/>
          <w:color w:val="auto"/>
        </w:rPr>
      </w:pPr>
    </w:p>
    <w:p>
      <w:pPr>
        <w:ind w:left="440" w:right="420"/>
        <w:spacing w:after="0" w:line="295" w:lineRule="auto"/>
        <w:rPr>
          <w:sz w:val="20"/>
          <w:szCs w:val="20"/>
          <w:color w:val="auto"/>
        </w:rPr>
      </w:pPr>
      <w:r>
        <w:rPr>
          <w:rFonts w:ascii="Arial" w:cs="Arial" w:eastAsia="Arial" w:hAnsi="Arial"/>
          <w:sz w:val="19"/>
          <w:szCs w:val="19"/>
          <w:color w:val="auto"/>
        </w:rPr>
        <w:t>Require executives to hold equity for at least one year after exercising stock options or vesting of full-value awards</w:t>
      </w:r>
    </w:p>
    <w:p>
      <w:pPr>
        <w:spacing w:after="0" w:line="59" w:lineRule="exact"/>
        <w:rPr>
          <w:sz w:val="20"/>
          <w:szCs w:val="20"/>
          <w:color w:val="auto"/>
        </w:rPr>
      </w:pPr>
    </w:p>
    <w:p>
      <w:pPr>
        <w:ind w:left="440" w:right="300"/>
        <w:spacing w:after="0" w:line="268" w:lineRule="auto"/>
        <w:rPr>
          <w:sz w:val="20"/>
          <w:szCs w:val="20"/>
          <w:color w:val="auto"/>
        </w:rPr>
      </w:pPr>
      <w:r>
        <w:rPr>
          <w:rFonts w:ascii="Arial" w:cs="Arial" w:eastAsia="Arial" w:hAnsi="Arial"/>
          <w:sz w:val="20"/>
          <w:szCs w:val="20"/>
          <w:color w:val="auto"/>
        </w:rPr>
        <w:t>Require above-median TSR performance relative to peers to earn a target PSU payout on that component</w:t>
      </w:r>
    </w:p>
    <w:p>
      <w:pPr>
        <w:spacing w:after="0" w:line="82" w:lineRule="exact"/>
        <w:rPr>
          <w:sz w:val="20"/>
          <w:szCs w:val="20"/>
          <w:color w:val="auto"/>
        </w:rPr>
      </w:pPr>
    </w:p>
    <w:p>
      <w:pPr>
        <w:ind w:left="440" w:right="180"/>
        <w:spacing w:after="0" w:line="250" w:lineRule="auto"/>
        <w:rPr>
          <w:sz w:val="20"/>
          <w:szCs w:val="20"/>
          <w:color w:val="auto"/>
        </w:rPr>
      </w:pPr>
      <w:r>
        <w:rPr>
          <w:rFonts w:ascii="Arial" w:cs="Arial" w:eastAsia="Arial" w:hAnsi="Arial"/>
          <w:sz w:val="20"/>
          <w:szCs w:val="20"/>
          <w:color w:val="auto"/>
        </w:rPr>
        <w:t>Provide for “clawbacks” upon certain financial restatements or significant misconduct that could damage the Company’s reputation</w:t>
      </w:r>
    </w:p>
    <w:p>
      <w:pPr>
        <w:spacing w:after="0" w:line="101" w:lineRule="exact"/>
        <w:rPr>
          <w:sz w:val="20"/>
          <w:szCs w:val="20"/>
          <w:color w:val="auto"/>
        </w:rPr>
      </w:pPr>
    </w:p>
    <w:p>
      <w:pPr>
        <w:ind w:left="440" w:right="1180"/>
        <w:spacing w:after="0" w:line="388" w:lineRule="auto"/>
        <w:rPr>
          <w:sz w:val="20"/>
          <w:szCs w:val="20"/>
          <w:color w:val="auto"/>
        </w:rPr>
      </w:pPr>
      <w:r>
        <w:rPr>
          <w:rFonts w:ascii="Arial" w:cs="Arial" w:eastAsia="Arial" w:hAnsi="Arial"/>
          <w:sz w:val="20"/>
          <w:szCs w:val="20"/>
          <w:color w:val="auto"/>
        </w:rPr>
        <w:t>Conduct an annual compensation risk assessment Offer limited perquisites</w:t>
      </w:r>
    </w:p>
    <w:p>
      <w:pPr>
        <w:spacing w:after="0" w:line="1" w:lineRule="exact"/>
        <w:rPr>
          <w:sz w:val="20"/>
          <w:szCs w:val="20"/>
          <w:color w:val="auto"/>
        </w:rPr>
      </w:pPr>
    </w:p>
    <w:p>
      <w:pPr>
        <w:ind w:left="440" w:right="220"/>
        <w:spacing w:after="0" w:line="268" w:lineRule="auto"/>
        <w:rPr>
          <w:sz w:val="20"/>
          <w:szCs w:val="20"/>
          <w:color w:val="auto"/>
        </w:rPr>
      </w:pPr>
      <w:r>
        <w:rPr>
          <w:rFonts w:ascii="Arial" w:cs="Arial" w:eastAsia="Arial" w:hAnsi="Arial"/>
          <w:sz w:val="20"/>
          <w:szCs w:val="20"/>
          <w:color w:val="auto"/>
        </w:rPr>
        <w:t>Pay severance and vest equity only upon a “double trigger” in the event of a change in control (“CIC”)</w:t>
      </w:r>
    </w:p>
    <w:p>
      <w:pPr>
        <w:spacing w:after="0" w:line="82" w:lineRule="exact"/>
        <w:rPr>
          <w:sz w:val="20"/>
          <w:szCs w:val="20"/>
          <w:color w:val="auto"/>
        </w:rPr>
      </w:pPr>
    </w:p>
    <w:p>
      <w:pPr>
        <w:ind w:left="440" w:right="520"/>
        <w:spacing w:after="0" w:line="268" w:lineRule="auto"/>
        <w:rPr>
          <w:sz w:val="20"/>
          <w:szCs w:val="20"/>
          <w:color w:val="auto"/>
        </w:rPr>
      </w:pPr>
      <w:r>
        <w:rPr>
          <w:rFonts w:ascii="Arial" w:cs="Arial" w:eastAsia="Arial" w:hAnsi="Arial"/>
          <w:sz w:val="20"/>
          <w:szCs w:val="20"/>
          <w:color w:val="auto"/>
        </w:rPr>
        <w:t>Benchmark executive compensation and our performance compared to relevant comparators</w:t>
      </w:r>
    </w:p>
    <w:p>
      <w:pPr>
        <w:spacing w:after="0" w:line="82" w:lineRule="exact"/>
        <w:rPr>
          <w:sz w:val="20"/>
          <w:szCs w:val="20"/>
          <w:color w:val="auto"/>
        </w:rPr>
      </w:pPr>
    </w:p>
    <w:p>
      <w:pPr>
        <w:ind w:left="440" w:right="100"/>
        <w:spacing w:after="0" w:line="295" w:lineRule="auto"/>
        <w:rPr>
          <w:sz w:val="20"/>
          <w:szCs w:val="20"/>
          <w:color w:val="auto"/>
        </w:rPr>
      </w:pPr>
      <w:r>
        <w:rPr>
          <w:rFonts w:ascii="Arial" w:cs="Arial" w:eastAsia="Arial" w:hAnsi="Arial"/>
          <w:sz w:val="19"/>
          <w:szCs w:val="19"/>
          <w:color w:val="auto"/>
        </w:rPr>
        <w:t>Provide for a significant majority of compensation that is based on objective, quantifiable pre-established performance goals</w:t>
      </w:r>
    </w:p>
    <w:p>
      <w:pPr>
        <w:spacing w:after="0" w:line="59" w:lineRule="exact"/>
        <w:rPr>
          <w:sz w:val="20"/>
          <w:szCs w:val="20"/>
          <w:color w:val="auto"/>
        </w:rPr>
      </w:pPr>
    </w:p>
    <w:p>
      <w:pPr>
        <w:ind w:left="440" w:right="180"/>
        <w:spacing w:after="0" w:line="268" w:lineRule="auto"/>
        <w:rPr>
          <w:sz w:val="20"/>
          <w:szCs w:val="20"/>
          <w:color w:val="auto"/>
        </w:rPr>
      </w:pPr>
      <w:r>
        <w:rPr>
          <w:rFonts w:ascii="Arial" w:cs="Arial" w:eastAsia="Arial" w:hAnsi="Arial"/>
          <w:sz w:val="20"/>
          <w:szCs w:val="20"/>
          <w:color w:val="auto"/>
        </w:rPr>
        <w:t>Retain an independent compensation consultant to advise the People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1062355</wp:posOffset>
            </wp:positionV>
            <wp:extent cx="7143115"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582C83"/>
        </w:rPr>
        <w:t>WHAT WE DON’T DO</w:t>
      </w:r>
    </w:p>
    <w:p>
      <w:pPr>
        <w:spacing w:after="0" w:line="366" w:lineRule="exact"/>
        <w:rPr>
          <w:sz w:val="20"/>
          <w:szCs w:val="20"/>
          <w:color w:val="auto"/>
        </w:rPr>
      </w:pPr>
    </w:p>
    <w:p>
      <w:pPr>
        <w:ind w:left="20" w:right="440"/>
        <w:spacing w:after="0" w:line="268" w:lineRule="auto"/>
        <w:rPr>
          <w:sz w:val="20"/>
          <w:szCs w:val="20"/>
          <w:color w:val="auto"/>
        </w:rPr>
      </w:pPr>
      <w:r>
        <w:rPr>
          <w:rFonts w:ascii="Arial" w:cs="Arial" w:eastAsia="Arial" w:hAnsi="Arial"/>
          <w:sz w:val="20"/>
          <w:szCs w:val="20"/>
          <w:color w:val="auto"/>
        </w:rPr>
        <w:t>No re-pricing or exchanging underwater stock options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No dividends paid to executives before PSUs vest</w:t>
      </w:r>
    </w:p>
    <w:p>
      <w:pPr>
        <w:spacing w:after="0" w:line="143" w:lineRule="exact"/>
        <w:rPr>
          <w:sz w:val="20"/>
          <w:szCs w:val="20"/>
          <w:color w:val="auto"/>
        </w:rPr>
      </w:pPr>
    </w:p>
    <w:p>
      <w:pPr>
        <w:ind w:left="20" w:right="480"/>
        <w:spacing w:after="0" w:line="268" w:lineRule="auto"/>
        <w:rPr>
          <w:sz w:val="20"/>
          <w:szCs w:val="20"/>
          <w:color w:val="auto"/>
        </w:rPr>
      </w:pPr>
      <w:r>
        <w:rPr>
          <w:rFonts w:ascii="Arial" w:cs="Arial" w:eastAsia="Arial" w:hAnsi="Arial"/>
          <w:sz w:val="20"/>
          <w:szCs w:val="20"/>
          <w:color w:val="auto"/>
        </w:rPr>
        <w:t>No separate, enhanced health and welfare or retirement benefit plans for NEOs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20"/>
          <w:szCs w:val="20"/>
          <w:color w:val="auto"/>
        </w:rPr>
        <w:t>No guaranteed increases to base salaries</w:t>
      </w:r>
    </w:p>
    <w:p>
      <w:pPr>
        <w:spacing w:after="0" w:line="143" w:lineRule="exact"/>
        <w:rPr>
          <w:sz w:val="20"/>
          <w:szCs w:val="20"/>
          <w:color w:val="auto"/>
        </w:rPr>
      </w:pPr>
    </w:p>
    <w:p>
      <w:pPr>
        <w:ind w:left="20" w:right="760"/>
        <w:spacing w:after="0" w:line="268" w:lineRule="auto"/>
        <w:rPr>
          <w:sz w:val="20"/>
          <w:szCs w:val="20"/>
          <w:color w:val="auto"/>
        </w:rPr>
      </w:pPr>
      <w:r>
        <w:rPr>
          <w:rFonts w:ascii="Arial" w:cs="Arial" w:eastAsia="Arial" w:hAnsi="Arial"/>
          <w:sz w:val="20"/>
          <w:szCs w:val="20"/>
          <w:color w:val="auto"/>
        </w:rPr>
        <w:t>No hedging, pledging or short sales of our Common Stock</w:t>
      </w:r>
    </w:p>
    <w:p>
      <w:pPr>
        <w:spacing w:after="0" w:line="82" w:lineRule="exact"/>
        <w:rPr>
          <w:sz w:val="20"/>
          <w:szCs w:val="20"/>
          <w:color w:val="auto"/>
        </w:rPr>
      </w:pPr>
    </w:p>
    <w:p>
      <w:pPr>
        <w:ind w:left="20" w:right="60"/>
        <w:spacing w:after="0" w:line="268" w:lineRule="auto"/>
        <w:rPr>
          <w:sz w:val="20"/>
          <w:szCs w:val="20"/>
          <w:color w:val="auto"/>
        </w:rPr>
      </w:pPr>
      <w:r>
        <w:rPr>
          <w:rFonts w:ascii="Arial" w:cs="Arial" w:eastAsia="Arial" w:hAnsi="Arial"/>
          <w:sz w:val="20"/>
          <w:szCs w:val="20"/>
          <w:color w:val="auto"/>
        </w:rPr>
        <w:t>No tax gross-ups to NEOs for perquisites or in the event of a change in control</w:t>
      </w:r>
    </w:p>
    <w:p>
      <w:pPr>
        <w:spacing w:after="0" w:line="82" w:lineRule="exact"/>
        <w:rPr>
          <w:sz w:val="20"/>
          <w:szCs w:val="20"/>
          <w:color w:val="auto"/>
        </w:rPr>
      </w:pPr>
    </w:p>
    <w:p>
      <w:pPr>
        <w:ind w:left="20" w:right="100"/>
        <w:spacing w:after="0" w:line="268" w:lineRule="auto"/>
        <w:rPr>
          <w:sz w:val="20"/>
          <w:szCs w:val="20"/>
          <w:color w:val="auto"/>
        </w:rPr>
      </w:pPr>
      <w:r>
        <w:rPr>
          <w:rFonts w:ascii="Arial" w:cs="Arial" w:eastAsia="Arial" w:hAnsi="Arial"/>
          <w:sz w:val="20"/>
          <w:szCs w:val="20"/>
          <w:color w:val="auto"/>
        </w:rPr>
        <w:t>No incentives to produce short-term results to the detriment of long-term goals and results</w:t>
      </w:r>
    </w:p>
    <w:p>
      <w:pPr>
        <w:spacing w:after="0" w:line="82" w:lineRule="exact"/>
        <w:rPr>
          <w:sz w:val="20"/>
          <w:szCs w:val="20"/>
          <w:color w:val="auto"/>
        </w:rPr>
      </w:pPr>
    </w:p>
    <w:p>
      <w:pPr>
        <w:ind w:left="20"/>
        <w:spacing w:after="0" w:line="268" w:lineRule="auto"/>
        <w:rPr>
          <w:sz w:val="20"/>
          <w:szCs w:val="20"/>
          <w:color w:val="auto"/>
        </w:rPr>
      </w:pPr>
      <w:r>
        <w:rPr>
          <w:rFonts w:ascii="Arial" w:cs="Arial" w:eastAsia="Arial" w:hAnsi="Arial"/>
          <w:sz w:val="20"/>
          <w:szCs w:val="20"/>
          <w:color w:val="auto"/>
        </w:rPr>
        <w:t>No incentives to pursue excessively risky business strategies</w:t>
      </w:r>
    </w:p>
    <w:p>
      <w:pPr>
        <w:spacing w:after="0" w:line="1205" w:lineRule="exact"/>
        <w:rPr>
          <w:sz w:val="20"/>
          <w:szCs w:val="20"/>
          <w:color w:val="auto"/>
        </w:rPr>
      </w:pPr>
    </w:p>
    <w:p>
      <w:pPr>
        <w:sectPr>
          <w:pgSz w:w="11900" w:h="16838" w:orient="portrait"/>
          <w:cols w:equalWidth="0" w:num="2">
            <w:col w:w="6060" w:space="720"/>
            <w:col w:w="4460"/>
          </w:cols>
          <w:pgMar w:left="320" w:top="1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060"/>
        <w:spacing w:after="0"/>
        <w:rPr>
          <w:sz w:val="20"/>
          <w:szCs w:val="20"/>
          <w:color w:val="auto"/>
        </w:rPr>
      </w:pPr>
      <w:r>
        <w:rPr>
          <w:rFonts w:ascii="Arial" w:cs="Arial" w:eastAsia="Arial" w:hAnsi="Arial"/>
          <w:sz w:val="15"/>
          <w:szCs w:val="15"/>
          <w:b w:val="1"/>
          <w:bCs w:val="1"/>
          <w:color w:val="58358F"/>
        </w:rPr>
        <w:t>2023 PROXY STATEMENT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Detailed Program Discussion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TOTAL TARGET COMPENSATION MIX</w:t>
      </w:r>
    </w:p>
    <w:p>
      <w:pPr>
        <w:spacing w:after="0" w:line="94"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The People and Compensation Committee places significant focus on performance-based compensation, which is provided in the form of an annual performance incentive under the AIP and stock options and PSUs under the LTIP. Our</w:t>
      </w:r>
      <w:r>
        <w:rPr>
          <w:rFonts w:ascii="Times New Roman" w:cs="Times New Roman" w:eastAsia="Times New Roman" w:hAnsi="Times New Roman"/>
          <w:sz w:val="20"/>
          <w:szCs w:val="20"/>
          <w:color w:val="auto"/>
        </w:rPr>
        <w:t> </w:t>
      </w:r>
      <w:r>
        <w:rPr>
          <w:rFonts w:ascii="Arial" w:cs="Arial" w:eastAsia="Arial" w:hAnsi="Arial"/>
          <w:sz w:val="20"/>
          <w:szCs w:val="20"/>
          <w:color w:val="auto"/>
        </w:rPr>
        <w:t>focus on performance-based compensation rewards strong Company financial and operating performance and aligns the interests of our NEOs with those of our shareholders.</w:t>
      </w:r>
    </w:p>
    <w:p>
      <w:pPr>
        <w:spacing w:after="0" w:line="132"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Below we show the 2022 total target compensation mix for our CEO and, on average, our other NEOs. This compensation mix includes base pay, target annual incentive and long-term incentive grants. A significant portion of compensation for both the CEO and the other NEOs is at risk/variable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96520</wp:posOffset>
            </wp:positionV>
            <wp:extent cx="5282565" cy="14903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282565" cy="149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BASE SALARY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56"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color w:val="auto"/>
        </w:rPr>
        <w:t>Base salary is the primary element of fixed compensation. In determining the base salary that each NEO receives, we look at the executive’s current compensation, tenure, performance, any change in the executive’s position or responsibilities and the complexity and scope of the executive’s position as compared to those of other executives within the Company and in similar positions at companies in our Compensation Survey Peer group. The People and Compensation Committee reviews NEO salaries annually. If awarded, salary increases are generally effective April 1. If</w:t>
      </w:r>
      <w:r>
        <w:rPr>
          <w:rFonts w:ascii="Times New Roman" w:cs="Times New Roman" w:eastAsia="Times New Roman" w:hAnsi="Times New Roman"/>
          <w:sz w:val="20"/>
          <w:szCs w:val="20"/>
          <w:color w:val="auto"/>
        </w:rPr>
        <w:t> </w:t>
      </w:r>
      <w:r>
        <w:rPr>
          <w:rFonts w:ascii="Arial" w:cs="Arial" w:eastAsia="Arial" w:hAnsi="Arial"/>
          <w:sz w:val="20"/>
          <w:szCs w:val="20"/>
          <w:color w:val="auto"/>
        </w:rPr>
        <w:t>there is a notable change in a NEO’s role and responsibilities during the year, the People and Compensation Committee considers whether an off-cycle increase is warranted. No NEO received an off-cycle increase in 2022.</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Compensation Actions</w:t>
      </w:r>
    </w:p>
    <w:p>
      <w:pPr>
        <w:spacing w:after="0" w:line="56"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Mr. Van de Put, Mr. Zaramella, Mr. Brusadelli and Mr. Gruber each received a base salary increase in 2022 to reflect their strong performance and contributions in their current roles and to maintain market competitiveness with external peers. Mr. Valle served as EVP and President, Latin America until he was appointed to his new role, as the EVP and President, North America on March 1, 2022, and he received a base salary increase to reflect his new role and performance. Base salaries for all the NEOs and increases (where applicable) are shown in the table below.</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2840" w:type="dxa"/>
            <w:vAlign w:val="bottom"/>
            <w:tcBorders>
              <w:bottom w:val="single" w:sz="8" w:color="582C83"/>
            </w:tcBorders>
          </w:tcPr>
          <w:p>
            <w:pPr>
              <w:ind w:left="80"/>
              <w:spacing w:after="0"/>
              <w:rPr>
                <w:sz w:val="20"/>
                <w:szCs w:val="20"/>
                <w:color w:val="auto"/>
              </w:rPr>
            </w:pPr>
            <w:r>
              <w:rPr>
                <w:rFonts w:ascii="Arial" w:cs="Arial" w:eastAsia="Arial" w:hAnsi="Arial"/>
                <w:sz w:val="16"/>
                <w:szCs w:val="16"/>
                <w:b w:val="1"/>
                <w:bCs w:val="1"/>
                <w:color w:val="auto"/>
              </w:rPr>
              <w:t>Name</w:t>
            </w:r>
          </w:p>
        </w:tc>
        <w:tc>
          <w:tcPr>
            <w:tcW w:w="280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2021 base salary</w:t>
            </w:r>
          </w:p>
        </w:tc>
        <w:tc>
          <w:tcPr>
            <w:tcW w:w="2820" w:type="dxa"/>
            <w:vAlign w:val="bottom"/>
            <w:tcBorders>
              <w:bottom w:val="single" w:sz="8" w:color="582C83"/>
            </w:tcBorders>
          </w:tcPr>
          <w:p>
            <w:pPr>
              <w:jc w:val="right"/>
              <w:ind w:right="19"/>
              <w:spacing w:after="0"/>
              <w:rPr>
                <w:sz w:val="20"/>
                <w:szCs w:val="20"/>
                <w:color w:val="auto"/>
              </w:rPr>
            </w:pPr>
            <w:r>
              <w:rPr>
                <w:rFonts w:ascii="Arial" w:cs="Arial" w:eastAsia="Arial" w:hAnsi="Arial"/>
                <w:sz w:val="16"/>
                <w:szCs w:val="16"/>
                <w:b w:val="1"/>
                <w:bCs w:val="1"/>
                <w:color w:val="auto"/>
              </w:rPr>
              <w:t>2022 base salary</w:t>
            </w:r>
          </w:p>
        </w:tc>
        <w:tc>
          <w:tcPr>
            <w:tcW w:w="280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 increase</w:t>
            </w:r>
          </w:p>
        </w:tc>
      </w:tr>
      <w:tr>
        <w:trPr>
          <w:trHeight w:val="291"/>
        </w:trPr>
        <w:tc>
          <w:tcPr>
            <w:tcW w:w="284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Mr. Van de Put</w:t>
            </w:r>
          </w:p>
        </w:tc>
        <w:tc>
          <w:tcPr>
            <w:tcW w:w="28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1,500,000</w:t>
            </w:r>
          </w:p>
        </w:tc>
        <w:tc>
          <w:tcPr>
            <w:tcW w:w="2820" w:type="dxa"/>
            <w:vAlign w:val="bottom"/>
            <w:tcBorders>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1,550,000</w:t>
            </w:r>
          </w:p>
        </w:tc>
        <w:tc>
          <w:tcPr>
            <w:tcW w:w="280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3.3%</w:t>
            </w:r>
          </w:p>
        </w:tc>
      </w:tr>
      <w:tr>
        <w:trPr>
          <w:trHeight w:val="243"/>
        </w:trPr>
        <w:tc>
          <w:tcPr>
            <w:tcW w:w="284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Mr. Zaramella</w:t>
            </w:r>
          </w:p>
        </w:tc>
        <w:tc>
          <w:tcPr>
            <w:tcW w:w="28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850,000</w:t>
            </w:r>
          </w:p>
        </w:tc>
        <w:tc>
          <w:tcPr>
            <w:tcW w:w="2820" w:type="dxa"/>
            <w:vAlign w:val="bottom"/>
            <w:tcBorders>
              <w:top w:val="single" w:sz="8" w:color="582C83"/>
            </w:tcBorders>
          </w:tcPr>
          <w:p>
            <w:pPr>
              <w:jc w:val="right"/>
              <w:ind w:right="19"/>
              <w:spacing w:after="0"/>
              <w:rPr>
                <w:sz w:val="20"/>
                <w:szCs w:val="20"/>
                <w:color w:val="auto"/>
              </w:rPr>
            </w:pPr>
            <w:r>
              <w:rPr>
                <w:rFonts w:ascii="Arial" w:cs="Arial" w:eastAsia="Arial" w:hAnsi="Arial"/>
                <w:sz w:val="16"/>
                <w:szCs w:val="16"/>
                <w:color w:val="auto"/>
              </w:rPr>
              <w:t>880,000</w:t>
            </w:r>
          </w:p>
        </w:tc>
        <w:tc>
          <w:tcPr>
            <w:tcW w:w="28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3.5%</w:t>
            </w:r>
          </w:p>
        </w:tc>
      </w:tr>
      <w:tr>
        <w:trPr>
          <w:trHeight w:val="35"/>
        </w:trPr>
        <w:tc>
          <w:tcPr>
            <w:tcW w:w="2840" w:type="dxa"/>
            <w:vAlign w:val="bottom"/>
            <w:tcBorders>
              <w:bottom w:val="single" w:sz="8" w:color="582C83"/>
            </w:tcBorders>
          </w:tcPr>
          <w:p>
            <w:pPr>
              <w:spacing w:after="0"/>
              <w:rPr>
                <w:sz w:val="3"/>
                <w:szCs w:val="3"/>
                <w:color w:val="auto"/>
              </w:rPr>
            </w:pPr>
          </w:p>
        </w:tc>
        <w:tc>
          <w:tcPr>
            <w:tcW w:w="2800" w:type="dxa"/>
            <w:vAlign w:val="bottom"/>
            <w:tcBorders>
              <w:bottom w:val="single" w:sz="8" w:color="582C83"/>
            </w:tcBorders>
          </w:tcPr>
          <w:p>
            <w:pPr>
              <w:spacing w:after="0"/>
              <w:rPr>
                <w:sz w:val="3"/>
                <w:szCs w:val="3"/>
                <w:color w:val="auto"/>
              </w:rPr>
            </w:pPr>
          </w:p>
        </w:tc>
        <w:tc>
          <w:tcPr>
            <w:tcW w:w="2820" w:type="dxa"/>
            <w:vAlign w:val="bottom"/>
            <w:tcBorders>
              <w:bottom w:val="single" w:sz="8" w:color="582C83"/>
            </w:tcBorders>
          </w:tcPr>
          <w:p>
            <w:pPr>
              <w:spacing w:after="0"/>
              <w:rPr>
                <w:sz w:val="3"/>
                <w:szCs w:val="3"/>
                <w:color w:val="auto"/>
              </w:rPr>
            </w:pPr>
          </w:p>
        </w:tc>
        <w:tc>
          <w:tcPr>
            <w:tcW w:w="2800" w:type="dxa"/>
            <w:vAlign w:val="bottom"/>
            <w:tcBorders>
              <w:bottom w:val="single" w:sz="8" w:color="582C83"/>
            </w:tcBorders>
          </w:tcPr>
          <w:p>
            <w:pPr>
              <w:spacing w:after="0"/>
              <w:rPr>
                <w:sz w:val="3"/>
                <w:szCs w:val="3"/>
                <w:color w:val="auto"/>
              </w:rPr>
            </w:pPr>
          </w:p>
        </w:tc>
      </w:tr>
      <w:tr>
        <w:trPr>
          <w:trHeight w:val="283"/>
        </w:trPr>
        <w:tc>
          <w:tcPr>
            <w:tcW w:w="284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Mr. Brusadelli</w:t>
            </w:r>
          </w:p>
        </w:tc>
        <w:tc>
          <w:tcPr>
            <w:tcW w:w="28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€ 602,700</w:t>
            </w:r>
          </w:p>
        </w:tc>
        <w:tc>
          <w:tcPr>
            <w:tcW w:w="2820" w:type="dxa"/>
            <w:vAlign w:val="bottom"/>
            <w:tcBorders>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€ 624,000</w:t>
            </w:r>
          </w:p>
        </w:tc>
        <w:tc>
          <w:tcPr>
            <w:tcW w:w="280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3.5%</w:t>
            </w:r>
          </w:p>
        </w:tc>
      </w:tr>
      <w:tr>
        <w:trPr>
          <w:trHeight w:val="243"/>
        </w:trPr>
        <w:tc>
          <w:tcPr>
            <w:tcW w:w="284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Mr. Gruber</w:t>
            </w:r>
          </w:p>
        </w:tc>
        <w:tc>
          <w:tcPr>
            <w:tcW w:w="28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CHF 710,800</w:t>
            </w:r>
          </w:p>
        </w:tc>
        <w:tc>
          <w:tcPr>
            <w:tcW w:w="2820" w:type="dxa"/>
            <w:vAlign w:val="bottom"/>
            <w:tcBorders>
              <w:top w:val="single" w:sz="8" w:color="582C83"/>
            </w:tcBorders>
          </w:tcPr>
          <w:p>
            <w:pPr>
              <w:jc w:val="right"/>
              <w:ind w:right="19"/>
              <w:spacing w:after="0"/>
              <w:rPr>
                <w:sz w:val="20"/>
                <w:szCs w:val="20"/>
                <w:color w:val="auto"/>
              </w:rPr>
            </w:pPr>
            <w:r>
              <w:rPr>
                <w:rFonts w:ascii="Arial" w:cs="Arial" w:eastAsia="Arial" w:hAnsi="Arial"/>
                <w:sz w:val="16"/>
                <w:szCs w:val="16"/>
                <w:color w:val="auto"/>
              </w:rPr>
              <w:t>CHF 736,500</w:t>
            </w:r>
          </w:p>
        </w:tc>
        <w:tc>
          <w:tcPr>
            <w:tcW w:w="28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3.6%</w:t>
            </w:r>
          </w:p>
        </w:tc>
      </w:tr>
      <w:tr>
        <w:trPr>
          <w:trHeight w:val="35"/>
        </w:trPr>
        <w:tc>
          <w:tcPr>
            <w:tcW w:w="2840" w:type="dxa"/>
            <w:vAlign w:val="bottom"/>
            <w:tcBorders>
              <w:bottom w:val="single" w:sz="8" w:color="582C83"/>
            </w:tcBorders>
          </w:tcPr>
          <w:p>
            <w:pPr>
              <w:spacing w:after="0"/>
              <w:rPr>
                <w:sz w:val="3"/>
                <w:szCs w:val="3"/>
                <w:color w:val="auto"/>
              </w:rPr>
            </w:pPr>
          </w:p>
        </w:tc>
        <w:tc>
          <w:tcPr>
            <w:tcW w:w="2800" w:type="dxa"/>
            <w:vAlign w:val="bottom"/>
            <w:tcBorders>
              <w:bottom w:val="single" w:sz="8" w:color="582C83"/>
            </w:tcBorders>
          </w:tcPr>
          <w:p>
            <w:pPr>
              <w:spacing w:after="0"/>
              <w:rPr>
                <w:sz w:val="3"/>
                <w:szCs w:val="3"/>
                <w:color w:val="auto"/>
              </w:rPr>
            </w:pPr>
          </w:p>
        </w:tc>
        <w:tc>
          <w:tcPr>
            <w:tcW w:w="2820" w:type="dxa"/>
            <w:vAlign w:val="bottom"/>
            <w:tcBorders>
              <w:bottom w:val="single" w:sz="8" w:color="582C83"/>
            </w:tcBorders>
          </w:tcPr>
          <w:p>
            <w:pPr>
              <w:spacing w:after="0"/>
              <w:rPr>
                <w:sz w:val="3"/>
                <w:szCs w:val="3"/>
                <w:color w:val="auto"/>
              </w:rPr>
            </w:pPr>
          </w:p>
        </w:tc>
        <w:tc>
          <w:tcPr>
            <w:tcW w:w="2800" w:type="dxa"/>
            <w:vAlign w:val="bottom"/>
            <w:tcBorders>
              <w:bottom w:val="single" w:sz="8" w:color="582C83"/>
            </w:tcBorders>
          </w:tcPr>
          <w:p>
            <w:pPr>
              <w:spacing w:after="0"/>
              <w:rPr>
                <w:sz w:val="3"/>
                <w:szCs w:val="3"/>
                <w:color w:val="auto"/>
              </w:rPr>
            </w:pPr>
          </w:p>
        </w:tc>
      </w:tr>
      <w:tr>
        <w:trPr>
          <w:trHeight w:val="258"/>
        </w:trPr>
        <w:tc>
          <w:tcPr>
            <w:tcW w:w="284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Mr. Valle</w:t>
            </w:r>
          </w:p>
        </w:tc>
        <w:tc>
          <w:tcPr>
            <w:tcW w:w="28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650,000</w:t>
            </w:r>
          </w:p>
        </w:tc>
        <w:tc>
          <w:tcPr>
            <w:tcW w:w="2820" w:type="dxa"/>
            <w:vAlign w:val="bottom"/>
            <w:tcBorders>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720,000</w:t>
            </w:r>
          </w:p>
        </w:tc>
        <w:tc>
          <w:tcPr>
            <w:tcW w:w="280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10.8%</w:t>
            </w:r>
          </w:p>
        </w:tc>
      </w:tr>
      <w:tr>
        <w:trPr>
          <w:trHeight w:val="20"/>
        </w:trPr>
        <w:tc>
          <w:tcPr>
            <w:tcW w:w="2840" w:type="dxa"/>
            <w:vAlign w:val="bottom"/>
            <w:tcBorders>
              <w:left w:val="single" w:sz="8" w:color="EBE6F0"/>
              <w:right w:val="single" w:sz="8" w:color="EBE6F0"/>
            </w:tcBorders>
            <w:shd w:val="clear" w:color="auto" w:fill="582C83"/>
          </w:tcPr>
          <w:p>
            <w:pPr>
              <w:spacing w:after="0" w:line="20" w:lineRule="exact"/>
              <w:rPr>
                <w:sz w:val="1"/>
                <w:szCs w:val="1"/>
                <w:color w:val="auto"/>
              </w:rPr>
            </w:pPr>
          </w:p>
        </w:tc>
        <w:tc>
          <w:tcPr>
            <w:tcW w:w="2800" w:type="dxa"/>
            <w:vAlign w:val="bottom"/>
            <w:shd w:val="clear" w:color="auto" w:fill="582C83"/>
          </w:tcPr>
          <w:p>
            <w:pPr>
              <w:spacing w:after="0" w:line="20" w:lineRule="exact"/>
              <w:rPr>
                <w:sz w:val="1"/>
                <w:szCs w:val="1"/>
                <w:color w:val="auto"/>
              </w:rPr>
            </w:pPr>
          </w:p>
        </w:tc>
        <w:tc>
          <w:tcPr>
            <w:tcW w:w="2820" w:type="dxa"/>
            <w:vAlign w:val="bottom"/>
            <w:tcBorders>
              <w:right w:val="single" w:sz="8" w:color="EBE6F0"/>
            </w:tcBorders>
            <w:shd w:val="clear" w:color="auto" w:fill="582C83"/>
          </w:tcPr>
          <w:p>
            <w:pPr>
              <w:spacing w:after="0" w:line="20" w:lineRule="exact"/>
              <w:rPr>
                <w:sz w:val="1"/>
                <w:szCs w:val="1"/>
                <w:color w:val="auto"/>
              </w:rPr>
            </w:pPr>
          </w:p>
        </w:tc>
        <w:tc>
          <w:tcPr>
            <w:tcW w:w="2800" w:type="dxa"/>
            <w:vAlign w:val="bottom"/>
            <w:tcBorders>
              <w:right w:val="single" w:sz="8" w:color="EBE6F0"/>
            </w:tcBorders>
            <w:shd w:val="clear" w:color="auto" w:fill="582C8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7143115"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58358F"/>
        </w:rPr>
        <w:t>2023 PROXY STATEMENT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76" w:name="page77"/>
    <w:bookmarkEnd w:id="76"/>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ANNUAL INCENTIVE PLAN</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Incentive Plan Award Formula</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The People and Compensation Committee used the formula below to determine awards to the NEOs under the 2022 AIP.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122555</wp:posOffset>
            </wp:positionV>
            <wp:extent cx="5519420" cy="20891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519420" cy="208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Target annual incentive opportunities for the NEOs are shown below.</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1880" w:type="dxa"/>
            <w:vAlign w:val="bottom"/>
            <w:tcBorders>
              <w:bottom w:val="single" w:sz="8" w:color="582C83"/>
            </w:tcBorders>
          </w:tcPr>
          <w:p>
            <w:pPr>
              <w:ind w:left="80"/>
              <w:spacing w:after="0"/>
              <w:rPr>
                <w:sz w:val="20"/>
                <w:szCs w:val="20"/>
                <w:color w:val="auto"/>
              </w:rPr>
            </w:pPr>
            <w:r>
              <w:rPr>
                <w:rFonts w:ascii="Arial" w:cs="Arial" w:eastAsia="Arial" w:hAnsi="Arial"/>
                <w:sz w:val="16"/>
                <w:szCs w:val="16"/>
                <w:b w:val="1"/>
                <w:bCs w:val="1"/>
                <w:color w:val="auto"/>
              </w:rPr>
              <w:t>Name</w:t>
            </w:r>
          </w:p>
        </w:tc>
        <w:tc>
          <w:tcPr>
            <w:tcW w:w="3760" w:type="dxa"/>
            <w:vAlign w:val="bottom"/>
            <w:tcBorders>
              <w:bottom w:val="single" w:sz="8" w:color="582C83"/>
            </w:tcBorders>
          </w:tcPr>
          <w:p>
            <w:pPr>
              <w:jc w:val="right"/>
              <w:ind w:right="19"/>
              <w:spacing w:after="0"/>
              <w:rPr>
                <w:sz w:val="20"/>
                <w:szCs w:val="20"/>
                <w:color w:val="auto"/>
              </w:rPr>
            </w:pPr>
            <w:r>
              <w:rPr>
                <w:rFonts w:ascii="Arial" w:cs="Arial" w:eastAsia="Arial" w:hAnsi="Arial"/>
                <w:sz w:val="16"/>
                <w:szCs w:val="16"/>
                <w:b w:val="1"/>
                <w:bCs w:val="1"/>
                <w:color w:val="auto"/>
              </w:rPr>
              <w:t>Target opportunity as a % of salary</w:t>
            </w:r>
          </w:p>
        </w:tc>
      </w:tr>
      <w:tr>
        <w:trPr>
          <w:trHeight w:val="291"/>
        </w:trPr>
        <w:tc>
          <w:tcPr>
            <w:tcW w:w="188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Mr. Van de Put</w:t>
            </w:r>
          </w:p>
        </w:tc>
        <w:tc>
          <w:tcPr>
            <w:tcW w:w="3760" w:type="dxa"/>
            <w:vAlign w:val="bottom"/>
            <w:tcBorders>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190%</w:t>
            </w:r>
          </w:p>
        </w:tc>
      </w:tr>
      <w:tr>
        <w:trPr>
          <w:trHeight w:val="243"/>
        </w:trPr>
        <w:tc>
          <w:tcPr>
            <w:tcW w:w="188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Mr. Zaramella</w:t>
            </w:r>
          </w:p>
        </w:tc>
        <w:tc>
          <w:tcPr>
            <w:tcW w:w="3760" w:type="dxa"/>
            <w:vAlign w:val="bottom"/>
            <w:tcBorders>
              <w:top w:val="single" w:sz="8" w:color="582C83"/>
            </w:tcBorders>
          </w:tcPr>
          <w:p>
            <w:pPr>
              <w:jc w:val="right"/>
              <w:ind w:right="19"/>
              <w:spacing w:after="0"/>
              <w:rPr>
                <w:sz w:val="20"/>
                <w:szCs w:val="20"/>
                <w:color w:val="auto"/>
              </w:rPr>
            </w:pPr>
            <w:r>
              <w:rPr>
                <w:rFonts w:ascii="Arial" w:cs="Arial" w:eastAsia="Arial" w:hAnsi="Arial"/>
                <w:sz w:val="16"/>
                <w:szCs w:val="16"/>
                <w:color w:val="auto"/>
              </w:rPr>
              <w:t>110%</w:t>
            </w:r>
          </w:p>
        </w:tc>
      </w:tr>
      <w:tr>
        <w:trPr>
          <w:trHeight w:val="35"/>
        </w:trPr>
        <w:tc>
          <w:tcPr>
            <w:tcW w:w="1880" w:type="dxa"/>
            <w:vAlign w:val="bottom"/>
            <w:tcBorders>
              <w:bottom w:val="single" w:sz="8" w:color="582C83"/>
            </w:tcBorders>
          </w:tcPr>
          <w:p>
            <w:pPr>
              <w:spacing w:after="0"/>
              <w:rPr>
                <w:sz w:val="3"/>
                <w:szCs w:val="3"/>
                <w:color w:val="auto"/>
              </w:rPr>
            </w:pPr>
          </w:p>
        </w:tc>
        <w:tc>
          <w:tcPr>
            <w:tcW w:w="3760" w:type="dxa"/>
            <w:vAlign w:val="bottom"/>
            <w:tcBorders>
              <w:bottom w:val="single" w:sz="8" w:color="582C83"/>
            </w:tcBorders>
          </w:tcPr>
          <w:p>
            <w:pPr>
              <w:spacing w:after="0"/>
              <w:rPr>
                <w:sz w:val="3"/>
                <w:szCs w:val="3"/>
                <w:color w:val="auto"/>
              </w:rPr>
            </w:pPr>
          </w:p>
        </w:tc>
      </w:tr>
      <w:tr>
        <w:trPr>
          <w:trHeight w:val="283"/>
        </w:trPr>
        <w:tc>
          <w:tcPr>
            <w:tcW w:w="188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Mr. Brusadelli</w:t>
            </w:r>
          </w:p>
        </w:tc>
        <w:tc>
          <w:tcPr>
            <w:tcW w:w="3760" w:type="dxa"/>
            <w:vAlign w:val="bottom"/>
            <w:tcBorders>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100%</w:t>
            </w:r>
          </w:p>
        </w:tc>
      </w:tr>
      <w:tr>
        <w:trPr>
          <w:trHeight w:val="243"/>
        </w:trPr>
        <w:tc>
          <w:tcPr>
            <w:tcW w:w="188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Mr. Gruber</w:t>
            </w:r>
          </w:p>
        </w:tc>
        <w:tc>
          <w:tcPr>
            <w:tcW w:w="3760" w:type="dxa"/>
            <w:vAlign w:val="bottom"/>
            <w:tcBorders>
              <w:top w:val="single" w:sz="8" w:color="582C83"/>
            </w:tcBorders>
          </w:tcPr>
          <w:p>
            <w:pPr>
              <w:jc w:val="right"/>
              <w:ind w:right="19"/>
              <w:spacing w:after="0"/>
              <w:rPr>
                <w:sz w:val="20"/>
                <w:szCs w:val="20"/>
                <w:color w:val="auto"/>
              </w:rPr>
            </w:pPr>
            <w:r>
              <w:rPr>
                <w:rFonts w:ascii="Arial" w:cs="Arial" w:eastAsia="Arial" w:hAnsi="Arial"/>
                <w:sz w:val="16"/>
                <w:szCs w:val="16"/>
                <w:color w:val="auto"/>
              </w:rPr>
              <w:t>100%</w:t>
            </w:r>
          </w:p>
        </w:tc>
      </w:tr>
      <w:tr>
        <w:trPr>
          <w:trHeight w:val="35"/>
        </w:trPr>
        <w:tc>
          <w:tcPr>
            <w:tcW w:w="1880" w:type="dxa"/>
            <w:vAlign w:val="bottom"/>
            <w:tcBorders>
              <w:bottom w:val="single" w:sz="8" w:color="582C83"/>
            </w:tcBorders>
          </w:tcPr>
          <w:p>
            <w:pPr>
              <w:spacing w:after="0"/>
              <w:rPr>
                <w:sz w:val="3"/>
                <w:szCs w:val="3"/>
                <w:color w:val="auto"/>
              </w:rPr>
            </w:pPr>
          </w:p>
        </w:tc>
        <w:tc>
          <w:tcPr>
            <w:tcW w:w="3760" w:type="dxa"/>
            <w:vAlign w:val="bottom"/>
            <w:tcBorders>
              <w:bottom w:val="single" w:sz="8" w:color="582C83"/>
            </w:tcBorders>
          </w:tcPr>
          <w:p>
            <w:pPr>
              <w:spacing w:after="0"/>
              <w:rPr>
                <w:sz w:val="3"/>
                <w:szCs w:val="3"/>
                <w:color w:val="auto"/>
              </w:rPr>
            </w:pPr>
          </w:p>
        </w:tc>
      </w:tr>
      <w:tr>
        <w:trPr>
          <w:trHeight w:val="258"/>
        </w:trPr>
        <w:tc>
          <w:tcPr>
            <w:tcW w:w="188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Mr. Valle</w:t>
            </w:r>
          </w:p>
        </w:tc>
        <w:tc>
          <w:tcPr>
            <w:tcW w:w="3760" w:type="dxa"/>
            <w:vAlign w:val="bottom"/>
            <w:tcBorders>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100%</w:t>
            </w:r>
          </w:p>
        </w:tc>
      </w:tr>
      <w:tr>
        <w:trPr>
          <w:trHeight w:val="20"/>
        </w:trPr>
        <w:tc>
          <w:tcPr>
            <w:tcW w:w="1880" w:type="dxa"/>
            <w:vAlign w:val="bottom"/>
            <w:tcBorders>
              <w:left w:val="single" w:sz="8" w:color="EBE6F0"/>
              <w:right w:val="single" w:sz="8" w:color="EBE6F0"/>
            </w:tcBorders>
            <w:shd w:val="clear" w:color="auto" w:fill="582C83"/>
          </w:tcPr>
          <w:p>
            <w:pPr>
              <w:spacing w:after="0" w:line="20" w:lineRule="exact"/>
              <w:rPr>
                <w:sz w:val="1"/>
                <w:szCs w:val="1"/>
                <w:color w:val="auto"/>
              </w:rPr>
            </w:pPr>
          </w:p>
        </w:tc>
        <w:tc>
          <w:tcPr>
            <w:tcW w:w="3760" w:type="dxa"/>
            <w:vAlign w:val="bottom"/>
            <w:tcBorders>
              <w:right w:val="single" w:sz="8" w:color="EBE6F0"/>
            </w:tcBorders>
            <w:shd w:val="clear" w:color="auto" w:fill="582C83"/>
          </w:tcPr>
          <w:p>
            <w:pPr>
              <w:spacing w:after="0" w:line="20" w:lineRule="exact"/>
              <w:rPr>
                <w:sz w:val="1"/>
                <w:szCs w:val="1"/>
                <w:color w:val="auto"/>
              </w:rPr>
            </w:pPr>
          </w:p>
        </w:tc>
      </w:tr>
    </w:tbl>
    <w:p>
      <w:pPr>
        <w:spacing w:after="0" w:line="148"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The People and Compensation Committee reviews benchmark data from our Compensation Survey Peer Group (see page 86) to align our executive pay packages with similar positions. Target annual incentive opportunities increased slightly for all NEOs in 2022 to remain competitive.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7143115"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7" w:name="page78"/>
    <w:bookmarkEnd w:id="77"/>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graphic below describes the 2022 AIP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122555</wp:posOffset>
            </wp:positionV>
            <wp:extent cx="6307455" cy="31146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307455" cy="311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1" w:hanging="301"/>
        <w:spacing w:after="0"/>
        <w:tabs>
          <w:tab w:leader="none" w:pos="301" w:val="left"/>
        </w:tabs>
        <w:numPr>
          <w:ilvl w:val="0"/>
          <w:numId w:val="68"/>
        </w:numPr>
        <w:rPr>
          <w:rFonts w:ascii="Arial" w:cs="Arial" w:eastAsia="Arial" w:hAnsi="Arial"/>
          <w:sz w:val="15"/>
          <w:szCs w:val="15"/>
          <w:color w:val="auto"/>
        </w:rPr>
      </w:pPr>
      <w:r>
        <w:rPr>
          <w:rFonts w:ascii="Arial" w:cs="Arial" w:eastAsia="Arial" w:hAnsi="Arial"/>
          <w:sz w:val="15"/>
          <w:szCs w:val="15"/>
          <w:color w:val="auto"/>
        </w:rPr>
        <w:t>See definitions in Annex A.</w:t>
      </w:r>
    </w:p>
    <w:p>
      <w:pPr>
        <w:spacing w:after="0" w:line="38" w:lineRule="exact"/>
        <w:rPr>
          <w:rFonts w:ascii="Arial" w:cs="Arial" w:eastAsia="Arial" w:hAnsi="Arial"/>
          <w:sz w:val="15"/>
          <w:szCs w:val="15"/>
          <w:color w:val="auto"/>
        </w:rPr>
      </w:pPr>
    </w:p>
    <w:p>
      <w:pPr>
        <w:ind w:left="301" w:hanging="301"/>
        <w:spacing w:after="0"/>
        <w:tabs>
          <w:tab w:leader="none" w:pos="301" w:val="left"/>
        </w:tabs>
        <w:numPr>
          <w:ilvl w:val="0"/>
          <w:numId w:val="68"/>
        </w:numPr>
        <w:rPr>
          <w:rFonts w:ascii="Arial" w:cs="Arial" w:eastAsia="Arial" w:hAnsi="Arial"/>
          <w:sz w:val="15"/>
          <w:szCs w:val="15"/>
          <w:color w:val="auto"/>
        </w:rPr>
      </w:pPr>
      <w:r>
        <w:rPr>
          <w:rFonts w:ascii="Arial" w:cs="Arial" w:eastAsia="Arial" w:hAnsi="Arial"/>
          <w:sz w:val="15"/>
          <w:szCs w:val="15"/>
          <w:color w:val="auto"/>
        </w:rPr>
        <w:t>Based on SPI goals, including ESG goals. See Strategic Progress Indicators on page 77 for detail on SPI goals.</w:t>
      </w:r>
    </w:p>
    <w:p>
      <w:pPr>
        <w:spacing w:after="0" w:line="38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Financial Performance Rating (80% Weighting)</w:t>
      </w:r>
    </w:p>
    <w:p>
      <w:pPr>
        <w:spacing w:after="0" w:line="6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582C83"/>
        </w:rPr>
        <w:t>Metrics and Alignment with Strategy</w:t>
      </w:r>
    </w:p>
    <w:p>
      <w:pPr>
        <w:spacing w:after="0" w:line="44" w:lineRule="exact"/>
        <w:rPr>
          <w:sz w:val="20"/>
          <w:szCs w:val="20"/>
          <w:color w:val="auto"/>
        </w:rPr>
      </w:pPr>
    </w:p>
    <w:p>
      <w:pPr>
        <w:ind w:left="1" w:right="60"/>
        <w:spacing w:after="0" w:line="237" w:lineRule="auto"/>
        <w:rPr>
          <w:sz w:val="20"/>
          <w:szCs w:val="20"/>
          <w:color w:val="auto"/>
        </w:rPr>
      </w:pPr>
      <w:r>
        <w:rPr>
          <w:rFonts w:ascii="Arial" w:cs="Arial" w:eastAsia="Arial" w:hAnsi="Arial"/>
          <w:sz w:val="20"/>
          <w:szCs w:val="20"/>
          <w:color w:val="auto"/>
        </w:rPr>
        <w:t>The financial performance rating for Mr. Van de Put and Mr. Zaramella is based on global Company performance; the financial performance ratings for Mr. Brusadelli, Mr. Gruber and Mr. Valle are based on a combination of their respective region and global Company performance. In selecting financial performance metrics, the Board seeks to incentivize actions that drive execution consistent with our strategy. The Board determined that each of the selected metrics incentivizes a key component of our growth strategy and that executives have the ability to influence our performance on each measure. Performance ratings against each measure can range from 0% to 200%, with the exception of the Market Share Overlay.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213995</wp:posOffset>
            </wp:positionV>
            <wp:extent cx="7143115"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78" w:name="page79"/>
    <w:bookmarkEnd w:id="78"/>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20" w:type="dxa"/>
            <w:vAlign w:val="bottom"/>
            <w:tcBorders>
              <w:bottom w:val="single" w:sz="8" w:color="582C83"/>
            </w:tcBorders>
          </w:tcPr>
          <w:p>
            <w:pPr>
              <w:spacing w:after="0"/>
              <w:rPr>
                <w:sz w:val="24"/>
                <w:szCs w:val="24"/>
                <w:color w:val="auto"/>
              </w:rPr>
            </w:pPr>
          </w:p>
        </w:tc>
        <w:tc>
          <w:tcPr>
            <w:tcW w:w="336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Performance Measure</w:t>
            </w:r>
            <w:r>
              <w:rPr>
                <w:rFonts w:ascii="Arial" w:cs="Arial" w:eastAsia="Arial" w:hAnsi="Arial"/>
                <w:sz w:val="26"/>
                <w:szCs w:val="26"/>
                <w:b w:val="1"/>
                <w:bCs w:val="1"/>
                <w:color w:val="auto"/>
                <w:vertAlign w:val="superscript"/>
              </w:rPr>
              <w:t>(1)</w:t>
            </w:r>
          </w:p>
        </w:tc>
        <w:tc>
          <w:tcPr>
            <w:tcW w:w="7860" w:type="dxa"/>
            <w:vAlign w:val="bottom"/>
            <w:tcBorders>
              <w:bottom w:val="single" w:sz="8" w:color="582C83"/>
            </w:tcBorders>
          </w:tcPr>
          <w:p>
            <w:pPr>
              <w:ind w:left="80"/>
              <w:spacing w:after="0"/>
              <w:rPr>
                <w:sz w:val="20"/>
                <w:szCs w:val="20"/>
                <w:color w:val="auto"/>
              </w:rPr>
            </w:pPr>
            <w:r>
              <w:rPr>
                <w:rFonts w:ascii="Arial" w:cs="Arial" w:eastAsia="Arial" w:hAnsi="Arial"/>
                <w:sz w:val="16"/>
                <w:szCs w:val="16"/>
                <w:b w:val="1"/>
                <w:bCs w:val="1"/>
                <w:color w:val="auto"/>
              </w:rPr>
              <w:t>Alignment with Strategy</w:t>
            </w:r>
          </w:p>
        </w:tc>
        <w:tc>
          <w:tcPr>
            <w:tcW w:w="20" w:type="dxa"/>
            <w:vAlign w:val="bottom"/>
            <w:tcBorders>
              <w:bottom w:val="single" w:sz="8" w:color="582C83"/>
            </w:tcBorders>
          </w:tcPr>
          <w:p>
            <w:pPr>
              <w:spacing w:after="0"/>
              <w:rPr>
                <w:sz w:val="24"/>
                <w:szCs w:val="24"/>
                <w:color w:val="auto"/>
              </w:rPr>
            </w:pPr>
          </w:p>
        </w:tc>
      </w:tr>
      <w:tr>
        <w:trPr>
          <w:trHeight w:val="223"/>
        </w:trPr>
        <w:tc>
          <w:tcPr>
            <w:tcW w:w="20" w:type="dxa"/>
            <w:vAlign w:val="bottom"/>
            <w:shd w:val="clear" w:color="auto" w:fill="EBE6F0"/>
          </w:tcPr>
          <w:p>
            <w:pPr>
              <w:spacing w:after="0"/>
              <w:rPr>
                <w:sz w:val="19"/>
                <w:szCs w:val="19"/>
                <w:color w:val="auto"/>
              </w:rPr>
            </w:pPr>
          </w:p>
        </w:tc>
        <w:tc>
          <w:tcPr>
            <w:tcW w:w="3360" w:type="dxa"/>
            <w:vAlign w:val="bottom"/>
            <w:shd w:val="clear" w:color="auto" w:fill="EBE6F0"/>
          </w:tcPr>
          <w:p>
            <w:pPr>
              <w:ind w:left="60"/>
              <w:spacing w:after="0"/>
              <w:rPr>
                <w:sz w:val="20"/>
                <w:szCs w:val="20"/>
                <w:color w:val="auto"/>
              </w:rPr>
            </w:pPr>
            <w:r>
              <w:rPr>
                <w:rFonts w:ascii="Arial" w:cs="Arial" w:eastAsia="Arial" w:hAnsi="Arial"/>
                <w:sz w:val="16"/>
                <w:szCs w:val="16"/>
                <w:color w:val="auto"/>
              </w:rPr>
              <w:t>Organic Volume Growth</w:t>
            </w:r>
          </w:p>
        </w:tc>
        <w:tc>
          <w:tcPr>
            <w:tcW w:w="7860" w:type="dxa"/>
            <w:vAlign w:val="bottom"/>
            <w:shd w:val="clear" w:color="auto" w:fill="EBE6F0"/>
          </w:tcPr>
          <w:p>
            <w:pPr>
              <w:ind w:left="80"/>
              <w:spacing w:after="0"/>
              <w:rPr>
                <w:sz w:val="20"/>
                <w:szCs w:val="20"/>
                <w:color w:val="auto"/>
              </w:rPr>
            </w:pPr>
            <w:r>
              <w:rPr>
                <w:rFonts w:ascii="Arial" w:cs="Arial" w:eastAsia="Arial" w:hAnsi="Arial"/>
                <w:sz w:val="16"/>
                <w:szCs w:val="16"/>
                <w:color w:val="auto"/>
              </w:rPr>
              <w:t>Incentivizes balanced, high-quality, top-line growth and improved margin leverage through higher capacity</w:t>
            </w:r>
          </w:p>
        </w:tc>
        <w:tc>
          <w:tcPr>
            <w:tcW w:w="20" w:type="dxa"/>
            <w:vAlign w:val="bottom"/>
            <w:shd w:val="clear" w:color="auto" w:fill="EBE6F0"/>
          </w:tcPr>
          <w:p>
            <w:pPr>
              <w:spacing w:after="0"/>
              <w:rPr>
                <w:sz w:val="19"/>
                <w:szCs w:val="19"/>
                <w:color w:val="auto"/>
              </w:rPr>
            </w:pPr>
          </w:p>
        </w:tc>
      </w:tr>
      <w:tr>
        <w:trPr>
          <w:trHeight w:val="254"/>
        </w:trPr>
        <w:tc>
          <w:tcPr>
            <w:tcW w:w="20" w:type="dxa"/>
            <w:vAlign w:val="bottom"/>
            <w:tcBorders>
              <w:bottom w:val="single" w:sz="8" w:color="EBE6F0"/>
            </w:tcBorders>
            <w:shd w:val="clear" w:color="auto" w:fill="EBE6F0"/>
          </w:tcPr>
          <w:p>
            <w:pPr>
              <w:spacing w:after="0"/>
              <w:rPr>
                <w:sz w:val="21"/>
                <w:szCs w:val="21"/>
                <w:color w:val="auto"/>
              </w:rPr>
            </w:pPr>
          </w:p>
        </w:tc>
        <w:tc>
          <w:tcPr>
            <w:tcW w:w="3360" w:type="dxa"/>
            <w:vAlign w:val="bottom"/>
            <w:tcBorders>
              <w:bottom w:val="single" w:sz="8" w:color="EBE6F0"/>
            </w:tcBorders>
            <w:shd w:val="clear" w:color="auto" w:fill="EBE6F0"/>
          </w:tcPr>
          <w:p>
            <w:pPr>
              <w:spacing w:after="0"/>
              <w:rPr>
                <w:sz w:val="21"/>
                <w:szCs w:val="21"/>
                <w:color w:val="auto"/>
              </w:rPr>
            </w:pPr>
          </w:p>
        </w:tc>
        <w:tc>
          <w:tcPr>
            <w:tcW w:w="78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utilization</w:t>
            </w:r>
          </w:p>
        </w:tc>
        <w:tc>
          <w:tcPr>
            <w:tcW w:w="20" w:type="dxa"/>
            <w:vAlign w:val="bottom"/>
            <w:tcBorders>
              <w:bottom w:val="single" w:sz="8" w:color="EBE6F0"/>
            </w:tcBorders>
            <w:shd w:val="clear" w:color="auto" w:fill="EBE6F0"/>
          </w:tcPr>
          <w:p>
            <w:pPr>
              <w:spacing w:after="0"/>
              <w:rPr>
                <w:sz w:val="21"/>
                <w:szCs w:val="21"/>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336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Organic Net Revenue Growth</w:t>
            </w:r>
          </w:p>
        </w:tc>
        <w:tc>
          <w:tcPr>
            <w:tcW w:w="786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Focuses on high-quality revenue growth through market share, volume gains and price-mix optimization</w:t>
            </w:r>
          </w:p>
        </w:tc>
        <w:tc>
          <w:tcPr>
            <w:tcW w:w="20" w:type="dxa"/>
            <w:vAlign w:val="bottom"/>
            <w:tcBorders>
              <w:top w:val="single" w:sz="8" w:color="EBE6F0"/>
            </w:tcBorders>
          </w:tcPr>
          <w:p>
            <w:pPr>
              <w:spacing w:after="0"/>
              <w:rPr>
                <w:sz w:val="21"/>
                <w:szCs w:val="21"/>
                <w:color w:val="auto"/>
              </w:rPr>
            </w:pPr>
          </w:p>
        </w:tc>
      </w:tr>
      <w:tr>
        <w:trPr>
          <w:trHeight w:val="35"/>
        </w:trPr>
        <w:tc>
          <w:tcPr>
            <w:tcW w:w="20" w:type="dxa"/>
            <w:vAlign w:val="bottom"/>
            <w:tcBorders>
              <w:bottom w:val="single" w:sz="8" w:color="582C83"/>
            </w:tcBorders>
          </w:tcPr>
          <w:p>
            <w:pPr>
              <w:spacing w:after="0"/>
              <w:rPr>
                <w:sz w:val="3"/>
                <w:szCs w:val="3"/>
                <w:color w:val="auto"/>
              </w:rPr>
            </w:pPr>
          </w:p>
        </w:tc>
        <w:tc>
          <w:tcPr>
            <w:tcW w:w="3360" w:type="dxa"/>
            <w:vAlign w:val="bottom"/>
            <w:tcBorders>
              <w:bottom w:val="single" w:sz="8" w:color="582C83"/>
            </w:tcBorders>
          </w:tcPr>
          <w:p>
            <w:pPr>
              <w:spacing w:after="0"/>
              <w:rPr>
                <w:sz w:val="3"/>
                <w:szCs w:val="3"/>
                <w:color w:val="auto"/>
              </w:rPr>
            </w:pPr>
          </w:p>
        </w:tc>
        <w:tc>
          <w:tcPr>
            <w:tcW w:w="786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215"/>
        </w:trPr>
        <w:tc>
          <w:tcPr>
            <w:tcW w:w="20" w:type="dxa"/>
            <w:vAlign w:val="bottom"/>
            <w:shd w:val="clear" w:color="auto" w:fill="EBE6F0"/>
          </w:tcPr>
          <w:p>
            <w:pPr>
              <w:spacing w:after="0"/>
              <w:rPr>
                <w:sz w:val="18"/>
                <w:szCs w:val="18"/>
                <w:color w:val="auto"/>
              </w:rPr>
            </w:pPr>
          </w:p>
        </w:tc>
        <w:tc>
          <w:tcPr>
            <w:tcW w:w="3360" w:type="dxa"/>
            <w:vAlign w:val="bottom"/>
            <w:shd w:val="clear" w:color="auto" w:fill="EBE6F0"/>
          </w:tcPr>
          <w:p>
            <w:pPr>
              <w:ind w:left="60"/>
              <w:spacing w:after="0"/>
              <w:rPr>
                <w:sz w:val="20"/>
                <w:szCs w:val="20"/>
                <w:color w:val="auto"/>
              </w:rPr>
            </w:pPr>
            <w:r>
              <w:rPr>
                <w:rFonts w:ascii="Arial" w:cs="Arial" w:eastAsia="Arial" w:hAnsi="Arial"/>
                <w:sz w:val="16"/>
                <w:szCs w:val="16"/>
                <w:color w:val="auto"/>
              </w:rPr>
              <w:t>Adjusted Gross Profit Growth</w:t>
            </w:r>
          </w:p>
        </w:tc>
        <w:tc>
          <w:tcPr>
            <w:tcW w:w="7860" w:type="dxa"/>
            <w:vAlign w:val="bottom"/>
            <w:shd w:val="clear" w:color="auto" w:fill="EBE6F0"/>
          </w:tcPr>
          <w:p>
            <w:pPr>
              <w:ind w:left="80"/>
              <w:spacing w:after="0"/>
              <w:rPr>
                <w:sz w:val="20"/>
                <w:szCs w:val="20"/>
                <w:color w:val="auto"/>
              </w:rPr>
            </w:pPr>
            <w:r>
              <w:rPr>
                <w:rFonts w:ascii="Arial" w:cs="Arial" w:eastAsia="Arial" w:hAnsi="Arial"/>
                <w:sz w:val="16"/>
                <w:szCs w:val="16"/>
                <w:color w:val="auto"/>
              </w:rPr>
              <w:t>Measures the Company’s ability to manage and balance trade-offs among volume, mix, pricing and costs</w:t>
            </w:r>
          </w:p>
        </w:tc>
        <w:tc>
          <w:tcPr>
            <w:tcW w:w="20" w:type="dxa"/>
            <w:vAlign w:val="bottom"/>
            <w:shd w:val="clear" w:color="auto" w:fill="EBE6F0"/>
          </w:tcPr>
          <w:p>
            <w:pPr>
              <w:spacing w:after="0"/>
              <w:rPr>
                <w:sz w:val="18"/>
                <w:szCs w:val="18"/>
                <w:color w:val="auto"/>
              </w:rPr>
            </w:pPr>
          </w:p>
        </w:tc>
      </w:tr>
      <w:tr>
        <w:trPr>
          <w:trHeight w:val="254"/>
        </w:trPr>
        <w:tc>
          <w:tcPr>
            <w:tcW w:w="20" w:type="dxa"/>
            <w:vAlign w:val="bottom"/>
            <w:tcBorders>
              <w:bottom w:val="single" w:sz="8" w:color="EBE6F0"/>
            </w:tcBorders>
            <w:shd w:val="clear" w:color="auto" w:fill="EBE6F0"/>
          </w:tcPr>
          <w:p>
            <w:pPr>
              <w:spacing w:after="0"/>
              <w:rPr>
                <w:sz w:val="21"/>
                <w:szCs w:val="21"/>
                <w:color w:val="auto"/>
              </w:rPr>
            </w:pPr>
          </w:p>
        </w:tc>
        <w:tc>
          <w:tcPr>
            <w:tcW w:w="3360" w:type="dxa"/>
            <w:vAlign w:val="bottom"/>
            <w:tcBorders>
              <w:bottom w:val="single" w:sz="8" w:color="EBE6F0"/>
            </w:tcBorders>
            <w:shd w:val="clear" w:color="auto" w:fill="EBE6F0"/>
          </w:tcPr>
          <w:p>
            <w:pPr>
              <w:spacing w:after="0"/>
              <w:rPr>
                <w:sz w:val="21"/>
                <w:szCs w:val="21"/>
                <w:color w:val="auto"/>
              </w:rPr>
            </w:pPr>
          </w:p>
        </w:tc>
        <w:tc>
          <w:tcPr>
            <w:tcW w:w="78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and enables investment to drive earnings and Free Cash Flow through investing in people and brands</w:t>
            </w:r>
          </w:p>
        </w:tc>
        <w:tc>
          <w:tcPr>
            <w:tcW w:w="20" w:type="dxa"/>
            <w:vAlign w:val="bottom"/>
            <w:tcBorders>
              <w:bottom w:val="single" w:sz="8" w:color="EBE6F0"/>
            </w:tcBorders>
            <w:shd w:val="clear" w:color="auto" w:fill="EBE6F0"/>
          </w:tcPr>
          <w:p>
            <w:pPr>
              <w:spacing w:after="0"/>
              <w:rPr>
                <w:sz w:val="21"/>
                <w:szCs w:val="21"/>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336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Adjusted Operating Income Growth</w:t>
            </w:r>
          </w:p>
        </w:tc>
        <w:tc>
          <w:tcPr>
            <w:tcW w:w="786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Demonstrates if our business is operating successfully by capturing all operating costs</w:t>
            </w:r>
          </w:p>
        </w:tc>
        <w:tc>
          <w:tcPr>
            <w:tcW w:w="20" w:type="dxa"/>
            <w:vAlign w:val="bottom"/>
            <w:tcBorders>
              <w:top w:val="single" w:sz="8" w:color="EBE6F0"/>
            </w:tcBorders>
          </w:tcPr>
          <w:p>
            <w:pPr>
              <w:spacing w:after="0"/>
              <w:rPr>
                <w:sz w:val="21"/>
                <w:szCs w:val="21"/>
                <w:color w:val="auto"/>
              </w:rPr>
            </w:pPr>
          </w:p>
        </w:tc>
      </w:tr>
      <w:tr>
        <w:trPr>
          <w:trHeight w:val="35"/>
        </w:trPr>
        <w:tc>
          <w:tcPr>
            <w:tcW w:w="20" w:type="dxa"/>
            <w:vAlign w:val="bottom"/>
            <w:tcBorders>
              <w:bottom w:val="single" w:sz="8" w:color="582C83"/>
            </w:tcBorders>
          </w:tcPr>
          <w:p>
            <w:pPr>
              <w:spacing w:after="0"/>
              <w:rPr>
                <w:sz w:val="3"/>
                <w:szCs w:val="3"/>
                <w:color w:val="auto"/>
              </w:rPr>
            </w:pPr>
          </w:p>
        </w:tc>
        <w:tc>
          <w:tcPr>
            <w:tcW w:w="3360" w:type="dxa"/>
            <w:vAlign w:val="bottom"/>
            <w:tcBorders>
              <w:bottom w:val="single" w:sz="8" w:color="582C83"/>
            </w:tcBorders>
          </w:tcPr>
          <w:p>
            <w:pPr>
              <w:spacing w:after="0"/>
              <w:rPr>
                <w:sz w:val="3"/>
                <w:szCs w:val="3"/>
                <w:color w:val="auto"/>
              </w:rPr>
            </w:pPr>
          </w:p>
        </w:tc>
        <w:tc>
          <w:tcPr>
            <w:tcW w:w="786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215"/>
        </w:trPr>
        <w:tc>
          <w:tcPr>
            <w:tcW w:w="20" w:type="dxa"/>
            <w:vAlign w:val="bottom"/>
            <w:shd w:val="clear" w:color="auto" w:fill="EBE6F0"/>
          </w:tcPr>
          <w:p>
            <w:pPr>
              <w:spacing w:after="0"/>
              <w:rPr>
                <w:sz w:val="18"/>
                <w:szCs w:val="18"/>
                <w:color w:val="auto"/>
              </w:rPr>
            </w:pPr>
          </w:p>
        </w:tc>
        <w:tc>
          <w:tcPr>
            <w:tcW w:w="3360" w:type="dxa"/>
            <w:vAlign w:val="bottom"/>
            <w:shd w:val="clear" w:color="auto" w:fill="EBE6F0"/>
          </w:tcPr>
          <w:p>
            <w:pPr>
              <w:ind w:left="60"/>
              <w:spacing w:after="0"/>
              <w:rPr>
                <w:sz w:val="20"/>
                <w:szCs w:val="20"/>
                <w:color w:val="auto"/>
              </w:rPr>
            </w:pPr>
            <w:r>
              <w:rPr>
                <w:rFonts w:ascii="Arial" w:cs="Arial" w:eastAsia="Arial" w:hAnsi="Arial"/>
                <w:sz w:val="16"/>
                <w:szCs w:val="16"/>
                <w:color w:val="auto"/>
              </w:rPr>
              <w:t>Free Cash Flow</w:t>
            </w:r>
          </w:p>
        </w:tc>
        <w:tc>
          <w:tcPr>
            <w:tcW w:w="7860" w:type="dxa"/>
            <w:vAlign w:val="bottom"/>
            <w:shd w:val="clear" w:color="auto" w:fill="EBE6F0"/>
          </w:tcPr>
          <w:p>
            <w:pPr>
              <w:ind w:left="80"/>
              <w:spacing w:after="0"/>
              <w:rPr>
                <w:sz w:val="20"/>
                <w:szCs w:val="20"/>
                <w:color w:val="auto"/>
              </w:rPr>
            </w:pPr>
            <w:r>
              <w:rPr>
                <w:rFonts w:ascii="Arial" w:cs="Arial" w:eastAsia="Arial" w:hAnsi="Arial"/>
                <w:sz w:val="16"/>
                <w:szCs w:val="16"/>
                <w:color w:val="auto"/>
              </w:rPr>
              <w:t>Key metric that influences our ability to invest for future growth, drive operational excellence and return cash</w:t>
            </w:r>
          </w:p>
        </w:tc>
        <w:tc>
          <w:tcPr>
            <w:tcW w:w="20" w:type="dxa"/>
            <w:vAlign w:val="bottom"/>
            <w:shd w:val="clear" w:color="auto" w:fill="EBE6F0"/>
          </w:tcPr>
          <w:p>
            <w:pPr>
              <w:spacing w:after="0"/>
              <w:rPr>
                <w:sz w:val="18"/>
                <w:szCs w:val="18"/>
                <w:color w:val="auto"/>
              </w:rPr>
            </w:pPr>
          </w:p>
        </w:tc>
      </w:tr>
      <w:tr>
        <w:trPr>
          <w:trHeight w:val="254"/>
        </w:trPr>
        <w:tc>
          <w:tcPr>
            <w:tcW w:w="20" w:type="dxa"/>
            <w:vAlign w:val="bottom"/>
            <w:tcBorders>
              <w:bottom w:val="single" w:sz="8" w:color="EBE6F0"/>
            </w:tcBorders>
            <w:shd w:val="clear" w:color="auto" w:fill="EBE6F0"/>
          </w:tcPr>
          <w:p>
            <w:pPr>
              <w:spacing w:after="0"/>
              <w:rPr>
                <w:sz w:val="21"/>
                <w:szCs w:val="21"/>
                <w:color w:val="auto"/>
              </w:rPr>
            </w:pPr>
          </w:p>
        </w:tc>
        <w:tc>
          <w:tcPr>
            <w:tcW w:w="3360" w:type="dxa"/>
            <w:vAlign w:val="bottom"/>
            <w:tcBorders>
              <w:bottom w:val="single" w:sz="8" w:color="EBE6F0"/>
            </w:tcBorders>
            <w:shd w:val="clear" w:color="auto" w:fill="EBE6F0"/>
          </w:tcPr>
          <w:p>
            <w:pPr>
              <w:spacing w:after="0"/>
              <w:rPr>
                <w:sz w:val="21"/>
                <w:szCs w:val="21"/>
                <w:color w:val="auto"/>
              </w:rPr>
            </w:pPr>
          </w:p>
        </w:tc>
        <w:tc>
          <w:tcPr>
            <w:tcW w:w="78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to shareholders</w:t>
            </w:r>
          </w:p>
        </w:tc>
        <w:tc>
          <w:tcPr>
            <w:tcW w:w="20" w:type="dxa"/>
            <w:vAlign w:val="bottom"/>
            <w:tcBorders>
              <w:bottom w:val="single" w:sz="8" w:color="EBE6F0"/>
            </w:tcBorders>
            <w:shd w:val="clear" w:color="auto" w:fill="EBE6F0"/>
          </w:tcPr>
          <w:p>
            <w:pPr>
              <w:spacing w:after="0"/>
              <w:rPr>
                <w:sz w:val="21"/>
                <w:szCs w:val="21"/>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336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Market Share Overlay</w:t>
            </w:r>
          </w:p>
        </w:tc>
        <w:tc>
          <w:tcPr>
            <w:tcW w:w="786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Incentivizes market share growth and leadership positions across our key markets</w:t>
            </w:r>
          </w:p>
        </w:tc>
        <w:tc>
          <w:tcPr>
            <w:tcW w:w="20" w:type="dxa"/>
            <w:vAlign w:val="bottom"/>
            <w:tcBorders>
              <w:top w:val="single" w:sz="8" w:color="EBE6F0"/>
            </w:tcBorders>
          </w:tcPr>
          <w:p>
            <w:pPr>
              <w:spacing w:after="0"/>
              <w:rPr>
                <w:sz w:val="21"/>
                <w:szCs w:val="21"/>
                <w:color w:val="auto"/>
              </w:rPr>
            </w:pPr>
          </w:p>
        </w:tc>
      </w:tr>
      <w:tr>
        <w:trPr>
          <w:trHeight w:val="35"/>
        </w:trPr>
        <w:tc>
          <w:tcPr>
            <w:tcW w:w="20" w:type="dxa"/>
            <w:vAlign w:val="bottom"/>
            <w:tcBorders>
              <w:bottom w:val="single" w:sz="8" w:color="582C83"/>
            </w:tcBorders>
          </w:tcPr>
          <w:p>
            <w:pPr>
              <w:spacing w:after="0"/>
              <w:rPr>
                <w:sz w:val="3"/>
                <w:szCs w:val="3"/>
                <w:color w:val="auto"/>
              </w:rPr>
            </w:pPr>
          </w:p>
        </w:tc>
        <w:tc>
          <w:tcPr>
            <w:tcW w:w="3360" w:type="dxa"/>
            <w:vAlign w:val="bottom"/>
            <w:tcBorders>
              <w:bottom w:val="single" w:sz="8" w:color="582C83"/>
            </w:tcBorders>
          </w:tcPr>
          <w:p>
            <w:pPr>
              <w:spacing w:after="0"/>
              <w:rPr>
                <w:sz w:val="3"/>
                <w:szCs w:val="3"/>
                <w:color w:val="auto"/>
              </w:rPr>
            </w:pPr>
          </w:p>
        </w:tc>
        <w:tc>
          <w:tcPr>
            <w:tcW w:w="786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7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See definitions in Annex A.</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Target-Setting Process</w:t>
      </w:r>
    </w:p>
    <w:p>
      <w:pPr>
        <w:spacing w:after="0" w:line="44"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The Board recognizes the importance of establishing realistic but rigorous targets that continue to motivate and retain executives. As such, the Board approves annual operating targets after a thorough review and discussion. These targets are used by the People and Compensation Committee as the basis of the AIP. The targets set by the Board require achieving a high degree of business performance for the expected operating environment. AIP targets were approved in February 2022.</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2022 Targets and Corporate Financial Rating</w:t>
      </w:r>
    </w:p>
    <w:p>
      <w:pPr>
        <w:spacing w:after="0" w:line="44" w:lineRule="exact"/>
        <w:rPr>
          <w:sz w:val="20"/>
          <w:szCs w:val="20"/>
          <w:color w:val="auto"/>
        </w:rPr>
      </w:pPr>
    </w:p>
    <w:p>
      <w:pPr>
        <w:jc w:val="both"/>
        <w:ind w:right="180"/>
        <w:spacing w:after="0" w:line="242" w:lineRule="auto"/>
        <w:rPr>
          <w:sz w:val="20"/>
          <w:szCs w:val="20"/>
          <w:color w:val="auto"/>
        </w:rPr>
      </w:pPr>
      <w:r>
        <w:rPr>
          <w:rFonts w:ascii="Arial" w:cs="Arial" w:eastAsia="Arial" w:hAnsi="Arial"/>
          <w:sz w:val="20"/>
          <w:szCs w:val="20"/>
          <w:color w:val="auto"/>
        </w:rPr>
        <w:t>To determine awards for Mr. Van de Put and Mr. Zaramella, the People and Compensation Committee first evaluated the 2022 Company results against the 2022 Company performance goals listed below (U.S. dollars in millions). Overall, we achieved an above target Company performance rating of 157% under the 2022 AIP.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143115"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26" w:lineRule="exact"/>
        <w:rPr>
          <w:sz w:val="20"/>
          <w:szCs w:val="20"/>
          <w:color w:val="auto"/>
        </w:rPr>
      </w:pPr>
    </w:p>
    <w:p>
      <w:pPr>
        <w:ind w:left="9060"/>
        <w:spacing w:after="0"/>
        <w:rPr>
          <w:sz w:val="20"/>
          <w:szCs w:val="20"/>
          <w:color w:val="auto"/>
        </w:rPr>
      </w:pPr>
      <w:r>
        <w:rPr>
          <w:rFonts w:ascii="Arial" w:cs="Arial" w:eastAsia="Arial" w:hAnsi="Arial"/>
          <w:sz w:val="15"/>
          <w:szCs w:val="15"/>
          <w:b w:val="1"/>
          <w:bCs w:val="1"/>
          <w:color w:val="58358F"/>
        </w:rPr>
        <w:t>2023 PROXY STATEMENT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79" w:name="page80"/>
    <w:bookmarkEnd w:id="79"/>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55080" cy="373697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355080" cy="373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1" w:hanging="301"/>
        <w:spacing w:after="0"/>
        <w:tabs>
          <w:tab w:leader="none" w:pos="301" w:val="left"/>
        </w:tabs>
        <w:numPr>
          <w:ilvl w:val="0"/>
          <w:numId w:val="69"/>
        </w:numPr>
        <w:rPr>
          <w:rFonts w:ascii="Arial" w:cs="Arial" w:eastAsia="Arial" w:hAnsi="Arial"/>
          <w:sz w:val="15"/>
          <w:szCs w:val="15"/>
          <w:color w:val="auto"/>
        </w:rPr>
      </w:pPr>
      <w:r>
        <w:rPr>
          <w:rFonts w:ascii="Arial" w:cs="Arial" w:eastAsia="Arial" w:hAnsi="Arial"/>
          <w:sz w:val="15"/>
          <w:szCs w:val="15"/>
          <w:color w:val="auto"/>
        </w:rPr>
        <w:t>See definitions in Annex A.</w:t>
      </w:r>
    </w:p>
    <w:p>
      <w:pPr>
        <w:spacing w:after="0" w:line="38" w:lineRule="exact"/>
        <w:rPr>
          <w:rFonts w:ascii="Arial" w:cs="Arial" w:eastAsia="Arial" w:hAnsi="Arial"/>
          <w:sz w:val="15"/>
          <w:szCs w:val="15"/>
          <w:color w:val="auto"/>
        </w:rPr>
      </w:pPr>
    </w:p>
    <w:p>
      <w:pPr>
        <w:ind w:left="301" w:hanging="301"/>
        <w:spacing w:after="0"/>
        <w:tabs>
          <w:tab w:leader="none" w:pos="301" w:val="left"/>
        </w:tabs>
        <w:numPr>
          <w:ilvl w:val="0"/>
          <w:numId w:val="69"/>
        </w:numPr>
        <w:rPr>
          <w:rFonts w:ascii="Arial" w:cs="Arial" w:eastAsia="Arial" w:hAnsi="Arial"/>
          <w:sz w:val="15"/>
          <w:szCs w:val="15"/>
          <w:color w:val="auto"/>
        </w:rPr>
      </w:pPr>
      <w:r>
        <w:rPr>
          <w:rFonts w:ascii="Arial" w:cs="Arial" w:eastAsia="Arial" w:hAnsi="Arial"/>
          <w:sz w:val="15"/>
          <w:szCs w:val="15"/>
          <w:color w:val="auto"/>
        </w:rPr>
        <w:t>Reflects a decrease in global market share measured on a net revenue weighted basis across all of our categories.</w:t>
      </w:r>
    </w:p>
    <w:p>
      <w:pPr>
        <w:spacing w:after="0" w:line="200" w:lineRule="exact"/>
        <w:rPr>
          <w:sz w:val="20"/>
          <w:szCs w:val="20"/>
          <w:color w:val="auto"/>
        </w:rPr>
      </w:pPr>
    </w:p>
    <w:p>
      <w:pPr>
        <w:spacing w:after="0" w:line="20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582C83"/>
        </w:rPr>
        <w:t>2022 AMEA, Europe and North America Financial Ratings</w:t>
      </w:r>
    </w:p>
    <w:p>
      <w:pPr>
        <w:spacing w:after="0" w:line="44" w:lineRule="exact"/>
        <w:rPr>
          <w:sz w:val="20"/>
          <w:szCs w:val="20"/>
          <w:color w:val="auto"/>
        </w:rPr>
      </w:pPr>
    </w:p>
    <w:p>
      <w:pPr>
        <w:ind w:left="1" w:right="120"/>
        <w:spacing w:after="0" w:line="239" w:lineRule="auto"/>
        <w:rPr>
          <w:sz w:val="20"/>
          <w:szCs w:val="20"/>
          <w:color w:val="auto"/>
        </w:rPr>
      </w:pPr>
      <w:r>
        <w:rPr>
          <w:rFonts w:ascii="Arial" w:cs="Arial" w:eastAsia="Arial" w:hAnsi="Arial"/>
          <w:sz w:val="20"/>
          <w:szCs w:val="20"/>
          <w:color w:val="auto"/>
        </w:rPr>
        <w:t>To determine the annual incentive awards for Mr. Brusadelli, Mr. Gruber and Mr. Valle, the People and Compensation Committee evaluated the weighted average of the performance of the business units in each of their respective regions against the performance targets and determined final region performance ratings. These ratings, together with the Company performance rating, were used to create blended performance ratings, as shown below.</w:t>
      </w:r>
    </w:p>
    <w:p>
      <w:pPr>
        <w:spacing w:after="0" w:line="74" w:lineRule="exact"/>
        <w:rPr>
          <w:sz w:val="20"/>
          <w:szCs w:val="20"/>
          <w:color w:val="auto"/>
        </w:rPr>
      </w:pPr>
    </w:p>
    <w:tbl>
      <w:tblPr>
        <w:tblLayout w:type="fixed"/>
        <w:tblInd w:w="1" w:type="dxa"/>
        <w:tblCellMar>
          <w:top w:w="0" w:type="dxa"/>
          <w:left w:w="0" w:type="dxa"/>
          <w:bottom w:w="0" w:type="dxa"/>
          <w:right w:w="0" w:type="dxa"/>
        </w:tblCellMar>
      </w:tblPr>
      <w:tr>
        <w:trPr>
          <w:trHeight w:val="316"/>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Borders>
              <w:bottom w:val="single" w:sz="8" w:color="582C83"/>
            </w:tcBorders>
            <w:gridSpan w:val="3"/>
          </w:tcPr>
          <w:p>
            <w:pPr>
              <w:ind w:left="820"/>
              <w:spacing w:after="0"/>
              <w:rPr>
                <w:sz w:val="20"/>
                <w:szCs w:val="20"/>
                <w:color w:val="auto"/>
              </w:rPr>
            </w:pPr>
            <w:r>
              <w:rPr>
                <w:rFonts w:ascii="Arial" w:cs="Arial" w:eastAsia="Arial" w:hAnsi="Arial"/>
                <w:sz w:val="16"/>
                <w:szCs w:val="16"/>
                <w:b w:val="1"/>
                <w:bCs w:val="1"/>
                <w:color w:val="auto"/>
              </w:rPr>
              <w:t>Performance Rating</w:t>
            </w:r>
            <w:r>
              <w:rPr>
                <w:rFonts w:ascii="Arial" w:cs="Arial" w:eastAsia="Arial" w:hAnsi="Arial"/>
                <w:sz w:val="26"/>
                <w:szCs w:val="26"/>
                <w:b w:val="1"/>
                <w:bCs w:val="1"/>
                <w:color w:val="auto"/>
                <w:vertAlign w:val="superscript"/>
              </w:rPr>
              <w:t>(1)</w:t>
            </w:r>
          </w:p>
        </w:tc>
        <w:tc>
          <w:tcPr>
            <w:tcW w:w="780" w:type="dxa"/>
            <w:vAlign w:val="bottom"/>
            <w:tcBorders>
              <w:bottom w:val="single" w:sz="8" w:color="582C83"/>
            </w:tcBorders>
          </w:tcPr>
          <w:p>
            <w:pPr>
              <w:spacing w:after="0"/>
              <w:rPr>
                <w:sz w:val="24"/>
                <w:szCs w:val="24"/>
                <w:color w:val="auto"/>
              </w:rPr>
            </w:pPr>
          </w:p>
        </w:tc>
        <w:tc>
          <w:tcPr>
            <w:tcW w:w="1900" w:type="dxa"/>
            <w:vAlign w:val="bottom"/>
            <w:tcBorders>
              <w:bottom w:val="single" w:sz="8" w:color="582C83"/>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8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Performance Measures</w:t>
            </w:r>
            <w:r>
              <w:rPr>
                <w:rFonts w:ascii="Arial" w:cs="Arial" w:eastAsia="Arial" w:hAnsi="Arial"/>
                <w:sz w:val="26"/>
                <w:szCs w:val="26"/>
                <w:b w:val="1"/>
                <w:bCs w:val="1"/>
                <w:color w:val="auto"/>
                <w:vertAlign w:val="superscript"/>
              </w:rPr>
              <w:t>(1)</w:t>
            </w: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80" w:type="dxa"/>
            <w:vAlign w:val="bottom"/>
            <w:gridSpan w:val="3"/>
          </w:tcPr>
          <w:p>
            <w:pPr>
              <w:jc w:val="right"/>
              <w:ind w:right="1200"/>
              <w:spacing w:after="0"/>
              <w:rPr>
                <w:sz w:val="20"/>
                <w:szCs w:val="20"/>
                <w:color w:val="auto"/>
              </w:rPr>
            </w:pPr>
            <w:r>
              <w:rPr>
                <w:rFonts w:ascii="Arial" w:cs="Arial" w:eastAsia="Arial" w:hAnsi="Arial"/>
                <w:sz w:val="16"/>
                <w:szCs w:val="16"/>
                <w:b w:val="1"/>
                <w:bCs w:val="1"/>
                <w:color w:val="auto"/>
              </w:rPr>
              <w:t>AMEA</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Europe</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North America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582C83"/>
            </w:tcBorders>
          </w:tcPr>
          <w:p>
            <w:pPr>
              <w:spacing w:after="0"/>
              <w:rPr>
                <w:sz w:val="21"/>
                <w:szCs w:val="21"/>
                <w:color w:val="auto"/>
              </w:rPr>
            </w:pPr>
          </w:p>
        </w:tc>
        <w:tc>
          <w:tcPr>
            <w:tcW w:w="3820" w:type="dxa"/>
            <w:vAlign w:val="bottom"/>
            <w:tcBorders>
              <w:bottom w:val="single" w:sz="8" w:color="582C83"/>
            </w:tcBorders>
            <w:vMerge w:val="continue"/>
          </w:tcPr>
          <w:p>
            <w:pPr>
              <w:spacing w:after="0"/>
              <w:rPr>
                <w:sz w:val="21"/>
                <w:szCs w:val="21"/>
                <w:color w:val="auto"/>
              </w:rPr>
            </w:pPr>
          </w:p>
        </w:tc>
        <w:tc>
          <w:tcPr>
            <w:tcW w:w="2140" w:type="dxa"/>
            <w:vAlign w:val="bottom"/>
            <w:tcBorders>
              <w:bottom w:val="single" w:sz="8" w:color="582C83"/>
            </w:tcBorders>
            <w:gridSpan w:val="3"/>
          </w:tcPr>
          <w:p>
            <w:pPr>
              <w:ind w:left="1060"/>
              <w:spacing w:after="0"/>
              <w:rPr>
                <w:sz w:val="20"/>
                <w:szCs w:val="20"/>
                <w:color w:val="auto"/>
              </w:rPr>
            </w:pPr>
            <w:r>
              <w:rPr>
                <w:rFonts w:ascii="Arial" w:cs="Arial" w:eastAsia="Arial" w:hAnsi="Arial"/>
                <w:sz w:val="16"/>
                <w:szCs w:val="16"/>
                <w:b w:val="1"/>
                <w:bCs w:val="1"/>
                <w:color w:val="auto"/>
              </w:rPr>
              <w:t>Weighting</w:t>
            </w:r>
          </w:p>
        </w:tc>
        <w:tc>
          <w:tcPr>
            <w:tcW w:w="2580" w:type="dxa"/>
            <w:vAlign w:val="bottom"/>
            <w:tcBorders>
              <w:bottom w:val="single" w:sz="8" w:color="582C83"/>
            </w:tcBorders>
            <w:gridSpan w:val="3"/>
          </w:tcPr>
          <w:p>
            <w:pPr>
              <w:jc w:val="right"/>
              <w:ind w:right="1200"/>
              <w:spacing w:after="0"/>
              <w:rPr>
                <w:sz w:val="20"/>
                <w:szCs w:val="20"/>
                <w:color w:val="auto"/>
              </w:rPr>
            </w:pPr>
            <w:r>
              <w:rPr>
                <w:rFonts w:ascii="Arial" w:cs="Arial" w:eastAsia="Arial" w:hAnsi="Arial"/>
                <w:sz w:val="16"/>
                <w:szCs w:val="16"/>
                <w:b w:val="1"/>
                <w:bCs w:val="1"/>
                <w:color w:val="auto"/>
              </w:rPr>
              <w:t>(Brusadelli)</w:t>
            </w:r>
          </w:p>
        </w:tc>
        <w:tc>
          <w:tcPr>
            <w:tcW w:w="7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(Gruber)</w:t>
            </w:r>
          </w:p>
        </w:tc>
        <w:tc>
          <w:tcPr>
            <w:tcW w:w="190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(Valle)</w:t>
            </w:r>
          </w:p>
        </w:tc>
        <w:tc>
          <w:tcPr>
            <w:tcW w:w="20" w:type="dxa"/>
            <w:vAlign w:val="bottom"/>
            <w:tcBorders>
              <w:bottom w:val="single" w:sz="8" w:color="582C83"/>
            </w:tcBorders>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0" w:type="dxa"/>
            <w:vAlign w:val="bottom"/>
            <w:tcBorders>
              <w:bottom w:val="single" w:sz="8" w:color="EBE6F0"/>
            </w:tcBorders>
            <w:shd w:val="clear" w:color="auto" w:fill="EBE6F0"/>
          </w:tcPr>
          <w:p>
            <w:pPr>
              <w:spacing w:after="0"/>
              <w:rPr>
                <w:sz w:val="24"/>
                <w:szCs w:val="24"/>
                <w:color w:val="auto"/>
              </w:rPr>
            </w:pPr>
          </w:p>
        </w:tc>
        <w:tc>
          <w:tcPr>
            <w:tcW w:w="382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Organic Volume Growth</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EBE6F0"/>
            </w:tcBorders>
            <w:shd w:val="clear" w:color="auto" w:fill="EBE6F0"/>
          </w:tcPr>
          <w:p>
            <w:pPr>
              <w:spacing w:after="0"/>
              <w:rPr>
                <w:sz w:val="24"/>
                <w:szCs w:val="24"/>
                <w:color w:val="auto"/>
              </w:rPr>
            </w:pPr>
          </w:p>
        </w:tc>
        <w:tc>
          <w:tcPr>
            <w:tcW w:w="220" w:type="dxa"/>
            <w:vAlign w:val="bottom"/>
            <w:tcBorders>
              <w:bottom w:val="single" w:sz="8" w:color="EBE6F0"/>
            </w:tcBorders>
            <w:shd w:val="clear" w:color="auto" w:fill="EBE6F0"/>
          </w:tcPr>
          <w:p>
            <w:pPr>
              <w:spacing w:after="0"/>
              <w:rPr>
                <w:sz w:val="24"/>
                <w:szCs w:val="24"/>
                <w:color w:val="auto"/>
              </w:rPr>
            </w:pPr>
          </w:p>
        </w:tc>
        <w:tc>
          <w:tcPr>
            <w:tcW w:w="14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176%</w:t>
            </w:r>
          </w:p>
        </w:tc>
        <w:tc>
          <w:tcPr>
            <w:tcW w:w="20" w:type="dxa"/>
            <w:vAlign w:val="bottom"/>
            <w:tcBorders>
              <w:bottom w:val="single" w:sz="8" w:color="EBE6F0"/>
            </w:tcBorders>
            <w:shd w:val="clear" w:color="auto" w:fill="EBE6F0"/>
          </w:tcPr>
          <w:p>
            <w:pPr>
              <w:spacing w:after="0"/>
              <w:rPr>
                <w:sz w:val="24"/>
                <w:szCs w:val="24"/>
                <w:color w:val="auto"/>
              </w:rPr>
            </w:pPr>
          </w:p>
        </w:tc>
        <w:tc>
          <w:tcPr>
            <w:tcW w:w="1120" w:type="dxa"/>
            <w:vAlign w:val="bottom"/>
            <w:tcBorders>
              <w:bottom w:val="single" w:sz="8" w:color="EBE6F0"/>
            </w:tcBorders>
            <w:shd w:val="clear" w:color="auto" w:fill="EBE6F0"/>
          </w:tcPr>
          <w:p>
            <w:pPr>
              <w:spacing w:after="0"/>
              <w:rPr>
                <w:sz w:val="24"/>
                <w:szCs w:val="24"/>
                <w:color w:val="auto"/>
              </w:rPr>
            </w:pP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69%</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18%</w:t>
            </w:r>
          </w:p>
        </w:tc>
        <w:tc>
          <w:tcPr>
            <w:tcW w:w="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382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Organic Net Revenue Growth</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top w:val="single" w:sz="8" w:color="EBE6F0"/>
            </w:tcBorders>
          </w:tcPr>
          <w:p>
            <w:pPr>
              <w:spacing w:after="0"/>
              <w:rPr>
                <w:sz w:val="21"/>
                <w:szCs w:val="21"/>
                <w:color w:val="auto"/>
              </w:rPr>
            </w:pPr>
          </w:p>
        </w:tc>
        <w:tc>
          <w:tcPr>
            <w:tcW w:w="220" w:type="dxa"/>
            <w:vAlign w:val="bottom"/>
            <w:tcBorders>
              <w:top w:val="single" w:sz="8" w:color="582C83"/>
            </w:tcBorders>
          </w:tcPr>
          <w:p>
            <w:pPr>
              <w:spacing w:after="0"/>
              <w:rPr>
                <w:sz w:val="21"/>
                <w:szCs w:val="21"/>
                <w:color w:val="auto"/>
              </w:rPr>
            </w:pPr>
          </w:p>
        </w:tc>
        <w:tc>
          <w:tcPr>
            <w:tcW w:w="144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193%</w:t>
            </w:r>
          </w:p>
        </w:tc>
        <w:tc>
          <w:tcPr>
            <w:tcW w:w="20" w:type="dxa"/>
            <w:vAlign w:val="bottom"/>
            <w:tcBorders>
              <w:top w:val="single" w:sz="8" w:color="EBE6F0"/>
            </w:tcBorders>
          </w:tcPr>
          <w:p>
            <w:pPr>
              <w:spacing w:after="0"/>
              <w:rPr>
                <w:sz w:val="21"/>
                <w:szCs w:val="21"/>
                <w:color w:val="auto"/>
              </w:rPr>
            </w:pPr>
          </w:p>
        </w:tc>
        <w:tc>
          <w:tcPr>
            <w:tcW w:w="1120" w:type="dxa"/>
            <w:vAlign w:val="bottom"/>
            <w:tcBorders>
              <w:top w:val="single" w:sz="8" w:color="582C83"/>
            </w:tcBorders>
          </w:tcPr>
          <w:p>
            <w:pPr>
              <w:spacing w:after="0"/>
              <w:rPr>
                <w:sz w:val="21"/>
                <w:szCs w:val="21"/>
                <w:color w:val="auto"/>
              </w:rPr>
            </w:pPr>
          </w:p>
        </w:tc>
        <w:tc>
          <w:tcPr>
            <w:tcW w:w="7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175%</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200%</w:t>
            </w:r>
          </w:p>
        </w:tc>
        <w:tc>
          <w:tcPr>
            <w:tcW w:w="20" w:type="dxa"/>
            <w:vAlign w:val="bottom"/>
            <w:tcBorders>
              <w:top w:val="single" w:sz="8" w:color="EBE6F0"/>
            </w:tcBorders>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Borders>
              <w:bottom w:val="single" w:sz="8" w:color="582C83"/>
            </w:tcBorders>
          </w:tcPr>
          <w:p>
            <w:pPr>
              <w:spacing w:after="0"/>
              <w:rPr>
                <w:sz w:val="3"/>
                <w:szCs w:val="3"/>
                <w:color w:val="auto"/>
              </w:rPr>
            </w:pPr>
          </w:p>
        </w:tc>
        <w:tc>
          <w:tcPr>
            <w:tcW w:w="382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220" w:type="dxa"/>
            <w:vAlign w:val="bottom"/>
            <w:tcBorders>
              <w:bottom w:val="single" w:sz="8" w:color="582C83"/>
            </w:tcBorders>
          </w:tcPr>
          <w:p>
            <w:pPr>
              <w:spacing w:after="0"/>
              <w:rPr>
                <w:sz w:val="3"/>
                <w:szCs w:val="3"/>
                <w:color w:val="auto"/>
              </w:rPr>
            </w:pPr>
          </w:p>
        </w:tc>
        <w:tc>
          <w:tcPr>
            <w:tcW w:w="144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78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EBE6F0"/>
            </w:tcBorders>
            <w:shd w:val="clear" w:color="auto" w:fill="EBE6F0"/>
          </w:tcPr>
          <w:p>
            <w:pPr>
              <w:spacing w:after="0"/>
              <w:rPr>
                <w:sz w:val="24"/>
                <w:szCs w:val="24"/>
                <w:color w:val="auto"/>
              </w:rPr>
            </w:pPr>
          </w:p>
        </w:tc>
        <w:tc>
          <w:tcPr>
            <w:tcW w:w="382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Adjusted Gross Profit Growth</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35%</w:t>
            </w:r>
          </w:p>
        </w:tc>
        <w:tc>
          <w:tcPr>
            <w:tcW w:w="20" w:type="dxa"/>
            <w:vAlign w:val="bottom"/>
            <w:tcBorders>
              <w:bottom w:val="single" w:sz="8" w:color="EBE6F0"/>
            </w:tcBorders>
            <w:shd w:val="clear" w:color="auto" w:fill="EBE6F0"/>
          </w:tcPr>
          <w:p>
            <w:pPr>
              <w:spacing w:after="0"/>
              <w:rPr>
                <w:sz w:val="24"/>
                <w:szCs w:val="24"/>
                <w:color w:val="auto"/>
              </w:rPr>
            </w:pPr>
          </w:p>
        </w:tc>
        <w:tc>
          <w:tcPr>
            <w:tcW w:w="220" w:type="dxa"/>
            <w:vAlign w:val="bottom"/>
            <w:tcBorders>
              <w:bottom w:val="single" w:sz="8" w:color="EBE6F0"/>
            </w:tcBorders>
            <w:shd w:val="clear" w:color="auto" w:fill="EBE6F0"/>
          </w:tcPr>
          <w:p>
            <w:pPr>
              <w:spacing w:after="0"/>
              <w:rPr>
                <w:sz w:val="24"/>
                <w:szCs w:val="24"/>
                <w:color w:val="auto"/>
              </w:rPr>
            </w:pPr>
          </w:p>
        </w:tc>
        <w:tc>
          <w:tcPr>
            <w:tcW w:w="14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151%</w:t>
            </w:r>
          </w:p>
        </w:tc>
        <w:tc>
          <w:tcPr>
            <w:tcW w:w="20" w:type="dxa"/>
            <w:vAlign w:val="bottom"/>
            <w:tcBorders>
              <w:bottom w:val="single" w:sz="8" w:color="EBE6F0"/>
            </w:tcBorders>
            <w:shd w:val="clear" w:color="auto" w:fill="EBE6F0"/>
          </w:tcPr>
          <w:p>
            <w:pPr>
              <w:spacing w:after="0"/>
              <w:rPr>
                <w:sz w:val="24"/>
                <w:szCs w:val="24"/>
                <w:color w:val="auto"/>
              </w:rPr>
            </w:pPr>
          </w:p>
        </w:tc>
        <w:tc>
          <w:tcPr>
            <w:tcW w:w="1120" w:type="dxa"/>
            <w:vAlign w:val="bottom"/>
            <w:tcBorders>
              <w:bottom w:val="single" w:sz="8" w:color="EBE6F0"/>
            </w:tcBorders>
            <w:shd w:val="clear" w:color="auto" w:fill="EBE6F0"/>
          </w:tcPr>
          <w:p>
            <w:pPr>
              <w:spacing w:after="0"/>
              <w:rPr>
                <w:sz w:val="24"/>
                <w:szCs w:val="24"/>
                <w:color w:val="auto"/>
              </w:rPr>
            </w:pP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19%</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187%</w:t>
            </w:r>
          </w:p>
        </w:tc>
        <w:tc>
          <w:tcPr>
            <w:tcW w:w="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382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Adjusted Operating Income Growth</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top w:val="single" w:sz="8" w:color="EBE6F0"/>
            </w:tcBorders>
          </w:tcPr>
          <w:p>
            <w:pPr>
              <w:spacing w:after="0"/>
              <w:rPr>
                <w:sz w:val="21"/>
                <w:szCs w:val="21"/>
                <w:color w:val="auto"/>
              </w:rPr>
            </w:pPr>
          </w:p>
        </w:tc>
        <w:tc>
          <w:tcPr>
            <w:tcW w:w="220" w:type="dxa"/>
            <w:vAlign w:val="bottom"/>
            <w:tcBorders>
              <w:top w:val="single" w:sz="8" w:color="582C83"/>
            </w:tcBorders>
          </w:tcPr>
          <w:p>
            <w:pPr>
              <w:spacing w:after="0"/>
              <w:rPr>
                <w:sz w:val="21"/>
                <w:szCs w:val="21"/>
                <w:color w:val="auto"/>
              </w:rPr>
            </w:pPr>
          </w:p>
        </w:tc>
        <w:tc>
          <w:tcPr>
            <w:tcW w:w="144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133%</w:t>
            </w:r>
          </w:p>
        </w:tc>
        <w:tc>
          <w:tcPr>
            <w:tcW w:w="20" w:type="dxa"/>
            <w:vAlign w:val="bottom"/>
            <w:tcBorders>
              <w:top w:val="single" w:sz="8" w:color="EBE6F0"/>
            </w:tcBorders>
          </w:tcPr>
          <w:p>
            <w:pPr>
              <w:spacing w:after="0"/>
              <w:rPr>
                <w:sz w:val="21"/>
                <w:szCs w:val="21"/>
                <w:color w:val="auto"/>
              </w:rPr>
            </w:pPr>
          </w:p>
        </w:tc>
        <w:tc>
          <w:tcPr>
            <w:tcW w:w="1120" w:type="dxa"/>
            <w:vAlign w:val="bottom"/>
            <w:tcBorders>
              <w:top w:val="single" w:sz="8" w:color="582C83"/>
            </w:tcBorders>
          </w:tcPr>
          <w:p>
            <w:pPr>
              <w:spacing w:after="0"/>
              <w:rPr>
                <w:sz w:val="21"/>
                <w:szCs w:val="21"/>
                <w:color w:val="auto"/>
              </w:rPr>
            </w:pPr>
          </w:p>
        </w:tc>
        <w:tc>
          <w:tcPr>
            <w:tcW w:w="7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19%</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191%</w:t>
            </w:r>
          </w:p>
        </w:tc>
        <w:tc>
          <w:tcPr>
            <w:tcW w:w="20" w:type="dxa"/>
            <w:vAlign w:val="bottom"/>
            <w:tcBorders>
              <w:top w:val="single" w:sz="8" w:color="EBE6F0"/>
            </w:tcBorders>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Borders>
              <w:bottom w:val="single" w:sz="8" w:color="582C83"/>
            </w:tcBorders>
          </w:tcPr>
          <w:p>
            <w:pPr>
              <w:spacing w:after="0"/>
              <w:rPr>
                <w:sz w:val="3"/>
                <w:szCs w:val="3"/>
                <w:color w:val="auto"/>
              </w:rPr>
            </w:pPr>
          </w:p>
        </w:tc>
        <w:tc>
          <w:tcPr>
            <w:tcW w:w="382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220" w:type="dxa"/>
            <w:vAlign w:val="bottom"/>
            <w:tcBorders>
              <w:bottom w:val="single" w:sz="8" w:color="582C83"/>
            </w:tcBorders>
          </w:tcPr>
          <w:p>
            <w:pPr>
              <w:spacing w:after="0"/>
              <w:rPr>
                <w:sz w:val="3"/>
                <w:szCs w:val="3"/>
                <w:color w:val="auto"/>
              </w:rPr>
            </w:pPr>
          </w:p>
        </w:tc>
        <w:tc>
          <w:tcPr>
            <w:tcW w:w="144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78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EBE6F0"/>
            </w:tcBorders>
            <w:shd w:val="clear" w:color="auto" w:fill="EBE6F0"/>
          </w:tcPr>
          <w:p>
            <w:pPr>
              <w:spacing w:after="0"/>
              <w:rPr>
                <w:sz w:val="24"/>
                <w:szCs w:val="24"/>
                <w:color w:val="auto"/>
              </w:rPr>
            </w:pPr>
          </w:p>
        </w:tc>
        <w:tc>
          <w:tcPr>
            <w:tcW w:w="382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Free Cash Flow</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20%</w:t>
            </w:r>
          </w:p>
        </w:tc>
        <w:tc>
          <w:tcPr>
            <w:tcW w:w="20" w:type="dxa"/>
            <w:vAlign w:val="bottom"/>
            <w:tcBorders>
              <w:bottom w:val="single" w:sz="8" w:color="EBE6F0"/>
            </w:tcBorders>
            <w:shd w:val="clear" w:color="auto" w:fill="EBE6F0"/>
          </w:tcPr>
          <w:p>
            <w:pPr>
              <w:spacing w:after="0"/>
              <w:rPr>
                <w:sz w:val="24"/>
                <w:szCs w:val="24"/>
                <w:color w:val="auto"/>
              </w:rPr>
            </w:pPr>
          </w:p>
        </w:tc>
        <w:tc>
          <w:tcPr>
            <w:tcW w:w="220" w:type="dxa"/>
            <w:vAlign w:val="bottom"/>
            <w:tcBorders>
              <w:bottom w:val="single" w:sz="8" w:color="EBE6F0"/>
            </w:tcBorders>
            <w:shd w:val="clear" w:color="auto" w:fill="EBE6F0"/>
          </w:tcPr>
          <w:p>
            <w:pPr>
              <w:spacing w:after="0"/>
              <w:rPr>
                <w:sz w:val="24"/>
                <w:szCs w:val="24"/>
                <w:color w:val="auto"/>
              </w:rPr>
            </w:pPr>
          </w:p>
        </w:tc>
        <w:tc>
          <w:tcPr>
            <w:tcW w:w="14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119%</w:t>
            </w:r>
          </w:p>
        </w:tc>
        <w:tc>
          <w:tcPr>
            <w:tcW w:w="20" w:type="dxa"/>
            <w:vAlign w:val="bottom"/>
            <w:tcBorders>
              <w:bottom w:val="single" w:sz="8" w:color="EBE6F0"/>
            </w:tcBorders>
            <w:shd w:val="clear" w:color="auto" w:fill="EBE6F0"/>
          </w:tcPr>
          <w:p>
            <w:pPr>
              <w:spacing w:after="0"/>
              <w:rPr>
                <w:sz w:val="24"/>
                <w:szCs w:val="24"/>
                <w:color w:val="auto"/>
              </w:rPr>
            </w:pPr>
          </w:p>
        </w:tc>
        <w:tc>
          <w:tcPr>
            <w:tcW w:w="1120" w:type="dxa"/>
            <w:vAlign w:val="bottom"/>
            <w:tcBorders>
              <w:bottom w:val="single" w:sz="8" w:color="EBE6F0"/>
            </w:tcBorders>
            <w:shd w:val="clear" w:color="auto" w:fill="EBE6F0"/>
          </w:tcPr>
          <w:p>
            <w:pPr>
              <w:spacing w:after="0"/>
              <w:rPr>
                <w:sz w:val="24"/>
                <w:szCs w:val="24"/>
                <w:color w:val="auto"/>
              </w:rPr>
            </w:pP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200%</w:t>
            </w:r>
          </w:p>
        </w:tc>
        <w:tc>
          <w:tcPr>
            <w:tcW w:w="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382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Market Share Overlay</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-/+30%</w:t>
            </w:r>
          </w:p>
        </w:tc>
        <w:tc>
          <w:tcPr>
            <w:tcW w:w="20" w:type="dxa"/>
            <w:vAlign w:val="bottom"/>
            <w:tcBorders>
              <w:top w:val="single" w:sz="8" w:color="EBE6F0"/>
            </w:tcBorders>
          </w:tcPr>
          <w:p>
            <w:pPr>
              <w:spacing w:after="0"/>
              <w:rPr>
                <w:sz w:val="21"/>
                <w:szCs w:val="21"/>
                <w:color w:val="auto"/>
              </w:rPr>
            </w:pPr>
          </w:p>
        </w:tc>
        <w:tc>
          <w:tcPr>
            <w:tcW w:w="220" w:type="dxa"/>
            <w:vAlign w:val="bottom"/>
            <w:tcBorders>
              <w:top w:val="single" w:sz="8" w:color="582C83"/>
            </w:tcBorders>
          </w:tcPr>
          <w:p>
            <w:pPr>
              <w:spacing w:after="0"/>
              <w:rPr>
                <w:sz w:val="21"/>
                <w:szCs w:val="21"/>
                <w:color w:val="auto"/>
              </w:rPr>
            </w:pPr>
          </w:p>
        </w:tc>
        <w:tc>
          <w:tcPr>
            <w:tcW w:w="144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+30pp</w:t>
            </w:r>
          </w:p>
        </w:tc>
        <w:tc>
          <w:tcPr>
            <w:tcW w:w="20" w:type="dxa"/>
            <w:vAlign w:val="bottom"/>
            <w:tcBorders>
              <w:top w:val="single" w:sz="8" w:color="EBE6F0"/>
            </w:tcBorders>
          </w:tcPr>
          <w:p>
            <w:pPr>
              <w:spacing w:after="0"/>
              <w:rPr>
                <w:sz w:val="21"/>
                <w:szCs w:val="21"/>
                <w:color w:val="auto"/>
              </w:rPr>
            </w:pPr>
          </w:p>
        </w:tc>
        <w:tc>
          <w:tcPr>
            <w:tcW w:w="1120" w:type="dxa"/>
            <w:vAlign w:val="bottom"/>
            <w:tcBorders>
              <w:top w:val="single" w:sz="8" w:color="582C83"/>
            </w:tcBorders>
          </w:tcPr>
          <w:p>
            <w:pPr>
              <w:spacing w:after="0"/>
              <w:rPr>
                <w:sz w:val="21"/>
                <w:szCs w:val="21"/>
                <w:color w:val="auto"/>
              </w:rPr>
            </w:pPr>
          </w:p>
        </w:tc>
        <w:tc>
          <w:tcPr>
            <w:tcW w:w="7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-30pp</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-30pp</w:t>
            </w:r>
          </w:p>
        </w:tc>
        <w:tc>
          <w:tcPr>
            <w:tcW w:w="20" w:type="dxa"/>
            <w:vAlign w:val="bottom"/>
            <w:tcBorders>
              <w:top w:val="single" w:sz="8" w:color="EBE6F0"/>
            </w:tcBorders>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Borders>
              <w:bottom w:val="single" w:sz="8" w:color="582C83"/>
            </w:tcBorders>
          </w:tcPr>
          <w:p>
            <w:pPr>
              <w:spacing w:after="0"/>
              <w:rPr>
                <w:sz w:val="3"/>
                <w:szCs w:val="3"/>
                <w:color w:val="auto"/>
              </w:rPr>
            </w:pPr>
          </w:p>
        </w:tc>
        <w:tc>
          <w:tcPr>
            <w:tcW w:w="382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220" w:type="dxa"/>
            <w:vAlign w:val="bottom"/>
            <w:tcBorders>
              <w:bottom w:val="single" w:sz="8" w:color="582C83"/>
            </w:tcBorders>
          </w:tcPr>
          <w:p>
            <w:pPr>
              <w:spacing w:after="0"/>
              <w:rPr>
                <w:sz w:val="3"/>
                <w:szCs w:val="3"/>
                <w:color w:val="auto"/>
              </w:rPr>
            </w:pPr>
          </w:p>
        </w:tc>
        <w:tc>
          <w:tcPr>
            <w:tcW w:w="144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78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EBE6F0"/>
            </w:tcBorders>
            <w:shd w:val="clear" w:color="auto" w:fill="EBE6F0"/>
          </w:tcPr>
          <w:p>
            <w:pPr>
              <w:spacing w:after="0"/>
              <w:rPr>
                <w:sz w:val="24"/>
                <w:szCs w:val="24"/>
                <w:color w:val="auto"/>
              </w:rPr>
            </w:pPr>
          </w:p>
        </w:tc>
        <w:tc>
          <w:tcPr>
            <w:tcW w:w="382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b w:val="1"/>
                <w:bCs w:val="1"/>
                <w:color w:val="auto"/>
              </w:rPr>
              <w:t>Region Performance Rating</w:t>
            </w:r>
          </w:p>
        </w:tc>
        <w:tc>
          <w:tcPr>
            <w:tcW w:w="1900" w:type="dxa"/>
            <w:vAlign w:val="bottom"/>
            <w:tcBorders>
              <w:bottom w:val="single" w:sz="8" w:color="EBE6F0"/>
            </w:tcBorders>
            <w:shd w:val="clear" w:color="auto" w:fill="EBE6F0"/>
          </w:tcPr>
          <w:p>
            <w:pPr>
              <w:spacing w:after="0"/>
              <w:rPr>
                <w:sz w:val="24"/>
                <w:szCs w:val="24"/>
                <w:color w:val="auto"/>
              </w:rPr>
            </w:pPr>
          </w:p>
        </w:tc>
        <w:tc>
          <w:tcPr>
            <w:tcW w:w="20" w:type="dxa"/>
            <w:vAlign w:val="bottom"/>
            <w:tcBorders>
              <w:bottom w:val="single" w:sz="8" w:color="EBE6F0"/>
            </w:tcBorders>
            <w:shd w:val="clear" w:color="auto" w:fill="EBE6F0"/>
          </w:tcPr>
          <w:p>
            <w:pPr>
              <w:spacing w:after="0"/>
              <w:rPr>
                <w:sz w:val="24"/>
                <w:szCs w:val="24"/>
                <w:color w:val="auto"/>
              </w:rPr>
            </w:pPr>
          </w:p>
        </w:tc>
        <w:tc>
          <w:tcPr>
            <w:tcW w:w="220" w:type="dxa"/>
            <w:vAlign w:val="bottom"/>
            <w:tcBorders>
              <w:bottom w:val="single" w:sz="8" w:color="EBE6F0"/>
            </w:tcBorders>
            <w:shd w:val="clear" w:color="auto" w:fill="EBE6F0"/>
          </w:tcPr>
          <w:p>
            <w:pPr>
              <w:spacing w:after="0"/>
              <w:rPr>
                <w:sz w:val="24"/>
                <w:szCs w:val="24"/>
                <w:color w:val="auto"/>
              </w:rPr>
            </w:pPr>
          </w:p>
        </w:tc>
        <w:tc>
          <w:tcPr>
            <w:tcW w:w="14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182%</w:t>
            </w:r>
          </w:p>
        </w:tc>
        <w:tc>
          <w:tcPr>
            <w:tcW w:w="20" w:type="dxa"/>
            <w:vAlign w:val="bottom"/>
            <w:tcBorders>
              <w:bottom w:val="single" w:sz="8" w:color="EBE6F0"/>
            </w:tcBorders>
            <w:shd w:val="clear" w:color="auto" w:fill="EBE6F0"/>
          </w:tcPr>
          <w:p>
            <w:pPr>
              <w:spacing w:after="0"/>
              <w:rPr>
                <w:sz w:val="24"/>
                <w:szCs w:val="24"/>
                <w:color w:val="auto"/>
              </w:rPr>
            </w:pPr>
          </w:p>
        </w:tc>
        <w:tc>
          <w:tcPr>
            <w:tcW w:w="1120" w:type="dxa"/>
            <w:vAlign w:val="bottom"/>
            <w:tcBorders>
              <w:bottom w:val="single" w:sz="8" w:color="EBE6F0"/>
            </w:tcBorders>
            <w:shd w:val="clear" w:color="auto" w:fill="EBE6F0"/>
          </w:tcPr>
          <w:p>
            <w:pPr>
              <w:spacing w:after="0"/>
              <w:rPr>
                <w:sz w:val="24"/>
                <w:szCs w:val="24"/>
                <w:color w:val="auto"/>
              </w:rPr>
            </w:pP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16%</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137%</w:t>
            </w:r>
          </w:p>
        </w:tc>
        <w:tc>
          <w:tcPr>
            <w:tcW w:w="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EBE6F0"/>
            </w:tcBorders>
          </w:tcPr>
          <w:p>
            <w:pPr>
              <w:spacing w:after="0"/>
              <w:rPr>
                <w:sz w:val="21"/>
                <w:szCs w:val="21"/>
                <w:color w:val="auto"/>
              </w:rPr>
            </w:pPr>
          </w:p>
        </w:tc>
        <w:tc>
          <w:tcPr>
            <w:tcW w:w="3820" w:type="dxa"/>
            <w:vAlign w:val="bottom"/>
            <w:tcBorders>
              <w:top w:val="single" w:sz="8" w:color="582C83"/>
            </w:tcBorders>
          </w:tcPr>
          <w:p>
            <w:pPr>
              <w:ind w:left="60"/>
              <w:spacing w:after="0"/>
              <w:rPr>
                <w:sz w:val="20"/>
                <w:szCs w:val="20"/>
                <w:color w:val="auto"/>
              </w:rPr>
            </w:pPr>
            <w:r>
              <w:rPr>
                <w:rFonts w:ascii="Arial" w:cs="Arial" w:eastAsia="Arial" w:hAnsi="Arial"/>
                <w:sz w:val="16"/>
                <w:szCs w:val="16"/>
                <w:b w:val="1"/>
                <w:bCs w:val="1"/>
                <w:color w:val="auto"/>
              </w:rPr>
              <w:t>Final Blended Rating</w:t>
            </w:r>
          </w:p>
        </w:tc>
        <w:tc>
          <w:tcPr>
            <w:tcW w:w="1900" w:type="dxa"/>
            <w:vAlign w:val="bottom"/>
            <w:tcBorders>
              <w:top w:val="single" w:sz="8" w:color="582C83"/>
            </w:tcBorders>
          </w:tcPr>
          <w:p>
            <w:pPr>
              <w:spacing w:after="0"/>
              <w:rPr>
                <w:sz w:val="21"/>
                <w:szCs w:val="21"/>
                <w:color w:val="auto"/>
              </w:rPr>
            </w:pPr>
          </w:p>
        </w:tc>
        <w:tc>
          <w:tcPr>
            <w:tcW w:w="20" w:type="dxa"/>
            <w:vAlign w:val="bottom"/>
            <w:tcBorders>
              <w:top w:val="single" w:sz="8" w:color="EBE6F0"/>
            </w:tcBorders>
          </w:tcPr>
          <w:p>
            <w:pPr>
              <w:spacing w:after="0"/>
              <w:rPr>
                <w:sz w:val="21"/>
                <w:szCs w:val="21"/>
                <w:color w:val="auto"/>
              </w:rPr>
            </w:pPr>
          </w:p>
        </w:tc>
        <w:tc>
          <w:tcPr>
            <w:tcW w:w="220" w:type="dxa"/>
            <w:vAlign w:val="bottom"/>
            <w:tcBorders>
              <w:top w:val="single" w:sz="8" w:color="582C83"/>
            </w:tcBorders>
          </w:tcPr>
          <w:p>
            <w:pPr>
              <w:spacing w:after="0"/>
              <w:rPr>
                <w:sz w:val="21"/>
                <w:szCs w:val="21"/>
                <w:color w:val="auto"/>
              </w:rPr>
            </w:pPr>
          </w:p>
        </w:tc>
        <w:tc>
          <w:tcPr>
            <w:tcW w:w="1440" w:type="dxa"/>
            <w:vAlign w:val="bottom"/>
            <w:tcBorders>
              <w:top w:val="single" w:sz="8" w:color="582C83"/>
            </w:tcBorders>
          </w:tcPr>
          <w:p>
            <w:pPr>
              <w:jc w:val="right"/>
              <w:spacing w:after="0"/>
              <w:rPr>
                <w:sz w:val="20"/>
                <w:szCs w:val="20"/>
                <w:color w:val="auto"/>
              </w:rPr>
            </w:pPr>
            <w:r>
              <w:rPr>
                <w:rFonts w:ascii="Arial" w:cs="Arial" w:eastAsia="Arial" w:hAnsi="Arial"/>
                <w:sz w:val="16"/>
                <w:szCs w:val="16"/>
                <w:b w:val="1"/>
                <w:bCs w:val="1"/>
                <w:color w:val="auto"/>
              </w:rPr>
              <w:t>175%</w:t>
            </w:r>
          </w:p>
        </w:tc>
        <w:tc>
          <w:tcPr>
            <w:tcW w:w="20" w:type="dxa"/>
            <w:vAlign w:val="bottom"/>
            <w:tcBorders>
              <w:top w:val="single" w:sz="8" w:color="EBE6F0"/>
            </w:tcBorders>
          </w:tcPr>
          <w:p>
            <w:pPr>
              <w:spacing w:after="0"/>
              <w:rPr>
                <w:sz w:val="21"/>
                <w:szCs w:val="21"/>
                <w:color w:val="auto"/>
              </w:rPr>
            </w:pPr>
          </w:p>
        </w:tc>
        <w:tc>
          <w:tcPr>
            <w:tcW w:w="1120" w:type="dxa"/>
            <w:vAlign w:val="bottom"/>
            <w:tcBorders>
              <w:top w:val="single" w:sz="8" w:color="582C83"/>
            </w:tcBorders>
          </w:tcPr>
          <w:p>
            <w:pPr>
              <w:spacing w:after="0"/>
              <w:rPr>
                <w:sz w:val="21"/>
                <w:szCs w:val="21"/>
                <w:color w:val="auto"/>
              </w:rPr>
            </w:pPr>
          </w:p>
        </w:tc>
        <w:tc>
          <w:tcPr>
            <w:tcW w:w="780" w:type="dxa"/>
            <w:vAlign w:val="bottom"/>
            <w:tcBorders>
              <w:top w:val="single" w:sz="8" w:color="582C83"/>
            </w:tcBorders>
          </w:tcPr>
          <w:p>
            <w:pPr>
              <w:jc w:val="right"/>
              <w:spacing w:after="0"/>
              <w:rPr>
                <w:sz w:val="20"/>
                <w:szCs w:val="20"/>
                <w:color w:val="auto"/>
              </w:rPr>
            </w:pPr>
            <w:r>
              <w:rPr>
                <w:rFonts w:ascii="Arial" w:cs="Arial" w:eastAsia="Arial" w:hAnsi="Arial"/>
                <w:sz w:val="16"/>
                <w:szCs w:val="16"/>
                <w:b w:val="1"/>
                <w:bCs w:val="1"/>
                <w:color w:val="auto"/>
              </w:rPr>
              <w:t>44%</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6"/>
                <w:szCs w:val="16"/>
                <w:b w:val="1"/>
                <w:bCs w:val="1"/>
                <w:color w:val="auto"/>
              </w:rPr>
              <w:t>141%</w:t>
            </w:r>
          </w:p>
        </w:tc>
        <w:tc>
          <w:tcPr>
            <w:tcW w:w="20" w:type="dxa"/>
            <w:vAlign w:val="bottom"/>
            <w:tcBorders>
              <w:top w:val="single" w:sz="8" w:color="EBE6F0"/>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582C83"/>
            </w:tcBorders>
          </w:tcPr>
          <w:p>
            <w:pPr>
              <w:spacing w:after="0"/>
              <w:rPr>
                <w:sz w:val="2"/>
                <w:szCs w:val="2"/>
                <w:color w:val="auto"/>
              </w:rPr>
            </w:pPr>
          </w:p>
        </w:tc>
        <w:tc>
          <w:tcPr>
            <w:tcW w:w="3820" w:type="dxa"/>
            <w:vAlign w:val="bottom"/>
            <w:tcBorders>
              <w:bottom w:val="single" w:sz="8" w:color="582C83"/>
            </w:tcBorders>
          </w:tcPr>
          <w:p>
            <w:pPr>
              <w:spacing w:after="0"/>
              <w:rPr>
                <w:sz w:val="2"/>
                <w:szCs w:val="2"/>
                <w:color w:val="auto"/>
              </w:rPr>
            </w:pPr>
          </w:p>
        </w:tc>
        <w:tc>
          <w:tcPr>
            <w:tcW w:w="1900" w:type="dxa"/>
            <w:vAlign w:val="bottom"/>
            <w:tcBorders>
              <w:bottom w:val="single" w:sz="8" w:color="582C83"/>
            </w:tcBorders>
          </w:tcPr>
          <w:p>
            <w:pPr>
              <w:spacing w:after="0"/>
              <w:rPr>
                <w:sz w:val="2"/>
                <w:szCs w:val="2"/>
                <w:color w:val="auto"/>
              </w:rPr>
            </w:pPr>
          </w:p>
        </w:tc>
        <w:tc>
          <w:tcPr>
            <w:tcW w:w="20" w:type="dxa"/>
            <w:vAlign w:val="bottom"/>
            <w:tcBorders>
              <w:bottom w:val="single" w:sz="8" w:color="582C83"/>
            </w:tcBorders>
          </w:tcPr>
          <w:p>
            <w:pPr>
              <w:spacing w:after="0"/>
              <w:rPr>
                <w:sz w:val="2"/>
                <w:szCs w:val="2"/>
                <w:color w:val="auto"/>
              </w:rPr>
            </w:pPr>
          </w:p>
        </w:tc>
        <w:tc>
          <w:tcPr>
            <w:tcW w:w="220" w:type="dxa"/>
            <w:vAlign w:val="bottom"/>
            <w:tcBorders>
              <w:bottom w:val="single" w:sz="8" w:color="582C83"/>
            </w:tcBorders>
          </w:tcPr>
          <w:p>
            <w:pPr>
              <w:spacing w:after="0"/>
              <w:rPr>
                <w:sz w:val="2"/>
                <w:szCs w:val="2"/>
                <w:color w:val="auto"/>
              </w:rPr>
            </w:pPr>
          </w:p>
        </w:tc>
        <w:tc>
          <w:tcPr>
            <w:tcW w:w="1440" w:type="dxa"/>
            <w:vAlign w:val="bottom"/>
            <w:tcBorders>
              <w:bottom w:val="single" w:sz="8" w:color="582C83"/>
            </w:tcBorders>
          </w:tcPr>
          <w:p>
            <w:pPr>
              <w:spacing w:after="0"/>
              <w:rPr>
                <w:sz w:val="2"/>
                <w:szCs w:val="2"/>
                <w:color w:val="auto"/>
              </w:rPr>
            </w:pPr>
          </w:p>
        </w:tc>
        <w:tc>
          <w:tcPr>
            <w:tcW w:w="20" w:type="dxa"/>
            <w:vAlign w:val="bottom"/>
            <w:tcBorders>
              <w:bottom w:val="single" w:sz="8" w:color="582C83"/>
            </w:tcBorders>
          </w:tcPr>
          <w:p>
            <w:pPr>
              <w:spacing w:after="0"/>
              <w:rPr>
                <w:sz w:val="2"/>
                <w:szCs w:val="2"/>
                <w:color w:val="auto"/>
              </w:rPr>
            </w:pPr>
          </w:p>
        </w:tc>
        <w:tc>
          <w:tcPr>
            <w:tcW w:w="1120" w:type="dxa"/>
            <w:vAlign w:val="bottom"/>
            <w:tcBorders>
              <w:bottom w:val="single" w:sz="8" w:color="582C83"/>
            </w:tcBorders>
          </w:tcPr>
          <w:p>
            <w:pPr>
              <w:spacing w:after="0"/>
              <w:rPr>
                <w:sz w:val="2"/>
                <w:szCs w:val="2"/>
                <w:color w:val="auto"/>
              </w:rPr>
            </w:pPr>
          </w:p>
        </w:tc>
        <w:tc>
          <w:tcPr>
            <w:tcW w:w="780" w:type="dxa"/>
            <w:vAlign w:val="bottom"/>
            <w:tcBorders>
              <w:bottom w:val="single" w:sz="8" w:color="582C83"/>
            </w:tcBorders>
          </w:tcPr>
          <w:p>
            <w:pPr>
              <w:spacing w:after="0"/>
              <w:rPr>
                <w:sz w:val="2"/>
                <w:szCs w:val="2"/>
                <w:color w:val="auto"/>
              </w:rPr>
            </w:pPr>
          </w:p>
        </w:tc>
        <w:tc>
          <w:tcPr>
            <w:tcW w:w="1900" w:type="dxa"/>
            <w:vAlign w:val="bottom"/>
            <w:tcBorders>
              <w:bottom w:val="single" w:sz="8" w:color="582C83"/>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81"/>
        <w:spacing w:after="0"/>
        <w:rPr>
          <w:sz w:val="20"/>
          <w:szCs w:val="20"/>
          <w:color w:val="auto"/>
        </w:rPr>
      </w:pPr>
      <w:r>
        <w:rPr>
          <w:rFonts w:ascii="Arial" w:cs="Arial" w:eastAsia="Arial" w:hAnsi="Arial"/>
          <w:sz w:val="15"/>
          <w:szCs w:val="15"/>
          <w:color w:val="auto"/>
        </w:rPr>
        <w:t>(1)  See definitions in 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7143115"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9061"/>
        <w:spacing w:after="0"/>
        <w:rPr>
          <w:sz w:val="20"/>
          <w:szCs w:val="20"/>
          <w:color w:val="auto"/>
        </w:rPr>
      </w:pPr>
      <w:r>
        <w:rPr>
          <w:rFonts w:ascii="Arial" w:cs="Arial" w:eastAsia="Arial" w:hAnsi="Arial"/>
          <w:sz w:val="15"/>
          <w:szCs w:val="15"/>
          <w:b w:val="1"/>
          <w:bCs w:val="1"/>
          <w:color w:val="58358F"/>
        </w:rPr>
        <w:t>2023 PROXY STATEMENT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1"/>
          </w:cols>
          <w:pgMar w:left="319" w:top="132" w:right="319" w:bottom="1440" w:gutter="0" w:footer="0" w:header="0"/>
        </w:sectPr>
      </w:pPr>
    </w:p>
    <w:bookmarkStart w:id="80" w:name="page81"/>
    <w:bookmarkEnd w:id="80"/>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Strategic Progress Indicator Goals (20% Weighting)</w:t>
      </w:r>
    </w:p>
    <w:p>
      <w:pPr>
        <w:spacing w:after="0" w:line="56" w:lineRule="exact"/>
        <w:rPr>
          <w:sz w:val="20"/>
          <w:szCs w:val="20"/>
          <w:color w:val="auto"/>
        </w:rPr>
      </w:pPr>
    </w:p>
    <w:p>
      <w:pPr>
        <w:ind w:right="220"/>
        <w:spacing w:after="0" w:line="268" w:lineRule="auto"/>
        <w:rPr>
          <w:sz w:val="20"/>
          <w:szCs w:val="20"/>
          <w:color w:val="auto"/>
        </w:rPr>
      </w:pPr>
      <w:r>
        <w:rPr>
          <w:rFonts w:ascii="Arial" w:cs="Arial" w:eastAsia="Arial" w:hAnsi="Arial"/>
          <w:sz w:val="20"/>
          <w:szCs w:val="20"/>
          <w:color w:val="auto"/>
        </w:rPr>
        <w:t>Aligned with rollout of Vision 2030 and long-term strategic objectives required to achieve it, we redefined our SPI goals for the leadership team.</w:t>
      </w:r>
    </w:p>
    <w:p>
      <w:pPr>
        <w:spacing w:after="0" w:line="107"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Effective in 2022, we laid out two long-term SPI goals – Snacks Leadership and ESG (comprised of Sustainability, Mindful Snacking and Colleagues). We assess our leadership team annually on progress made against these SPI goals to ensure we stay on track to achieve our long-term strategic objectives. Snacks Leadership and ESG are weighted 50% each of the total SPI goals. Achievement on each SPI can range from 0-200% of target. This approach aligns the leadership team in delivering the right strategic outcomes for the Company. Similar to prior year, the People and Compensation Committee reviews all the results and approves the Company’s SPI rating. At the end of the year, the People and Compensation Committee determines a payout percentage based on its assessment of the Company’s global performance against the annual SPI goals.</w:t>
      </w:r>
    </w:p>
    <w:p>
      <w:pPr>
        <w:spacing w:after="0" w:line="135" w:lineRule="exact"/>
        <w:rPr>
          <w:sz w:val="20"/>
          <w:szCs w:val="20"/>
          <w:color w:val="auto"/>
        </w:rPr>
      </w:pPr>
    </w:p>
    <w:p>
      <w:pPr>
        <w:ind w:right="360"/>
        <w:spacing w:after="0" w:line="268" w:lineRule="auto"/>
        <w:rPr>
          <w:sz w:val="20"/>
          <w:szCs w:val="20"/>
          <w:color w:val="auto"/>
        </w:rPr>
      </w:pPr>
      <w:r>
        <w:rPr>
          <w:rFonts w:ascii="Arial" w:cs="Arial" w:eastAsia="Arial" w:hAnsi="Arial"/>
          <w:sz w:val="20"/>
          <w:szCs w:val="20"/>
          <w:color w:val="auto"/>
        </w:rPr>
        <w:t>Each member of the corporate leadership team is measured on the same SPI goals and receives the same SPI rating, while region leaders receive a rating specific to the actual performance of the business units in their respective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143115"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1" w:name="page82"/>
    <w:bookmarkEnd w:id="81"/>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397"/>
        </w:trPr>
        <w:tc>
          <w:tcPr>
            <w:tcW w:w="20" w:type="dxa"/>
            <w:vAlign w:val="bottom"/>
            <w:tcBorders>
              <w:bottom w:val="single" w:sz="8" w:color="582C83"/>
            </w:tcBorders>
          </w:tcPr>
          <w:p>
            <w:pPr>
              <w:spacing w:after="0"/>
              <w:rPr>
                <w:sz w:val="24"/>
                <w:szCs w:val="24"/>
                <w:color w:val="auto"/>
              </w:rPr>
            </w:pPr>
          </w:p>
        </w:tc>
        <w:tc>
          <w:tcPr>
            <w:tcW w:w="1340" w:type="dxa"/>
            <w:vAlign w:val="bottom"/>
            <w:tcBorders>
              <w:bottom w:val="single" w:sz="8" w:color="582C83"/>
            </w:tcBorders>
          </w:tcPr>
          <w:p>
            <w:pPr>
              <w:ind w:left="40"/>
              <w:spacing w:after="0"/>
              <w:rPr>
                <w:sz w:val="20"/>
                <w:szCs w:val="20"/>
                <w:color w:val="auto"/>
              </w:rPr>
            </w:pPr>
            <w:r>
              <w:rPr>
                <w:rFonts w:ascii="Arial" w:cs="Arial" w:eastAsia="Arial" w:hAnsi="Arial"/>
                <w:sz w:val="20"/>
                <w:szCs w:val="20"/>
                <w:b w:val="1"/>
                <w:bCs w:val="1"/>
                <w:color w:val="auto"/>
              </w:rPr>
              <w:t>SPI Goals</w:t>
            </w:r>
          </w:p>
        </w:tc>
        <w:tc>
          <w:tcPr>
            <w:tcW w:w="2820" w:type="dxa"/>
            <w:vAlign w:val="bottom"/>
            <w:tcBorders>
              <w:bottom w:val="single" w:sz="8" w:color="582C83"/>
            </w:tcBorders>
          </w:tcPr>
          <w:p>
            <w:pPr>
              <w:spacing w:after="0"/>
              <w:rPr>
                <w:sz w:val="24"/>
                <w:szCs w:val="24"/>
                <w:color w:val="auto"/>
              </w:rPr>
            </w:pPr>
          </w:p>
        </w:tc>
        <w:tc>
          <w:tcPr>
            <w:tcW w:w="7060" w:type="dxa"/>
            <w:vAlign w:val="bottom"/>
            <w:tcBorders>
              <w:bottom w:val="single" w:sz="8" w:color="582C83"/>
            </w:tcBorders>
            <w:gridSpan w:val="3"/>
          </w:tcPr>
          <w:p>
            <w:pPr>
              <w:ind w:left="100"/>
              <w:spacing w:after="0"/>
              <w:rPr>
                <w:sz w:val="20"/>
                <w:szCs w:val="20"/>
                <w:color w:val="auto"/>
              </w:rPr>
            </w:pPr>
            <w:r>
              <w:rPr>
                <w:rFonts w:ascii="Arial" w:cs="Arial" w:eastAsia="Arial" w:hAnsi="Arial"/>
                <w:sz w:val="20"/>
                <w:szCs w:val="20"/>
                <w:b w:val="1"/>
                <w:bCs w:val="1"/>
                <w:color w:val="auto"/>
              </w:rPr>
              <w:t>Assessment</w:t>
            </w:r>
            <w:r>
              <w:rPr>
                <w:rFonts w:ascii="Arial" w:cs="Arial" w:eastAsia="Arial" w:hAnsi="Arial"/>
                <w:sz w:val="33"/>
                <w:szCs w:val="33"/>
                <w:b w:val="1"/>
                <w:bCs w:val="1"/>
                <w:color w:val="auto"/>
                <w:vertAlign w:val="superscript"/>
              </w:rPr>
              <w:t>(1)</w:t>
            </w:r>
            <w:r>
              <w:rPr>
                <w:rFonts w:ascii="Arial" w:cs="Arial" w:eastAsia="Arial" w:hAnsi="Arial"/>
                <w:sz w:val="20"/>
                <w:szCs w:val="20"/>
                <w:b w:val="1"/>
                <w:bCs w:val="1"/>
                <w:color w:val="auto"/>
              </w:rPr>
              <w:t xml:space="preserve">  Annual Progress</w:t>
            </w:r>
          </w:p>
        </w:tc>
        <w:tc>
          <w:tcPr>
            <w:tcW w:w="20" w:type="dxa"/>
            <w:vAlign w:val="bottom"/>
            <w:tcBorders>
              <w:bottom w:val="single" w:sz="8" w:color="582C83"/>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EBE6F0"/>
          </w:tcPr>
          <w:p>
            <w:pPr>
              <w:spacing w:after="0"/>
              <w:rPr>
                <w:sz w:val="21"/>
                <w:szCs w:val="21"/>
                <w:color w:val="auto"/>
              </w:rPr>
            </w:pPr>
          </w:p>
        </w:tc>
        <w:tc>
          <w:tcPr>
            <w:tcW w:w="4160" w:type="dxa"/>
            <w:vAlign w:val="bottom"/>
            <w:gridSpan w:val="2"/>
            <w:shd w:val="clear" w:color="auto" w:fill="EBE6F0"/>
          </w:tcPr>
          <w:p>
            <w:pPr>
              <w:ind w:left="60"/>
              <w:spacing w:after="0"/>
              <w:rPr>
                <w:sz w:val="20"/>
                <w:szCs w:val="20"/>
                <w:color w:val="auto"/>
              </w:rPr>
            </w:pPr>
            <w:r>
              <w:rPr>
                <w:rFonts w:ascii="Arial" w:cs="Arial" w:eastAsia="Arial" w:hAnsi="Arial"/>
                <w:sz w:val="20"/>
                <w:szCs w:val="20"/>
                <w:b w:val="1"/>
                <w:bCs w:val="1"/>
                <w:color w:val="auto"/>
              </w:rPr>
              <w:t>Snack Leadership</w:t>
            </w:r>
          </w:p>
        </w:tc>
        <w:tc>
          <w:tcPr>
            <w:tcW w:w="1560" w:type="dxa"/>
            <w:vAlign w:val="bottom"/>
            <w:shd w:val="clear" w:color="auto" w:fill="EBE6F0"/>
          </w:tcPr>
          <w:p>
            <w:pPr>
              <w:spacing w:after="0"/>
              <w:rPr>
                <w:sz w:val="21"/>
                <w:szCs w:val="21"/>
                <w:color w:val="auto"/>
              </w:rPr>
            </w:pPr>
          </w:p>
        </w:tc>
        <w:tc>
          <w:tcPr>
            <w:tcW w:w="20" w:type="dxa"/>
            <w:vAlign w:val="bottom"/>
            <w:shd w:val="clear" w:color="auto" w:fill="EBE6F0"/>
          </w:tcPr>
          <w:p>
            <w:pPr>
              <w:spacing w:after="0"/>
              <w:rPr>
                <w:sz w:val="21"/>
                <w:szCs w:val="21"/>
                <w:color w:val="auto"/>
              </w:rPr>
            </w:pPr>
          </w:p>
        </w:tc>
        <w:tc>
          <w:tcPr>
            <w:tcW w:w="5480" w:type="dxa"/>
            <w:vAlign w:val="bottom"/>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b w:val="1"/>
                <w:bCs w:val="1"/>
                <w:color w:val="000000"/>
              </w:rPr>
              <w:t>Priority &amp; Total Snacks Share change:</w:t>
            </w:r>
            <w:r>
              <w:rPr>
                <w:rFonts w:ascii="Arial" w:cs="Arial" w:eastAsia="Arial" w:hAnsi="Arial"/>
                <w:sz w:val="20"/>
                <w:szCs w:val="20"/>
                <w:color w:val="582C83"/>
              </w:rPr>
              <w:t xml:space="preserve"> </w:t>
            </w:r>
            <w:r>
              <w:rPr>
                <w:rFonts w:ascii="Arial" w:cs="Arial" w:eastAsia="Arial" w:hAnsi="Arial"/>
                <w:sz w:val="20"/>
                <w:szCs w:val="20"/>
                <w:color w:val="000000"/>
              </w:rPr>
              <w:t>Strong market</w:t>
            </w:r>
          </w:p>
        </w:tc>
        <w:tc>
          <w:tcPr>
            <w:tcW w:w="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EBE6F0"/>
          </w:tcPr>
          <w:p>
            <w:pPr>
              <w:spacing w:after="0"/>
              <w:rPr>
                <w:sz w:val="19"/>
                <w:szCs w:val="19"/>
                <w:color w:val="auto"/>
              </w:rPr>
            </w:pPr>
          </w:p>
        </w:tc>
        <w:tc>
          <w:tcPr>
            <w:tcW w:w="134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auto"/>
              </w:rPr>
              <w:t>(50% of SPI)</w:t>
            </w:r>
          </w:p>
        </w:tc>
        <w:tc>
          <w:tcPr>
            <w:tcW w:w="2820" w:type="dxa"/>
            <w:vAlign w:val="bottom"/>
            <w:shd w:val="clear" w:color="auto" w:fill="EBE6F0"/>
          </w:tcPr>
          <w:p>
            <w:pPr>
              <w:spacing w:after="0"/>
              <w:rPr>
                <w:sz w:val="19"/>
                <w:szCs w:val="19"/>
                <w:color w:val="auto"/>
              </w:rPr>
            </w:pPr>
          </w:p>
        </w:tc>
        <w:tc>
          <w:tcPr>
            <w:tcW w:w="1560" w:type="dxa"/>
            <w:vAlign w:val="bottom"/>
            <w:shd w:val="clear" w:color="auto" w:fill="EBE6F0"/>
          </w:tcPr>
          <w:p>
            <w:pPr>
              <w:spacing w:after="0"/>
              <w:rPr>
                <w:sz w:val="19"/>
                <w:szCs w:val="19"/>
                <w:color w:val="auto"/>
              </w:rPr>
            </w:pPr>
          </w:p>
        </w:tc>
        <w:tc>
          <w:tcPr>
            <w:tcW w:w="20" w:type="dxa"/>
            <w:vAlign w:val="bottom"/>
            <w:shd w:val="clear" w:color="auto" w:fill="EBE6F0"/>
          </w:tcPr>
          <w:p>
            <w:pPr>
              <w:spacing w:after="0"/>
              <w:rPr>
                <w:sz w:val="19"/>
                <w:szCs w:val="19"/>
                <w:color w:val="auto"/>
              </w:rPr>
            </w:pPr>
          </w:p>
        </w:tc>
        <w:tc>
          <w:tcPr>
            <w:tcW w:w="5480" w:type="dxa"/>
            <w:vAlign w:val="bottom"/>
            <w:shd w:val="clear" w:color="auto" w:fill="EBE6F0"/>
          </w:tcPr>
          <w:p>
            <w:pPr>
              <w:ind w:left="180"/>
              <w:spacing w:after="0" w:line="224" w:lineRule="exact"/>
              <w:rPr>
                <w:sz w:val="20"/>
                <w:szCs w:val="20"/>
                <w:color w:val="auto"/>
              </w:rPr>
            </w:pPr>
            <w:r>
              <w:rPr>
                <w:rFonts w:ascii="Arial" w:cs="Arial" w:eastAsia="Arial" w:hAnsi="Arial"/>
                <w:sz w:val="20"/>
                <w:szCs w:val="20"/>
                <w:color w:val="auto"/>
              </w:rPr>
              <w:t>share driven by (1) Pricing execution and volume growth</w:t>
            </w:r>
          </w:p>
        </w:tc>
        <w:tc>
          <w:tcPr>
            <w:tcW w:w="20" w:type="dxa"/>
            <w:vAlign w:val="bottom"/>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EBE6F0"/>
          </w:tcPr>
          <w:p>
            <w:pPr>
              <w:spacing w:after="0"/>
              <w:rPr>
                <w:sz w:val="19"/>
                <w:szCs w:val="19"/>
                <w:color w:val="auto"/>
              </w:rPr>
            </w:pPr>
          </w:p>
        </w:tc>
        <w:tc>
          <w:tcPr>
            <w:tcW w:w="4160" w:type="dxa"/>
            <w:vAlign w:val="bottom"/>
            <w:gridSpan w:val="2"/>
            <w:shd w:val="clear" w:color="auto" w:fill="EBE6F0"/>
          </w:tcPr>
          <w:p>
            <w:pPr>
              <w:ind w:left="60"/>
              <w:spacing w:after="0" w:line="224" w:lineRule="exact"/>
              <w:rPr>
                <w:sz w:val="20"/>
                <w:szCs w:val="20"/>
                <w:color w:val="auto"/>
              </w:rPr>
            </w:pPr>
            <w:r>
              <w:rPr>
                <w:rFonts w:ascii="Arial" w:cs="Arial" w:eastAsia="Arial" w:hAnsi="Arial"/>
                <w:sz w:val="20"/>
                <w:szCs w:val="20"/>
                <w:color w:val="auto"/>
              </w:rPr>
              <w:t>Drive global leadership in snacking by</w:t>
            </w:r>
          </w:p>
        </w:tc>
        <w:tc>
          <w:tcPr>
            <w:tcW w:w="1560" w:type="dxa"/>
            <w:vAlign w:val="bottom"/>
            <w:shd w:val="clear" w:color="auto" w:fill="EBE6F0"/>
          </w:tcPr>
          <w:p>
            <w:pPr>
              <w:spacing w:after="0"/>
              <w:rPr>
                <w:sz w:val="19"/>
                <w:szCs w:val="19"/>
                <w:color w:val="auto"/>
              </w:rPr>
            </w:pPr>
          </w:p>
        </w:tc>
        <w:tc>
          <w:tcPr>
            <w:tcW w:w="20" w:type="dxa"/>
            <w:vAlign w:val="bottom"/>
            <w:shd w:val="clear" w:color="auto" w:fill="EBE6F0"/>
          </w:tcPr>
          <w:p>
            <w:pPr>
              <w:spacing w:after="0"/>
              <w:rPr>
                <w:sz w:val="19"/>
                <w:szCs w:val="19"/>
                <w:color w:val="auto"/>
              </w:rPr>
            </w:pPr>
          </w:p>
        </w:tc>
        <w:tc>
          <w:tcPr>
            <w:tcW w:w="5480" w:type="dxa"/>
            <w:vAlign w:val="bottom"/>
            <w:shd w:val="clear" w:color="auto" w:fill="EBE6F0"/>
          </w:tcPr>
          <w:p>
            <w:pPr>
              <w:ind w:left="180"/>
              <w:spacing w:after="0" w:line="224" w:lineRule="exact"/>
              <w:rPr>
                <w:sz w:val="20"/>
                <w:szCs w:val="20"/>
                <w:color w:val="auto"/>
              </w:rPr>
            </w:pPr>
            <w:r>
              <w:rPr>
                <w:rFonts w:ascii="Arial" w:cs="Arial" w:eastAsia="Arial" w:hAnsi="Arial"/>
                <w:sz w:val="20"/>
                <w:szCs w:val="20"/>
                <w:color w:val="auto"/>
              </w:rPr>
              <w:t>across developed and emerging markets and</w:t>
            </w:r>
          </w:p>
        </w:tc>
        <w:tc>
          <w:tcPr>
            <w:tcW w:w="20" w:type="dxa"/>
            <w:vAlign w:val="bottom"/>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EBE6F0"/>
          </w:tcPr>
          <w:p>
            <w:pPr>
              <w:spacing w:after="0"/>
              <w:rPr>
                <w:sz w:val="19"/>
                <w:szCs w:val="19"/>
                <w:color w:val="auto"/>
              </w:rPr>
            </w:pPr>
          </w:p>
        </w:tc>
        <w:tc>
          <w:tcPr>
            <w:tcW w:w="4160" w:type="dxa"/>
            <w:vAlign w:val="bottom"/>
            <w:gridSpan w:val="2"/>
            <w:shd w:val="clear" w:color="auto" w:fill="EBE6F0"/>
          </w:tcPr>
          <w:p>
            <w:pPr>
              <w:ind w:left="60"/>
              <w:spacing w:after="0" w:line="224" w:lineRule="exact"/>
              <w:rPr>
                <w:sz w:val="20"/>
                <w:szCs w:val="20"/>
                <w:color w:val="auto"/>
              </w:rPr>
            </w:pPr>
            <w:r>
              <w:rPr>
                <w:rFonts w:ascii="Arial" w:cs="Arial" w:eastAsia="Arial" w:hAnsi="Arial"/>
                <w:sz w:val="20"/>
                <w:szCs w:val="20"/>
                <w:color w:val="auto"/>
              </w:rPr>
              <w:t>accelerating growth in multiple snacking</w:t>
            </w:r>
          </w:p>
        </w:tc>
        <w:tc>
          <w:tcPr>
            <w:tcW w:w="1560" w:type="dxa"/>
            <w:vAlign w:val="bottom"/>
            <w:shd w:val="clear" w:color="auto" w:fill="EBE6F0"/>
          </w:tcPr>
          <w:p>
            <w:pPr>
              <w:spacing w:after="0"/>
              <w:rPr>
                <w:sz w:val="19"/>
                <w:szCs w:val="19"/>
                <w:color w:val="auto"/>
              </w:rPr>
            </w:pPr>
          </w:p>
        </w:tc>
        <w:tc>
          <w:tcPr>
            <w:tcW w:w="20" w:type="dxa"/>
            <w:vAlign w:val="bottom"/>
            <w:shd w:val="clear" w:color="auto" w:fill="EBE6F0"/>
          </w:tcPr>
          <w:p>
            <w:pPr>
              <w:spacing w:after="0"/>
              <w:rPr>
                <w:sz w:val="19"/>
                <w:szCs w:val="19"/>
                <w:color w:val="auto"/>
              </w:rPr>
            </w:pPr>
          </w:p>
        </w:tc>
        <w:tc>
          <w:tcPr>
            <w:tcW w:w="5480" w:type="dxa"/>
            <w:vAlign w:val="bottom"/>
            <w:shd w:val="clear" w:color="auto" w:fill="EBE6F0"/>
          </w:tcPr>
          <w:p>
            <w:pPr>
              <w:ind w:left="180"/>
              <w:spacing w:after="0" w:line="224" w:lineRule="exact"/>
              <w:rPr>
                <w:sz w:val="20"/>
                <w:szCs w:val="20"/>
                <w:color w:val="auto"/>
              </w:rPr>
            </w:pPr>
            <w:r>
              <w:rPr>
                <w:rFonts w:ascii="Arial" w:cs="Arial" w:eastAsia="Arial" w:hAnsi="Arial"/>
                <w:sz w:val="20"/>
                <w:szCs w:val="20"/>
                <w:color w:val="auto"/>
              </w:rPr>
              <w:t>(2)</w:t>
            </w:r>
            <w:r>
              <w:rPr>
                <w:rFonts w:ascii="Times New Roman" w:cs="Times New Roman" w:eastAsia="Times New Roman" w:hAnsi="Times New Roman"/>
                <w:sz w:val="20"/>
                <w:szCs w:val="20"/>
                <w:color w:val="auto"/>
              </w:rPr>
              <w:t> </w:t>
            </w:r>
            <w:r>
              <w:rPr>
                <w:rFonts w:ascii="Arial" w:cs="Arial" w:eastAsia="Arial" w:hAnsi="Arial"/>
                <w:sz w:val="20"/>
                <w:szCs w:val="20"/>
                <w:color w:val="auto"/>
              </w:rPr>
              <w:t>Strengthened portfolio through strategic high-growth</w:t>
            </w:r>
          </w:p>
        </w:tc>
        <w:tc>
          <w:tcPr>
            <w:tcW w:w="20" w:type="dxa"/>
            <w:vAlign w:val="bottom"/>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EBE6F0"/>
          </w:tcPr>
          <w:p>
            <w:pPr>
              <w:spacing w:after="0"/>
              <w:rPr>
                <w:sz w:val="24"/>
                <w:szCs w:val="24"/>
                <w:color w:val="auto"/>
              </w:rPr>
            </w:pPr>
          </w:p>
        </w:tc>
        <w:tc>
          <w:tcPr>
            <w:tcW w:w="1340" w:type="dxa"/>
            <w:vAlign w:val="bottom"/>
            <w:shd w:val="clear" w:color="auto" w:fill="EBE6F0"/>
          </w:tcPr>
          <w:p>
            <w:pPr>
              <w:ind w:left="60"/>
              <w:spacing w:after="0"/>
              <w:rPr>
                <w:sz w:val="20"/>
                <w:szCs w:val="20"/>
                <w:color w:val="auto"/>
              </w:rPr>
            </w:pPr>
            <w:r>
              <w:rPr>
                <w:rFonts w:ascii="Arial" w:cs="Arial" w:eastAsia="Arial" w:hAnsi="Arial"/>
                <w:sz w:val="20"/>
                <w:szCs w:val="20"/>
                <w:color w:val="auto"/>
              </w:rPr>
              <w:t>categories</w:t>
            </w:r>
          </w:p>
        </w:tc>
        <w:tc>
          <w:tcPr>
            <w:tcW w:w="2820" w:type="dxa"/>
            <w:vAlign w:val="bottom"/>
            <w:shd w:val="clear" w:color="auto" w:fill="EBE6F0"/>
          </w:tcPr>
          <w:p>
            <w:pPr>
              <w:spacing w:after="0"/>
              <w:rPr>
                <w:sz w:val="24"/>
                <w:szCs w:val="24"/>
                <w:color w:val="auto"/>
              </w:rPr>
            </w:pPr>
          </w:p>
        </w:tc>
        <w:tc>
          <w:tcPr>
            <w:tcW w:w="1560" w:type="dxa"/>
            <w:vAlign w:val="bottom"/>
            <w:shd w:val="clear" w:color="auto" w:fill="EBE6F0"/>
          </w:tcPr>
          <w:p>
            <w:pPr>
              <w:spacing w:after="0"/>
              <w:rPr>
                <w:sz w:val="24"/>
                <w:szCs w:val="24"/>
                <w:color w:val="auto"/>
              </w:rPr>
            </w:pPr>
          </w:p>
        </w:tc>
        <w:tc>
          <w:tcPr>
            <w:tcW w:w="20" w:type="dxa"/>
            <w:vAlign w:val="bottom"/>
            <w:shd w:val="clear" w:color="auto" w:fill="EBE6F0"/>
          </w:tcPr>
          <w:p>
            <w:pPr>
              <w:spacing w:after="0"/>
              <w:rPr>
                <w:sz w:val="24"/>
                <w:szCs w:val="24"/>
                <w:color w:val="auto"/>
              </w:rPr>
            </w:pPr>
          </w:p>
        </w:tc>
        <w:tc>
          <w:tcPr>
            <w:tcW w:w="5480" w:type="dxa"/>
            <w:vAlign w:val="bottom"/>
            <w:shd w:val="clear" w:color="auto" w:fill="EBE6F0"/>
          </w:tcPr>
          <w:p>
            <w:pPr>
              <w:ind w:left="180"/>
              <w:spacing w:after="0"/>
              <w:rPr>
                <w:sz w:val="20"/>
                <w:szCs w:val="20"/>
                <w:color w:val="auto"/>
              </w:rPr>
            </w:pPr>
            <w:r>
              <w:rPr>
                <w:rFonts w:ascii="Arial" w:cs="Arial" w:eastAsia="Arial" w:hAnsi="Arial"/>
                <w:sz w:val="20"/>
                <w:szCs w:val="20"/>
                <w:color w:val="auto"/>
              </w:rPr>
              <w:t>acquisitions (Chipita, CLIF Bar and Ricolino)</w:t>
            </w:r>
          </w:p>
        </w:tc>
        <w:tc>
          <w:tcPr>
            <w:tcW w:w="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Borders>
              <w:bottom w:val="single" w:sz="8" w:color="EBE6F0"/>
            </w:tcBorders>
            <w:shd w:val="clear" w:color="auto" w:fill="EBE6F0"/>
          </w:tcPr>
          <w:p>
            <w:pPr>
              <w:spacing w:after="0"/>
              <w:rPr>
                <w:sz w:val="24"/>
                <w:szCs w:val="24"/>
                <w:color w:val="auto"/>
              </w:rPr>
            </w:pPr>
          </w:p>
        </w:tc>
        <w:tc>
          <w:tcPr>
            <w:tcW w:w="1340" w:type="dxa"/>
            <w:vAlign w:val="bottom"/>
            <w:tcBorders>
              <w:bottom w:val="single" w:sz="8" w:color="582C83"/>
            </w:tcBorders>
            <w:shd w:val="clear" w:color="auto" w:fill="EBE6F0"/>
          </w:tcPr>
          <w:p>
            <w:pPr>
              <w:spacing w:after="0"/>
              <w:rPr>
                <w:sz w:val="24"/>
                <w:szCs w:val="24"/>
                <w:color w:val="auto"/>
              </w:rPr>
            </w:pPr>
          </w:p>
        </w:tc>
        <w:tc>
          <w:tcPr>
            <w:tcW w:w="2820" w:type="dxa"/>
            <w:vAlign w:val="bottom"/>
            <w:tcBorders>
              <w:bottom w:val="single" w:sz="8" w:color="582C83"/>
            </w:tcBorders>
            <w:shd w:val="clear" w:color="auto" w:fill="EBE6F0"/>
          </w:tcPr>
          <w:p>
            <w:pPr>
              <w:spacing w:after="0"/>
              <w:rPr>
                <w:sz w:val="24"/>
                <w:szCs w:val="24"/>
                <w:color w:val="auto"/>
              </w:rPr>
            </w:pPr>
          </w:p>
        </w:tc>
        <w:tc>
          <w:tcPr>
            <w:tcW w:w="1560" w:type="dxa"/>
            <w:vAlign w:val="bottom"/>
            <w:tcBorders>
              <w:bottom w:val="single" w:sz="8" w:color="582C83"/>
            </w:tcBorders>
            <w:shd w:val="clear" w:color="auto" w:fill="EBE6F0"/>
          </w:tcPr>
          <w:p>
            <w:pPr>
              <w:spacing w:after="0"/>
              <w:rPr>
                <w:sz w:val="24"/>
                <w:szCs w:val="24"/>
                <w:color w:val="auto"/>
              </w:rPr>
            </w:pPr>
          </w:p>
        </w:tc>
        <w:tc>
          <w:tcPr>
            <w:tcW w:w="20" w:type="dxa"/>
            <w:vAlign w:val="bottom"/>
            <w:tcBorders>
              <w:bottom w:val="single" w:sz="8" w:color="EBE6F0"/>
            </w:tcBorders>
            <w:shd w:val="clear" w:color="auto" w:fill="EBE6F0"/>
          </w:tcPr>
          <w:p>
            <w:pPr>
              <w:spacing w:after="0"/>
              <w:rPr>
                <w:sz w:val="24"/>
                <w:szCs w:val="24"/>
                <w:color w:val="auto"/>
              </w:rPr>
            </w:pPr>
          </w:p>
        </w:tc>
        <w:tc>
          <w:tcPr>
            <w:tcW w:w="5480" w:type="dxa"/>
            <w:vAlign w:val="bottom"/>
            <w:tcBorders>
              <w:bottom w:val="single" w:sz="8" w:color="582C83"/>
            </w:tcBorders>
            <w:shd w:val="clear" w:color="auto" w:fill="EBE6F0"/>
          </w:tcPr>
          <w:p>
            <w:pPr>
              <w:spacing w:after="0"/>
              <w:rPr>
                <w:sz w:val="24"/>
                <w:szCs w:val="24"/>
                <w:color w:val="auto"/>
              </w:rPr>
            </w:pPr>
          </w:p>
        </w:tc>
        <w:tc>
          <w:tcPr>
            <w:tcW w:w="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tcPr>
          <w:p>
            <w:pPr>
              <w:ind w:left="40"/>
              <w:spacing w:after="0"/>
              <w:rPr>
                <w:sz w:val="20"/>
                <w:szCs w:val="20"/>
                <w:color w:val="auto"/>
              </w:rPr>
            </w:pPr>
            <w:r>
              <w:rPr>
                <w:rFonts w:ascii="Arial" w:cs="Arial" w:eastAsia="Arial" w:hAnsi="Arial"/>
                <w:sz w:val="20"/>
                <w:szCs w:val="20"/>
                <w:b w:val="1"/>
                <w:bCs w:val="1"/>
                <w:color w:val="auto"/>
              </w:rPr>
              <w:t>ESG</w:t>
            </w:r>
          </w:p>
        </w:tc>
        <w:tc>
          <w:tcPr>
            <w:tcW w:w="2820" w:type="dxa"/>
            <w:vAlign w:val="bottom"/>
          </w:tcPr>
          <w:p>
            <w:pPr>
              <w:ind w:left="60"/>
              <w:spacing w:after="0"/>
              <w:rPr>
                <w:sz w:val="20"/>
                <w:szCs w:val="20"/>
                <w:color w:val="auto"/>
              </w:rPr>
            </w:pPr>
            <w:r>
              <w:rPr>
                <w:rFonts w:ascii="Arial" w:cs="Arial" w:eastAsia="Arial" w:hAnsi="Arial"/>
                <w:sz w:val="20"/>
                <w:szCs w:val="20"/>
                <w:b w:val="1"/>
                <w:bCs w:val="1"/>
                <w:color w:val="auto"/>
              </w:rPr>
              <w:t xml:space="preserve">Sustainability: </w:t>
            </w:r>
            <w:r>
              <w:rPr>
                <w:rFonts w:ascii="Arial" w:cs="Arial" w:eastAsia="Arial" w:hAnsi="Arial"/>
                <w:sz w:val="20"/>
                <w:szCs w:val="20"/>
                <w:color w:val="auto"/>
              </w:rPr>
              <w:t>Drive towards</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80" w:type="dxa"/>
            <w:vAlign w:val="bottom"/>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b w:val="1"/>
                <w:bCs w:val="1"/>
                <w:color w:val="000000"/>
              </w:rPr>
              <w:t>Sustainably Sourced Cocoa:</w:t>
            </w:r>
            <w:r>
              <w:rPr>
                <w:rFonts w:ascii="Arial" w:cs="Arial" w:eastAsia="Arial" w:hAnsi="Arial"/>
                <w:sz w:val="20"/>
                <w:szCs w:val="20"/>
                <w:color w:val="582C83"/>
              </w:rPr>
              <w:t xml:space="preserve"> </w:t>
            </w:r>
            <w:r>
              <w:rPr>
                <w:rFonts w:ascii="Arial" w:cs="Arial" w:eastAsia="Arial" w:hAnsi="Arial"/>
                <w:sz w:val="20"/>
                <w:szCs w:val="20"/>
                <w:color w:val="000000"/>
              </w:rPr>
              <w:t>~80% sustainably sourced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ind w:left="40"/>
              <w:spacing w:after="0" w:line="224" w:lineRule="exact"/>
              <w:rPr>
                <w:sz w:val="20"/>
                <w:szCs w:val="20"/>
                <w:color w:val="auto"/>
              </w:rPr>
            </w:pPr>
            <w:r>
              <w:rPr>
                <w:rFonts w:ascii="Arial" w:cs="Arial" w:eastAsia="Arial" w:hAnsi="Arial"/>
                <w:sz w:val="20"/>
                <w:szCs w:val="20"/>
                <w:color w:val="auto"/>
              </w:rPr>
              <w:t>(50% of SPI)</w:t>
            </w:r>
          </w:p>
        </w:tc>
        <w:tc>
          <w:tcPr>
            <w:tcW w:w="2820" w:type="dxa"/>
            <w:vAlign w:val="bottom"/>
          </w:tcPr>
          <w:p>
            <w:pPr>
              <w:ind w:left="60"/>
              <w:spacing w:after="0" w:line="224" w:lineRule="exact"/>
              <w:rPr>
                <w:sz w:val="20"/>
                <w:szCs w:val="20"/>
                <w:color w:val="auto"/>
              </w:rPr>
            </w:pPr>
            <w:r>
              <w:rPr>
                <w:rFonts w:ascii="Arial" w:cs="Arial" w:eastAsia="Arial" w:hAnsi="Arial"/>
                <w:sz w:val="20"/>
                <w:szCs w:val="20"/>
                <w:color w:val="auto"/>
              </w:rPr>
              <w:t>net zero environmental impact</w:t>
            </w: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tcPr>
          <w:p>
            <w:pPr>
              <w:ind w:left="180"/>
              <w:spacing w:after="0" w:line="224" w:lineRule="exact"/>
              <w:rPr>
                <w:sz w:val="20"/>
                <w:szCs w:val="20"/>
                <w:color w:val="auto"/>
              </w:rPr>
            </w:pPr>
            <w:r>
              <w:rPr>
                <w:rFonts w:ascii="Arial" w:cs="Arial" w:eastAsia="Arial" w:hAnsi="Arial"/>
                <w:sz w:val="20"/>
                <w:szCs w:val="20"/>
                <w:color w:val="auto"/>
              </w:rPr>
              <w:t>cocoa and on track to deliver on our long-term goals via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20" w:type="dxa"/>
            <w:vAlign w:val="bottom"/>
          </w:tcPr>
          <w:p>
            <w:pPr>
              <w:ind w:left="60"/>
              <w:spacing w:after="0" w:line="224" w:lineRule="exact"/>
              <w:rPr>
                <w:sz w:val="20"/>
                <w:szCs w:val="20"/>
                <w:color w:val="auto"/>
              </w:rPr>
            </w:pPr>
            <w:r>
              <w:rPr>
                <w:rFonts w:ascii="Arial" w:cs="Arial" w:eastAsia="Arial" w:hAnsi="Arial"/>
                <w:sz w:val="20"/>
                <w:szCs w:val="20"/>
                <w:color w:val="auto"/>
              </w:rPr>
              <w:t>with sustainably sourced</w:t>
            </w: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tcPr>
          <w:p>
            <w:pPr>
              <w:ind w:left="180"/>
              <w:spacing w:after="0" w:line="224" w:lineRule="exact"/>
              <w:rPr>
                <w:sz w:val="20"/>
                <w:szCs w:val="20"/>
                <w:color w:val="auto"/>
              </w:rPr>
            </w:pPr>
            <w:r>
              <w:rPr>
                <w:rFonts w:ascii="Arial" w:cs="Arial" w:eastAsia="Arial" w:hAnsi="Arial"/>
                <w:sz w:val="20"/>
                <w:szCs w:val="20"/>
                <w:color w:val="auto"/>
              </w:rPr>
              <w:t>expansion of Cocoa Life Program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20" w:type="dxa"/>
            <w:vAlign w:val="bottom"/>
          </w:tcPr>
          <w:p>
            <w:pPr>
              <w:ind w:left="60"/>
              <w:spacing w:after="0"/>
              <w:rPr>
                <w:sz w:val="20"/>
                <w:szCs w:val="20"/>
                <w:color w:val="auto"/>
              </w:rPr>
            </w:pPr>
            <w:r>
              <w:rPr>
                <w:rFonts w:ascii="Arial" w:cs="Arial" w:eastAsia="Arial" w:hAnsi="Arial"/>
                <w:sz w:val="20"/>
                <w:szCs w:val="20"/>
                <w:color w:val="auto"/>
              </w:rPr>
              <w:t>cocoa and wheat and</w:t>
            </w: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80" w:type="dxa"/>
            <w:vAlign w:val="bottom"/>
          </w:tcPr>
          <w:p>
            <w:pPr>
              <w:ind w:left="60"/>
              <w:spacing w:after="0" w:line="243" w:lineRule="exact"/>
              <w:rPr>
                <w:sz w:val="20"/>
                <w:szCs w:val="20"/>
                <w:color w:val="auto"/>
              </w:rPr>
            </w:pPr>
            <w:r>
              <w:rPr>
                <w:rFonts w:ascii="Arial" w:cs="Arial" w:eastAsia="Arial" w:hAnsi="Arial"/>
                <w:sz w:val="17"/>
                <w:szCs w:val="17"/>
                <w:color w:val="582C83"/>
              </w:rPr>
              <w:t xml:space="preserve">• </w:t>
            </w:r>
            <w:r>
              <w:rPr>
                <w:rFonts w:ascii="Arial" w:cs="Arial" w:eastAsia="Arial" w:hAnsi="Arial"/>
                <w:sz w:val="17"/>
                <w:szCs w:val="17"/>
                <w:b w:val="1"/>
                <w:bCs w:val="1"/>
                <w:color w:val="000000"/>
              </w:rPr>
              <w:t>End-to-end CO</w:t>
            </w:r>
            <w:r>
              <w:rPr>
                <w:rFonts w:ascii="Arial" w:cs="Arial" w:eastAsia="Arial" w:hAnsi="Arial"/>
                <w:sz w:val="28"/>
                <w:szCs w:val="28"/>
                <w:b w:val="1"/>
                <w:bCs w:val="1"/>
                <w:color w:val="000000"/>
                <w:vertAlign w:val="subscript"/>
              </w:rPr>
              <w:t>2</w:t>
            </w:r>
            <w:r>
              <w:rPr>
                <w:rFonts w:ascii="Arial" w:cs="Arial" w:eastAsia="Arial" w:hAnsi="Arial"/>
                <w:sz w:val="17"/>
                <w:szCs w:val="17"/>
                <w:color w:val="582C83"/>
              </w:rPr>
              <w:t xml:space="preserve"> </w:t>
            </w:r>
            <w:r>
              <w:rPr>
                <w:rFonts w:ascii="Arial" w:cs="Arial" w:eastAsia="Arial" w:hAnsi="Arial"/>
                <w:sz w:val="17"/>
                <w:szCs w:val="17"/>
                <w:b w:val="1"/>
                <w:bCs w:val="1"/>
                <w:color w:val="000000"/>
              </w:rPr>
              <w:t>Reduction:</w:t>
            </w:r>
            <w:r>
              <w:rPr>
                <w:rFonts w:ascii="Arial" w:cs="Arial" w:eastAsia="Arial" w:hAnsi="Arial"/>
                <w:sz w:val="17"/>
                <w:szCs w:val="17"/>
                <w:color w:val="582C83"/>
              </w:rPr>
              <w:t xml:space="preserve"> </w:t>
            </w:r>
            <w:r>
              <w:rPr>
                <w:rFonts w:ascii="Arial" w:cs="Arial" w:eastAsia="Arial" w:hAnsi="Arial"/>
                <w:sz w:val="17"/>
                <w:szCs w:val="17"/>
                <w:color w:val="000000"/>
              </w:rPr>
              <w:t>Continued CO</w:t>
            </w:r>
            <w:r>
              <w:rPr>
                <w:rFonts w:ascii="Arial" w:cs="Arial" w:eastAsia="Arial" w:hAnsi="Arial"/>
                <w:sz w:val="28"/>
                <w:szCs w:val="28"/>
                <w:color w:val="000000"/>
                <w:vertAlign w:val="subscript"/>
              </w:rPr>
              <w:t>2</w:t>
            </w:r>
            <w:r>
              <w:rPr>
                <w:rFonts w:ascii="Arial" w:cs="Arial" w:eastAsia="Arial" w:hAnsi="Arial"/>
                <w:sz w:val="17"/>
                <w:szCs w:val="17"/>
                <w:color w:val="582C83"/>
              </w:rPr>
              <w:t xml:space="preserve"> </w:t>
            </w:r>
            <w:r>
              <w:rPr>
                <w:rFonts w:ascii="Arial" w:cs="Arial" w:eastAsia="Arial" w:hAnsi="Arial"/>
                <w:sz w:val="17"/>
                <w:szCs w:val="17"/>
                <w:color w:val="000000"/>
              </w:rPr>
              <w:t>reductions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ind w:left="60"/>
              <w:spacing w:after="0" w:line="204" w:lineRule="exact"/>
              <w:rPr>
                <w:sz w:val="20"/>
                <w:szCs w:val="20"/>
                <w:color w:val="auto"/>
              </w:rPr>
            </w:pPr>
            <w:r>
              <w:rPr>
                <w:rFonts w:ascii="Arial" w:cs="Arial" w:eastAsia="Arial" w:hAnsi="Arial"/>
                <w:sz w:val="20"/>
                <w:szCs w:val="20"/>
                <w:color w:val="auto"/>
              </w:rPr>
              <w:t>reduction in packaging waste</w:t>
            </w: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vMerge w:val="restart"/>
          </w:tcPr>
          <w:p>
            <w:pPr>
              <w:ind w:left="180"/>
              <w:spacing w:after="0"/>
              <w:rPr>
                <w:sz w:val="20"/>
                <w:szCs w:val="20"/>
                <w:color w:val="auto"/>
              </w:rPr>
            </w:pPr>
            <w:r>
              <w:rPr>
                <w:rFonts w:ascii="Arial" w:cs="Arial" w:eastAsia="Arial" w:hAnsi="Arial"/>
                <w:sz w:val="20"/>
                <w:szCs w:val="20"/>
                <w:color w:val="auto"/>
              </w:rPr>
              <w:t>driven primarily by renewable energy expansions in key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820" w:type="dxa"/>
            <w:vAlign w:val="bottom"/>
            <w:vMerge w:val="restart"/>
          </w:tcPr>
          <w:p>
            <w:pPr>
              <w:ind w:left="60"/>
              <w:spacing w:after="0" w:line="336" w:lineRule="exact"/>
              <w:rPr>
                <w:sz w:val="20"/>
                <w:szCs w:val="20"/>
                <w:color w:val="auto"/>
              </w:rPr>
            </w:pPr>
            <w:r>
              <w:rPr>
                <w:rFonts w:ascii="Arial" w:cs="Arial" w:eastAsia="Arial" w:hAnsi="Arial"/>
                <w:sz w:val="20"/>
                <w:szCs w:val="20"/>
                <w:color w:val="auto"/>
              </w:rPr>
              <w:t>and CO</w:t>
            </w:r>
            <w:r>
              <w:rPr>
                <w:rFonts w:ascii="Arial" w:cs="Arial" w:eastAsia="Arial" w:hAnsi="Arial"/>
                <w:sz w:val="33"/>
                <w:szCs w:val="33"/>
                <w:color w:val="auto"/>
                <w:vertAlign w:val="subscript"/>
              </w:rPr>
              <w:t>2</w:t>
            </w:r>
          </w:p>
        </w:tc>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54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20" w:type="dxa"/>
            <w:vAlign w:val="bottom"/>
            <w:vMerge w:val="continue"/>
          </w:tcPr>
          <w:p>
            <w:pPr>
              <w:spacing w:after="0"/>
              <w:rPr>
                <w:sz w:val="22"/>
                <w:szCs w:val="22"/>
                <w:color w:val="auto"/>
              </w:rPr>
            </w:pPr>
          </w:p>
        </w:tc>
        <w:tc>
          <w:tcPr>
            <w:tcW w:w="1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80" w:type="dxa"/>
            <w:vAlign w:val="bottom"/>
          </w:tcPr>
          <w:p>
            <w:pPr>
              <w:ind w:left="180"/>
              <w:spacing w:after="0"/>
              <w:rPr>
                <w:sz w:val="20"/>
                <w:szCs w:val="20"/>
                <w:color w:val="auto"/>
              </w:rPr>
            </w:pPr>
            <w:r>
              <w:rPr>
                <w:rFonts w:ascii="Arial" w:cs="Arial" w:eastAsia="Arial" w:hAnsi="Arial"/>
                <w:sz w:val="20"/>
                <w:szCs w:val="20"/>
                <w:color w:val="auto"/>
              </w:rPr>
              <w:t>markets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tcPr>
          <w:p>
            <w:pPr>
              <w:ind w:left="6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b w:val="1"/>
                <w:bCs w:val="1"/>
                <w:color w:val="000000"/>
              </w:rPr>
              <w:t>Recyclable Packaging:</w:t>
            </w:r>
            <w:r>
              <w:rPr>
                <w:rFonts w:ascii="Arial" w:cs="Arial" w:eastAsia="Arial" w:hAnsi="Arial"/>
                <w:sz w:val="20"/>
                <w:szCs w:val="20"/>
                <w:color w:val="582C83"/>
              </w:rPr>
              <w:t xml:space="preserve"> </w:t>
            </w:r>
            <w:r>
              <w:rPr>
                <w:rFonts w:ascii="Arial" w:cs="Arial" w:eastAsia="Arial" w:hAnsi="Arial"/>
                <w:sz w:val="20"/>
                <w:szCs w:val="20"/>
                <w:color w:val="000000"/>
              </w:rPr>
              <w:t>Conversion to recycling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tcPr>
          <w:p>
            <w:pPr>
              <w:ind w:left="180"/>
              <w:spacing w:after="0" w:line="224" w:lineRule="exact"/>
              <w:rPr>
                <w:sz w:val="20"/>
                <w:szCs w:val="20"/>
                <w:color w:val="auto"/>
              </w:rPr>
            </w:pPr>
            <w:r>
              <w:rPr>
                <w:rFonts w:ascii="Arial" w:cs="Arial" w:eastAsia="Arial" w:hAnsi="Arial"/>
                <w:sz w:val="20"/>
                <w:szCs w:val="20"/>
                <w:color w:val="auto"/>
              </w:rPr>
              <w:t>packaging in line with annual expectations and long-term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80" w:type="dxa"/>
            <w:vAlign w:val="bottom"/>
          </w:tcPr>
          <w:p>
            <w:pPr>
              <w:ind w:left="180"/>
              <w:spacing w:after="0"/>
              <w:rPr>
                <w:sz w:val="20"/>
                <w:szCs w:val="20"/>
                <w:color w:val="auto"/>
              </w:rPr>
            </w:pPr>
            <w:r>
              <w:rPr>
                <w:rFonts w:ascii="Arial" w:cs="Arial" w:eastAsia="Arial" w:hAnsi="Arial"/>
                <w:sz w:val="20"/>
                <w:szCs w:val="20"/>
                <w:color w:val="auto"/>
              </w:rPr>
              <w:t>goals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20" w:type="dxa"/>
            <w:vAlign w:val="bottom"/>
            <w:tcBorders>
              <w:bottom w:val="single" w:sz="8" w:color="582C83"/>
            </w:tcBorders>
          </w:tcPr>
          <w:p>
            <w:pPr>
              <w:spacing w:after="0"/>
              <w:rPr>
                <w:sz w:val="24"/>
                <w:szCs w:val="24"/>
                <w:color w:val="auto"/>
              </w:rPr>
            </w:pPr>
          </w:p>
        </w:tc>
        <w:tc>
          <w:tcPr>
            <w:tcW w:w="1560" w:type="dxa"/>
            <w:vAlign w:val="bottom"/>
            <w:tcBorders>
              <w:bottom w:val="single" w:sz="8" w:color="582C83"/>
            </w:tcBorders>
          </w:tcPr>
          <w:p>
            <w:pPr>
              <w:spacing w:after="0"/>
              <w:rPr>
                <w:sz w:val="24"/>
                <w:szCs w:val="24"/>
                <w:color w:val="auto"/>
              </w:rPr>
            </w:pPr>
          </w:p>
        </w:tc>
        <w:tc>
          <w:tcPr>
            <w:tcW w:w="20" w:type="dxa"/>
            <w:vAlign w:val="bottom"/>
            <w:tcBorders>
              <w:bottom w:val="single" w:sz="8" w:color="582C83"/>
            </w:tcBorders>
          </w:tcPr>
          <w:p>
            <w:pPr>
              <w:spacing w:after="0"/>
              <w:rPr>
                <w:sz w:val="24"/>
                <w:szCs w:val="24"/>
                <w:color w:val="auto"/>
              </w:rPr>
            </w:pPr>
          </w:p>
        </w:tc>
        <w:tc>
          <w:tcPr>
            <w:tcW w:w="5480" w:type="dxa"/>
            <w:vAlign w:val="bottom"/>
            <w:tcBorders>
              <w:bottom w:val="single" w:sz="8" w:color="582C83"/>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20"/>
                <w:szCs w:val="20"/>
                <w:b w:val="1"/>
                <w:bCs w:val="1"/>
                <w:color w:val="auto"/>
              </w:rPr>
              <w:t xml:space="preserve">Mindful Snacking: </w:t>
            </w:r>
            <w:r>
              <w:rPr>
                <w:rFonts w:ascii="Arial" w:cs="Arial" w:eastAsia="Arial" w:hAnsi="Arial"/>
                <w:sz w:val="20"/>
                <w:szCs w:val="20"/>
                <w:color w:val="auto"/>
              </w:rPr>
              <w:t>Evolve</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80" w:type="dxa"/>
            <w:vAlign w:val="bottom"/>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b w:val="1"/>
                <w:bCs w:val="1"/>
                <w:color w:val="000000"/>
              </w:rPr>
              <w:t>Mindful Portions:</w:t>
            </w:r>
            <w:r>
              <w:rPr>
                <w:rFonts w:ascii="Arial" w:cs="Arial" w:eastAsia="Arial" w:hAnsi="Arial"/>
                <w:sz w:val="20"/>
                <w:szCs w:val="20"/>
                <w:color w:val="582C83"/>
              </w:rPr>
              <w:t xml:space="preserve"> </w:t>
            </w:r>
            <w:r>
              <w:rPr>
                <w:rFonts w:ascii="Arial" w:cs="Arial" w:eastAsia="Arial" w:hAnsi="Arial"/>
                <w:sz w:val="20"/>
                <w:szCs w:val="20"/>
                <w:color w:val="000000"/>
              </w:rPr>
              <w:t>Progress made year-over-year but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20" w:type="dxa"/>
            <w:vAlign w:val="bottom"/>
          </w:tcPr>
          <w:p>
            <w:pPr>
              <w:ind w:left="60"/>
              <w:spacing w:after="0" w:line="224" w:lineRule="exact"/>
              <w:rPr>
                <w:sz w:val="20"/>
                <w:szCs w:val="20"/>
                <w:color w:val="auto"/>
              </w:rPr>
            </w:pPr>
            <w:r>
              <w:rPr>
                <w:rFonts w:ascii="Arial" w:cs="Arial" w:eastAsia="Arial" w:hAnsi="Arial"/>
                <w:sz w:val="20"/>
                <w:szCs w:val="20"/>
                <w:color w:val="auto"/>
              </w:rPr>
              <w:t>our products and portfolio to</w:t>
            </w: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tcPr>
          <w:p>
            <w:pPr>
              <w:ind w:left="180"/>
              <w:spacing w:after="0" w:line="224" w:lineRule="exact"/>
              <w:rPr>
                <w:sz w:val="20"/>
                <w:szCs w:val="20"/>
                <w:color w:val="auto"/>
              </w:rPr>
            </w:pPr>
            <w:r>
              <w:rPr>
                <w:rFonts w:ascii="Arial" w:cs="Arial" w:eastAsia="Arial" w:hAnsi="Arial"/>
                <w:sz w:val="20"/>
                <w:szCs w:val="20"/>
                <w:color w:val="auto"/>
              </w:rPr>
              <w:t>limited relative to long-term goals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20"/>
                <w:szCs w:val="20"/>
                <w:color w:val="auto"/>
              </w:rPr>
              <w:t>help consumers snack</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80" w:type="dxa"/>
            <w:vAlign w:val="bottom"/>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b w:val="1"/>
                <w:bCs w:val="1"/>
                <w:color w:val="000000"/>
              </w:rPr>
              <w:t>Nutrients:</w:t>
            </w:r>
            <w:r>
              <w:rPr>
                <w:rFonts w:ascii="Arial" w:cs="Arial" w:eastAsia="Arial" w:hAnsi="Arial"/>
                <w:sz w:val="20"/>
                <w:szCs w:val="20"/>
                <w:color w:val="582C83"/>
              </w:rPr>
              <w:t xml:space="preserve"> </w:t>
            </w:r>
            <w:r>
              <w:rPr>
                <w:rFonts w:ascii="Arial" w:cs="Arial" w:eastAsia="Arial" w:hAnsi="Arial"/>
                <w:sz w:val="20"/>
                <w:szCs w:val="20"/>
                <w:color w:val="000000"/>
              </w:rPr>
              <w:t>Progress was in line with annual expectations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20" w:type="dxa"/>
            <w:vAlign w:val="bottom"/>
          </w:tcPr>
          <w:p>
            <w:pPr>
              <w:ind w:left="60"/>
              <w:spacing w:after="0"/>
              <w:rPr>
                <w:sz w:val="20"/>
                <w:szCs w:val="20"/>
                <w:color w:val="auto"/>
              </w:rPr>
            </w:pPr>
            <w:r>
              <w:rPr>
                <w:rFonts w:ascii="Arial" w:cs="Arial" w:eastAsia="Arial" w:hAnsi="Arial"/>
                <w:sz w:val="20"/>
                <w:szCs w:val="20"/>
                <w:color w:val="auto"/>
              </w:rPr>
              <w:t>mindfully</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ind w:left="180"/>
              <w:spacing w:after="0"/>
              <w:rPr>
                <w:sz w:val="20"/>
                <w:szCs w:val="20"/>
                <w:color w:val="auto"/>
              </w:rPr>
            </w:pPr>
            <w:r>
              <w:rPr>
                <w:rFonts w:ascii="Arial" w:cs="Arial" w:eastAsia="Arial" w:hAnsi="Arial"/>
                <w:sz w:val="20"/>
                <w:szCs w:val="20"/>
                <w:color w:val="auto"/>
              </w:rPr>
              <w:t>and long-term goals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187960</wp:posOffset>
            </wp:positionV>
            <wp:extent cx="628396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283960" cy="762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-2886075</wp:posOffset>
            </wp:positionV>
            <wp:extent cx="173355" cy="35496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73355" cy="354965"/>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-1522095</wp:posOffset>
            </wp:positionV>
            <wp:extent cx="354965" cy="1733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54965" cy="173355"/>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-315595</wp:posOffset>
            </wp:positionV>
            <wp:extent cx="354965" cy="1733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54965" cy="17335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p>
      <w:pPr>
        <w:spacing w:after="0" w:line="332" w:lineRule="exact"/>
        <w:rPr>
          <w:sz w:val="20"/>
          <w:szCs w:val="20"/>
          <w:color w:val="auto"/>
        </w:rPr>
      </w:pPr>
    </w:p>
    <w:p>
      <w:pPr>
        <w:ind w:left="1420" w:right="1070"/>
        <w:spacing w:after="0" w:line="257" w:lineRule="auto"/>
        <w:rPr>
          <w:sz w:val="20"/>
          <w:szCs w:val="20"/>
          <w:color w:val="auto"/>
        </w:rPr>
      </w:pPr>
      <w:r>
        <w:rPr>
          <w:rFonts w:ascii="Arial" w:cs="Arial" w:eastAsia="Arial" w:hAnsi="Arial"/>
          <w:sz w:val="19"/>
          <w:szCs w:val="19"/>
          <w:b w:val="1"/>
          <w:bCs w:val="1"/>
          <w:color w:val="auto"/>
        </w:rPr>
        <w:t xml:space="preserve">Colleagues: </w:t>
      </w:r>
      <w:r>
        <w:rPr>
          <w:rFonts w:ascii="Arial" w:cs="Arial" w:eastAsia="Arial" w:hAnsi="Arial"/>
          <w:sz w:val="19"/>
          <w:szCs w:val="19"/>
          <w:color w:val="auto"/>
        </w:rPr>
        <w:t>Build a winning</w:t>
      </w:r>
      <w:r>
        <w:rPr>
          <w:rFonts w:ascii="Arial" w:cs="Arial" w:eastAsia="Arial" w:hAnsi="Arial"/>
          <w:sz w:val="19"/>
          <w:szCs w:val="19"/>
          <w:b w:val="1"/>
          <w:bCs w:val="1"/>
          <w:color w:val="auto"/>
        </w:rPr>
        <w:t xml:space="preserve"> </w:t>
      </w:r>
      <w:r>
        <w:rPr>
          <w:rFonts w:ascii="Arial" w:cs="Arial" w:eastAsia="Arial" w:hAnsi="Arial"/>
          <w:sz w:val="19"/>
          <w:szCs w:val="19"/>
          <w:color w:val="auto"/>
        </w:rPr>
        <w:t>growth and ownership culture that invests in local talent and champions diversity, equity and inclusion</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left="130" w:right="360" w:hanging="130"/>
        <w:spacing w:after="0" w:line="243" w:lineRule="auto"/>
        <w:tabs>
          <w:tab w:leader="none" w:pos="130" w:val="left"/>
        </w:tabs>
        <w:numPr>
          <w:ilvl w:val="0"/>
          <w:numId w:val="70"/>
        </w:numPr>
        <w:rPr>
          <w:rFonts w:ascii="Arial" w:cs="Arial" w:eastAsia="Arial" w:hAnsi="Arial"/>
          <w:sz w:val="20"/>
          <w:szCs w:val="20"/>
          <w:color w:val="582C83"/>
        </w:rPr>
      </w:pPr>
      <w:r>
        <w:rPr>
          <w:rFonts w:ascii="Arial" w:cs="Arial" w:eastAsia="Arial" w:hAnsi="Arial"/>
          <w:sz w:val="20"/>
          <w:szCs w:val="20"/>
          <w:b w:val="1"/>
          <w:bCs w:val="1"/>
          <w:color w:val="auto"/>
        </w:rPr>
        <w:t xml:space="preserve">Diversity and Inclusion: </w:t>
      </w:r>
      <w:r>
        <w:rPr>
          <w:rFonts w:ascii="Arial" w:cs="Arial" w:eastAsia="Arial" w:hAnsi="Arial"/>
          <w:sz w:val="20"/>
          <w:szCs w:val="20"/>
          <w:color w:val="auto"/>
        </w:rPr>
        <w:t>Sustained progress year-over-year for Women in Leadership roles. Continued improvement in Black Representation in Management in the U.S. in line with long-term goal</w:t>
      </w:r>
    </w:p>
    <w:p>
      <w:pPr>
        <w:spacing w:after="0" w:line="2" w:lineRule="exact"/>
        <w:rPr>
          <w:rFonts w:ascii="Arial" w:cs="Arial" w:eastAsia="Arial" w:hAnsi="Arial"/>
          <w:sz w:val="20"/>
          <w:szCs w:val="20"/>
          <w:color w:val="582C83"/>
        </w:rPr>
      </w:pPr>
    </w:p>
    <w:p>
      <w:pPr>
        <w:ind w:left="130" w:right="160" w:hanging="130"/>
        <w:spacing w:after="0" w:line="246" w:lineRule="auto"/>
        <w:tabs>
          <w:tab w:leader="none" w:pos="130" w:val="left"/>
        </w:tabs>
        <w:numPr>
          <w:ilvl w:val="0"/>
          <w:numId w:val="70"/>
        </w:numPr>
        <w:rPr>
          <w:rFonts w:ascii="Arial" w:cs="Arial" w:eastAsia="Arial" w:hAnsi="Arial"/>
          <w:sz w:val="20"/>
          <w:szCs w:val="20"/>
          <w:color w:val="582C83"/>
        </w:rPr>
      </w:pPr>
      <w:r>
        <w:rPr>
          <w:rFonts w:ascii="Arial" w:cs="Arial" w:eastAsia="Arial" w:hAnsi="Arial"/>
          <w:sz w:val="20"/>
          <w:szCs w:val="20"/>
          <w:b w:val="1"/>
          <w:bCs w:val="1"/>
          <w:color w:val="auto"/>
        </w:rPr>
        <w:t xml:space="preserve">Employee Engagement: </w:t>
      </w:r>
      <w:r>
        <w:rPr>
          <w:rFonts w:ascii="Arial" w:cs="Arial" w:eastAsia="Arial" w:hAnsi="Arial"/>
          <w:sz w:val="20"/>
          <w:szCs w:val="20"/>
          <w:color w:val="auto"/>
        </w:rPr>
        <w:t>Flat results to prior year with key</w:t>
      </w:r>
      <w:r>
        <w:rPr>
          <w:rFonts w:ascii="Arial" w:cs="Arial" w:eastAsia="Arial" w:hAnsi="Arial"/>
          <w:sz w:val="20"/>
          <w:szCs w:val="20"/>
          <w:b w:val="1"/>
          <w:bCs w:val="1"/>
          <w:color w:val="auto"/>
        </w:rPr>
        <w:t xml:space="preserve"> </w:t>
      </w:r>
      <w:r>
        <w:rPr>
          <w:rFonts w:ascii="Arial" w:cs="Arial" w:eastAsia="Arial" w:hAnsi="Arial"/>
          <w:sz w:val="20"/>
          <w:szCs w:val="20"/>
          <w:color w:val="auto"/>
        </w:rPr>
        <w:t>focus area improvements; Maintained scores &gt; 2019 and benchmark companies</w:t>
      </w:r>
    </w:p>
    <w:p>
      <w:pPr>
        <w:ind w:left="130" w:right="180" w:hanging="130"/>
        <w:spacing w:after="0" w:line="249" w:lineRule="auto"/>
        <w:tabs>
          <w:tab w:leader="none" w:pos="130" w:val="left"/>
        </w:tabs>
        <w:numPr>
          <w:ilvl w:val="0"/>
          <w:numId w:val="70"/>
        </w:numPr>
        <w:rPr>
          <w:rFonts w:ascii="Arial" w:cs="Arial" w:eastAsia="Arial" w:hAnsi="Arial"/>
          <w:sz w:val="20"/>
          <w:szCs w:val="20"/>
          <w:color w:val="582C83"/>
        </w:rPr>
      </w:pPr>
      <w:r>
        <w:rPr>
          <w:rFonts w:ascii="Arial" w:cs="Arial" w:eastAsia="Arial" w:hAnsi="Arial"/>
          <w:sz w:val="20"/>
          <w:szCs w:val="20"/>
          <w:b w:val="1"/>
          <w:bCs w:val="1"/>
          <w:color w:val="auto"/>
        </w:rPr>
        <w:t xml:space="preserve">Depth of Talent: </w:t>
      </w:r>
      <w:r>
        <w:rPr>
          <w:rFonts w:ascii="Arial" w:cs="Arial" w:eastAsia="Arial" w:hAnsi="Arial"/>
          <w:sz w:val="20"/>
          <w:szCs w:val="20"/>
          <w:color w:val="auto"/>
        </w:rPr>
        <w:t>Continued significant improvement in our</w:t>
      </w:r>
      <w:r>
        <w:rPr>
          <w:rFonts w:ascii="Arial" w:cs="Arial" w:eastAsia="Arial" w:hAnsi="Arial"/>
          <w:sz w:val="20"/>
          <w:szCs w:val="20"/>
          <w:b w:val="1"/>
          <w:bCs w:val="1"/>
          <w:color w:val="auto"/>
        </w:rPr>
        <w:t xml:space="preserve"> </w:t>
      </w:r>
      <w:r>
        <w:rPr>
          <w:rFonts w:ascii="Arial" w:cs="Arial" w:eastAsia="Arial" w:hAnsi="Arial"/>
          <w:sz w:val="20"/>
          <w:szCs w:val="20"/>
          <w:color w:val="auto"/>
        </w:rPr>
        <w:t>bench strength allowing greater internal talent sufficiency for leader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-935990</wp:posOffset>
            </wp:positionV>
            <wp:extent cx="173355" cy="35496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73355" cy="354965"/>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5090" w:space="720"/>
            <w:col w:w="5450"/>
          </w:cols>
          <w:pgMar w:left="320" w:top="132" w:right="319" w:bottom="1440" w:gutter="0" w:footer="0" w:header="0"/>
          <w:type w:val="continuous"/>
        </w:sectPr>
      </w:pPr>
    </w:p>
    <w:tbl>
      <w:tblPr>
        <w:tblLayout w:type="fixed"/>
        <w:tblInd w:w="10" w:type="dxa"/>
        <w:tblCellMar>
          <w:top w:w="0" w:type="dxa"/>
          <w:left w:w="0" w:type="dxa"/>
          <w:bottom w:w="0" w:type="dxa"/>
          <w:right w:w="0" w:type="dxa"/>
        </w:tblCellMar>
      </w:tblPr>
      <w:tr>
        <w:trPr>
          <w:trHeight w:val="315"/>
        </w:trPr>
        <w:tc>
          <w:tcPr>
            <w:tcW w:w="5760" w:type="dxa"/>
            <w:vAlign w:val="bottom"/>
            <w:tcBorders>
              <w:top w:val="single" w:sz="8" w:color="582C83"/>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20"/>
                <w:szCs w:val="20"/>
                <w:b w:val="1"/>
                <w:bCs w:val="1"/>
                <w:color w:val="auto"/>
              </w:rPr>
              <w:t>SPI Rating</w:t>
            </w:r>
          </w:p>
        </w:tc>
        <w:tc>
          <w:tcPr>
            <w:tcW w:w="5500" w:type="dxa"/>
            <w:vAlign w:val="bottom"/>
            <w:tcBorders>
              <w:top w:val="single" w:sz="8" w:color="582C83"/>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20"/>
                <w:szCs w:val="20"/>
                <w:b w:val="1"/>
                <w:bCs w:val="1"/>
                <w:color w:val="auto"/>
              </w:rPr>
              <w:t>125%</w:t>
            </w:r>
          </w:p>
        </w:tc>
      </w:tr>
      <w:tr>
        <w:trPr>
          <w:trHeight w:val="20"/>
        </w:trPr>
        <w:tc>
          <w:tcPr>
            <w:tcW w:w="5760" w:type="dxa"/>
            <w:vAlign w:val="bottom"/>
            <w:tcBorders>
              <w:left w:val="single" w:sz="8" w:color="EBE6F0"/>
              <w:right w:val="single" w:sz="8" w:color="EBE6F0"/>
            </w:tcBorders>
            <w:shd w:val="clear" w:color="auto" w:fill="582C83"/>
          </w:tcPr>
          <w:p>
            <w:pPr>
              <w:spacing w:after="0" w:line="20" w:lineRule="exact"/>
              <w:rPr>
                <w:sz w:val="1"/>
                <w:szCs w:val="1"/>
                <w:color w:val="auto"/>
              </w:rPr>
            </w:pPr>
          </w:p>
        </w:tc>
        <w:tc>
          <w:tcPr>
            <w:tcW w:w="5500" w:type="dxa"/>
            <w:vAlign w:val="bottom"/>
            <w:tcBorders>
              <w:right w:val="single" w:sz="8" w:color="EBE6F0"/>
            </w:tcBorders>
            <w:shd w:val="clear" w:color="auto" w:fill="582C83"/>
          </w:tcPr>
          <w:p>
            <w:pPr>
              <w:spacing w:after="0" w:line="20" w:lineRule="exact"/>
              <w:rPr>
                <w:sz w:val="1"/>
                <w:szCs w:val="1"/>
                <w:color w:val="auto"/>
              </w:rPr>
            </w:pPr>
          </w:p>
        </w:tc>
      </w:tr>
    </w:tbl>
    <w:p>
      <w:pPr>
        <w:spacing w:after="0" w:line="7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Arrow up = above expected progress; sideways arrow = at expected progress; arrow down = limited progress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Region SPI Rating</w:t>
      </w:r>
    </w:p>
    <w:p>
      <w:pPr>
        <w:spacing w:after="0" w:line="44" w:lineRule="exact"/>
        <w:rPr>
          <w:sz w:val="20"/>
          <w:szCs w:val="20"/>
          <w:color w:val="auto"/>
        </w:rPr>
      </w:pPr>
    </w:p>
    <w:p>
      <w:pPr>
        <w:ind w:right="180"/>
        <w:spacing w:after="0" w:line="242" w:lineRule="auto"/>
        <w:rPr>
          <w:sz w:val="20"/>
          <w:szCs w:val="20"/>
          <w:color w:val="auto"/>
        </w:rPr>
      </w:pPr>
      <w:r>
        <w:rPr>
          <w:rFonts w:ascii="Arial" w:cs="Arial" w:eastAsia="Arial" w:hAnsi="Arial"/>
          <w:sz w:val="20"/>
          <w:szCs w:val="20"/>
          <w:color w:val="auto"/>
        </w:rPr>
        <w:t>The region SPI ratings are a weighted average (on a net revenue basis) of the final SPI rating for each business unit in the region. After reviewing annual progress toward each of the long-term SPI goals for the business units in the region, the People and Compensation Committee determined that the appropriate payout ratings for the regions are: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Borders>
              <w:bottom w:val="single" w:sz="8" w:color="582C83"/>
            </w:tcBorders>
          </w:tcPr>
          <w:p>
            <w:pPr>
              <w:spacing w:after="0"/>
              <w:rPr>
                <w:sz w:val="20"/>
                <w:szCs w:val="20"/>
                <w:color w:val="auto"/>
              </w:rPr>
            </w:pPr>
          </w:p>
        </w:tc>
        <w:tc>
          <w:tcPr>
            <w:tcW w:w="7520" w:type="dxa"/>
            <w:vAlign w:val="bottom"/>
            <w:tcBorders>
              <w:bottom w:val="single" w:sz="8" w:color="582C83"/>
            </w:tcBorders>
          </w:tcPr>
          <w:p>
            <w:pPr>
              <w:spacing w:after="0"/>
              <w:rPr>
                <w:sz w:val="20"/>
                <w:szCs w:val="20"/>
                <w:color w:val="auto"/>
              </w:rPr>
            </w:pPr>
          </w:p>
        </w:tc>
        <w:tc>
          <w:tcPr>
            <w:tcW w:w="20" w:type="dxa"/>
            <w:vAlign w:val="bottom"/>
            <w:tcBorders>
              <w:bottom w:val="single" w:sz="8" w:color="582C83"/>
            </w:tcBorders>
          </w:tcPr>
          <w:p>
            <w:pPr>
              <w:spacing w:after="0"/>
              <w:rPr>
                <w:sz w:val="20"/>
                <w:szCs w:val="20"/>
                <w:color w:val="auto"/>
              </w:rPr>
            </w:pPr>
          </w:p>
        </w:tc>
        <w:tc>
          <w:tcPr>
            <w:tcW w:w="3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Final SPI Rating</w:t>
            </w:r>
          </w:p>
        </w:tc>
        <w:tc>
          <w:tcPr>
            <w:tcW w:w="20" w:type="dxa"/>
            <w:vAlign w:val="bottom"/>
            <w:tcBorders>
              <w:bottom w:val="single" w:sz="8" w:color="582C83"/>
            </w:tcBorders>
          </w:tcPr>
          <w:p>
            <w:pPr>
              <w:spacing w:after="0"/>
              <w:rPr>
                <w:sz w:val="20"/>
                <w:szCs w:val="20"/>
                <w:color w:val="auto"/>
              </w:rPr>
            </w:pPr>
          </w:p>
        </w:tc>
      </w:tr>
      <w:tr>
        <w:trPr>
          <w:trHeight w:val="291"/>
        </w:trPr>
        <w:tc>
          <w:tcPr>
            <w:tcW w:w="20" w:type="dxa"/>
            <w:vAlign w:val="bottom"/>
            <w:tcBorders>
              <w:bottom w:val="single" w:sz="8" w:color="EBE6F0"/>
            </w:tcBorders>
            <w:shd w:val="clear" w:color="auto" w:fill="EBE6F0"/>
          </w:tcPr>
          <w:p>
            <w:pPr>
              <w:spacing w:after="0"/>
              <w:rPr>
                <w:sz w:val="24"/>
                <w:szCs w:val="24"/>
                <w:color w:val="auto"/>
              </w:rPr>
            </w:pPr>
          </w:p>
        </w:tc>
        <w:tc>
          <w:tcPr>
            <w:tcW w:w="752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Corporate</w:t>
            </w:r>
          </w:p>
        </w:tc>
        <w:tc>
          <w:tcPr>
            <w:tcW w:w="20" w:type="dxa"/>
            <w:vAlign w:val="bottom"/>
            <w:tcBorders>
              <w:bottom w:val="single" w:sz="8" w:color="EBE6F0"/>
            </w:tcBorders>
            <w:shd w:val="clear" w:color="auto" w:fill="EBE6F0"/>
          </w:tcPr>
          <w:p>
            <w:pPr>
              <w:spacing w:after="0"/>
              <w:rPr>
                <w:sz w:val="24"/>
                <w:szCs w:val="24"/>
                <w:color w:val="auto"/>
              </w:rPr>
            </w:pPr>
          </w:p>
        </w:tc>
        <w:tc>
          <w:tcPr>
            <w:tcW w:w="36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125%</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7520" w:type="dxa"/>
            <w:vAlign w:val="bottom"/>
            <w:tcBorders>
              <w:top w:val="single" w:sz="8" w:color="582C83"/>
            </w:tcBorders>
          </w:tcPr>
          <w:p>
            <w:pPr>
              <w:ind w:left="40"/>
              <w:spacing w:after="0"/>
              <w:rPr>
                <w:sz w:val="20"/>
                <w:szCs w:val="20"/>
                <w:color w:val="auto"/>
              </w:rPr>
            </w:pPr>
            <w:r>
              <w:rPr>
                <w:rFonts w:ascii="Arial" w:cs="Arial" w:eastAsia="Arial" w:hAnsi="Arial"/>
                <w:sz w:val="16"/>
                <w:szCs w:val="16"/>
                <w:color w:val="auto"/>
              </w:rPr>
              <w:t>AMEA</w:t>
            </w:r>
          </w:p>
        </w:tc>
        <w:tc>
          <w:tcPr>
            <w:tcW w:w="20" w:type="dxa"/>
            <w:vAlign w:val="bottom"/>
            <w:tcBorders>
              <w:top w:val="single" w:sz="8" w:color="EBE6F0"/>
            </w:tcBorders>
          </w:tcPr>
          <w:p>
            <w:pPr>
              <w:spacing w:after="0"/>
              <w:rPr>
                <w:sz w:val="21"/>
                <w:szCs w:val="21"/>
                <w:color w:val="auto"/>
              </w:rPr>
            </w:pPr>
          </w:p>
        </w:tc>
        <w:tc>
          <w:tcPr>
            <w:tcW w:w="36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106%</w:t>
            </w:r>
          </w:p>
        </w:tc>
        <w:tc>
          <w:tcPr>
            <w:tcW w:w="20" w:type="dxa"/>
            <w:vAlign w:val="bottom"/>
            <w:tcBorders>
              <w:top w:val="single" w:sz="8" w:color="EBE6F0"/>
            </w:tcBorders>
          </w:tcPr>
          <w:p>
            <w:pPr>
              <w:spacing w:after="0"/>
              <w:rPr>
                <w:sz w:val="21"/>
                <w:szCs w:val="21"/>
                <w:color w:val="auto"/>
              </w:rPr>
            </w:pPr>
          </w:p>
        </w:tc>
      </w:tr>
      <w:tr>
        <w:trPr>
          <w:trHeight w:val="35"/>
        </w:trPr>
        <w:tc>
          <w:tcPr>
            <w:tcW w:w="20" w:type="dxa"/>
            <w:vAlign w:val="bottom"/>
            <w:tcBorders>
              <w:bottom w:val="single" w:sz="8" w:color="582C83"/>
            </w:tcBorders>
          </w:tcPr>
          <w:p>
            <w:pPr>
              <w:spacing w:after="0"/>
              <w:rPr>
                <w:sz w:val="3"/>
                <w:szCs w:val="3"/>
                <w:color w:val="auto"/>
              </w:rPr>
            </w:pPr>
          </w:p>
        </w:tc>
        <w:tc>
          <w:tcPr>
            <w:tcW w:w="752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36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283"/>
        </w:trPr>
        <w:tc>
          <w:tcPr>
            <w:tcW w:w="20" w:type="dxa"/>
            <w:vAlign w:val="bottom"/>
            <w:tcBorders>
              <w:bottom w:val="single" w:sz="8" w:color="EBE6F0"/>
            </w:tcBorders>
            <w:shd w:val="clear" w:color="auto" w:fill="EBE6F0"/>
          </w:tcPr>
          <w:p>
            <w:pPr>
              <w:spacing w:after="0"/>
              <w:rPr>
                <w:sz w:val="24"/>
                <w:szCs w:val="24"/>
                <w:color w:val="auto"/>
              </w:rPr>
            </w:pPr>
          </w:p>
        </w:tc>
        <w:tc>
          <w:tcPr>
            <w:tcW w:w="752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Europe</w:t>
            </w:r>
          </w:p>
        </w:tc>
        <w:tc>
          <w:tcPr>
            <w:tcW w:w="20" w:type="dxa"/>
            <w:vAlign w:val="bottom"/>
            <w:tcBorders>
              <w:bottom w:val="single" w:sz="8" w:color="EBE6F0"/>
            </w:tcBorders>
            <w:shd w:val="clear" w:color="auto" w:fill="EBE6F0"/>
          </w:tcPr>
          <w:p>
            <w:pPr>
              <w:spacing w:after="0"/>
              <w:rPr>
                <w:sz w:val="24"/>
                <w:szCs w:val="24"/>
                <w:color w:val="auto"/>
              </w:rPr>
            </w:pPr>
          </w:p>
        </w:tc>
        <w:tc>
          <w:tcPr>
            <w:tcW w:w="36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124%</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7520" w:type="dxa"/>
            <w:vAlign w:val="bottom"/>
            <w:tcBorders>
              <w:top w:val="single" w:sz="8" w:color="582C83"/>
            </w:tcBorders>
          </w:tcPr>
          <w:p>
            <w:pPr>
              <w:ind w:left="40"/>
              <w:spacing w:after="0"/>
              <w:rPr>
                <w:sz w:val="20"/>
                <w:szCs w:val="20"/>
                <w:color w:val="auto"/>
              </w:rPr>
            </w:pPr>
            <w:r>
              <w:rPr>
                <w:rFonts w:ascii="Arial" w:cs="Arial" w:eastAsia="Arial" w:hAnsi="Arial"/>
                <w:sz w:val="16"/>
                <w:szCs w:val="16"/>
                <w:color w:val="auto"/>
              </w:rPr>
              <w:t>North America</w:t>
            </w:r>
          </w:p>
        </w:tc>
        <w:tc>
          <w:tcPr>
            <w:tcW w:w="20" w:type="dxa"/>
            <w:vAlign w:val="bottom"/>
            <w:tcBorders>
              <w:top w:val="single" w:sz="8" w:color="EBE6F0"/>
            </w:tcBorders>
          </w:tcPr>
          <w:p>
            <w:pPr>
              <w:spacing w:after="0"/>
              <w:rPr>
                <w:sz w:val="21"/>
                <w:szCs w:val="21"/>
                <w:color w:val="auto"/>
              </w:rPr>
            </w:pPr>
          </w:p>
        </w:tc>
        <w:tc>
          <w:tcPr>
            <w:tcW w:w="36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140%</w:t>
            </w:r>
          </w:p>
        </w:tc>
        <w:tc>
          <w:tcPr>
            <w:tcW w:w="20" w:type="dxa"/>
            <w:vAlign w:val="bottom"/>
            <w:tcBorders>
              <w:top w:val="single" w:sz="8" w:color="EBE6F0"/>
            </w:tcBorders>
          </w:tcPr>
          <w:p>
            <w:pPr>
              <w:spacing w:after="0"/>
              <w:rPr>
                <w:sz w:val="21"/>
                <w:szCs w:val="21"/>
                <w:color w:val="auto"/>
              </w:rPr>
            </w:pPr>
          </w:p>
        </w:tc>
      </w:tr>
      <w:tr>
        <w:trPr>
          <w:trHeight w:val="35"/>
        </w:trPr>
        <w:tc>
          <w:tcPr>
            <w:tcW w:w="20" w:type="dxa"/>
            <w:vAlign w:val="bottom"/>
            <w:tcBorders>
              <w:bottom w:val="single" w:sz="8" w:color="582C83"/>
            </w:tcBorders>
          </w:tcPr>
          <w:p>
            <w:pPr>
              <w:spacing w:after="0"/>
              <w:rPr>
                <w:sz w:val="3"/>
                <w:szCs w:val="3"/>
                <w:color w:val="auto"/>
              </w:rPr>
            </w:pPr>
          </w:p>
        </w:tc>
        <w:tc>
          <w:tcPr>
            <w:tcW w:w="752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368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7143115"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9060"/>
        <w:spacing w:after="0"/>
        <w:rPr>
          <w:sz w:val="20"/>
          <w:szCs w:val="20"/>
          <w:color w:val="auto"/>
        </w:rPr>
      </w:pPr>
      <w:r>
        <w:rPr>
          <w:rFonts w:ascii="Arial" w:cs="Arial" w:eastAsia="Arial" w:hAnsi="Arial"/>
          <w:sz w:val="15"/>
          <w:szCs w:val="15"/>
          <w:b w:val="1"/>
          <w:bCs w:val="1"/>
          <w:color w:val="58358F"/>
        </w:rPr>
        <w:t>2023 PROXY STATEMENT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type w:val="continuous"/>
        </w:sectPr>
      </w:pPr>
    </w:p>
    <w:bookmarkStart w:id="82" w:name="page83"/>
    <w:bookmarkEnd w:id="82"/>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Annual Cash Incentive Program Decisions</w:t>
      </w:r>
    </w:p>
    <w:p>
      <w:pPr>
        <w:spacing w:after="0" w:line="56" w:lineRule="exact"/>
        <w:rPr>
          <w:sz w:val="20"/>
          <w:szCs w:val="20"/>
          <w:color w:val="auto"/>
        </w:rPr>
      </w:pPr>
    </w:p>
    <w:p>
      <w:pPr>
        <w:ind w:left="1"/>
        <w:spacing w:after="0"/>
        <w:rPr>
          <w:sz w:val="20"/>
          <w:szCs w:val="20"/>
          <w:color w:val="auto"/>
        </w:rPr>
      </w:pPr>
      <w:r>
        <w:rPr>
          <w:rFonts w:ascii="Arial" w:cs="Arial" w:eastAsia="Arial" w:hAnsi="Arial"/>
          <w:sz w:val="20"/>
          <w:szCs w:val="20"/>
          <w:color w:val="auto"/>
        </w:rPr>
        <w:t>After determining the 2022 Corporate, AMEA, Europe and North America financial payout percentages and SPI ratings, the</w:t>
      </w:r>
    </w:p>
    <w:p>
      <w:pPr>
        <w:spacing w:after="0" w:line="14" w:lineRule="exact"/>
        <w:rPr>
          <w:sz w:val="20"/>
          <w:szCs w:val="20"/>
          <w:color w:val="auto"/>
        </w:rPr>
      </w:pPr>
    </w:p>
    <w:p>
      <w:pPr>
        <w:ind w:left="1"/>
        <w:spacing w:after="0"/>
        <w:rPr>
          <w:sz w:val="20"/>
          <w:szCs w:val="20"/>
          <w:color w:val="auto"/>
        </w:rPr>
      </w:pPr>
      <w:r>
        <w:rPr>
          <w:rFonts w:ascii="Arial" w:cs="Arial" w:eastAsia="Arial" w:hAnsi="Arial"/>
          <w:sz w:val="20"/>
          <w:szCs w:val="20"/>
          <w:color w:val="auto"/>
        </w:rPr>
        <w:t>People and Compensation Committee approved the following annual incentive cash payments for the NEOs:</w:t>
      </w:r>
    </w:p>
    <w:p>
      <w:pPr>
        <w:spacing w:after="0" w:line="210"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Financial</w:t>
            </w:r>
          </w:p>
        </w:tc>
        <w:tc>
          <w:tcPr>
            <w:tcW w:w="1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Total Incentive</w:t>
            </w:r>
          </w:p>
        </w:tc>
        <w:tc>
          <w:tcPr>
            <w:tcW w:w="2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Target</w:t>
            </w:r>
          </w:p>
        </w:tc>
        <w:tc>
          <w:tcPr>
            <w:tcW w:w="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Performance</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Strategic SPI</w:t>
            </w: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auto"/>
              </w:rPr>
              <w:t>Total Incentive</w:t>
            </w:r>
          </w:p>
        </w:tc>
        <w:tc>
          <w:tcPr>
            <w:tcW w:w="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Payment as % of</w:t>
            </w:r>
          </w:p>
        </w:tc>
        <w:tc>
          <w:tcPr>
            <w:tcW w:w="20" w:type="dxa"/>
            <w:vAlign w:val="bottom"/>
          </w:tcPr>
          <w:p>
            <w:pPr>
              <w:spacing w:after="0"/>
              <w:rPr>
                <w:sz w:val="19"/>
                <w:szCs w:val="19"/>
                <w:color w:val="auto"/>
              </w:rPr>
            </w:pPr>
          </w:p>
        </w:tc>
      </w:tr>
      <w:tr>
        <w:trPr>
          <w:trHeight w:val="241"/>
        </w:trPr>
        <w:tc>
          <w:tcPr>
            <w:tcW w:w="20" w:type="dxa"/>
            <w:vAlign w:val="bottom"/>
            <w:tcBorders>
              <w:bottom w:val="single" w:sz="8" w:color="582C83"/>
            </w:tcBorders>
          </w:tcPr>
          <w:p>
            <w:pPr>
              <w:spacing w:after="0"/>
              <w:rPr>
                <w:sz w:val="20"/>
                <w:szCs w:val="20"/>
                <w:color w:val="auto"/>
              </w:rPr>
            </w:pPr>
          </w:p>
        </w:tc>
        <w:tc>
          <w:tcPr>
            <w:tcW w:w="196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Name</w:t>
            </w:r>
          </w:p>
        </w:tc>
        <w:tc>
          <w:tcPr>
            <w:tcW w:w="1300" w:type="dxa"/>
            <w:vAlign w:val="bottom"/>
            <w:tcBorders>
              <w:bottom w:val="single" w:sz="8" w:color="582C83"/>
            </w:tcBorders>
          </w:tcPr>
          <w:p>
            <w:pPr>
              <w:spacing w:after="0"/>
              <w:rPr>
                <w:sz w:val="20"/>
                <w:szCs w:val="20"/>
                <w:color w:val="auto"/>
              </w:rPr>
            </w:pPr>
          </w:p>
        </w:tc>
        <w:tc>
          <w:tcPr>
            <w:tcW w:w="8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Incentive</w:t>
            </w:r>
          </w:p>
        </w:tc>
        <w:tc>
          <w:tcPr>
            <w:tcW w:w="20" w:type="dxa"/>
            <w:vAlign w:val="bottom"/>
            <w:tcBorders>
              <w:bottom w:val="single" w:sz="8" w:color="582C83"/>
            </w:tcBorders>
          </w:tcPr>
          <w:p>
            <w:pPr>
              <w:spacing w:after="0"/>
              <w:rPr>
                <w:sz w:val="20"/>
                <w:szCs w:val="20"/>
                <w:color w:val="auto"/>
              </w:rPr>
            </w:pPr>
          </w:p>
        </w:tc>
        <w:tc>
          <w:tcPr>
            <w:tcW w:w="176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Rating</w:t>
            </w:r>
          </w:p>
        </w:tc>
        <w:tc>
          <w:tcPr>
            <w:tcW w:w="14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Rating</w:t>
            </w:r>
          </w:p>
        </w:tc>
        <w:tc>
          <w:tcPr>
            <w:tcW w:w="1320" w:type="dxa"/>
            <w:vAlign w:val="bottom"/>
            <w:tcBorders>
              <w:bottom w:val="single" w:sz="8" w:color="582C83"/>
            </w:tcBorders>
          </w:tcPr>
          <w:p>
            <w:pPr>
              <w:spacing w:after="0"/>
              <w:rPr>
                <w:sz w:val="20"/>
                <w:szCs w:val="20"/>
                <w:color w:val="auto"/>
              </w:rPr>
            </w:pPr>
          </w:p>
        </w:tc>
        <w:tc>
          <w:tcPr>
            <w:tcW w:w="8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Payment</w:t>
            </w:r>
          </w:p>
        </w:tc>
        <w:tc>
          <w:tcPr>
            <w:tcW w:w="20" w:type="dxa"/>
            <w:vAlign w:val="bottom"/>
            <w:tcBorders>
              <w:bottom w:val="single" w:sz="8" w:color="582C83"/>
            </w:tcBorders>
          </w:tcPr>
          <w:p>
            <w:pPr>
              <w:spacing w:after="0"/>
              <w:rPr>
                <w:sz w:val="20"/>
                <w:szCs w:val="20"/>
                <w:color w:val="auto"/>
              </w:rPr>
            </w:pP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Target</w:t>
            </w:r>
          </w:p>
        </w:tc>
        <w:tc>
          <w:tcPr>
            <w:tcW w:w="20" w:type="dxa"/>
            <w:vAlign w:val="bottom"/>
            <w:tcBorders>
              <w:bottom w:val="single" w:sz="8" w:color="582C83"/>
            </w:tcBorders>
          </w:tcPr>
          <w:p>
            <w:pPr>
              <w:spacing w:after="0"/>
              <w:rPr>
                <w:sz w:val="20"/>
                <w:szCs w:val="20"/>
                <w:color w:val="auto"/>
              </w:rPr>
            </w:pPr>
          </w:p>
        </w:tc>
      </w:tr>
      <w:tr>
        <w:trPr>
          <w:trHeight w:val="291"/>
        </w:trPr>
        <w:tc>
          <w:tcPr>
            <w:tcW w:w="20" w:type="dxa"/>
            <w:vAlign w:val="bottom"/>
            <w:tcBorders>
              <w:bottom w:val="single" w:sz="8" w:color="EBE6F0"/>
            </w:tcBorders>
            <w:shd w:val="clear" w:color="auto" w:fill="EBE6F0"/>
          </w:tcPr>
          <w:p>
            <w:pPr>
              <w:spacing w:after="0"/>
              <w:rPr>
                <w:sz w:val="24"/>
                <w:szCs w:val="24"/>
                <w:color w:val="auto"/>
              </w:rPr>
            </w:pPr>
          </w:p>
        </w:tc>
        <w:tc>
          <w:tcPr>
            <w:tcW w:w="196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Mr. Van de Put</w:t>
            </w:r>
          </w:p>
        </w:tc>
        <w:tc>
          <w:tcPr>
            <w:tcW w:w="13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2,945,000</w:t>
            </w:r>
          </w:p>
        </w:tc>
        <w:tc>
          <w:tcPr>
            <w:tcW w:w="20" w:type="dxa"/>
            <w:vAlign w:val="bottom"/>
            <w:tcBorders>
              <w:bottom w:val="single" w:sz="8" w:color="EBE6F0"/>
            </w:tcBorders>
            <w:shd w:val="clear" w:color="auto" w:fill="EBE6F0"/>
          </w:tcPr>
          <w:p>
            <w:pPr>
              <w:spacing w:after="0"/>
              <w:rPr>
                <w:sz w:val="24"/>
                <w:szCs w:val="24"/>
                <w:color w:val="auto"/>
              </w:rPr>
            </w:pPr>
          </w:p>
        </w:tc>
        <w:tc>
          <w:tcPr>
            <w:tcW w:w="17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157%</w:t>
            </w:r>
          </w:p>
        </w:tc>
        <w:tc>
          <w:tcPr>
            <w:tcW w:w="14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125%</w:t>
            </w:r>
          </w:p>
        </w:tc>
        <w:tc>
          <w:tcPr>
            <w:tcW w:w="13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4,446,950</w:t>
            </w:r>
          </w:p>
        </w:tc>
        <w:tc>
          <w:tcPr>
            <w:tcW w:w="20" w:type="dxa"/>
            <w:vAlign w:val="bottom"/>
            <w:tcBorders>
              <w:bottom w:val="single" w:sz="8" w:color="EBE6F0"/>
            </w:tcBorders>
            <w:shd w:val="clear" w:color="auto" w:fill="EBE6F0"/>
          </w:tcPr>
          <w:p>
            <w:pPr>
              <w:spacing w:after="0"/>
              <w:rPr>
                <w:sz w:val="24"/>
                <w:szCs w:val="24"/>
                <w:color w:val="auto"/>
              </w:rPr>
            </w:pPr>
          </w:p>
        </w:tc>
        <w:tc>
          <w:tcPr>
            <w:tcW w:w="16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151%</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196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Mr. Zaramella</w:t>
            </w:r>
          </w:p>
        </w:tc>
        <w:tc>
          <w:tcPr>
            <w:tcW w:w="13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968,000</w:t>
            </w:r>
          </w:p>
        </w:tc>
        <w:tc>
          <w:tcPr>
            <w:tcW w:w="20" w:type="dxa"/>
            <w:vAlign w:val="bottom"/>
            <w:tcBorders>
              <w:top w:val="single" w:sz="8" w:color="EBE6F0"/>
            </w:tcBorders>
          </w:tcPr>
          <w:p>
            <w:pPr>
              <w:spacing w:after="0"/>
              <w:rPr>
                <w:sz w:val="21"/>
                <w:szCs w:val="21"/>
                <w:color w:val="auto"/>
              </w:rPr>
            </w:pPr>
          </w:p>
        </w:tc>
        <w:tc>
          <w:tcPr>
            <w:tcW w:w="17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157%</w:t>
            </w:r>
          </w:p>
        </w:tc>
        <w:tc>
          <w:tcPr>
            <w:tcW w:w="144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125%</w:t>
            </w:r>
          </w:p>
        </w:tc>
        <w:tc>
          <w:tcPr>
            <w:tcW w:w="132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1,461,680</w:t>
            </w:r>
          </w:p>
        </w:tc>
        <w:tc>
          <w:tcPr>
            <w:tcW w:w="20" w:type="dxa"/>
            <w:vAlign w:val="bottom"/>
            <w:tcBorders>
              <w:top w:val="single" w:sz="8" w:color="EBE6F0"/>
            </w:tcBorders>
          </w:tcPr>
          <w:p>
            <w:pPr>
              <w:spacing w:after="0"/>
              <w:rPr>
                <w:sz w:val="21"/>
                <w:szCs w:val="21"/>
                <w:color w:val="auto"/>
              </w:rPr>
            </w:pPr>
          </w:p>
        </w:tc>
        <w:tc>
          <w:tcPr>
            <w:tcW w:w="164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151%</w:t>
            </w:r>
          </w:p>
        </w:tc>
        <w:tc>
          <w:tcPr>
            <w:tcW w:w="20" w:type="dxa"/>
            <w:vAlign w:val="bottom"/>
            <w:tcBorders>
              <w:top w:val="single" w:sz="8" w:color="EBE6F0"/>
            </w:tcBorders>
          </w:tcPr>
          <w:p>
            <w:pPr>
              <w:spacing w:after="0"/>
              <w:rPr>
                <w:sz w:val="21"/>
                <w:szCs w:val="21"/>
                <w:color w:val="auto"/>
              </w:rPr>
            </w:pPr>
          </w:p>
        </w:tc>
      </w:tr>
      <w:tr>
        <w:trPr>
          <w:trHeight w:val="35"/>
        </w:trPr>
        <w:tc>
          <w:tcPr>
            <w:tcW w:w="20" w:type="dxa"/>
            <w:vAlign w:val="bottom"/>
            <w:tcBorders>
              <w:bottom w:val="single" w:sz="8" w:color="582C83"/>
            </w:tcBorders>
          </w:tcPr>
          <w:p>
            <w:pPr>
              <w:spacing w:after="0"/>
              <w:rPr>
                <w:sz w:val="3"/>
                <w:szCs w:val="3"/>
                <w:color w:val="auto"/>
              </w:rPr>
            </w:pPr>
          </w:p>
        </w:tc>
        <w:tc>
          <w:tcPr>
            <w:tcW w:w="196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760" w:type="dxa"/>
            <w:vAlign w:val="bottom"/>
            <w:tcBorders>
              <w:bottom w:val="single" w:sz="8" w:color="582C83"/>
            </w:tcBorders>
          </w:tcPr>
          <w:p>
            <w:pPr>
              <w:spacing w:after="0"/>
              <w:rPr>
                <w:sz w:val="3"/>
                <w:szCs w:val="3"/>
                <w:color w:val="auto"/>
              </w:rPr>
            </w:pPr>
          </w:p>
        </w:tc>
        <w:tc>
          <w:tcPr>
            <w:tcW w:w="1440" w:type="dxa"/>
            <w:vAlign w:val="bottom"/>
            <w:tcBorders>
              <w:bottom w:val="single" w:sz="8" w:color="582C83"/>
            </w:tcBorders>
          </w:tcPr>
          <w:p>
            <w:pPr>
              <w:spacing w:after="0"/>
              <w:rPr>
                <w:sz w:val="3"/>
                <w:szCs w:val="3"/>
                <w:color w:val="auto"/>
              </w:rPr>
            </w:pPr>
          </w:p>
        </w:tc>
        <w:tc>
          <w:tcPr>
            <w:tcW w:w="132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64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283"/>
        </w:trPr>
        <w:tc>
          <w:tcPr>
            <w:tcW w:w="20" w:type="dxa"/>
            <w:vAlign w:val="bottom"/>
            <w:tcBorders>
              <w:bottom w:val="single" w:sz="8" w:color="EBE6F0"/>
            </w:tcBorders>
            <w:shd w:val="clear" w:color="auto" w:fill="EBE6F0"/>
          </w:tcPr>
          <w:p>
            <w:pPr>
              <w:spacing w:after="0"/>
              <w:rPr>
                <w:sz w:val="24"/>
                <w:szCs w:val="24"/>
                <w:color w:val="auto"/>
              </w:rPr>
            </w:pPr>
          </w:p>
        </w:tc>
        <w:tc>
          <w:tcPr>
            <w:tcW w:w="196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Mr. Brusadelli</w:t>
            </w:r>
          </w:p>
        </w:tc>
        <w:tc>
          <w:tcPr>
            <w:tcW w:w="13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624,000</w:t>
            </w:r>
          </w:p>
        </w:tc>
        <w:tc>
          <w:tcPr>
            <w:tcW w:w="20" w:type="dxa"/>
            <w:vAlign w:val="bottom"/>
            <w:tcBorders>
              <w:bottom w:val="single" w:sz="8" w:color="EBE6F0"/>
            </w:tcBorders>
            <w:shd w:val="clear" w:color="auto" w:fill="EBE6F0"/>
          </w:tcPr>
          <w:p>
            <w:pPr>
              <w:spacing w:after="0"/>
              <w:rPr>
                <w:sz w:val="24"/>
                <w:szCs w:val="24"/>
                <w:color w:val="auto"/>
              </w:rPr>
            </w:pPr>
          </w:p>
        </w:tc>
        <w:tc>
          <w:tcPr>
            <w:tcW w:w="17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175%</w:t>
            </w:r>
          </w:p>
        </w:tc>
        <w:tc>
          <w:tcPr>
            <w:tcW w:w="14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106%</w:t>
            </w:r>
          </w:p>
        </w:tc>
        <w:tc>
          <w:tcPr>
            <w:tcW w:w="13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1,004,640</w:t>
            </w:r>
          </w:p>
        </w:tc>
        <w:tc>
          <w:tcPr>
            <w:tcW w:w="20" w:type="dxa"/>
            <w:vAlign w:val="bottom"/>
            <w:tcBorders>
              <w:bottom w:val="single" w:sz="8" w:color="EBE6F0"/>
            </w:tcBorders>
            <w:shd w:val="clear" w:color="auto" w:fill="EBE6F0"/>
          </w:tcPr>
          <w:p>
            <w:pPr>
              <w:spacing w:after="0"/>
              <w:rPr>
                <w:sz w:val="24"/>
                <w:szCs w:val="24"/>
                <w:color w:val="auto"/>
              </w:rPr>
            </w:pPr>
          </w:p>
        </w:tc>
        <w:tc>
          <w:tcPr>
            <w:tcW w:w="16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161%</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196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Mr. Gruber</w:t>
            </w:r>
          </w:p>
        </w:tc>
        <w:tc>
          <w:tcPr>
            <w:tcW w:w="13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CHF</w:t>
            </w:r>
          </w:p>
        </w:tc>
        <w:tc>
          <w:tcPr>
            <w:tcW w:w="8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736,500</w:t>
            </w:r>
          </w:p>
        </w:tc>
        <w:tc>
          <w:tcPr>
            <w:tcW w:w="20" w:type="dxa"/>
            <w:vAlign w:val="bottom"/>
            <w:tcBorders>
              <w:top w:val="single" w:sz="8" w:color="EBE6F0"/>
            </w:tcBorders>
          </w:tcPr>
          <w:p>
            <w:pPr>
              <w:spacing w:after="0"/>
              <w:rPr>
                <w:sz w:val="21"/>
                <w:szCs w:val="21"/>
                <w:color w:val="auto"/>
              </w:rPr>
            </w:pPr>
          </w:p>
        </w:tc>
        <w:tc>
          <w:tcPr>
            <w:tcW w:w="17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44%</w:t>
            </w:r>
          </w:p>
        </w:tc>
        <w:tc>
          <w:tcPr>
            <w:tcW w:w="144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124%</w:t>
            </w:r>
          </w:p>
        </w:tc>
        <w:tc>
          <w:tcPr>
            <w:tcW w:w="132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CHF</w:t>
            </w:r>
          </w:p>
        </w:tc>
        <w:tc>
          <w:tcPr>
            <w:tcW w:w="8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441,900</w:t>
            </w:r>
          </w:p>
        </w:tc>
        <w:tc>
          <w:tcPr>
            <w:tcW w:w="20" w:type="dxa"/>
            <w:vAlign w:val="bottom"/>
            <w:tcBorders>
              <w:top w:val="single" w:sz="8" w:color="EBE6F0"/>
            </w:tcBorders>
          </w:tcPr>
          <w:p>
            <w:pPr>
              <w:spacing w:after="0"/>
              <w:rPr>
                <w:sz w:val="21"/>
                <w:szCs w:val="21"/>
                <w:color w:val="auto"/>
              </w:rPr>
            </w:pPr>
          </w:p>
        </w:tc>
        <w:tc>
          <w:tcPr>
            <w:tcW w:w="164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60%</w:t>
            </w:r>
          </w:p>
        </w:tc>
        <w:tc>
          <w:tcPr>
            <w:tcW w:w="20" w:type="dxa"/>
            <w:vAlign w:val="bottom"/>
            <w:tcBorders>
              <w:top w:val="single" w:sz="8" w:color="EBE6F0"/>
            </w:tcBorders>
          </w:tcPr>
          <w:p>
            <w:pPr>
              <w:spacing w:after="0"/>
              <w:rPr>
                <w:sz w:val="21"/>
                <w:szCs w:val="21"/>
                <w:color w:val="auto"/>
              </w:rPr>
            </w:pPr>
          </w:p>
        </w:tc>
      </w:tr>
      <w:tr>
        <w:trPr>
          <w:trHeight w:val="35"/>
        </w:trPr>
        <w:tc>
          <w:tcPr>
            <w:tcW w:w="20" w:type="dxa"/>
            <w:vAlign w:val="bottom"/>
            <w:tcBorders>
              <w:bottom w:val="single" w:sz="8" w:color="582C83"/>
            </w:tcBorders>
          </w:tcPr>
          <w:p>
            <w:pPr>
              <w:spacing w:after="0"/>
              <w:rPr>
                <w:sz w:val="3"/>
                <w:szCs w:val="3"/>
                <w:color w:val="auto"/>
              </w:rPr>
            </w:pPr>
          </w:p>
        </w:tc>
        <w:tc>
          <w:tcPr>
            <w:tcW w:w="196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760" w:type="dxa"/>
            <w:vAlign w:val="bottom"/>
            <w:tcBorders>
              <w:bottom w:val="single" w:sz="8" w:color="582C83"/>
            </w:tcBorders>
          </w:tcPr>
          <w:p>
            <w:pPr>
              <w:spacing w:after="0"/>
              <w:rPr>
                <w:sz w:val="3"/>
                <w:szCs w:val="3"/>
                <w:color w:val="auto"/>
              </w:rPr>
            </w:pPr>
          </w:p>
        </w:tc>
        <w:tc>
          <w:tcPr>
            <w:tcW w:w="1440" w:type="dxa"/>
            <w:vAlign w:val="bottom"/>
            <w:tcBorders>
              <w:bottom w:val="single" w:sz="8" w:color="582C83"/>
            </w:tcBorders>
          </w:tcPr>
          <w:p>
            <w:pPr>
              <w:spacing w:after="0"/>
              <w:rPr>
                <w:sz w:val="3"/>
                <w:szCs w:val="3"/>
                <w:color w:val="auto"/>
              </w:rPr>
            </w:pPr>
          </w:p>
        </w:tc>
        <w:tc>
          <w:tcPr>
            <w:tcW w:w="132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64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315"/>
        </w:trPr>
        <w:tc>
          <w:tcPr>
            <w:tcW w:w="20" w:type="dxa"/>
            <w:vAlign w:val="bottom"/>
            <w:tcBorders>
              <w:bottom w:val="single" w:sz="8" w:color="EBE6F0"/>
            </w:tcBorders>
            <w:shd w:val="clear" w:color="auto" w:fill="EBE6F0"/>
          </w:tcPr>
          <w:p>
            <w:pPr>
              <w:spacing w:after="0"/>
              <w:rPr>
                <w:sz w:val="24"/>
                <w:szCs w:val="24"/>
                <w:color w:val="auto"/>
              </w:rPr>
            </w:pPr>
          </w:p>
        </w:tc>
        <w:tc>
          <w:tcPr>
            <w:tcW w:w="1960" w:type="dxa"/>
            <w:vAlign w:val="bottom"/>
            <w:tcBorders>
              <w:bottom w:val="single" w:sz="8" w:color="582C83"/>
            </w:tcBorders>
            <w:shd w:val="clear" w:color="auto" w:fill="EBE6F0"/>
          </w:tcPr>
          <w:p>
            <w:pPr>
              <w:ind w:left="60"/>
              <w:spacing w:after="0"/>
              <w:rPr>
                <w:sz w:val="20"/>
                <w:szCs w:val="20"/>
                <w:color w:val="auto"/>
              </w:rPr>
            </w:pPr>
            <w:r>
              <w:rPr>
                <w:rFonts w:ascii="Arial" w:cs="Arial" w:eastAsia="Arial" w:hAnsi="Arial"/>
                <w:sz w:val="16"/>
                <w:szCs w:val="16"/>
                <w:color w:val="auto"/>
              </w:rPr>
              <w:t xml:space="preserve">Mr. Valle </w:t>
            </w:r>
            <w:r>
              <w:rPr>
                <w:rFonts w:ascii="Arial" w:cs="Arial" w:eastAsia="Arial" w:hAnsi="Arial"/>
                <w:sz w:val="26"/>
                <w:szCs w:val="26"/>
                <w:color w:val="auto"/>
                <w:vertAlign w:val="superscript"/>
              </w:rPr>
              <w:t>(1)</w:t>
            </w:r>
          </w:p>
        </w:tc>
        <w:tc>
          <w:tcPr>
            <w:tcW w:w="130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720,000</w:t>
            </w:r>
          </w:p>
        </w:tc>
        <w:tc>
          <w:tcPr>
            <w:tcW w:w="20" w:type="dxa"/>
            <w:vAlign w:val="bottom"/>
            <w:tcBorders>
              <w:bottom w:val="single" w:sz="8" w:color="EBE6F0"/>
            </w:tcBorders>
            <w:shd w:val="clear" w:color="auto" w:fill="EBE6F0"/>
          </w:tcPr>
          <w:p>
            <w:pPr>
              <w:spacing w:after="0"/>
              <w:rPr>
                <w:sz w:val="24"/>
                <w:szCs w:val="24"/>
                <w:color w:val="auto"/>
              </w:rPr>
            </w:pPr>
          </w:p>
        </w:tc>
        <w:tc>
          <w:tcPr>
            <w:tcW w:w="176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143%</w:t>
            </w:r>
          </w:p>
        </w:tc>
        <w:tc>
          <w:tcPr>
            <w:tcW w:w="144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139%</w:t>
            </w:r>
          </w:p>
        </w:tc>
        <w:tc>
          <w:tcPr>
            <w:tcW w:w="132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1,038,003</w:t>
            </w:r>
          </w:p>
        </w:tc>
        <w:tc>
          <w:tcPr>
            <w:tcW w:w="20" w:type="dxa"/>
            <w:vAlign w:val="bottom"/>
            <w:tcBorders>
              <w:bottom w:val="single" w:sz="8" w:color="EBE6F0"/>
            </w:tcBorders>
            <w:shd w:val="clear" w:color="auto" w:fill="EBE6F0"/>
          </w:tcPr>
          <w:p>
            <w:pPr>
              <w:spacing w:after="0"/>
              <w:rPr>
                <w:sz w:val="24"/>
                <w:szCs w:val="24"/>
                <w:color w:val="auto"/>
              </w:rPr>
            </w:pPr>
          </w:p>
        </w:tc>
        <w:tc>
          <w:tcPr>
            <w:tcW w:w="164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144%</w:t>
            </w:r>
          </w:p>
        </w:tc>
        <w:tc>
          <w:tcPr>
            <w:tcW w:w="20" w:type="dxa"/>
            <w:vAlign w:val="bottom"/>
            <w:tcBorders>
              <w:bottom w:val="single" w:sz="8" w:color="EBE6F0"/>
            </w:tcBorders>
            <w:shd w:val="clear" w:color="auto" w:fill="EBE6F0"/>
          </w:tcPr>
          <w:p>
            <w:pPr>
              <w:spacing w:after="0"/>
              <w:rPr>
                <w:sz w:val="24"/>
                <w:szCs w:val="24"/>
                <w:color w:val="auto"/>
              </w:rPr>
            </w:pPr>
          </w:p>
        </w:tc>
      </w:tr>
    </w:tbl>
    <w:p>
      <w:pPr>
        <w:spacing w:after="0" w:line="261" w:lineRule="exact"/>
        <w:rPr>
          <w:sz w:val="20"/>
          <w:szCs w:val="20"/>
          <w:color w:val="auto"/>
        </w:rPr>
      </w:pPr>
    </w:p>
    <w:p>
      <w:pPr>
        <w:ind w:left="301" w:right="200" w:hanging="301"/>
        <w:spacing w:after="0" w:line="258" w:lineRule="auto"/>
        <w:tabs>
          <w:tab w:leader="none" w:pos="301" w:val="left"/>
        </w:tabs>
        <w:numPr>
          <w:ilvl w:val="0"/>
          <w:numId w:val="71"/>
        </w:numPr>
        <w:rPr>
          <w:rFonts w:ascii="Arial" w:cs="Arial" w:eastAsia="Arial" w:hAnsi="Arial"/>
          <w:sz w:val="15"/>
          <w:szCs w:val="15"/>
          <w:color w:val="auto"/>
        </w:rPr>
      </w:pPr>
      <w:r>
        <w:rPr>
          <w:rFonts w:ascii="Arial" w:cs="Arial" w:eastAsia="Arial" w:hAnsi="Arial"/>
          <w:sz w:val="15"/>
          <w:szCs w:val="15"/>
          <w:color w:val="auto"/>
        </w:rPr>
        <w:t>Mr. Valle’s incentive payment is blended based on spending 10% of the year as the EVP and President, Latin America and 90% as the EVP and President, North America. The financial performance rating for Latin America was 200% and 137% for North America, resulting in a blended rating of 143%. The SPI Rating for Latin America was 129% and 140% for North America, resulting in a blended rating of 139%.</w:t>
      </w:r>
    </w:p>
    <w:p>
      <w:pPr>
        <w:spacing w:after="0" w:line="250"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582C83"/>
        </w:rPr>
        <w:t>LONG-TERM INCENTIVE PLAN</w:t>
      </w:r>
    </w:p>
    <w:p>
      <w:pPr>
        <w:spacing w:after="0" w:line="9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Overview</w:t>
      </w:r>
    </w:p>
    <w:p>
      <w:pPr>
        <w:spacing w:after="0" w:line="56" w:lineRule="exact"/>
        <w:rPr>
          <w:sz w:val="20"/>
          <w:szCs w:val="20"/>
          <w:color w:val="auto"/>
        </w:rPr>
      </w:pPr>
    </w:p>
    <w:p>
      <w:pPr>
        <w:ind w:left="1" w:right="240"/>
        <w:spacing w:after="0" w:line="250" w:lineRule="auto"/>
        <w:rPr>
          <w:sz w:val="20"/>
          <w:szCs w:val="20"/>
          <w:color w:val="auto"/>
        </w:rPr>
      </w:pPr>
      <w:r>
        <w:rPr>
          <w:rFonts w:ascii="Arial" w:cs="Arial" w:eastAsia="Arial" w:hAnsi="Arial"/>
          <w:sz w:val="20"/>
          <w:szCs w:val="20"/>
          <w:color w:val="auto"/>
        </w:rPr>
        <w:t>We design our LTIP to incentivize our NEOs to focus on critical performance objectives that we believe will translate into sustainable shareholder returns over the long term. Grants made under our 2022 long-term incentive program were entirely in equity using the same mix used in 2021: 75% PSUs and 25% stock options.</w:t>
      </w:r>
    </w:p>
    <w:p>
      <w:pPr>
        <w:spacing w:after="0" w:line="175" w:lineRule="exact"/>
        <w:rPr>
          <w:sz w:val="20"/>
          <w:szCs w:val="20"/>
          <w:color w:val="auto"/>
        </w:rPr>
      </w:pPr>
    </w:p>
    <w:tbl>
      <w:tblPr>
        <w:tblLayout w:type="fixed"/>
        <w:tblInd w:w="1" w:type="dxa"/>
        <w:tblCellMar>
          <w:top w:w="0" w:type="dxa"/>
          <w:left w:w="0" w:type="dxa"/>
          <w:bottom w:w="0" w:type="dxa"/>
          <w:right w:w="0" w:type="dxa"/>
        </w:tblCellMar>
      </w:tblPr>
      <w:tr>
        <w:trPr>
          <w:trHeight w:val="292"/>
        </w:trPr>
        <w:tc>
          <w:tcPr>
            <w:tcW w:w="1120" w:type="dxa"/>
            <w:vAlign w:val="bottom"/>
            <w:tcBorders>
              <w:bottom w:val="single" w:sz="8" w:color="582C83"/>
            </w:tcBorders>
          </w:tcPr>
          <w:p>
            <w:pPr>
              <w:ind w:left="80"/>
              <w:spacing w:after="0"/>
              <w:rPr>
                <w:sz w:val="20"/>
                <w:szCs w:val="20"/>
                <w:color w:val="auto"/>
              </w:rPr>
            </w:pPr>
            <w:r>
              <w:rPr>
                <w:rFonts w:ascii="Arial" w:cs="Arial" w:eastAsia="Arial" w:hAnsi="Arial"/>
                <w:sz w:val="20"/>
                <w:szCs w:val="20"/>
                <w:b w:val="1"/>
                <w:bCs w:val="1"/>
                <w:color w:val="auto"/>
              </w:rPr>
              <w:t>Vehicle</w:t>
            </w:r>
          </w:p>
        </w:tc>
        <w:tc>
          <w:tcPr>
            <w:tcW w:w="1150" w:type="dxa"/>
            <w:vAlign w:val="bottom"/>
            <w:tcBorders>
              <w:bottom w:val="single" w:sz="8" w:color="582C83"/>
            </w:tcBorders>
          </w:tcPr>
          <w:p>
            <w:pPr>
              <w:jc w:val="center"/>
              <w:spacing w:after="0"/>
              <w:rPr>
                <w:sz w:val="20"/>
                <w:szCs w:val="20"/>
                <w:color w:val="auto"/>
              </w:rPr>
            </w:pPr>
            <w:r>
              <w:rPr>
                <w:rFonts w:ascii="Arial" w:cs="Arial" w:eastAsia="Arial" w:hAnsi="Arial"/>
                <w:sz w:val="20"/>
                <w:szCs w:val="20"/>
                <w:b w:val="1"/>
                <w:bCs w:val="1"/>
                <w:color w:val="auto"/>
                <w:w w:val="98"/>
              </w:rPr>
              <w:t>Weight</w:t>
            </w:r>
          </w:p>
        </w:tc>
        <w:tc>
          <w:tcPr>
            <w:tcW w:w="4490" w:type="dxa"/>
            <w:vAlign w:val="bottom"/>
            <w:tcBorders>
              <w:bottom w:val="single" w:sz="8" w:color="582C83"/>
            </w:tcBorders>
          </w:tcPr>
          <w:p>
            <w:pPr>
              <w:ind w:left="70"/>
              <w:spacing w:after="0"/>
              <w:rPr>
                <w:sz w:val="20"/>
                <w:szCs w:val="20"/>
                <w:color w:val="auto"/>
              </w:rPr>
            </w:pPr>
            <w:r>
              <w:rPr>
                <w:rFonts w:ascii="Arial" w:cs="Arial" w:eastAsia="Arial" w:hAnsi="Arial"/>
                <w:sz w:val="20"/>
                <w:szCs w:val="20"/>
                <w:b w:val="1"/>
                <w:bCs w:val="1"/>
                <w:color w:val="auto"/>
              </w:rPr>
              <w:t>Structure</w:t>
            </w:r>
          </w:p>
        </w:tc>
        <w:tc>
          <w:tcPr>
            <w:tcW w:w="4480" w:type="dxa"/>
            <w:vAlign w:val="bottom"/>
            <w:tcBorders>
              <w:bottom w:val="single" w:sz="8" w:color="582C83"/>
            </w:tcBorders>
          </w:tcPr>
          <w:p>
            <w:pPr>
              <w:ind w:left="60"/>
              <w:spacing w:after="0"/>
              <w:rPr>
                <w:sz w:val="20"/>
                <w:szCs w:val="20"/>
                <w:color w:val="auto"/>
              </w:rPr>
            </w:pPr>
            <w:r>
              <w:rPr>
                <w:rFonts w:ascii="Arial" w:cs="Arial" w:eastAsia="Arial" w:hAnsi="Arial"/>
                <w:sz w:val="20"/>
                <w:szCs w:val="20"/>
                <w:b w:val="1"/>
                <w:bCs w:val="1"/>
                <w:color w:val="auto"/>
              </w:rPr>
              <w:t>Purpose</w:t>
            </w:r>
          </w:p>
        </w:tc>
        <w:tc>
          <w:tcPr>
            <w:tcW w:w="20" w:type="dxa"/>
            <w:vAlign w:val="bottom"/>
            <w:tcBorders>
              <w:bottom w:val="single" w:sz="8" w:color="582C83"/>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120" w:type="dxa"/>
            <w:vAlign w:val="bottom"/>
            <w:shd w:val="clear" w:color="auto" w:fill="EBE6F0"/>
          </w:tcPr>
          <w:p>
            <w:pPr>
              <w:ind w:left="80"/>
              <w:spacing w:after="0"/>
              <w:rPr>
                <w:sz w:val="20"/>
                <w:szCs w:val="20"/>
                <w:color w:val="auto"/>
              </w:rPr>
            </w:pPr>
            <w:r>
              <w:rPr>
                <w:rFonts w:ascii="Arial" w:cs="Arial" w:eastAsia="Arial" w:hAnsi="Arial"/>
                <w:sz w:val="20"/>
                <w:szCs w:val="20"/>
                <w:color w:val="auto"/>
              </w:rPr>
              <w:t>PSUs</w:t>
            </w:r>
          </w:p>
        </w:tc>
        <w:tc>
          <w:tcPr>
            <w:tcW w:w="1150" w:type="dxa"/>
            <w:vAlign w:val="bottom"/>
            <w:shd w:val="clear" w:color="auto" w:fill="EBE6F0"/>
          </w:tcPr>
          <w:p>
            <w:pPr>
              <w:jc w:val="center"/>
              <w:spacing w:after="0"/>
              <w:rPr>
                <w:sz w:val="20"/>
                <w:szCs w:val="20"/>
                <w:color w:val="auto"/>
              </w:rPr>
            </w:pPr>
            <w:r>
              <w:rPr>
                <w:rFonts w:ascii="Arial" w:cs="Arial" w:eastAsia="Arial" w:hAnsi="Arial"/>
                <w:sz w:val="20"/>
                <w:szCs w:val="20"/>
                <w:color w:val="auto"/>
                <w:w w:val="99"/>
              </w:rPr>
              <w:t>75%</w:t>
            </w:r>
          </w:p>
        </w:tc>
        <w:tc>
          <w:tcPr>
            <w:tcW w:w="449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Number of shares earned may range from</w:t>
            </w:r>
          </w:p>
        </w:tc>
        <w:tc>
          <w:tcPr>
            <w:tcW w:w="4480" w:type="dxa"/>
            <w:vAlign w:val="bottom"/>
            <w:shd w:val="clear" w:color="auto" w:fill="EBE6F0"/>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Aligns long-term interests</w:t>
            </w:r>
          </w:p>
        </w:tc>
        <w:tc>
          <w:tcPr>
            <w:tcW w:w="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20" w:type="dxa"/>
            <w:vAlign w:val="bottom"/>
            <w:shd w:val="clear" w:color="auto" w:fill="EBE6F0"/>
          </w:tcPr>
          <w:p>
            <w:pPr>
              <w:spacing w:after="0"/>
              <w:rPr>
                <w:sz w:val="20"/>
                <w:szCs w:val="20"/>
                <w:color w:val="auto"/>
              </w:rPr>
            </w:pPr>
          </w:p>
        </w:tc>
        <w:tc>
          <w:tcPr>
            <w:tcW w:w="1150" w:type="dxa"/>
            <w:vAlign w:val="bottom"/>
            <w:shd w:val="clear" w:color="auto" w:fill="EBE6F0"/>
          </w:tcPr>
          <w:p>
            <w:pPr>
              <w:spacing w:after="0"/>
              <w:rPr>
                <w:sz w:val="20"/>
                <w:szCs w:val="20"/>
                <w:color w:val="auto"/>
              </w:rPr>
            </w:pPr>
          </w:p>
        </w:tc>
        <w:tc>
          <w:tcPr>
            <w:tcW w:w="4490" w:type="dxa"/>
            <w:vAlign w:val="bottom"/>
            <w:shd w:val="clear" w:color="auto" w:fill="EBE6F0"/>
          </w:tcPr>
          <w:p>
            <w:pPr>
              <w:ind w:left="210"/>
              <w:spacing w:after="0"/>
              <w:rPr>
                <w:sz w:val="20"/>
                <w:szCs w:val="20"/>
                <w:color w:val="auto"/>
              </w:rPr>
            </w:pPr>
            <w:r>
              <w:rPr>
                <w:rFonts w:ascii="Arial" w:cs="Arial" w:eastAsia="Arial" w:hAnsi="Arial"/>
                <w:sz w:val="20"/>
                <w:szCs w:val="20"/>
                <w:color w:val="auto"/>
              </w:rPr>
              <w:t>0%</w:t>
            </w:r>
            <w:r>
              <w:rPr>
                <w:rFonts w:ascii="Times New Roman" w:cs="Times New Roman" w:eastAsia="Times New Roman" w:hAnsi="Times New Roman"/>
                <w:sz w:val="20"/>
                <w:szCs w:val="20"/>
                <w:color w:val="auto"/>
              </w:rPr>
              <w:t> </w:t>
            </w:r>
            <w:r>
              <w:rPr>
                <w:rFonts w:ascii="Arial" w:cs="Arial" w:eastAsia="Arial" w:hAnsi="Arial"/>
                <w:sz w:val="20"/>
                <w:szCs w:val="20"/>
                <w:color w:val="auto"/>
              </w:rPr>
              <w:t>to 200% of the target number of PSUs</w:t>
            </w:r>
          </w:p>
        </w:tc>
        <w:tc>
          <w:tcPr>
            <w:tcW w:w="4480" w:type="dxa"/>
            <w:vAlign w:val="bottom"/>
            <w:shd w:val="clear" w:color="auto" w:fill="EBE6F0"/>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Pay for performance</w:t>
            </w:r>
          </w:p>
        </w:tc>
        <w:tc>
          <w:tcPr>
            <w:tcW w:w="20" w:type="dxa"/>
            <w:vAlign w:val="bottom"/>
            <w:shd w:val="clear" w:color="auto" w:fill="EBE6F0"/>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shd w:val="clear" w:color="auto" w:fill="EBE6F0"/>
          </w:tcPr>
          <w:p>
            <w:pPr>
              <w:spacing w:after="0"/>
              <w:rPr>
                <w:sz w:val="18"/>
                <w:szCs w:val="18"/>
                <w:color w:val="auto"/>
              </w:rPr>
            </w:pPr>
          </w:p>
        </w:tc>
        <w:tc>
          <w:tcPr>
            <w:tcW w:w="1150" w:type="dxa"/>
            <w:vAlign w:val="bottom"/>
            <w:shd w:val="clear" w:color="auto" w:fill="EBE6F0"/>
          </w:tcPr>
          <w:p>
            <w:pPr>
              <w:spacing w:after="0"/>
              <w:rPr>
                <w:sz w:val="18"/>
                <w:szCs w:val="18"/>
                <w:color w:val="auto"/>
              </w:rPr>
            </w:pPr>
          </w:p>
        </w:tc>
        <w:tc>
          <w:tcPr>
            <w:tcW w:w="4490" w:type="dxa"/>
            <w:vAlign w:val="bottom"/>
            <w:shd w:val="clear" w:color="auto" w:fill="EBE6F0"/>
          </w:tcPr>
          <w:p>
            <w:pPr>
              <w:ind w:left="210"/>
              <w:spacing w:after="0" w:line="210" w:lineRule="exact"/>
              <w:rPr>
                <w:sz w:val="20"/>
                <w:szCs w:val="20"/>
                <w:color w:val="auto"/>
              </w:rPr>
            </w:pPr>
            <w:r>
              <w:rPr>
                <w:rFonts w:ascii="Arial" w:cs="Arial" w:eastAsia="Arial" w:hAnsi="Arial"/>
                <w:sz w:val="20"/>
                <w:szCs w:val="20"/>
                <w:color w:val="auto"/>
              </w:rPr>
              <w:t>granted based on the final business</w:t>
            </w:r>
          </w:p>
        </w:tc>
        <w:tc>
          <w:tcPr>
            <w:tcW w:w="4480" w:type="dxa"/>
            <w:vAlign w:val="bottom"/>
            <w:vMerge w:val="restart"/>
            <w:shd w:val="clear" w:color="auto" w:fill="EBE6F0"/>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Retention</w:t>
            </w:r>
          </w:p>
        </w:tc>
        <w:tc>
          <w:tcPr>
            <w:tcW w:w="20" w:type="dxa"/>
            <w:vAlign w:val="bottom"/>
            <w:shd w:val="clear" w:color="auto" w:fill="EBE6F0"/>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1120" w:type="dxa"/>
            <w:vAlign w:val="bottom"/>
            <w:shd w:val="clear" w:color="auto" w:fill="EBE6F0"/>
          </w:tcPr>
          <w:p>
            <w:pPr>
              <w:spacing w:after="0"/>
              <w:rPr>
                <w:sz w:val="9"/>
                <w:szCs w:val="9"/>
                <w:color w:val="auto"/>
              </w:rPr>
            </w:pPr>
          </w:p>
        </w:tc>
        <w:tc>
          <w:tcPr>
            <w:tcW w:w="1150" w:type="dxa"/>
            <w:vAlign w:val="bottom"/>
            <w:shd w:val="clear" w:color="auto" w:fill="EBE6F0"/>
          </w:tcPr>
          <w:p>
            <w:pPr>
              <w:spacing w:after="0"/>
              <w:rPr>
                <w:sz w:val="9"/>
                <w:szCs w:val="9"/>
                <w:color w:val="auto"/>
              </w:rPr>
            </w:pPr>
          </w:p>
        </w:tc>
        <w:tc>
          <w:tcPr>
            <w:tcW w:w="4490" w:type="dxa"/>
            <w:vAlign w:val="bottom"/>
            <w:vMerge w:val="restart"/>
            <w:shd w:val="clear" w:color="auto" w:fill="EBE6F0"/>
          </w:tcPr>
          <w:p>
            <w:pPr>
              <w:ind w:left="210"/>
              <w:spacing w:after="0" w:line="224" w:lineRule="exact"/>
              <w:rPr>
                <w:sz w:val="20"/>
                <w:szCs w:val="20"/>
                <w:color w:val="auto"/>
              </w:rPr>
            </w:pPr>
            <w:r>
              <w:rPr>
                <w:rFonts w:ascii="Arial" w:cs="Arial" w:eastAsia="Arial" w:hAnsi="Arial"/>
                <w:sz w:val="20"/>
                <w:szCs w:val="20"/>
                <w:color w:val="auto"/>
              </w:rPr>
              <w:t>performance rating for the three-year</w:t>
            </w:r>
          </w:p>
        </w:tc>
        <w:tc>
          <w:tcPr>
            <w:tcW w:w="4480" w:type="dxa"/>
            <w:vAlign w:val="bottom"/>
            <w:vMerge w:val="continue"/>
            <w:shd w:val="clear" w:color="auto" w:fill="EBE6F0"/>
          </w:tcPr>
          <w:p>
            <w:pPr>
              <w:spacing w:after="0"/>
              <w:rPr>
                <w:sz w:val="9"/>
                <w:szCs w:val="9"/>
                <w:color w:val="auto"/>
              </w:rPr>
            </w:pPr>
          </w:p>
        </w:tc>
        <w:tc>
          <w:tcPr>
            <w:tcW w:w="20" w:type="dxa"/>
            <w:vAlign w:val="bottom"/>
            <w:shd w:val="clear" w:color="auto" w:fill="EBE6F0"/>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20" w:type="dxa"/>
            <w:vAlign w:val="bottom"/>
            <w:shd w:val="clear" w:color="auto" w:fill="EBE6F0"/>
          </w:tcPr>
          <w:p>
            <w:pPr>
              <w:spacing w:after="0"/>
              <w:rPr>
                <w:sz w:val="9"/>
                <w:szCs w:val="9"/>
                <w:color w:val="auto"/>
              </w:rPr>
            </w:pPr>
          </w:p>
        </w:tc>
        <w:tc>
          <w:tcPr>
            <w:tcW w:w="1150" w:type="dxa"/>
            <w:vAlign w:val="bottom"/>
            <w:shd w:val="clear" w:color="auto" w:fill="EBE6F0"/>
          </w:tcPr>
          <w:p>
            <w:pPr>
              <w:spacing w:after="0"/>
              <w:rPr>
                <w:sz w:val="9"/>
                <w:szCs w:val="9"/>
                <w:color w:val="auto"/>
              </w:rPr>
            </w:pPr>
          </w:p>
        </w:tc>
        <w:tc>
          <w:tcPr>
            <w:tcW w:w="4490" w:type="dxa"/>
            <w:vAlign w:val="bottom"/>
            <w:vMerge w:val="continue"/>
            <w:shd w:val="clear" w:color="auto" w:fill="EBE6F0"/>
          </w:tcPr>
          <w:p>
            <w:pPr>
              <w:spacing w:after="0"/>
              <w:rPr>
                <w:sz w:val="9"/>
                <w:szCs w:val="9"/>
                <w:color w:val="auto"/>
              </w:rPr>
            </w:pPr>
          </w:p>
        </w:tc>
        <w:tc>
          <w:tcPr>
            <w:tcW w:w="4480" w:type="dxa"/>
            <w:vAlign w:val="bottom"/>
            <w:vMerge w:val="restart"/>
            <w:shd w:val="clear" w:color="auto" w:fill="EBE6F0"/>
          </w:tcPr>
          <w:p>
            <w:pPr>
              <w:ind w:left="8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Stock ownership</w:t>
            </w:r>
          </w:p>
        </w:tc>
        <w:tc>
          <w:tcPr>
            <w:tcW w:w="20" w:type="dxa"/>
            <w:vAlign w:val="bottom"/>
            <w:shd w:val="clear" w:color="auto" w:fill="EBE6F0"/>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120" w:type="dxa"/>
            <w:vAlign w:val="bottom"/>
            <w:shd w:val="clear" w:color="auto" w:fill="EBE6F0"/>
          </w:tcPr>
          <w:p>
            <w:pPr>
              <w:spacing w:after="0"/>
              <w:rPr>
                <w:sz w:val="13"/>
                <w:szCs w:val="13"/>
                <w:color w:val="auto"/>
              </w:rPr>
            </w:pPr>
          </w:p>
        </w:tc>
        <w:tc>
          <w:tcPr>
            <w:tcW w:w="1150" w:type="dxa"/>
            <w:vAlign w:val="bottom"/>
            <w:shd w:val="clear" w:color="auto" w:fill="EBE6F0"/>
          </w:tcPr>
          <w:p>
            <w:pPr>
              <w:spacing w:after="0"/>
              <w:rPr>
                <w:sz w:val="13"/>
                <w:szCs w:val="13"/>
                <w:color w:val="auto"/>
              </w:rPr>
            </w:pPr>
          </w:p>
        </w:tc>
        <w:tc>
          <w:tcPr>
            <w:tcW w:w="4490" w:type="dxa"/>
            <w:vAlign w:val="bottom"/>
            <w:vMerge w:val="restart"/>
            <w:shd w:val="clear" w:color="auto" w:fill="EBE6F0"/>
          </w:tcPr>
          <w:p>
            <w:pPr>
              <w:ind w:left="210"/>
              <w:spacing w:after="0"/>
              <w:rPr>
                <w:sz w:val="20"/>
                <w:szCs w:val="20"/>
                <w:color w:val="auto"/>
              </w:rPr>
            </w:pPr>
            <w:r>
              <w:rPr>
                <w:rFonts w:ascii="Arial" w:cs="Arial" w:eastAsia="Arial" w:hAnsi="Arial"/>
                <w:sz w:val="20"/>
                <w:szCs w:val="20"/>
                <w:color w:val="auto"/>
              </w:rPr>
              <w:t>performance cycle</w:t>
            </w:r>
          </w:p>
        </w:tc>
        <w:tc>
          <w:tcPr>
            <w:tcW w:w="4480" w:type="dxa"/>
            <w:vAlign w:val="bottom"/>
            <w:vMerge w:val="continue"/>
            <w:shd w:val="clear" w:color="auto" w:fill="EBE6F0"/>
          </w:tcPr>
          <w:p>
            <w:pPr>
              <w:spacing w:after="0"/>
              <w:rPr>
                <w:sz w:val="13"/>
                <w:szCs w:val="13"/>
                <w:color w:val="auto"/>
              </w:rPr>
            </w:pPr>
          </w:p>
        </w:tc>
        <w:tc>
          <w:tcPr>
            <w:tcW w:w="20" w:type="dxa"/>
            <w:vAlign w:val="bottom"/>
            <w:shd w:val="clear" w:color="auto" w:fill="EBE6F0"/>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120" w:type="dxa"/>
            <w:vAlign w:val="bottom"/>
            <w:shd w:val="clear" w:color="auto" w:fill="EBE6F0"/>
          </w:tcPr>
          <w:p>
            <w:pPr>
              <w:spacing w:after="0"/>
              <w:rPr>
                <w:sz w:val="9"/>
                <w:szCs w:val="9"/>
                <w:color w:val="auto"/>
              </w:rPr>
            </w:pPr>
          </w:p>
        </w:tc>
        <w:tc>
          <w:tcPr>
            <w:tcW w:w="1150" w:type="dxa"/>
            <w:vAlign w:val="bottom"/>
            <w:shd w:val="clear" w:color="auto" w:fill="EBE6F0"/>
          </w:tcPr>
          <w:p>
            <w:pPr>
              <w:spacing w:after="0"/>
              <w:rPr>
                <w:sz w:val="9"/>
                <w:szCs w:val="9"/>
                <w:color w:val="auto"/>
              </w:rPr>
            </w:pPr>
          </w:p>
        </w:tc>
        <w:tc>
          <w:tcPr>
            <w:tcW w:w="4490" w:type="dxa"/>
            <w:vAlign w:val="bottom"/>
            <w:vMerge w:val="continue"/>
            <w:shd w:val="clear" w:color="auto" w:fill="EBE6F0"/>
          </w:tcPr>
          <w:p>
            <w:pPr>
              <w:spacing w:after="0"/>
              <w:rPr>
                <w:sz w:val="9"/>
                <w:szCs w:val="9"/>
                <w:color w:val="auto"/>
              </w:rPr>
            </w:pPr>
          </w:p>
        </w:tc>
        <w:tc>
          <w:tcPr>
            <w:tcW w:w="4480" w:type="dxa"/>
            <w:vAlign w:val="bottom"/>
            <w:shd w:val="clear" w:color="auto" w:fill="EBE6F0"/>
          </w:tcPr>
          <w:p>
            <w:pPr>
              <w:spacing w:after="0"/>
              <w:rPr>
                <w:sz w:val="9"/>
                <w:szCs w:val="9"/>
                <w:color w:val="auto"/>
              </w:rPr>
            </w:pPr>
          </w:p>
        </w:tc>
        <w:tc>
          <w:tcPr>
            <w:tcW w:w="20" w:type="dxa"/>
            <w:vAlign w:val="bottom"/>
            <w:shd w:val="clear" w:color="auto" w:fill="EBE6F0"/>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1120" w:type="dxa"/>
            <w:vAlign w:val="bottom"/>
            <w:shd w:val="clear" w:color="auto" w:fill="EBE6F0"/>
          </w:tcPr>
          <w:p>
            <w:pPr>
              <w:spacing w:after="0"/>
              <w:rPr>
                <w:sz w:val="22"/>
                <w:szCs w:val="22"/>
                <w:color w:val="auto"/>
              </w:rPr>
            </w:pPr>
          </w:p>
        </w:tc>
        <w:tc>
          <w:tcPr>
            <w:tcW w:w="1150" w:type="dxa"/>
            <w:vAlign w:val="bottom"/>
            <w:shd w:val="clear" w:color="auto" w:fill="EBE6F0"/>
          </w:tcPr>
          <w:p>
            <w:pPr>
              <w:spacing w:after="0"/>
              <w:rPr>
                <w:sz w:val="22"/>
                <w:szCs w:val="22"/>
                <w:color w:val="auto"/>
              </w:rPr>
            </w:pPr>
          </w:p>
        </w:tc>
        <w:tc>
          <w:tcPr>
            <w:tcW w:w="449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3-year cliff vest</w:t>
            </w:r>
          </w:p>
        </w:tc>
        <w:tc>
          <w:tcPr>
            <w:tcW w:w="4480" w:type="dxa"/>
            <w:vAlign w:val="bottom"/>
            <w:shd w:val="clear" w:color="auto" w:fill="EBE6F0"/>
          </w:tcPr>
          <w:p>
            <w:pPr>
              <w:spacing w:after="0"/>
              <w:rPr>
                <w:sz w:val="22"/>
                <w:szCs w:val="22"/>
                <w:color w:val="auto"/>
              </w:rPr>
            </w:pPr>
          </w:p>
        </w:tc>
        <w:tc>
          <w:tcPr>
            <w:tcW w:w="2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1120" w:type="dxa"/>
            <w:vAlign w:val="bottom"/>
            <w:tcBorders>
              <w:bottom w:val="single" w:sz="8" w:color="EBE6F0"/>
            </w:tcBorders>
            <w:shd w:val="clear" w:color="auto" w:fill="EBE6F0"/>
          </w:tcPr>
          <w:p>
            <w:pPr>
              <w:spacing w:after="0"/>
              <w:rPr>
                <w:sz w:val="24"/>
                <w:szCs w:val="24"/>
                <w:color w:val="auto"/>
              </w:rPr>
            </w:pPr>
          </w:p>
        </w:tc>
        <w:tc>
          <w:tcPr>
            <w:tcW w:w="1150" w:type="dxa"/>
            <w:vAlign w:val="bottom"/>
            <w:tcBorders>
              <w:bottom w:val="single" w:sz="8" w:color="EBE6F0"/>
            </w:tcBorders>
            <w:shd w:val="clear" w:color="auto" w:fill="EBE6F0"/>
          </w:tcPr>
          <w:p>
            <w:pPr>
              <w:spacing w:after="0"/>
              <w:rPr>
                <w:sz w:val="24"/>
                <w:szCs w:val="24"/>
                <w:color w:val="auto"/>
              </w:rPr>
            </w:pPr>
          </w:p>
        </w:tc>
        <w:tc>
          <w:tcPr>
            <w:tcW w:w="4490" w:type="dxa"/>
            <w:vAlign w:val="bottom"/>
            <w:tcBorders>
              <w:bottom w:val="single" w:sz="8" w:color="EBE6F0"/>
            </w:tcBorders>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1-year holding requirement after vesting</w:t>
            </w:r>
          </w:p>
        </w:tc>
        <w:tc>
          <w:tcPr>
            <w:tcW w:w="4480" w:type="dxa"/>
            <w:vAlign w:val="bottom"/>
            <w:tcBorders>
              <w:bottom w:val="single" w:sz="8" w:color="EBE6F0"/>
            </w:tcBorders>
            <w:shd w:val="clear" w:color="auto" w:fill="EBE6F0"/>
          </w:tcPr>
          <w:p>
            <w:pPr>
              <w:spacing w:after="0"/>
              <w:rPr>
                <w:sz w:val="24"/>
                <w:szCs w:val="24"/>
                <w:color w:val="auto"/>
              </w:rPr>
            </w:pPr>
          </w:p>
        </w:tc>
        <w:tc>
          <w:tcPr>
            <w:tcW w:w="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120" w:type="dxa"/>
            <w:vAlign w:val="bottom"/>
          </w:tcPr>
          <w:p>
            <w:pPr>
              <w:ind w:left="80"/>
              <w:spacing w:after="0"/>
              <w:rPr>
                <w:sz w:val="20"/>
                <w:szCs w:val="20"/>
                <w:color w:val="auto"/>
              </w:rPr>
            </w:pPr>
            <w:r>
              <w:rPr>
                <w:rFonts w:ascii="Arial" w:cs="Arial" w:eastAsia="Arial" w:hAnsi="Arial"/>
                <w:sz w:val="20"/>
                <w:szCs w:val="20"/>
                <w:color w:val="auto"/>
              </w:rPr>
              <w:t>Stock</w:t>
            </w:r>
          </w:p>
        </w:tc>
        <w:tc>
          <w:tcPr>
            <w:tcW w:w="1150" w:type="dxa"/>
            <w:vAlign w:val="bottom"/>
          </w:tcPr>
          <w:p>
            <w:pPr>
              <w:jc w:val="center"/>
              <w:spacing w:after="0"/>
              <w:rPr>
                <w:sz w:val="20"/>
                <w:szCs w:val="20"/>
                <w:color w:val="auto"/>
              </w:rPr>
            </w:pPr>
            <w:r>
              <w:rPr>
                <w:rFonts w:ascii="Arial" w:cs="Arial" w:eastAsia="Arial" w:hAnsi="Arial"/>
                <w:sz w:val="20"/>
                <w:szCs w:val="20"/>
                <w:color w:val="auto"/>
                <w:w w:val="99"/>
              </w:rPr>
              <w:t>25%</w:t>
            </w:r>
          </w:p>
        </w:tc>
        <w:tc>
          <w:tcPr>
            <w:tcW w:w="4490" w:type="dxa"/>
            <w:vAlign w:val="bottom"/>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3-year ratable vest</w:t>
            </w:r>
          </w:p>
        </w:tc>
        <w:tc>
          <w:tcPr>
            <w:tcW w:w="4480" w:type="dxa"/>
            <w:vAlign w:val="bottom"/>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Aligns long-term interests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20" w:type="dxa"/>
            <w:vAlign w:val="bottom"/>
          </w:tcPr>
          <w:p>
            <w:pPr>
              <w:ind w:left="80"/>
              <w:spacing w:after="0"/>
              <w:rPr>
                <w:sz w:val="20"/>
                <w:szCs w:val="20"/>
                <w:color w:val="auto"/>
              </w:rPr>
            </w:pPr>
            <w:r>
              <w:rPr>
                <w:rFonts w:ascii="Arial" w:cs="Arial" w:eastAsia="Arial" w:hAnsi="Arial"/>
                <w:sz w:val="20"/>
                <w:szCs w:val="20"/>
                <w:color w:val="auto"/>
              </w:rPr>
              <w:t>Options</w:t>
            </w:r>
          </w:p>
        </w:tc>
        <w:tc>
          <w:tcPr>
            <w:tcW w:w="1150" w:type="dxa"/>
            <w:vAlign w:val="bottom"/>
          </w:tcPr>
          <w:p>
            <w:pPr>
              <w:spacing w:after="0"/>
              <w:rPr>
                <w:sz w:val="24"/>
                <w:szCs w:val="24"/>
                <w:color w:val="auto"/>
              </w:rPr>
            </w:pPr>
          </w:p>
        </w:tc>
        <w:tc>
          <w:tcPr>
            <w:tcW w:w="4490" w:type="dxa"/>
            <w:vAlign w:val="bottom"/>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10-year term</w:t>
            </w:r>
          </w:p>
        </w:tc>
        <w:tc>
          <w:tcPr>
            <w:tcW w:w="4480" w:type="dxa"/>
            <w:vAlign w:val="bottom"/>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Pay for performance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120" w:type="dxa"/>
            <w:vAlign w:val="bottom"/>
          </w:tcPr>
          <w:p>
            <w:pPr>
              <w:spacing w:after="0"/>
              <w:rPr>
                <w:sz w:val="22"/>
                <w:szCs w:val="22"/>
                <w:color w:val="auto"/>
              </w:rPr>
            </w:pPr>
          </w:p>
        </w:tc>
        <w:tc>
          <w:tcPr>
            <w:tcW w:w="1150" w:type="dxa"/>
            <w:vAlign w:val="bottom"/>
          </w:tcPr>
          <w:p>
            <w:pPr>
              <w:spacing w:after="0"/>
              <w:rPr>
                <w:sz w:val="22"/>
                <w:szCs w:val="22"/>
                <w:color w:val="auto"/>
              </w:rPr>
            </w:pPr>
          </w:p>
        </w:tc>
        <w:tc>
          <w:tcPr>
            <w:tcW w:w="4490" w:type="dxa"/>
            <w:vAlign w:val="bottom"/>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1-year holding requirement post exercise</w:t>
            </w:r>
          </w:p>
        </w:tc>
        <w:tc>
          <w:tcPr>
            <w:tcW w:w="4480" w:type="dxa"/>
            <w:vAlign w:val="bottom"/>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Retention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1150" w:type="dxa"/>
            <w:vAlign w:val="bottom"/>
          </w:tcPr>
          <w:p>
            <w:pPr>
              <w:spacing w:after="0"/>
              <w:rPr>
                <w:sz w:val="22"/>
                <w:szCs w:val="22"/>
                <w:color w:val="auto"/>
              </w:rPr>
            </w:pPr>
          </w:p>
        </w:tc>
        <w:tc>
          <w:tcPr>
            <w:tcW w:w="4490" w:type="dxa"/>
            <w:vAlign w:val="bottom"/>
          </w:tcPr>
          <w:p>
            <w:pPr>
              <w:spacing w:after="0"/>
              <w:rPr>
                <w:sz w:val="22"/>
                <w:szCs w:val="22"/>
                <w:color w:val="auto"/>
              </w:rPr>
            </w:pPr>
          </w:p>
        </w:tc>
        <w:tc>
          <w:tcPr>
            <w:tcW w:w="4480" w:type="dxa"/>
            <w:vAlign w:val="bottom"/>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Stock ownership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1120" w:type="dxa"/>
            <w:vAlign w:val="bottom"/>
            <w:tcBorders>
              <w:bottom w:val="single" w:sz="8" w:color="582C83"/>
            </w:tcBorders>
          </w:tcPr>
          <w:p>
            <w:pPr>
              <w:spacing w:after="0"/>
              <w:rPr>
                <w:sz w:val="3"/>
                <w:szCs w:val="3"/>
                <w:color w:val="auto"/>
              </w:rPr>
            </w:pPr>
          </w:p>
        </w:tc>
        <w:tc>
          <w:tcPr>
            <w:tcW w:w="1150" w:type="dxa"/>
            <w:vAlign w:val="bottom"/>
            <w:tcBorders>
              <w:bottom w:val="single" w:sz="8" w:color="582C83"/>
            </w:tcBorders>
          </w:tcPr>
          <w:p>
            <w:pPr>
              <w:spacing w:after="0"/>
              <w:rPr>
                <w:sz w:val="3"/>
                <w:szCs w:val="3"/>
                <w:color w:val="auto"/>
              </w:rPr>
            </w:pPr>
          </w:p>
        </w:tc>
        <w:tc>
          <w:tcPr>
            <w:tcW w:w="4490" w:type="dxa"/>
            <w:vAlign w:val="bottom"/>
            <w:tcBorders>
              <w:bottom w:val="single" w:sz="8" w:color="582C83"/>
            </w:tcBorders>
          </w:tcPr>
          <w:p>
            <w:pPr>
              <w:spacing w:after="0"/>
              <w:rPr>
                <w:sz w:val="3"/>
                <w:szCs w:val="3"/>
                <w:color w:val="auto"/>
              </w:rPr>
            </w:pPr>
          </w:p>
        </w:tc>
        <w:tc>
          <w:tcPr>
            <w:tcW w:w="448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7143115"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9061"/>
        <w:spacing w:after="0"/>
        <w:rPr>
          <w:sz w:val="20"/>
          <w:szCs w:val="20"/>
          <w:color w:val="auto"/>
        </w:rPr>
      </w:pPr>
      <w:r>
        <w:rPr>
          <w:rFonts w:ascii="Arial" w:cs="Arial" w:eastAsia="Arial" w:hAnsi="Arial"/>
          <w:sz w:val="15"/>
          <w:szCs w:val="15"/>
          <w:b w:val="1"/>
          <w:bCs w:val="1"/>
          <w:color w:val="58358F"/>
        </w:rPr>
        <w:t>2023 PROXY STATEMENT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1"/>
          </w:cols>
          <w:pgMar w:left="319" w:top="132" w:right="319" w:bottom="1440" w:gutter="0" w:footer="0" w:header="0"/>
        </w:sectPr>
      </w:pPr>
    </w:p>
    <w:bookmarkStart w:id="83" w:name="page84"/>
    <w:bookmarkEnd w:id="83"/>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Annual Equity Grants to NEOs</w:t>
      </w:r>
    </w:p>
    <w:p>
      <w:pPr>
        <w:spacing w:after="0" w:line="56"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The table below shows the 2022 annual equity grants to our NEOs. In determining each grant, the People and Compensation Committee considered each executive’s level of responsibility, individual and Company performance, external market positioning and recommendations from the CEO, other than himself.</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299"/>
        </w:trPr>
        <w:tc>
          <w:tcPr>
            <w:tcW w:w="5880" w:type="dxa"/>
            <w:vAlign w:val="bottom"/>
          </w:tcPr>
          <w:p>
            <w:pPr>
              <w:spacing w:after="0"/>
              <w:rPr>
                <w:sz w:val="24"/>
                <w:szCs w:val="24"/>
                <w:color w:val="auto"/>
              </w:rPr>
            </w:pPr>
          </w:p>
        </w:tc>
        <w:tc>
          <w:tcPr>
            <w:tcW w:w="780" w:type="dxa"/>
            <w:vAlign w:val="bottom"/>
            <w:tcBorders>
              <w:bottom w:val="single" w:sz="8" w:color="582C83"/>
            </w:tcBorders>
          </w:tcPr>
          <w:p>
            <w:pPr>
              <w:spacing w:after="0"/>
              <w:rPr>
                <w:sz w:val="24"/>
                <w:szCs w:val="24"/>
                <w:color w:val="auto"/>
              </w:rPr>
            </w:pPr>
          </w:p>
        </w:tc>
        <w:tc>
          <w:tcPr>
            <w:tcW w:w="740" w:type="dxa"/>
            <w:vAlign w:val="bottom"/>
            <w:tcBorders>
              <w:bottom w:val="single" w:sz="8" w:color="582C83"/>
            </w:tcBorders>
          </w:tcPr>
          <w:p>
            <w:pPr>
              <w:spacing w:after="0"/>
              <w:rPr>
                <w:sz w:val="24"/>
                <w:szCs w:val="24"/>
                <w:color w:val="auto"/>
              </w:rPr>
            </w:pPr>
          </w:p>
        </w:tc>
        <w:tc>
          <w:tcPr>
            <w:tcW w:w="3860" w:type="dxa"/>
            <w:vAlign w:val="bottom"/>
            <w:tcBorders>
              <w:bottom w:val="single" w:sz="8" w:color="582C83"/>
            </w:tcBorders>
            <w:gridSpan w:val="4"/>
          </w:tcPr>
          <w:p>
            <w:pPr>
              <w:jc w:val="right"/>
              <w:ind w:right="1522"/>
              <w:spacing w:after="0"/>
              <w:rPr>
                <w:sz w:val="20"/>
                <w:szCs w:val="20"/>
                <w:color w:val="auto"/>
              </w:rPr>
            </w:pPr>
            <w:r>
              <w:rPr>
                <w:rFonts w:ascii="Arial" w:cs="Arial" w:eastAsia="Arial" w:hAnsi="Arial"/>
                <w:sz w:val="16"/>
                <w:szCs w:val="16"/>
                <w:b w:val="1"/>
                <w:bCs w:val="1"/>
                <w:color w:val="auto"/>
                <w:w w:val="99"/>
              </w:rPr>
              <w:t>2022 Annual Equity Grants</w:t>
            </w:r>
            <w:r>
              <w:rPr>
                <w:rFonts w:ascii="Arial" w:cs="Arial" w:eastAsia="Arial" w:hAnsi="Arial"/>
                <w:sz w:val="26"/>
                <w:szCs w:val="26"/>
                <w:b w:val="1"/>
                <w:bCs w:val="1"/>
                <w:color w:val="auto"/>
                <w:w w:val="99"/>
                <w:vertAlign w:val="superscript"/>
              </w:rPr>
              <w:t>(1)</w:t>
            </w:r>
          </w:p>
        </w:tc>
      </w:tr>
      <w:tr>
        <w:trPr>
          <w:trHeight w:val="216"/>
        </w:trPr>
        <w:tc>
          <w:tcPr>
            <w:tcW w:w="5880" w:type="dxa"/>
            <w:vAlign w:val="bottom"/>
          </w:tcPr>
          <w:p>
            <w:pPr>
              <w:spacing w:after="0"/>
              <w:rPr>
                <w:sz w:val="18"/>
                <w:szCs w:val="18"/>
                <w:color w:val="auto"/>
              </w:rPr>
            </w:pPr>
          </w:p>
        </w:tc>
        <w:tc>
          <w:tcPr>
            <w:tcW w:w="780" w:type="dxa"/>
            <w:vAlign w:val="bottom"/>
            <w:tcBorders>
              <w:bottom w:val="single" w:sz="8" w:color="582C83"/>
            </w:tcBorders>
          </w:tcPr>
          <w:p>
            <w:pPr>
              <w:spacing w:after="0"/>
              <w:rPr>
                <w:sz w:val="18"/>
                <w:szCs w:val="18"/>
                <w:color w:val="auto"/>
              </w:rPr>
            </w:pPr>
          </w:p>
        </w:tc>
        <w:tc>
          <w:tcPr>
            <w:tcW w:w="740" w:type="dxa"/>
            <w:vAlign w:val="bottom"/>
            <w:tcBorders>
              <w:bottom w:val="single" w:sz="8" w:color="582C83"/>
            </w:tcBorders>
          </w:tcPr>
          <w:p>
            <w:pPr>
              <w:ind w:left="280"/>
              <w:spacing w:after="0"/>
              <w:rPr>
                <w:sz w:val="20"/>
                <w:szCs w:val="20"/>
                <w:color w:val="auto"/>
              </w:rPr>
            </w:pPr>
            <w:r>
              <w:rPr>
                <w:rFonts w:ascii="Arial" w:cs="Arial" w:eastAsia="Arial" w:hAnsi="Arial"/>
                <w:sz w:val="16"/>
                <w:szCs w:val="16"/>
                <w:b w:val="1"/>
                <w:bCs w:val="1"/>
                <w:color w:val="auto"/>
              </w:rPr>
              <w:t>PSUs</w:t>
            </w:r>
          </w:p>
        </w:tc>
        <w:tc>
          <w:tcPr>
            <w:tcW w:w="1060" w:type="dxa"/>
            <w:vAlign w:val="bottom"/>
            <w:tcBorders>
              <w:bottom w:val="single" w:sz="8" w:color="582C83"/>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bottom w:val="single" w:sz="8" w:color="582C83"/>
            </w:tcBorders>
          </w:tcPr>
          <w:p>
            <w:pPr>
              <w:spacing w:after="0"/>
              <w:rPr>
                <w:sz w:val="18"/>
                <w:szCs w:val="18"/>
                <w:color w:val="auto"/>
              </w:rPr>
            </w:pPr>
          </w:p>
        </w:tc>
        <w:tc>
          <w:tcPr>
            <w:tcW w:w="1780" w:type="dxa"/>
            <w:vAlign w:val="bottom"/>
            <w:tcBorders>
              <w:bottom w:val="single" w:sz="8" w:color="582C83"/>
            </w:tcBorders>
          </w:tcPr>
          <w:p>
            <w:pPr>
              <w:jc w:val="right"/>
              <w:ind w:right="662"/>
              <w:spacing w:after="0"/>
              <w:rPr>
                <w:sz w:val="20"/>
                <w:szCs w:val="20"/>
                <w:color w:val="auto"/>
              </w:rPr>
            </w:pPr>
            <w:r>
              <w:rPr>
                <w:rFonts w:ascii="Arial" w:cs="Arial" w:eastAsia="Arial" w:hAnsi="Arial"/>
                <w:sz w:val="16"/>
                <w:szCs w:val="16"/>
                <w:b w:val="1"/>
                <w:bCs w:val="1"/>
                <w:color w:val="auto"/>
                <w:w w:val="93"/>
              </w:rPr>
              <w:t>Stock Options</w:t>
            </w:r>
          </w:p>
        </w:tc>
      </w:tr>
      <w:tr>
        <w:trPr>
          <w:trHeight w:val="270"/>
        </w:trPr>
        <w:tc>
          <w:tcPr>
            <w:tcW w:w="588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Name</w:t>
            </w:r>
          </w:p>
        </w:tc>
        <w:tc>
          <w:tcPr>
            <w:tcW w:w="7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582C83"/>
            </w:tcBorders>
          </w:tcPr>
          <w:p>
            <w:pPr>
              <w:spacing w:after="0"/>
              <w:rPr>
                <w:sz w:val="23"/>
                <w:szCs w:val="23"/>
                <w:color w:val="auto"/>
              </w:rPr>
            </w:pPr>
          </w:p>
        </w:tc>
        <w:tc>
          <w:tcPr>
            <w:tcW w:w="1060" w:type="dxa"/>
            <w:vAlign w:val="bottom"/>
            <w:tcBorders>
              <w:bottom w:val="single" w:sz="8" w:color="582C83"/>
            </w:tcBorders>
          </w:tcPr>
          <w:p>
            <w:pPr>
              <w:jc w:val="right"/>
              <w:spacing w:after="0" w:line="253"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b w:val="1"/>
                <w:bCs w:val="1"/>
                <w:color w:val="auto"/>
              </w:rPr>
              <w:t>(2)</w:t>
            </w:r>
          </w:p>
        </w:tc>
        <w:tc>
          <w:tcPr>
            <w:tcW w:w="240" w:type="dxa"/>
            <w:vAlign w:val="bottom"/>
            <w:tcBorders>
              <w:bottom w:val="single" w:sz="8" w:color="582C83"/>
            </w:tcBorders>
          </w:tcPr>
          <w:p>
            <w:pPr>
              <w:spacing w:after="0"/>
              <w:rPr>
                <w:sz w:val="23"/>
                <w:szCs w:val="23"/>
                <w:color w:val="auto"/>
              </w:rPr>
            </w:pPr>
          </w:p>
        </w:tc>
        <w:tc>
          <w:tcPr>
            <w:tcW w:w="7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582C83"/>
            </w:tcBorders>
          </w:tcPr>
          <w:p>
            <w:pPr>
              <w:jc w:val="right"/>
              <w:ind w:right="2"/>
              <w:spacing w:after="0" w:line="253"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b w:val="1"/>
                <w:bCs w:val="1"/>
                <w:color w:val="auto"/>
              </w:rPr>
              <w:t>(2)</w:t>
            </w:r>
          </w:p>
        </w:tc>
      </w:tr>
      <w:tr>
        <w:trPr>
          <w:trHeight w:val="266"/>
        </w:trPr>
        <w:tc>
          <w:tcPr>
            <w:tcW w:w="588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Mr. Van de Put</w:t>
            </w: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139,220</w:t>
            </w:r>
          </w:p>
        </w:tc>
        <w:tc>
          <w:tcPr>
            <w:tcW w:w="740" w:type="dxa"/>
            <w:vAlign w:val="bottom"/>
            <w:tcBorders>
              <w:bottom w:val="single" w:sz="8" w:color="EBE6F0"/>
            </w:tcBorders>
            <w:shd w:val="clear" w:color="auto" w:fill="EBE6F0"/>
          </w:tcPr>
          <w:p>
            <w:pPr>
              <w:spacing w:after="0"/>
              <w:rPr>
                <w:sz w:val="22"/>
                <w:szCs w:val="22"/>
                <w:color w:val="auto"/>
              </w:rPr>
            </w:pPr>
          </w:p>
        </w:tc>
        <w:tc>
          <w:tcPr>
            <w:tcW w:w="10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9,000,000</w:t>
            </w:r>
          </w:p>
        </w:tc>
        <w:tc>
          <w:tcPr>
            <w:tcW w:w="240" w:type="dxa"/>
            <w:vAlign w:val="bottom"/>
            <w:tcBorders>
              <w:bottom w:val="single" w:sz="8" w:color="EBE6F0"/>
              <w:right w:val="single" w:sz="8" w:color="EBE6F0"/>
            </w:tcBorders>
            <w:shd w:val="clear" w:color="auto" w:fill="EBE6F0"/>
          </w:tcPr>
          <w:p>
            <w:pPr>
              <w:spacing w:after="0"/>
              <w:rPr>
                <w:sz w:val="22"/>
                <w:szCs w:val="22"/>
                <w:color w:val="auto"/>
              </w:rPr>
            </w:pPr>
          </w:p>
        </w:tc>
        <w:tc>
          <w:tcPr>
            <w:tcW w:w="7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232,020</w:t>
            </w:r>
          </w:p>
        </w:tc>
        <w:tc>
          <w:tcPr>
            <w:tcW w:w="1780" w:type="dxa"/>
            <w:vAlign w:val="bottom"/>
            <w:tcBorders>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3,000,000</w:t>
            </w:r>
          </w:p>
        </w:tc>
      </w:tr>
      <w:tr>
        <w:trPr>
          <w:trHeight w:val="231"/>
        </w:trPr>
        <w:tc>
          <w:tcPr>
            <w:tcW w:w="588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Mr. Zaramella</w:t>
            </w:r>
          </w:p>
        </w:tc>
        <w:tc>
          <w:tcPr>
            <w:tcW w:w="7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46,410</w:t>
            </w:r>
          </w:p>
        </w:tc>
        <w:tc>
          <w:tcPr>
            <w:tcW w:w="740" w:type="dxa"/>
            <w:vAlign w:val="bottom"/>
            <w:tcBorders>
              <w:top w:val="single" w:sz="8" w:color="582C83"/>
            </w:tcBorders>
          </w:tcPr>
          <w:p>
            <w:pPr>
              <w:spacing w:after="0"/>
              <w:rPr>
                <w:sz w:val="20"/>
                <w:szCs w:val="20"/>
                <w:color w:val="auto"/>
              </w:rPr>
            </w:pPr>
          </w:p>
        </w:tc>
        <w:tc>
          <w:tcPr>
            <w:tcW w:w="10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3,000,000</w:t>
            </w:r>
          </w:p>
        </w:tc>
        <w:tc>
          <w:tcPr>
            <w:tcW w:w="240" w:type="dxa"/>
            <w:vAlign w:val="bottom"/>
            <w:tcBorders>
              <w:top w:val="single" w:sz="8" w:color="582C83"/>
            </w:tcBorders>
          </w:tcPr>
          <w:p>
            <w:pPr>
              <w:spacing w:after="0"/>
              <w:rPr>
                <w:sz w:val="20"/>
                <w:szCs w:val="20"/>
                <w:color w:val="auto"/>
              </w:rPr>
            </w:pPr>
          </w:p>
        </w:tc>
        <w:tc>
          <w:tcPr>
            <w:tcW w:w="7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77,340</w:t>
            </w:r>
          </w:p>
        </w:tc>
        <w:tc>
          <w:tcPr>
            <w:tcW w:w="1780" w:type="dxa"/>
            <w:vAlign w:val="bottom"/>
            <w:tcBorders>
              <w:top w:val="single" w:sz="8" w:color="582C83"/>
            </w:tcBorders>
          </w:tcPr>
          <w:p>
            <w:pPr>
              <w:jc w:val="right"/>
              <w:ind w:right="2"/>
              <w:spacing w:after="0"/>
              <w:rPr>
                <w:sz w:val="20"/>
                <w:szCs w:val="20"/>
                <w:color w:val="auto"/>
              </w:rPr>
            </w:pPr>
            <w:r>
              <w:rPr>
                <w:rFonts w:ascii="Arial" w:cs="Arial" w:eastAsia="Arial" w:hAnsi="Arial"/>
                <w:sz w:val="16"/>
                <w:szCs w:val="16"/>
                <w:color w:val="auto"/>
              </w:rPr>
              <w:t>1,000,000</w:t>
            </w:r>
          </w:p>
        </w:tc>
      </w:tr>
      <w:tr>
        <w:trPr>
          <w:trHeight w:val="23"/>
        </w:trPr>
        <w:tc>
          <w:tcPr>
            <w:tcW w:w="5880" w:type="dxa"/>
            <w:vAlign w:val="bottom"/>
            <w:tcBorders>
              <w:bottom w:val="single" w:sz="8" w:color="582C83"/>
            </w:tcBorders>
          </w:tcPr>
          <w:p>
            <w:pPr>
              <w:spacing w:after="0" w:line="20" w:lineRule="exact"/>
              <w:rPr>
                <w:sz w:val="1"/>
                <w:szCs w:val="1"/>
                <w:color w:val="auto"/>
              </w:rPr>
            </w:pPr>
          </w:p>
        </w:tc>
        <w:tc>
          <w:tcPr>
            <w:tcW w:w="780" w:type="dxa"/>
            <w:vAlign w:val="bottom"/>
            <w:tcBorders>
              <w:bottom w:val="single" w:sz="8" w:color="582C83"/>
            </w:tcBorders>
          </w:tcPr>
          <w:p>
            <w:pPr>
              <w:spacing w:after="0" w:line="20" w:lineRule="exact"/>
              <w:rPr>
                <w:sz w:val="1"/>
                <w:szCs w:val="1"/>
                <w:color w:val="auto"/>
              </w:rPr>
            </w:pPr>
          </w:p>
        </w:tc>
        <w:tc>
          <w:tcPr>
            <w:tcW w:w="740" w:type="dxa"/>
            <w:vAlign w:val="bottom"/>
            <w:tcBorders>
              <w:bottom w:val="single" w:sz="8" w:color="582C83"/>
            </w:tcBorders>
          </w:tcPr>
          <w:p>
            <w:pPr>
              <w:spacing w:after="0" w:line="20" w:lineRule="exact"/>
              <w:rPr>
                <w:sz w:val="1"/>
                <w:szCs w:val="1"/>
                <w:color w:val="auto"/>
              </w:rPr>
            </w:pPr>
          </w:p>
        </w:tc>
        <w:tc>
          <w:tcPr>
            <w:tcW w:w="1060" w:type="dxa"/>
            <w:vAlign w:val="bottom"/>
            <w:tcBorders>
              <w:bottom w:val="single" w:sz="8" w:color="582C83"/>
            </w:tcBorders>
          </w:tcPr>
          <w:p>
            <w:pPr>
              <w:spacing w:after="0" w:line="20" w:lineRule="exact"/>
              <w:rPr>
                <w:sz w:val="1"/>
                <w:szCs w:val="1"/>
                <w:color w:val="auto"/>
              </w:rPr>
            </w:pPr>
          </w:p>
        </w:tc>
        <w:tc>
          <w:tcPr>
            <w:tcW w:w="240" w:type="dxa"/>
            <w:vAlign w:val="bottom"/>
            <w:tcBorders>
              <w:bottom w:val="single" w:sz="8" w:color="582C83"/>
            </w:tcBorders>
          </w:tcPr>
          <w:p>
            <w:pPr>
              <w:spacing w:after="0" w:line="20" w:lineRule="exact"/>
              <w:rPr>
                <w:sz w:val="1"/>
                <w:szCs w:val="1"/>
                <w:color w:val="auto"/>
              </w:rPr>
            </w:pPr>
          </w:p>
        </w:tc>
        <w:tc>
          <w:tcPr>
            <w:tcW w:w="780" w:type="dxa"/>
            <w:vAlign w:val="bottom"/>
            <w:tcBorders>
              <w:bottom w:val="single" w:sz="8" w:color="582C83"/>
            </w:tcBorders>
          </w:tcPr>
          <w:p>
            <w:pPr>
              <w:spacing w:after="0" w:line="20" w:lineRule="exact"/>
              <w:rPr>
                <w:sz w:val="1"/>
                <w:szCs w:val="1"/>
                <w:color w:val="auto"/>
              </w:rPr>
            </w:pPr>
          </w:p>
        </w:tc>
        <w:tc>
          <w:tcPr>
            <w:tcW w:w="1780" w:type="dxa"/>
            <w:vAlign w:val="bottom"/>
            <w:tcBorders>
              <w:bottom w:val="single" w:sz="8" w:color="582C83"/>
            </w:tcBorders>
          </w:tcPr>
          <w:p>
            <w:pPr>
              <w:spacing w:after="0" w:line="20" w:lineRule="exact"/>
              <w:rPr>
                <w:sz w:val="1"/>
                <w:szCs w:val="1"/>
                <w:color w:val="auto"/>
              </w:rPr>
            </w:pPr>
          </w:p>
        </w:tc>
      </w:tr>
      <w:tr>
        <w:trPr>
          <w:trHeight w:val="258"/>
        </w:trPr>
        <w:tc>
          <w:tcPr>
            <w:tcW w:w="588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Mr. Brusadelli</w:t>
            </w: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32,490</w:t>
            </w:r>
          </w:p>
        </w:tc>
        <w:tc>
          <w:tcPr>
            <w:tcW w:w="740" w:type="dxa"/>
            <w:vAlign w:val="bottom"/>
            <w:tcBorders>
              <w:bottom w:val="single" w:sz="8" w:color="EBE6F0"/>
            </w:tcBorders>
            <w:shd w:val="clear" w:color="auto" w:fill="EBE6F0"/>
          </w:tcPr>
          <w:p>
            <w:pPr>
              <w:spacing w:after="0"/>
              <w:rPr>
                <w:sz w:val="22"/>
                <w:szCs w:val="22"/>
                <w:color w:val="auto"/>
              </w:rPr>
            </w:pPr>
          </w:p>
        </w:tc>
        <w:tc>
          <w:tcPr>
            <w:tcW w:w="10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2,100,000</w:t>
            </w:r>
          </w:p>
        </w:tc>
        <w:tc>
          <w:tcPr>
            <w:tcW w:w="240" w:type="dxa"/>
            <w:vAlign w:val="bottom"/>
            <w:tcBorders>
              <w:bottom w:val="single" w:sz="8" w:color="EBE6F0"/>
              <w:right w:val="single" w:sz="8" w:color="EBE6F0"/>
            </w:tcBorders>
            <w:shd w:val="clear" w:color="auto" w:fill="EBE6F0"/>
          </w:tcPr>
          <w:p>
            <w:pPr>
              <w:spacing w:after="0"/>
              <w:rPr>
                <w:sz w:val="22"/>
                <w:szCs w:val="22"/>
                <w:color w:val="auto"/>
              </w:rPr>
            </w:pPr>
          </w:p>
        </w:tc>
        <w:tc>
          <w:tcPr>
            <w:tcW w:w="7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54,140</w:t>
            </w:r>
          </w:p>
        </w:tc>
        <w:tc>
          <w:tcPr>
            <w:tcW w:w="1780" w:type="dxa"/>
            <w:vAlign w:val="bottom"/>
            <w:tcBorders>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700,000</w:t>
            </w:r>
          </w:p>
        </w:tc>
      </w:tr>
      <w:tr>
        <w:trPr>
          <w:trHeight w:val="231"/>
        </w:trPr>
        <w:tc>
          <w:tcPr>
            <w:tcW w:w="588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Mr. Gruber</w:t>
            </w:r>
          </w:p>
        </w:tc>
        <w:tc>
          <w:tcPr>
            <w:tcW w:w="7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32,490</w:t>
            </w:r>
          </w:p>
        </w:tc>
        <w:tc>
          <w:tcPr>
            <w:tcW w:w="740" w:type="dxa"/>
            <w:vAlign w:val="bottom"/>
            <w:tcBorders>
              <w:top w:val="single" w:sz="8" w:color="582C83"/>
            </w:tcBorders>
          </w:tcPr>
          <w:p>
            <w:pPr>
              <w:spacing w:after="0"/>
              <w:rPr>
                <w:sz w:val="20"/>
                <w:szCs w:val="20"/>
                <w:color w:val="auto"/>
              </w:rPr>
            </w:pPr>
          </w:p>
        </w:tc>
        <w:tc>
          <w:tcPr>
            <w:tcW w:w="10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2,100,000</w:t>
            </w:r>
          </w:p>
        </w:tc>
        <w:tc>
          <w:tcPr>
            <w:tcW w:w="240" w:type="dxa"/>
            <w:vAlign w:val="bottom"/>
            <w:tcBorders>
              <w:top w:val="single" w:sz="8" w:color="582C83"/>
            </w:tcBorders>
          </w:tcPr>
          <w:p>
            <w:pPr>
              <w:spacing w:after="0"/>
              <w:rPr>
                <w:sz w:val="20"/>
                <w:szCs w:val="20"/>
                <w:color w:val="auto"/>
              </w:rPr>
            </w:pPr>
          </w:p>
        </w:tc>
        <w:tc>
          <w:tcPr>
            <w:tcW w:w="7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54,140</w:t>
            </w:r>
          </w:p>
        </w:tc>
        <w:tc>
          <w:tcPr>
            <w:tcW w:w="1780" w:type="dxa"/>
            <w:vAlign w:val="bottom"/>
            <w:tcBorders>
              <w:top w:val="single" w:sz="8" w:color="582C83"/>
            </w:tcBorders>
          </w:tcPr>
          <w:p>
            <w:pPr>
              <w:jc w:val="right"/>
              <w:ind w:right="2"/>
              <w:spacing w:after="0"/>
              <w:rPr>
                <w:sz w:val="20"/>
                <w:szCs w:val="20"/>
                <w:color w:val="auto"/>
              </w:rPr>
            </w:pPr>
            <w:r>
              <w:rPr>
                <w:rFonts w:ascii="Arial" w:cs="Arial" w:eastAsia="Arial" w:hAnsi="Arial"/>
                <w:sz w:val="16"/>
                <w:szCs w:val="16"/>
                <w:color w:val="auto"/>
              </w:rPr>
              <w:t>700,000</w:t>
            </w:r>
          </w:p>
        </w:tc>
      </w:tr>
      <w:tr>
        <w:trPr>
          <w:trHeight w:val="23"/>
        </w:trPr>
        <w:tc>
          <w:tcPr>
            <w:tcW w:w="5880" w:type="dxa"/>
            <w:vAlign w:val="bottom"/>
            <w:tcBorders>
              <w:bottom w:val="single" w:sz="8" w:color="582C83"/>
            </w:tcBorders>
          </w:tcPr>
          <w:p>
            <w:pPr>
              <w:spacing w:after="0" w:line="20" w:lineRule="exact"/>
              <w:rPr>
                <w:sz w:val="1"/>
                <w:szCs w:val="1"/>
                <w:color w:val="auto"/>
              </w:rPr>
            </w:pPr>
          </w:p>
        </w:tc>
        <w:tc>
          <w:tcPr>
            <w:tcW w:w="780" w:type="dxa"/>
            <w:vAlign w:val="bottom"/>
            <w:tcBorders>
              <w:bottom w:val="single" w:sz="8" w:color="582C83"/>
            </w:tcBorders>
          </w:tcPr>
          <w:p>
            <w:pPr>
              <w:spacing w:after="0" w:line="20" w:lineRule="exact"/>
              <w:rPr>
                <w:sz w:val="1"/>
                <w:szCs w:val="1"/>
                <w:color w:val="auto"/>
              </w:rPr>
            </w:pPr>
          </w:p>
        </w:tc>
        <w:tc>
          <w:tcPr>
            <w:tcW w:w="740" w:type="dxa"/>
            <w:vAlign w:val="bottom"/>
            <w:tcBorders>
              <w:bottom w:val="single" w:sz="8" w:color="582C83"/>
            </w:tcBorders>
          </w:tcPr>
          <w:p>
            <w:pPr>
              <w:spacing w:after="0" w:line="20" w:lineRule="exact"/>
              <w:rPr>
                <w:sz w:val="1"/>
                <w:szCs w:val="1"/>
                <w:color w:val="auto"/>
              </w:rPr>
            </w:pPr>
          </w:p>
        </w:tc>
        <w:tc>
          <w:tcPr>
            <w:tcW w:w="1060" w:type="dxa"/>
            <w:vAlign w:val="bottom"/>
            <w:tcBorders>
              <w:bottom w:val="single" w:sz="8" w:color="582C83"/>
            </w:tcBorders>
          </w:tcPr>
          <w:p>
            <w:pPr>
              <w:spacing w:after="0" w:line="20" w:lineRule="exact"/>
              <w:rPr>
                <w:sz w:val="1"/>
                <w:szCs w:val="1"/>
                <w:color w:val="auto"/>
              </w:rPr>
            </w:pPr>
          </w:p>
        </w:tc>
        <w:tc>
          <w:tcPr>
            <w:tcW w:w="240" w:type="dxa"/>
            <w:vAlign w:val="bottom"/>
            <w:tcBorders>
              <w:bottom w:val="single" w:sz="8" w:color="582C83"/>
            </w:tcBorders>
          </w:tcPr>
          <w:p>
            <w:pPr>
              <w:spacing w:after="0" w:line="20" w:lineRule="exact"/>
              <w:rPr>
                <w:sz w:val="1"/>
                <w:szCs w:val="1"/>
                <w:color w:val="auto"/>
              </w:rPr>
            </w:pPr>
          </w:p>
        </w:tc>
        <w:tc>
          <w:tcPr>
            <w:tcW w:w="780" w:type="dxa"/>
            <w:vAlign w:val="bottom"/>
            <w:tcBorders>
              <w:bottom w:val="single" w:sz="8" w:color="582C83"/>
            </w:tcBorders>
          </w:tcPr>
          <w:p>
            <w:pPr>
              <w:spacing w:after="0" w:line="20" w:lineRule="exact"/>
              <w:rPr>
                <w:sz w:val="1"/>
                <w:szCs w:val="1"/>
                <w:color w:val="auto"/>
              </w:rPr>
            </w:pPr>
          </w:p>
        </w:tc>
        <w:tc>
          <w:tcPr>
            <w:tcW w:w="1780" w:type="dxa"/>
            <w:vAlign w:val="bottom"/>
            <w:tcBorders>
              <w:bottom w:val="single" w:sz="8" w:color="582C83"/>
            </w:tcBorders>
          </w:tcPr>
          <w:p>
            <w:pPr>
              <w:spacing w:after="0" w:line="20" w:lineRule="exact"/>
              <w:rPr>
                <w:sz w:val="1"/>
                <w:szCs w:val="1"/>
                <w:color w:val="auto"/>
              </w:rPr>
            </w:pPr>
          </w:p>
        </w:tc>
      </w:tr>
      <w:tr>
        <w:trPr>
          <w:trHeight w:val="233"/>
        </w:trPr>
        <w:tc>
          <w:tcPr>
            <w:tcW w:w="588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Mr. Valle</w:t>
            </w: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24,370</w:t>
            </w:r>
          </w:p>
        </w:tc>
        <w:tc>
          <w:tcPr>
            <w:tcW w:w="740" w:type="dxa"/>
            <w:vAlign w:val="bottom"/>
            <w:tcBorders>
              <w:bottom w:val="single" w:sz="8" w:color="EBE6F0"/>
            </w:tcBorders>
            <w:shd w:val="clear" w:color="auto" w:fill="EBE6F0"/>
          </w:tcPr>
          <w:p>
            <w:pPr>
              <w:spacing w:after="0"/>
              <w:rPr>
                <w:sz w:val="20"/>
                <w:szCs w:val="20"/>
                <w:color w:val="auto"/>
              </w:rPr>
            </w:pPr>
          </w:p>
        </w:tc>
        <w:tc>
          <w:tcPr>
            <w:tcW w:w="10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1,575,000</w:t>
            </w:r>
          </w:p>
        </w:tc>
        <w:tc>
          <w:tcPr>
            <w:tcW w:w="240" w:type="dxa"/>
            <w:vAlign w:val="bottom"/>
            <w:tcBorders>
              <w:bottom w:val="single" w:sz="8" w:color="EBE6F0"/>
              <w:right w:val="single" w:sz="8" w:color="EBE6F0"/>
            </w:tcBorders>
            <w:shd w:val="clear" w:color="auto" w:fill="EBE6F0"/>
          </w:tcPr>
          <w:p>
            <w:pPr>
              <w:spacing w:after="0"/>
              <w:rPr>
                <w:sz w:val="20"/>
                <w:szCs w:val="20"/>
                <w:color w:val="auto"/>
              </w:rPr>
            </w:pPr>
          </w:p>
        </w:tc>
        <w:tc>
          <w:tcPr>
            <w:tcW w:w="7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40,610</w:t>
            </w:r>
          </w:p>
        </w:tc>
        <w:tc>
          <w:tcPr>
            <w:tcW w:w="1780" w:type="dxa"/>
            <w:vAlign w:val="bottom"/>
            <w:tcBorders>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525,000</w:t>
            </w:r>
          </w:p>
        </w:tc>
      </w:tr>
      <w:tr>
        <w:trPr>
          <w:trHeight w:val="20"/>
        </w:trPr>
        <w:tc>
          <w:tcPr>
            <w:tcW w:w="5880" w:type="dxa"/>
            <w:vAlign w:val="bottom"/>
            <w:tcBorders>
              <w:left w:val="single" w:sz="8" w:color="EBE6F0"/>
              <w:right w:val="single" w:sz="8" w:color="EBE6F0"/>
            </w:tcBorders>
            <w:shd w:val="clear" w:color="auto" w:fill="582C83"/>
          </w:tcPr>
          <w:p>
            <w:pPr>
              <w:spacing w:after="0" w:line="20" w:lineRule="exact"/>
              <w:rPr>
                <w:sz w:val="1"/>
                <w:szCs w:val="1"/>
                <w:color w:val="auto"/>
              </w:rPr>
            </w:pPr>
          </w:p>
        </w:tc>
        <w:tc>
          <w:tcPr>
            <w:tcW w:w="780" w:type="dxa"/>
            <w:vAlign w:val="bottom"/>
            <w:shd w:val="clear" w:color="auto" w:fill="582C83"/>
          </w:tcPr>
          <w:p>
            <w:pPr>
              <w:spacing w:after="0" w:line="20" w:lineRule="exact"/>
              <w:rPr>
                <w:sz w:val="1"/>
                <w:szCs w:val="1"/>
                <w:color w:val="auto"/>
              </w:rPr>
            </w:pPr>
          </w:p>
        </w:tc>
        <w:tc>
          <w:tcPr>
            <w:tcW w:w="740" w:type="dxa"/>
            <w:vAlign w:val="bottom"/>
            <w:shd w:val="clear" w:color="auto" w:fill="582C83"/>
          </w:tcPr>
          <w:p>
            <w:pPr>
              <w:spacing w:after="0" w:line="20" w:lineRule="exact"/>
              <w:rPr>
                <w:sz w:val="1"/>
                <w:szCs w:val="1"/>
                <w:color w:val="auto"/>
              </w:rPr>
            </w:pPr>
          </w:p>
        </w:tc>
        <w:tc>
          <w:tcPr>
            <w:tcW w:w="1060" w:type="dxa"/>
            <w:vAlign w:val="bottom"/>
            <w:shd w:val="clear" w:color="auto" w:fill="582C83"/>
          </w:tcPr>
          <w:p>
            <w:pPr>
              <w:spacing w:after="0" w:line="20" w:lineRule="exact"/>
              <w:rPr>
                <w:sz w:val="1"/>
                <w:szCs w:val="1"/>
                <w:color w:val="auto"/>
              </w:rPr>
            </w:pPr>
          </w:p>
        </w:tc>
        <w:tc>
          <w:tcPr>
            <w:tcW w:w="240" w:type="dxa"/>
            <w:vAlign w:val="bottom"/>
            <w:tcBorders>
              <w:right w:val="single" w:sz="8" w:color="EBE6F0"/>
            </w:tcBorders>
            <w:shd w:val="clear" w:color="auto" w:fill="582C83"/>
          </w:tcPr>
          <w:p>
            <w:pPr>
              <w:spacing w:after="0" w:line="20" w:lineRule="exact"/>
              <w:rPr>
                <w:sz w:val="1"/>
                <w:szCs w:val="1"/>
                <w:color w:val="auto"/>
              </w:rPr>
            </w:pPr>
          </w:p>
        </w:tc>
        <w:tc>
          <w:tcPr>
            <w:tcW w:w="780" w:type="dxa"/>
            <w:vAlign w:val="bottom"/>
            <w:tcBorders>
              <w:right w:val="single" w:sz="8" w:color="582C83"/>
            </w:tcBorders>
            <w:shd w:val="clear" w:color="auto" w:fill="582C83"/>
          </w:tcPr>
          <w:p>
            <w:pPr>
              <w:spacing w:after="0" w:line="20" w:lineRule="exact"/>
              <w:rPr>
                <w:sz w:val="1"/>
                <w:szCs w:val="1"/>
                <w:color w:val="auto"/>
              </w:rPr>
            </w:pPr>
          </w:p>
        </w:tc>
        <w:tc>
          <w:tcPr>
            <w:tcW w:w="1780" w:type="dxa"/>
            <w:vAlign w:val="bottom"/>
            <w:tcBorders>
              <w:right w:val="single" w:sz="8" w:color="EBE6F0"/>
            </w:tcBorders>
            <w:shd w:val="clear" w:color="auto" w:fill="582C83"/>
          </w:tcPr>
          <w:p>
            <w:pPr>
              <w:spacing w:after="0" w:line="20" w:lineRule="exact"/>
              <w:rPr>
                <w:sz w:val="1"/>
                <w:szCs w:val="1"/>
                <w:color w:val="auto"/>
              </w:rPr>
            </w:pPr>
          </w:p>
        </w:tc>
      </w:tr>
    </w:tbl>
    <w:p>
      <w:pPr>
        <w:spacing w:after="0" w:line="75" w:lineRule="exact"/>
        <w:rPr>
          <w:sz w:val="20"/>
          <w:szCs w:val="20"/>
          <w:color w:val="auto"/>
        </w:rPr>
      </w:pPr>
    </w:p>
    <w:p>
      <w:pPr>
        <w:ind w:left="360" w:right="400" w:hanging="299"/>
        <w:spacing w:after="0" w:line="267" w:lineRule="auto"/>
        <w:tabs>
          <w:tab w:leader="none" w:pos="3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grant date for the annual equity grants was February 24, 2022. Grants of PSUs are reflected at target since actual shares earned, if any, will be determined after the three-year performance cycle ending on December 31, 2024.</w:t>
      </w:r>
    </w:p>
    <w:p>
      <w:pPr>
        <w:spacing w:after="0" w:line="1" w:lineRule="exact"/>
        <w:rPr>
          <w:rFonts w:ascii="Arial" w:cs="Arial" w:eastAsia="Arial" w:hAnsi="Arial"/>
          <w:sz w:val="15"/>
          <w:szCs w:val="15"/>
          <w:color w:val="auto"/>
        </w:rPr>
      </w:pPr>
    </w:p>
    <w:p>
      <w:pPr>
        <w:ind w:left="360" w:right="180" w:hanging="299"/>
        <w:spacing w:after="0" w:line="275" w:lineRule="auto"/>
        <w:tabs>
          <w:tab w:leader="none" w:pos="3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Amount approved by the People and Compensation Committee; differs from the value in the “Grants of Plan-Based Awards” (“GOPBA”) table which represents the accounting value of the award.</w:t>
      </w:r>
    </w:p>
    <w:p>
      <w:pPr>
        <w:spacing w:after="0" w:line="150"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We present the actual equity grants, including grant date fair value, in the 2022 Summary Compensation Table and 2022 GOPBA table under “Executive Compensation Tables” beginning on page 94. Our 2022 annual equity grant date was the date of the regularly scheduled People and Compensation Committee meeting following the release of our annual financial results. The exercise price for all stock option grants equals $64.65, the closing stock price on the grant date.</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Share Units (75%)</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Overview</w:t>
      </w:r>
    </w:p>
    <w:p>
      <w:pPr>
        <w:spacing w:after="0" w:line="44" w:lineRule="exact"/>
        <w:rPr>
          <w:sz w:val="20"/>
          <w:szCs w:val="20"/>
          <w:color w:val="auto"/>
        </w:rPr>
      </w:pPr>
    </w:p>
    <w:p>
      <w:pPr>
        <w:jc w:val="both"/>
        <w:ind w:right="300"/>
        <w:spacing w:after="0" w:line="242" w:lineRule="auto"/>
        <w:rPr>
          <w:sz w:val="20"/>
          <w:szCs w:val="20"/>
          <w:color w:val="auto"/>
        </w:rPr>
      </w:pPr>
      <w:r>
        <w:rPr>
          <w:rFonts w:ascii="Arial" w:cs="Arial" w:eastAsia="Arial" w:hAnsi="Arial"/>
          <w:sz w:val="20"/>
          <w:szCs w:val="20"/>
          <w:color w:val="auto"/>
        </w:rPr>
        <w:t>The People and Compensation Committee grants PSUs to motivate executives to achieve or exceed our long-term financial goals and deliver top-tier shareholder returns. Each NEO’s target number of PSUs is based on 75% of the total annual equity grant value.</w:t>
      </w:r>
    </w:p>
    <w:p>
      <w:pPr>
        <w:spacing w:after="0" w:line="133" w:lineRule="exact"/>
        <w:rPr>
          <w:sz w:val="20"/>
          <w:szCs w:val="20"/>
          <w:color w:val="auto"/>
        </w:rPr>
      </w:pPr>
    </w:p>
    <w:p>
      <w:pPr>
        <w:ind w:right="60"/>
        <w:spacing w:after="0"/>
        <w:rPr>
          <w:sz w:val="20"/>
          <w:szCs w:val="20"/>
          <w:color w:val="auto"/>
        </w:rPr>
      </w:pPr>
      <w:r>
        <w:rPr>
          <w:rFonts w:ascii="Arial" w:cs="Arial" w:eastAsia="Arial" w:hAnsi="Arial"/>
          <w:sz w:val="20"/>
          <w:szCs w:val="20"/>
          <w:color w:val="auto"/>
        </w:rPr>
        <w:t>The People and Compensation Committee approves performance targets for a three-year performance cycle when it grants PSUs. At the end of the three-year performance cycle, the grants will only vest if the People and Compensation Committee certifies that Company results meet or exceed the predetermined performance thresholds. Vested PSUs are settled in shares of our Common Stock in the first quarter following the end of the performance cycle. Dividend equivalents accrue during the performance period and are paid in cash after the shares are issued based on the actual number of shares earned. After vesting, executives must hold net shares acquired for at least one year.</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2022-2024 Metrics and Weighting</w:t>
      </w:r>
    </w:p>
    <w:p>
      <w:pPr>
        <w:spacing w:after="0" w:line="44" w:lineRule="exact"/>
        <w:rPr>
          <w:sz w:val="20"/>
          <w:szCs w:val="20"/>
          <w:color w:val="auto"/>
        </w:rPr>
      </w:pPr>
    </w:p>
    <w:p>
      <w:pPr>
        <w:ind w:right="200"/>
        <w:spacing w:after="0" w:line="238" w:lineRule="auto"/>
        <w:rPr>
          <w:sz w:val="20"/>
          <w:szCs w:val="20"/>
          <w:color w:val="auto"/>
        </w:rPr>
      </w:pPr>
      <w:r>
        <w:rPr>
          <w:rFonts w:ascii="Arial" w:cs="Arial" w:eastAsia="Arial" w:hAnsi="Arial"/>
          <w:sz w:val="20"/>
          <w:szCs w:val="20"/>
          <w:color w:val="auto"/>
        </w:rPr>
        <w:t>The number of shares earned by an executive depends on the Company’s achievement of key financial measures and annualized TSR relative to the median of our Performance Peer Group. The table below describes the performance measures and weightings for the 2022-2024 PSUs and outlines how those measures align with our strategy. In selecting the metrics, the People and Compensation Committee seeks to incentivize behavior consistent with achieving our long-term growth objectives and to align the interests of our executives with the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143115"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6"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58358F"/>
        </w:rPr>
        <w:t>2023 PROXY STATEMENT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84" w:name="page85"/>
    <w:bookmarkEnd w:id="84"/>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284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Measures</w:t>
            </w:r>
            <w:r>
              <w:rPr>
                <w:rFonts w:ascii="Arial" w:cs="Arial" w:eastAsia="Arial" w:hAnsi="Arial"/>
                <w:sz w:val="26"/>
                <w:szCs w:val="26"/>
                <w:b w:val="1"/>
                <w:bCs w:val="1"/>
                <w:color w:val="auto"/>
                <w:vertAlign w:val="superscript"/>
              </w:rPr>
              <w:t>(1)</w:t>
            </w:r>
          </w:p>
        </w:tc>
        <w:tc>
          <w:tcPr>
            <w:tcW w:w="1680" w:type="dxa"/>
            <w:vAlign w:val="bottom"/>
            <w:tcBorders>
              <w:bottom w:val="single" w:sz="8" w:color="582C83"/>
            </w:tcBorders>
          </w:tcPr>
          <w:p>
            <w:pPr>
              <w:jc w:val="right"/>
              <w:ind w:right="379"/>
              <w:spacing w:after="0"/>
              <w:rPr>
                <w:sz w:val="20"/>
                <w:szCs w:val="20"/>
                <w:color w:val="auto"/>
              </w:rPr>
            </w:pPr>
            <w:r>
              <w:rPr>
                <w:rFonts w:ascii="Arial" w:cs="Arial" w:eastAsia="Arial" w:hAnsi="Arial"/>
                <w:sz w:val="16"/>
                <w:szCs w:val="16"/>
                <w:b w:val="1"/>
                <w:bCs w:val="1"/>
                <w:color w:val="auto"/>
              </w:rPr>
              <w:t>Weighting</w:t>
            </w:r>
          </w:p>
        </w:tc>
        <w:tc>
          <w:tcPr>
            <w:tcW w:w="6740" w:type="dxa"/>
            <w:vAlign w:val="bottom"/>
            <w:tcBorders>
              <w:bottom w:val="single" w:sz="8" w:color="582C83"/>
            </w:tcBorders>
          </w:tcPr>
          <w:p>
            <w:pPr>
              <w:ind w:left="40"/>
              <w:spacing w:after="0"/>
              <w:rPr>
                <w:sz w:val="20"/>
                <w:szCs w:val="20"/>
                <w:color w:val="auto"/>
              </w:rPr>
            </w:pPr>
            <w:r>
              <w:rPr>
                <w:rFonts w:ascii="Arial" w:cs="Arial" w:eastAsia="Arial" w:hAnsi="Arial"/>
                <w:sz w:val="16"/>
                <w:szCs w:val="16"/>
                <w:b w:val="1"/>
                <w:bCs w:val="1"/>
                <w:color w:val="auto"/>
              </w:rPr>
              <w:t>Alignment with Strategy</w:t>
            </w:r>
          </w:p>
        </w:tc>
      </w:tr>
      <w:tr>
        <w:trPr>
          <w:trHeight w:val="291"/>
        </w:trPr>
        <w:tc>
          <w:tcPr>
            <w:tcW w:w="284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Organic Net Revenue Growth</w:t>
            </w:r>
          </w:p>
        </w:tc>
        <w:tc>
          <w:tcPr>
            <w:tcW w:w="1680" w:type="dxa"/>
            <w:vAlign w:val="bottom"/>
            <w:tcBorders>
              <w:bottom w:val="single" w:sz="8" w:color="EBE6F0"/>
              <w:right w:val="single" w:sz="8" w:color="EBE6F0"/>
            </w:tcBorders>
            <w:shd w:val="clear" w:color="auto" w:fill="EBE6F0"/>
          </w:tcPr>
          <w:p>
            <w:pPr>
              <w:jc w:val="right"/>
              <w:ind w:right="579"/>
              <w:spacing w:after="0"/>
              <w:rPr>
                <w:sz w:val="20"/>
                <w:szCs w:val="20"/>
                <w:color w:val="auto"/>
              </w:rPr>
            </w:pPr>
            <w:r>
              <w:rPr>
                <w:rFonts w:ascii="Arial" w:cs="Arial" w:eastAsia="Arial" w:hAnsi="Arial"/>
                <w:sz w:val="16"/>
                <w:szCs w:val="16"/>
                <w:color w:val="auto"/>
              </w:rPr>
              <w:t>25%</w:t>
            </w:r>
          </w:p>
        </w:tc>
        <w:tc>
          <w:tcPr>
            <w:tcW w:w="6740" w:type="dxa"/>
            <w:vAlign w:val="bottom"/>
            <w:tcBorders>
              <w:bottom w:val="single" w:sz="8" w:color="EBE6F0"/>
              <w:right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Incentivize growth over the long term; also a key objective of our growth-oriented strategy</w:t>
            </w:r>
          </w:p>
        </w:tc>
      </w:tr>
      <w:tr>
        <w:trPr>
          <w:trHeight w:val="215"/>
        </w:trPr>
        <w:tc>
          <w:tcPr>
            <w:tcW w:w="284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Adjusted EPS Growth</w:t>
            </w:r>
          </w:p>
        </w:tc>
        <w:tc>
          <w:tcPr>
            <w:tcW w:w="1680" w:type="dxa"/>
            <w:vAlign w:val="bottom"/>
            <w:tcBorders>
              <w:top w:val="single" w:sz="8" w:color="582C83"/>
            </w:tcBorders>
          </w:tcPr>
          <w:p>
            <w:pPr>
              <w:jc w:val="right"/>
              <w:ind w:right="579"/>
              <w:spacing w:after="0"/>
              <w:rPr>
                <w:sz w:val="20"/>
                <w:szCs w:val="20"/>
                <w:color w:val="auto"/>
              </w:rPr>
            </w:pPr>
            <w:r>
              <w:rPr>
                <w:rFonts w:ascii="Arial" w:cs="Arial" w:eastAsia="Arial" w:hAnsi="Arial"/>
                <w:sz w:val="16"/>
                <w:szCs w:val="16"/>
                <w:color w:val="auto"/>
              </w:rPr>
              <w:t>25%</w:t>
            </w:r>
          </w:p>
        </w:tc>
        <w:tc>
          <w:tcPr>
            <w:tcW w:w="6740" w:type="dxa"/>
            <w:vAlign w:val="bottom"/>
            <w:tcBorders>
              <w:top w:val="single" w:sz="8" w:color="582C83"/>
            </w:tcBorders>
          </w:tcPr>
          <w:p>
            <w:pPr>
              <w:ind w:left="40"/>
              <w:spacing w:after="0"/>
              <w:rPr>
                <w:sz w:val="20"/>
                <w:szCs w:val="20"/>
                <w:color w:val="auto"/>
              </w:rPr>
            </w:pPr>
            <w:r>
              <w:rPr>
                <w:rFonts w:ascii="Arial" w:cs="Arial" w:eastAsia="Arial" w:hAnsi="Arial"/>
                <w:sz w:val="16"/>
                <w:szCs w:val="16"/>
                <w:color w:val="auto"/>
              </w:rPr>
              <w:t>Overall measure of performance and primary driver of shareholder value creation and return</w:t>
            </w:r>
          </w:p>
        </w:tc>
      </w:tr>
      <w:tr>
        <w:trPr>
          <w:trHeight w:val="214"/>
        </w:trPr>
        <w:tc>
          <w:tcPr>
            <w:tcW w:w="2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740" w:type="dxa"/>
            <w:vAlign w:val="bottom"/>
          </w:tcPr>
          <w:p>
            <w:pPr>
              <w:ind w:left="40"/>
              <w:spacing w:after="0"/>
              <w:rPr>
                <w:sz w:val="20"/>
                <w:szCs w:val="20"/>
                <w:color w:val="auto"/>
              </w:rPr>
            </w:pPr>
            <w:r>
              <w:rPr>
                <w:rFonts w:ascii="Arial" w:cs="Arial" w:eastAsia="Arial" w:hAnsi="Arial"/>
                <w:sz w:val="16"/>
                <w:szCs w:val="16"/>
                <w:color w:val="auto"/>
              </w:rPr>
              <w:t>on capital</w:t>
            </w:r>
          </w:p>
        </w:tc>
      </w:tr>
      <w:tr>
        <w:trPr>
          <w:trHeight w:val="35"/>
        </w:trPr>
        <w:tc>
          <w:tcPr>
            <w:tcW w:w="2840" w:type="dxa"/>
            <w:vAlign w:val="bottom"/>
            <w:tcBorders>
              <w:bottom w:val="single" w:sz="8" w:color="582C83"/>
            </w:tcBorders>
          </w:tcPr>
          <w:p>
            <w:pPr>
              <w:spacing w:after="0"/>
              <w:rPr>
                <w:sz w:val="3"/>
                <w:szCs w:val="3"/>
                <w:color w:val="auto"/>
              </w:rPr>
            </w:pPr>
          </w:p>
        </w:tc>
        <w:tc>
          <w:tcPr>
            <w:tcW w:w="1680" w:type="dxa"/>
            <w:vAlign w:val="bottom"/>
            <w:tcBorders>
              <w:bottom w:val="single" w:sz="8" w:color="582C83"/>
            </w:tcBorders>
          </w:tcPr>
          <w:p>
            <w:pPr>
              <w:spacing w:after="0"/>
              <w:rPr>
                <w:sz w:val="3"/>
                <w:szCs w:val="3"/>
                <w:color w:val="auto"/>
              </w:rPr>
            </w:pPr>
          </w:p>
        </w:tc>
        <w:tc>
          <w:tcPr>
            <w:tcW w:w="6740" w:type="dxa"/>
            <w:vAlign w:val="bottom"/>
            <w:tcBorders>
              <w:bottom w:val="single" w:sz="8" w:color="582C83"/>
            </w:tcBorders>
          </w:tcPr>
          <w:p>
            <w:pPr>
              <w:spacing w:after="0"/>
              <w:rPr>
                <w:sz w:val="3"/>
                <w:szCs w:val="3"/>
                <w:color w:val="auto"/>
              </w:rPr>
            </w:pPr>
          </w:p>
        </w:tc>
      </w:tr>
      <w:tr>
        <w:trPr>
          <w:trHeight w:val="258"/>
        </w:trPr>
        <w:tc>
          <w:tcPr>
            <w:tcW w:w="284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Annualized Relative TSR</w:t>
            </w:r>
          </w:p>
        </w:tc>
        <w:tc>
          <w:tcPr>
            <w:tcW w:w="1680" w:type="dxa"/>
            <w:vAlign w:val="bottom"/>
            <w:tcBorders>
              <w:bottom w:val="single" w:sz="8" w:color="EBE6F0"/>
              <w:right w:val="single" w:sz="8" w:color="EBE6F0"/>
            </w:tcBorders>
            <w:shd w:val="clear" w:color="auto" w:fill="EBE6F0"/>
          </w:tcPr>
          <w:p>
            <w:pPr>
              <w:jc w:val="right"/>
              <w:ind w:right="579"/>
              <w:spacing w:after="0"/>
              <w:rPr>
                <w:sz w:val="20"/>
                <w:szCs w:val="20"/>
                <w:color w:val="auto"/>
              </w:rPr>
            </w:pPr>
            <w:r>
              <w:rPr>
                <w:rFonts w:ascii="Arial" w:cs="Arial" w:eastAsia="Arial" w:hAnsi="Arial"/>
                <w:sz w:val="16"/>
                <w:szCs w:val="16"/>
                <w:color w:val="auto"/>
              </w:rPr>
              <w:t>50%</w:t>
            </w:r>
          </w:p>
        </w:tc>
        <w:tc>
          <w:tcPr>
            <w:tcW w:w="6740" w:type="dxa"/>
            <w:vAlign w:val="bottom"/>
            <w:tcBorders>
              <w:bottom w:val="single" w:sz="8" w:color="EBE6F0"/>
              <w:right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Directly link awards to shareholder value creation and performance versus peers</w:t>
            </w:r>
          </w:p>
        </w:tc>
      </w:tr>
      <w:tr>
        <w:trPr>
          <w:trHeight w:val="20"/>
        </w:trPr>
        <w:tc>
          <w:tcPr>
            <w:tcW w:w="2840" w:type="dxa"/>
            <w:vAlign w:val="bottom"/>
            <w:tcBorders>
              <w:left w:val="single" w:sz="8" w:color="EBE6F0"/>
              <w:right w:val="single" w:sz="8" w:color="EBE6F0"/>
            </w:tcBorders>
            <w:shd w:val="clear" w:color="auto" w:fill="582C83"/>
          </w:tcPr>
          <w:p>
            <w:pPr>
              <w:spacing w:after="0" w:line="20" w:lineRule="exact"/>
              <w:rPr>
                <w:sz w:val="1"/>
                <w:szCs w:val="1"/>
                <w:color w:val="auto"/>
              </w:rPr>
            </w:pPr>
          </w:p>
        </w:tc>
        <w:tc>
          <w:tcPr>
            <w:tcW w:w="1680" w:type="dxa"/>
            <w:vAlign w:val="bottom"/>
            <w:tcBorders>
              <w:right w:val="single" w:sz="8" w:color="EBE6F0"/>
            </w:tcBorders>
            <w:shd w:val="clear" w:color="auto" w:fill="582C83"/>
          </w:tcPr>
          <w:p>
            <w:pPr>
              <w:spacing w:after="0" w:line="20" w:lineRule="exact"/>
              <w:rPr>
                <w:sz w:val="1"/>
                <w:szCs w:val="1"/>
                <w:color w:val="auto"/>
              </w:rPr>
            </w:pPr>
          </w:p>
        </w:tc>
        <w:tc>
          <w:tcPr>
            <w:tcW w:w="6740" w:type="dxa"/>
            <w:vAlign w:val="bottom"/>
            <w:tcBorders>
              <w:right w:val="single" w:sz="8" w:color="EBE6F0"/>
            </w:tcBorders>
            <w:shd w:val="clear" w:color="auto" w:fill="582C83"/>
          </w:tcPr>
          <w:p>
            <w:pPr>
              <w:spacing w:after="0" w:line="20" w:lineRule="exact"/>
              <w:rPr>
                <w:sz w:val="1"/>
                <w:szCs w:val="1"/>
                <w:color w:val="auto"/>
              </w:rPr>
            </w:pPr>
          </w:p>
        </w:tc>
      </w:tr>
    </w:tbl>
    <w:p>
      <w:pPr>
        <w:spacing w:after="0" w:line="7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See definitions in Annex A.</w:t>
      </w:r>
    </w:p>
    <w:p>
      <w:pPr>
        <w:spacing w:after="0" w:line="199"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Organic Net Revenue Growth is a metric for cash awards under our AIP and for share grants related to our PSUs. This</w:t>
      </w:r>
      <w:r>
        <w:rPr>
          <w:rFonts w:ascii="Times New Roman" w:cs="Times New Roman" w:eastAsia="Times New Roman" w:hAnsi="Times New Roman"/>
          <w:sz w:val="20"/>
          <w:szCs w:val="20"/>
          <w:color w:val="auto"/>
        </w:rPr>
        <w:t> </w:t>
      </w:r>
      <w:r>
        <w:rPr>
          <w:rFonts w:ascii="Arial" w:cs="Arial" w:eastAsia="Arial" w:hAnsi="Arial"/>
          <w:sz w:val="20"/>
          <w:szCs w:val="20"/>
          <w:color w:val="auto"/>
        </w:rPr>
        <w:t>metric is a fundamental driver of shareholder value and we believe our executives should focus on it over both the short and long term. A one-year target (under the AIP) and a three-year target (for the PSUs) for Organic Net Revenue Growth create different, yet complementary, incentives for our employees. Organic Net Revenue Growth also is a key driver impacting our operational and financial performance and advancing our strategic plan.</w:t>
      </w:r>
    </w:p>
    <w:p>
      <w:pPr>
        <w:spacing w:after="0" w:line="136"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At the end of the performance cycle, the number of shares actually earned may range from 0% to 200% of the target number of PSUs granted. The number of shares that may be earned against each measure, as a percentage of target, at threshold, target and maximum performance levels is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Below</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1"/>
        </w:trPr>
        <w:tc>
          <w:tcPr>
            <w:tcW w:w="6760" w:type="dxa"/>
            <w:vAlign w:val="bottom"/>
            <w:tcBorders>
              <w:bottom w:val="single" w:sz="8" w:color="582C83"/>
            </w:tcBorders>
          </w:tcPr>
          <w:p>
            <w:pPr>
              <w:ind w:left="80"/>
              <w:spacing w:after="0"/>
              <w:rPr>
                <w:sz w:val="20"/>
                <w:szCs w:val="20"/>
                <w:color w:val="auto"/>
              </w:rPr>
            </w:pPr>
            <w:r>
              <w:rPr>
                <w:rFonts w:ascii="Arial" w:cs="Arial" w:eastAsia="Arial" w:hAnsi="Arial"/>
                <w:sz w:val="16"/>
                <w:szCs w:val="16"/>
                <w:b w:val="1"/>
                <w:bCs w:val="1"/>
                <w:color w:val="auto"/>
              </w:rPr>
              <w:t>Metric Achievement:</w:t>
            </w:r>
          </w:p>
        </w:tc>
        <w:tc>
          <w:tcPr>
            <w:tcW w:w="1140" w:type="dxa"/>
            <w:vAlign w:val="bottom"/>
            <w:tcBorders>
              <w:bottom w:val="single" w:sz="8" w:color="582C83"/>
            </w:tcBorders>
          </w:tcPr>
          <w:p>
            <w:pPr>
              <w:jc w:val="center"/>
              <w:spacing w:after="0"/>
              <w:rPr>
                <w:sz w:val="20"/>
                <w:szCs w:val="20"/>
                <w:color w:val="auto"/>
              </w:rPr>
            </w:pPr>
            <w:r>
              <w:rPr>
                <w:rFonts w:ascii="Arial" w:cs="Arial" w:eastAsia="Arial" w:hAnsi="Arial"/>
                <w:sz w:val="16"/>
                <w:szCs w:val="16"/>
                <w:b w:val="1"/>
                <w:bCs w:val="1"/>
                <w:color w:val="auto"/>
              </w:rPr>
              <w:t>Threshold</w:t>
            </w:r>
          </w:p>
        </w:tc>
        <w:tc>
          <w:tcPr>
            <w:tcW w:w="1120" w:type="dxa"/>
            <w:vAlign w:val="bottom"/>
            <w:tcBorders>
              <w:bottom w:val="single" w:sz="8" w:color="582C83"/>
            </w:tcBorders>
          </w:tcPr>
          <w:p>
            <w:pPr>
              <w:jc w:val="center"/>
              <w:spacing w:after="0"/>
              <w:rPr>
                <w:sz w:val="20"/>
                <w:szCs w:val="20"/>
                <w:color w:val="auto"/>
              </w:rPr>
            </w:pPr>
            <w:r>
              <w:rPr>
                <w:rFonts w:ascii="Arial" w:cs="Arial" w:eastAsia="Arial" w:hAnsi="Arial"/>
                <w:sz w:val="16"/>
                <w:szCs w:val="16"/>
                <w:b w:val="1"/>
                <w:bCs w:val="1"/>
                <w:color w:val="auto"/>
              </w:rPr>
              <w:t>Threshold</w:t>
            </w:r>
          </w:p>
        </w:tc>
        <w:tc>
          <w:tcPr>
            <w:tcW w:w="1120" w:type="dxa"/>
            <w:vAlign w:val="bottom"/>
            <w:tcBorders>
              <w:bottom w:val="single" w:sz="8" w:color="582C83"/>
            </w:tcBorders>
          </w:tcPr>
          <w:p>
            <w:pPr>
              <w:jc w:val="center"/>
              <w:spacing w:after="0"/>
              <w:rPr>
                <w:sz w:val="20"/>
                <w:szCs w:val="20"/>
                <w:color w:val="auto"/>
              </w:rPr>
            </w:pPr>
            <w:r>
              <w:rPr>
                <w:rFonts w:ascii="Arial" w:cs="Arial" w:eastAsia="Arial" w:hAnsi="Arial"/>
                <w:sz w:val="16"/>
                <w:szCs w:val="16"/>
                <w:b w:val="1"/>
                <w:bCs w:val="1"/>
                <w:color w:val="auto"/>
                <w:w w:val="98"/>
              </w:rPr>
              <w:t>Target</w:t>
            </w:r>
          </w:p>
        </w:tc>
        <w:tc>
          <w:tcPr>
            <w:tcW w:w="1120" w:type="dxa"/>
            <w:vAlign w:val="bottom"/>
            <w:tcBorders>
              <w:bottom w:val="single" w:sz="8" w:color="582C83"/>
            </w:tcBorders>
          </w:tcPr>
          <w:p>
            <w:pPr>
              <w:jc w:val="center"/>
              <w:spacing w:after="0"/>
              <w:rPr>
                <w:sz w:val="20"/>
                <w:szCs w:val="20"/>
                <w:color w:val="auto"/>
              </w:rPr>
            </w:pPr>
            <w:r>
              <w:rPr>
                <w:rFonts w:ascii="Arial" w:cs="Arial" w:eastAsia="Arial" w:hAnsi="Arial"/>
                <w:sz w:val="16"/>
                <w:szCs w:val="16"/>
                <w:b w:val="1"/>
                <w:bCs w:val="1"/>
                <w:color w:val="auto"/>
                <w:w w:val="96"/>
              </w:rPr>
              <w:t>Max</w:t>
            </w:r>
          </w:p>
        </w:tc>
      </w:tr>
      <w:tr>
        <w:trPr>
          <w:trHeight w:val="266"/>
        </w:trPr>
        <w:tc>
          <w:tcPr>
            <w:tcW w:w="676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Shares Earned (as a percentage of target):</w:t>
            </w:r>
          </w:p>
        </w:tc>
        <w:tc>
          <w:tcPr>
            <w:tcW w:w="1140" w:type="dxa"/>
            <w:vAlign w:val="bottom"/>
            <w:tcBorders>
              <w:bottom w:val="single" w:sz="8" w:color="EBE6F0"/>
              <w:right w:val="single" w:sz="8" w:color="EBE6F0"/>
            </w:tcBorders>
            <w:shd w:val="clear" w:color="auto" w:fill="EBE6F0"/>
          </w:tcPr>
          <w:p>
            <w:pPr>
              <w:jc w:val="center"/>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EBE6F0"/>
            </w:tcBorders>
            <w:shd w:val="clear" w:color="auto" w:fill="EBE6F0"/>
          </w:tcPr>
          <w:p>
            <w:pPr>
              <w:jc w:val="right"/>
              <w:ind w:right="319"/>
              <w:spacing w:after="0"/>
              <w:rPr>
                <w:sz w:val="20"/>
                <w:szCs w:val="20"/>
                <w:color w:val="auto"/>
              </w:rPr>
            </w:pPr>
            <w:r>
              <w:rPr>
                <w:rFonts w:ascii="Arial" w:cs="Arial" w:eastAsia="Arial" w:hAnsi="Arial"/>
                <w:sz w:val="16"/>
                <w:szCs w:val="16"/>
                <w:color w:val="auto"/>
              </w:rPr>
              <w:t>50%</w:t>
            </w:r>
          </w:p>
        </w:tc>
        <w:tc>
          <w:tcPr>
            <w:tcW w:w="1120" w:type="dxa"/>
            <w:vAlign w:val="bottom"/>
            <w:tcBorders>
              <w:bottom w:val="single" w:sz="8" w:color="EBE6F0"/>
            </w:tcBorders>
            <w:shd w:val="clear" w:color="auto" w:fill="EBE6F0"/>
          </w:tcPr>
          <w:p>
            <w:pPr>
              <w:jc w:val="right"/>
              <w:ind w:right="279"/>
              <w:spacing w:after="0"/>
              <w:rPr>
                <w:sz w:val="20"/>
                <w:szCs w:val="20"/>
                <w:color w:val="auto"/>
              </w:rPr>
            </w:pPr>
            <w:r>
              <w:rPr>
                <w:rFonts w:ascii="Arial" w:cs="Arial" w:eastAsia="Arial" w:hAnsi="Arial"/>
                <w:sz w:val="16"/>
                <w:szCs w:val="16"/>
                <w:color w:val="auto"/>
              </w:rPr>
              <w:t>100%</w:t>
            </w:r>
          </w:p>
        </w:tc>
        <w:tc>
          <w:tcPr>
            <w:tcW w:w="1120" w:type="dxa"/>
            <w:vAlign w:val="bottom"/>
            <w:tcBorders>
              <w:bottom w:val="single" w:sz="8" w:color="EBE6F0"/>
              <w:right w:val="single" w:sz="8" w:color="EBE6F0"/>
            </w:tcBorders>
            <w:shd w:val="clear" w:color="auto" w:fill="EBE6F0"/>
          </w:tcPr>
          <w:p>
            <w:pPr>
              <w:jc w:val="right"/>
              <w:ind w:right="279"/>
              <w:spacing w:after="0"/>
              <w:rPr>
                <w:sz w:val="20"/>
                <w:szCs w:val="20"/>
                <w:color w:val="auto"/>
              </w:rPr>
            </w:pPr>
            <w:r>
              <w:rPr>
                <w:rFonts w:ascii="Arial" w:cs="Arial" w:eastAsia="Arial" w:hAnsi="Arial"/>
                <w:sz w:val="16"/>
                <w:szCs w:val="16"/>
                <w:color w:val="auto"/>
              </w:rPr>
              <w:t>200%</w:t>
            </w:r>
          </w:p>
        </w:tc>
      </w:tr>
      <w:tr>
        <w:trPr>
          <w:trHeight w:val="20"/>
        </w:trPr>
        <w:tc>
          <w:tcPr>
            <w:tcW w:w="6760" w:type="dxa"/>
            <w:vAlign w:val="bottom"/>
            <w:tcBorders>
              <w:left w:val="single" w:sz="8" w:color="EBE6F0"/>
            </w:tcBorders>
            <w:shd w:val="clear" w:color="auto" w:fill="582C83"/>
          </w:tcPr>
          <w:p>
            <w:pPr>
              <w:spacing w:after="0" w:line="20" w:lineRule="exact"/>
              <w:rPr>
                <w:sz w:val="1"/>
                <w:szCs w:val="1"/>
                <w:color w:val="auto"/>
              </w:rPr>
            </w:pPr>
          </w:p>
        </w:tc>
        <w:tc>
          <w:tcPr>
            <w:tcW w:w="1140" w:type="dxa"/>
            <w:vAlign w:val="bottom"/>
            <w:tcBorders>
              <w:right w:val="single" w:sz="8" w:color="EBE6F0"/>
            </w:tcBorders>
            <w:shd w:val="clear" w:color="auto" w:fill="582C83"/>
          </w:tcPr>
          <w:p>
            <w:pPr>
              <w:spacing w:after="0" w:line="20" w:lineRule="exact"/>
              <w:rPr>
                <w:sz w:val="1"/>
                <w:szCs w:val="1"/>
                <w:color w:val="auto"/>
              </w:rPr>
            </w:pPr>
          </w:p>
        </w:tc>
        <w:tc>
          <w:tcPr>
            <w:tcW w:w="1120" w:type="dxa"/>
            <w:vAlign w:val="bottom"/>
            <w:shd w:val="clear" w:color="auto" w:fill="582C83"/>
          </w:tcPr>
          <w:p>
            <w:pPr>
              <w:spacing w:after="0" w:line="20" w:lineRule="exact"/>
              <w:rPr>
                <w:sz w:val="1"/>
                <w:szCs w:val="1"/>
                <w:color w:val="auto"/>
              </w:rPr>
            </w:pPr>
          </w:p>
        </w:tc>
        <w:tc>
          <w:tcPr>
            <w:tcW w:w="1120" w:type="dxa"/>
            <w:vAlign w:val="bottom"/>
            <w:shd w:val="clear" w:color="auto" w:fill="582C83"/>
          </w:tcPr>
          <w:p>
            <w:pPr>
              <w:spacing w:after="0" w:line="20" w:lineRule="exact"/>
              <w:rPr>
                <w:sz w:val="1"/>
                <w:szCs w:val="1"/>
                <w:color w:val="auto"/>
              </w:rPr>
            </w:pPr>
          </w:p>
        </w:tc>
        <w:tc>
          <w:tcPr>
            <w:tcW w:w="1120" w:type="dxa"/>
            <w:vAlign w:val="bottom"/>
            <w:tcBorders>
              <w:right w:val="single" w:sz="8" w:color="EBE6F0"/>
            </w:tcBorders>
            <w:shd w:val="clear" w:color="auto" w:fill="582C83"/>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2022-2024 Targets and Target-Setting Process</w:t>
      </w:r>
    </w:p>
    <w:p>
      <w:pPr>
        <w:spacing w:after="0" w:line="44" w:lineRule="exact"/>
        <w:rPr>
          <w:sz w:val="20"/>
          <w:szCs w:val="20"/>
          <w:color w:val="auto"/>
        </w:rPr>
      </w:pPr>
    </w:p>
    <w:p>
      <w:pPr>
        <w:ind w:right="100"/>
        <w:spacing w:after="0" w:line="239" w:lineRule="auto"/>
        <w:rPr>
          <w:sz w:val="20"/>
          <w:szCs w:val="20"/>
          <w:color w:val="auto"/>
        </w:rPr>
      </w:pPr>
      <w:r>
        <w:rPr>
          <w:rFonts w:ascii="Arial" w:cs="Arial" w:eastAsia="Arial" w:hAnsi="Arial"/>
          <w:sz w:val="20"/>
          <w:szCs w:val="20"/>
          <w:color w:val="auto"/>
        </w:rPr>
        <w:t>For the 2022-2024 PSU grant, the target set for Annualized Relative TSR is the 55th percentile of the Performance Peer</w:t>
      </w:r>
      <w:r>
        <w:rPr>
          <w:rFonts w:ascii="Times New Roman" w:cs="Times New Roman" w:eastAsia="Times New Roman" w:hAnsi="Times New Roman"/>
          <w:sz w:val="20"/>
          <w:szCs w:val="20"/>
          <w:color w:val="auto"/>
        </w:rPr>
        <w:t> </w:t>
      </w:r>
      <w:r>
        <w:rPr>
          <w:rFonts w:ascii="Arial" w:cs="Arial" w:eastAsia="Arial" w:hAnsi="Arial"/>
          <w:sz w:val="20"/>
          <w:szCs w:val="20"/>
          <w:color w:val="auto"/>
        </w:rPr>
        <w:t>Group. The People and Compensation Committee sets our financial performance targets for Organic Net Revenue Growth and Adjusted EPS Growth based on annual average growth rates, while also taking into consideration our long-term strategic plan and external guidance.</w:t>
      </w:r>
    </w:p>
    <w:p>
      <w:pPr>
        <w:spacing w:after="0" w:line="135"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color w:val="auto"/>
        </w:rPr>
        <w:t>Although we do not prospectively disclose specific financial performance targets, we do disclose them retrospectively, along with results, at the end of each performance cycle (see “2020-2022 Performance Cycle Results and Shares Earned” on page 82). Revealing specific targets prospectively would provide competitors and other third parties with insights into our confidential planning process and strategies and potentially harm us competitively. We design our financial performance targets to be challenging and there is no guarantee that any shares will be earned.</w:t>
      </w:r>
    </w:p>
    <w:p>
      <w:pPr>
        <w:spacing w:after="0" w:line="132" w:lineRule="exact"/>
        <w:rPr>
          <w:sz w:val="20"/>
          <w:szCs w:val="20"/>
          <w:color w:val="auto"/>
        </w:rPr>
      </w:pPr>
    </w:p>
    <w:p>
      <w:pPr>
        <w:jc w:val="both"/>
        <w:ind w:right="100"/>
        <w:spacing w:after="0" w:line="295" w:lineRule="auto"/>
        <w:rPr>
          <w:sz w:val="20"/>
          <w:szCs w:val="20"/>
          <w:color w:val="auto"/>
        </w:rPr>
      </w:pPr>
      <w:r>
        <w:rPr>
          <w:rFonts w:ascii="Arial" w:cs="Arial" w:eastAsia="Arial" w:hAnsi="Arial"/>
          <w:sz w:val="19"/>
          <w:szCs w:val="19"/>
          <w:color w:val="auto"/>
        </w:rPr>
        <w:t>We provide directional guidance to assist shareholders in determining if our prospective performance targets are rigorous when evaluating our compensation programs. Below is the directional guidance for each metric in our 2022-2024 performance cycle.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20" w:type="dxa"/>
            <w:vAlign w:val="bottom"/>
            <w:tcBorders>
              <w:bottom w:val="single" w:sz="8" w:color="582C83"/>
            </w:tcBorders>
          </w:tcPr>
          <w:p>
            <w:pPr>
              <w:spacing w:after="0"/>
              <w:rPr>
                <w:sz w:val="24"/>
                <w:szCs w:val="24"/>
                <w:color w:val="auto"/>
              </w:rPr>
            </w:pPr>
          </w:p>
        </w:tc>
        <w:tc>
          <w:tcPr>
            <w:tcW w:w="274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Metrics</w:t>
            </w:r>
            <w:r>
              <w:rPr>
                <w:rFonts w:ascii="Arial" w:cs="Arial" w:eastAsia="Arial" w:hAnsi="Arial"/>
                <w:sz w:val="26"/>
                <w:szCs w:val="26"/>
                <w:b w:val="1"/>
                <w:bCs w:val="1"/>
                <w:color w:val="auto"/>
                <w:vertAlign w:val="superscript"/>
              </w:rPr>
              <w:t>(1)</w:t>
            </w:r>
          </w:p>
        </w:tc>
        <w:tc>
          <w:tcPr>
            <w:tcW w:w="20" w:type="dxa"/>
            <w:vAlign w:val="bottom"/>
            <w:tcBorders>
              <w:bottom w:val="single" w:sz="8" w:color="582C83"/>
            </w:tcBorders>
          </w:tcPr>
          <w:p>
            <w:pPr>
              <w:spacing w:after="0"/>
              <w:rPr>
                <w:sz w:val="24"/>
                <w:szCs w:val="24"/>
                <w:color w:val="auto"/>
              </w:rPr>
            </w:pPr>
          </w:p>
        </w:tc>
        <w:tc>
          <w:tcPr>
            <w:tcW w:w="3780" w:type="dxa"/>
            <w:vAlign w:val="bottom"/>
            <w:tcBorders>
              <w:bottom w:val="single" w:sz="8" w:color="582C83"/>
            </w:tcBorders>
          </w:tcPr>
          <w:p>
            <w:pPr>
              <w:jc w:val="right"/>
              <w:ind w:right="1999"/>
              <w:spacing w:after="0"/>
              <w:rPr>
                <w:sz w:val="20"/>
                <w:szCs w:val="20"/>
                <w:color w:val="auto"/>
              </w:rPr>
            </w:pPr>
            <w:r>
              <w:rPr>
                <w:rFonts w:ascii="Arial" w:cs="Arial" w:eastAsia="Arial" w:hAnsi="Arial"/>
                <w:sz w:val="16"/>
                <w:szCs w:val="16"/>
                <w:b w:val="1"/>
                <w:bCs w:val="1"/>
                <w:color w:val="auto"/>
              </w:rPr>
              <w:t>Threshold</w:t>
            </w:r>
          </w:p>
        </w:tc>
        <w:tc>
          <w:tcPr>
            <w:tcW w:w="20" w:type="dxa"/>
            <w:vAlign w:val="bottom"/>
            <w:tcBorders>
              <w:bottom w:val="single" w:sz="8" w:color="582C83"/>
            </w:tcBorders>
          </w:tcPr>
          <w:p>
            <w:pPr>
              <w:spacing w:after="0"/>
              <w:rPr>
                <w:sz w:val="24"/>
                <w:szCs w:val="24"/>
                <w:color w:val="auto"/>
              </w:rPr>
            </w:pPr>
          </w:p>
        </w:tc>
        <w:tc>
          <w:tcPr>
            <w:tcW w:w="2420" w:type="dxa"/>
            <w:vAlign w:val="bottom"/>
            <w:tcBorders>
              <w:bottom w:val="single" w:sz="8" w:color="582C83"/>
            </w:tcBorders>
            <w:gridSpan w:val="3"/>
          </w:tcPr>
          <w:p>
            <w:pPr>
              <w:ind w:left="60"/>
              <w:spacing w:after="0"/>
              <w:rPr>
                <w:sz w:val="20"/>
                <w:szCs w:val="20"/>
                <w:color w:val="auto"/>
              </w:rPr>
            </w:pPr>
            <w:r>
              <w:rPr>
                <w:rFonts w:ascii="Arial" w:cs="Arial" w:eastAsia="Arial" w:hAnsi="Arial"/>
                <w:sz w:val="16"/>
                <w:szCs w:val="16"/>
                <w:b w:val="1"/>
                <w:bCs w:val="1"/>
                <w:color w:val="auto"/>
              </w:rPr>
              <w:t>Target</w:t>
            </w:r>
          </w:p>
        </w:tc>
        <w:tc>
          <w:tcPr>
            <w:tcW w:w="20" w:type="dxa"/>
            <w:vAlign w:val="bottom"/>
            <w:tcBorders>
              <w:bottom w:val="single" w:sz="8" w:color="582C83"/>
            </w:tcBorders>
          </w:tcPr>
          <w:p>
            <w:pPr>
              <w:spacing w:after="0"/>
              <w:rPr>
                <w:sz w:val="24"/>
                <w:szCs w:val="24"/>
                <w:color w:val="auto"/>
              </w:rPr>
            </w:pPr>
          </w:p>
        </w:tc>
        <w:tc>
          <w:tcPr>
            <w:tcW w:w="2240" w:type="dxa"/>
            <w:vAlign w:val="bottom"/>
            <w:tcBorders>
              <w:bottom w:val="single" w:sz="8" w:color="582C83"/>
            </w:tcBorders>
            <w:gridSpan w:val="2"/>
          </w:tcPr>
          <w:p>
            <w:pPr>
              <w:jc w:val="right"/>
              <w:ind w:right="80"/>
              <w:spacing w:after="0"/>
              <w:rPr>
                <w:sz w:val="20"/>
                <w:szCs w:val="20"/>
                <w:color w:val="auto"/>
              </w:rPr>
            </w:pPr>
            <w:r>
              <w:rPr>
                <w:rFonts w:ascii="Arial" w:cs="Arial" w:eastAsia="Arial" w:hAnsi="Arial"/>
                <w:sz w:val="16"/>
                <w:szCs w:val="16"/>
                <w:b w:val="1"/>
                <w:bCs w:val="1"/>
                <w:color w:val="auto"/>
              </w:rPr>
              <w:t>Max</w:t>
            </w:r>
          </w:p>
        </w:tc>
      </w:tr>
      <w:tr>
        <w:trPr>
          <w:trHeight w:val="291"/>
        </w:trPr>
        <w:tc>
          <w:tcPr>
            <w:tcW w:w="20" w:type="dxa"/>
            <w:vAlign w:val="bottom"/>
            <w:tcBorders>
              <w:bottom w:val="single" w:sz="8" w:color="EBE6F0"/>
            </w:tcBorders>
            <w:shd w:val="clear" w:color="auto" w:fill="EBE6F0"/>
          </w:tcPr>
          <w:p>
            <w:pPr>
              <w:spacing w:after="0"/>
              <w:rPr>
                <w:sz w:val="24"/>
                <w:szCs w:val="24"/>
                <w:color w:val="auto"/>
              </w:rPr>
            </w:pPr>
          </w:p>
        </w:tc>
        <w:tc>
          <w:tcPr>
            <w:tcW w:w="274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Organic Net Revenue Growth</w:t>
            </w:r>
          </w:p>
        </w:tc>
        <w:tc>
          <w:tcPr>
            <w:tcW w:w="20" w:type="dxa"/>
            <w:vAlign w:val="bottom"/>
            <w:tcBorders>
              <w:bottom w:val="single" w:sz="8" w:color="EBE6F0"/>
            </w:tcBorders>
            <w:shd w:val="clear" w:color="auto" w:fill="EBE6F0"/>
          </w:tcPr>
          <w:p>
            <w:pPr>
              <w:spacing w:after="0"/>
              <w:rPr>
                <w:sz w:val="24"/>
                <w:szCs w:val="24"/>
                <w:color w:val="auto"/>
              </w:rPr>
            </w:pPr>
          </w:p>
        </w:tc>
        <w:tc>
          <w:tcPr>
            <w:tcW w:w="3780" w:type="dxa"/>
            <w:vAlign w:val="bottom"/>
            <w:tcBorders>
              <w:bottom w:val="single" w:sz="8" w:color="EBE6F0"/>
            </w:tcBorders>
            <w:shd w:val="clear" w:color="auto" w:fill="EBE6F0"/>
          </w:tcPr>
          <w:p>
            <w:pPr>
              <w:jc w:val="right"/>
              <w:ind w:right="1999"/>
              <w:spacing w:after="0"/>
              <w:rPr>
                <w:sz w:val="20"/>
                <w:szCs w:val="20"/>
                <w:color w:val="auto"/>
              </w:rPr>
            </w:pPr>
            <w:r>
              <w:rPr>
                <w:rFonts w:ascii="Arial" w:cs="Arial" w:eastAsia="Arial" w:hAnsi="Arial"/>
                <w:sz w:val="16"/>
                <w:szCs w:val="16"/>
                <w:color w:val="auto"/>
              </w:rPr>
              <w:t>1.3pp below target</w:t>
            </w:r>
          </w:p>
        </w:tc>
        <w:tc>
          <w:tcPr>
            <w:tcW w:w="20" w:type="dxa"/>
            <w:vAlign w:val="bottom"/>
            <w:tcBorders>
              <w:bottom w:val="single" w:sz="8" w:color="EBE6F0"/>
            </w:tcBorders>
            <w:shd w:val="clear" w:color="auto" w:fill="EBE6F0"/>
          </w:tcPr>
          <w:p>
            <w:pPr>
              <w:spacing w:after="0"/>
              <w:rPr>
                <w:sz w:val="24"/>
                <w:szCs w:val="24"/>
                <w:color w:val="auto"/>
              </w:rPr>
            </w:pPr>
          </w:p>
        </w:tc>
        <w:tc>
          <w:tcPr>
            <w:tcW w:w="22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Greater than 3.7%</w:t>
            </w:r>
          </w:p>
        </w:tc>
        <w:tc>
          <w:tcPr>
            <w:tcW w:w="20" w:type="dxa"/>
            <w:vAlign w:val="bottom"/>
            <w:tcBorders>
              <w:bottom w:val="single" w:sz="8" w:color="EBE6F0"/>
            </w:tcBorders>
            <w:shd w:val="clear" w:color="auto" w:fill="EBE6F0"/>
          </w:tcPr>
          <w:p>
            <w:pPr>
              <w:spacing w:after="0"/>
              <w:rPr>
                <w:sz w:val="24"/>
                <w:szCs w:val="24"/>
                <w:color w:val="auto"/>
              </w:rPr>
            </w:pPr>
          </w:p>
        </w:tc>
        <w:tc>
          <w:tcPr>
            <w:tcW w:w="180" w:type="dxa"/>
            <w:vAlign w:val="bottom"/>
            <w:tcBorders>
              <w:bottom w:val="single" w:sz="8" w:color="EBE6F0"/>
            </w:tcBorders>
            <w:shd w:val="clear" w:color="auto" w:fill="EBE6F0"/>
          </w:tcPr>
          <w:p>
            <w:pPr>
              <w:spacing w:after="0"/>
              <w:rPr>
                <w:sz w:val="24"/>
                <w:szCs w:val="24"/>
                <w:color w:val="auto"/>
              </w:rPr>
            </w:pPr>
          </w:p>
        </w:tc>
        <w:tc>
          <w:tcPr>
            <w:tcW w:w="20" w:type="dxa"/>
            <w:vAlign w:val="bottom"/>
            <w:tcBorders>
              <w:bottom w:val="single" w:sz="8" w:color="EBE6F0"/>
            </w:tcBorders>
            <w:shd w:val="clear" w:color="auto" w:fill="EBE6F0"/>
          </w:tcPr>
          <w:p>
            <w:pPr>
              <w:spacing w:after="0"/>
              <w:rPr>
                <w:sz w:val="24"/>
                <w:szCs w:val="24"/>
                <w:color w:val="auto"/>
              </w:rPr>
            </w:pPr>
          </w:p>
        </w:tc>
        <w:tc>
          <w:tcPr>
            <w:tcW w:w="22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1.3pp above target</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274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Adjusted EPS Growth</w:t>
            </w:r>
          </w:p>
        </w:tc>
        <w:tc>
          <w:tcPr>
            <w:tcW w:w="20" w:type="dxa"/>
            <w:vAlign w:val="bottom"/>
            <w:tcBorders>
              <w:top w:val="single" w:sz="8" w:color="EBE6F0"/>
            </w:tcBorders>
          </w:tcPr>
          <w:p>
            <w:pPr>
              <w:spacing w:after="0"/>
              <w:rPr>
                <w:sz w:val="21"/>
                <w:szCs w:val="21"/>
                <w:color w:val="auto"/>
              </w:rPr>
            </w:pPr>
          </w:p>
        </w:tc>
        <w:tc>
          <w:tcPr>
            <w:tcW w:w="3780" w:type="dxa"/>
            <w:vAlign w:val="bottom"/>
            <w:tcBorders>
              <w:top w:val="single" w:sz="8" w:color="582C83"/>
            </w:tcBorders>
          </w:tcPr>
          <w:p>
            <w:pPr>
              <w:jc w:val="right"/>
              <w:ind w:right="1999"/>
              <w:spacing w:after="0"/>
              <w:rPr>
                <w:sz w:val="20"/>
                <w:szCs w:val="20"/>
                <w:color w:val="auto"/>
              </w:rPr>
            </w:pPr>
            <w:r>
              <w:rPr>
                <w:rFonts w:ascii="Arial" w:cs="Arial" w:eastAsia="Arial" w:hAnsi="Arial"/>
                <w:sz w:val="16"/>
                <w:szCs w:val="16"/>
                <w:color w:val="auto"/>
              </w:rPr>
              <w:t>1.6pp below target</w:t>
            </w:r>
          </w:p>
        </w:tc>
        <w:tc>
          <w:tcPr>
            <w:tcW w:w="20" w:type="dxa"/>
            <w:vAlign w:val="bottom"/>
            <w:tcBorders>
              <w:top w:val="single" w:sz="8" w:color="EBE6F0"/>
            </w:tcBorders>
          </w:tcPr>
          <w:p>
            <w:pPr>
              <w:spacing w:after="0"/>
              <w:rPr>
                <w:sz w:val="21"/>
                <w:szCs w:val="21"/>
                <w:color w:val="auto"/>
              </w:rPr>
            </w:pPr>
          </w:p>
        </w:tc>
        <w:tc>
          <w:tcPr>
            <w:tcW w:w="222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Greater than 7%</w:t>
            </w:r>
          </w:p>
        </w:tc>
        <w:tc>
          <w:tcPr>
            <w:tcW w:w="20" w:type="dxa"/>
            <w:vAlign w:val="bottom"/>
            <w:tcBorders>
              <w:top w:val="single" w:sz="8" w:color="EBE6F0"/>
            </w:tcBorders>
          </w:tcPr>
          <w:p>
            <w:pPr>
              <w:spacing w:after="0"/>
              <w:rPr>
                <w:sz w:val="21"/>
                <w:szCs w:val="21"/>
                <w:color w:val="auto"/>
              </w:rPr>
            </w:pPr>
          </w:p>
        </w:tc>
        <w:tc>
          <w:tcPr>
            <w:tcW w:w="180" w:type="dxa"/>
            <w:vAlign w:val="bottom"/>
            <w:tcBorders>
              <w:top w:val="single" w:sz="8" w:color="582C83"/>
            </w:tcBorders>
          </w:tcPr>
          <w:p>
            <w:pPr>
              <w:spacing w:after="0"/>
              <w:rPr>
                <w:sz w:val="21"/>
                <w:szCs w:val="21"/>
                <w:color w:val="auto"/>
              </w:rPr>
            </w:pPr>
          </w:p>
        </w:tc>
        <w:tc>
          <w:tcPr>
            <w:tcW w:w="20" w:type="dxa"/>
            <w:vAlign w:val="bottom"/>
            <w:tcBorders>
              <w:top w:val="single" w:sz="8" w:color="EBE6F0"/>
            </w:tcBorders>
          </w:tcPr>
          <w:p>
            <w:pPr>
              <w:spacing w:after="0"/>
              <w:rPr>
                <w:sz w:val="21"/>
                <w:szCs w:val="21"/>
                <w:color w:val="auto"/>
              </w:rPr>
            </w:pPr>
          </w:p>
        </w:tc>
        <w:tc>
          <w:tcPr>
            <w:tcW w:w="222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2.5pp above target</w:t>
            </w:r>
          </w:p>
        </w:tc>
        <w:tc>
          <w:tcPr>
            <w:tcW w:w="20" w:type="dxa"/>
            <w:vAlign w:val="bottom"/>
            <w:tcBorders>
              <w:top w:val="single" w:sz="8" w:color="EBE6F0"/>
            </w:tcBorders>
          </w:tcPr>
          <w:p>
            <w:pPr>
              <w:spacing w:after="0"/>
              <w:rPr>
                <w:sz w:val="21"/>
                <w:szCs w:val="21"/>
                <w:color w:val="auto"/>
              </w:rPr>
            </w:pPr>
          </w:p>
        </w:tc>
      </w:tr>
      <w:tr>
        <w:trPr>
          <w:trHeight w:val="35"/>
        </w:trPr>
        <w:tc>
          <w:tcPr>
            <w:tcW w:w="20" w:type="dxa"/>
            <w:vAlign w:val="bottom"/>
            <w:tcBorders>
              <w:bottom w:val="single" w:sz="8" w:color="582C83"/>
            </w:tcBorders>
          </w:tcPr>
          <w:p>
            <w:pPr>
              <w:spacing w:after="0"/>
              <w:rPr>
                <w:sz w:val="3"/>
                <w:szCs w:val="3"/>
                <w:color w:val="auto"/>
              </w:rPr>
            </w:pPr>
          </w:p>
        </w:tc>
        <w:tc>
          <w:tcPr>
            <w:tcW w:w="274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37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222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222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315"/>
        </w:trPr>
        <w:tc>
          <w:tcPr>
            <w:tcW w:w="20" w:type="dxa"/>
            <w:vAlign w:val="bottom"/>
            <w:tcBorders>
              <w:bottom w:val="single" w:sz="8" w:color="EBE6F0"/>
            </w:tcBorders>
            <w:shd w:val="clear" w:color="auto" w:fill="EBE6F0"/>
          </w:tcPr>
          <w:p>
            <w:pPr>
              <w:spacing w:after="0"/>
              <w:rPr>
                <w:sz w:val="24"/>
                <w:szCs w:val="24"/>
                <w:color w:val="auto"/>
              </w:rPr>
            </w:pPr>
          </w:p>
        </w:tc>
        <w:tc>
          <w:tcPr>
            <w:tcW w:w="2740" w:type="dxa"/>
            <w:vAlign w:val="bottom"/>
            <w:tcBorders>
              <w:bottom w:val="single" w:sz="8" w:color="582C83"/>
            </w:tcBorders>
            <w:shd w:val="clear" w:color="auto" w:fill="EBE6F0"/>
          </w:tcPr>
          <w:p>
            <w:pPr>
              <w:ind w:left="60"/>
              <w:spacing w:after="0"/>
              <w:rPr>
                <w:sz w:val="20"/>
                <w:szCs w:val="20"/>
                <w:color w:val="auto"/>
              </w:rPr>
            </w:pPr>
            <w:r>
              <w:rPr>
                <w:rFonts w:ascii="Arial" w:cs="Arial" w:eastAsia="Arial" w:hAnsi="Arial"/>
                <w:sz w:val="16"/>
                <w:szCs w:val="16"/>
                <w:color w:val="auto"/>
              </w:rPr>
              <w:t>Annualized Relative TSR</w:t>
            </w:r>
          </w:p>
        </w:tc>
        <w:tc>
          <w:tcPr>
            <w:tcW w:w="20" w:type="dxa"/>
            <w:vAlign w:val="bottom"/>
            <w:tcBorders>
              <w:bottom w:val="single" w:sz="8" w:color="EBE6F0"/>
            </w:tcBorders>
            <w:shd w:val="clear" w:color="auto" w:fill="EBE6F0"/>
          </w:tcPr>
          <w:p>
            <w:pPr>
              <w:spacing w:after="0"/>
              <w:rPr>
                <w:sz w:val="24"/>
                <w:szCs w:val="24"/>
                <w:color w:val="auto"/>
              </w:rPr>
            </w:pPr>
          </w:p>
        </w:tc>
        <w:tc>
          <w:tcPr>
            <w:tcW w:w="3780" w:type="dxa"/>
            <w:vAlign w:val="bottom"/>
            <w:tcBorders>
              <w:bottom w:val="single" w:sz="8" w:color="582C83"/>
            </w:tcBorders>
            <w:shd w:val="clear" w:color="auto" w:fill="EBE6F0"/>
          </w:tcPr>
          <w:p>
            <w:pPr>
              <w:jc w:val="right"/>
              <w:ind w:right="1999"/>
              <w:spacing w:after="0"/>
              <w:rPr>
                <w:sz w:val="20"/>
                <w:szCs w:val="20"/>
                <w:color w:val="auto"/>
              </w:rPr>
            </w:pPr>
            <w:r>
              <w:rPr>
                <w:rFonts w:ascii="Arial" w:cs="Arial" w:eastAsia="Arial" w:hAnsi="Arial"/>
                <w:sz w:val="16"/>
                <w:szCs w:val="16"/>
                <w:color w:val="auto"/>
              </w:rPr>
              <w:t>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20" w:type="dxa"/>
            <w:vAlign w:val="bottom"/>
            <w:tcBorders>
              <w:bottom w:val="single" w:sz="8" w:color="EBE6F0"/>
            </w:tcBorders>
            <w:shd w:val="clear" w:color="auto" w:fill="EBE6F0"/>
          </w:tcPr>
          <w:p>
            <w:pPr>
              <w:spacing w:after="0"/>
              <w:rPr>
                <w:sz w:val="24"/>
                <w:szCs w:val="24"/>
                <w:color w:val="auto"/>
              </w:rPr>
            </w:pPr>
          </w:p>
        </w:tc>
        <w:tc>
          <w:tcPr>
            <w:tcW w:w="2220" w:type="dxa"/>
            <w:vAlign w:val="bottom"/>
            <w:tcBorders>
              <w:bottom w:val="single" w:sz="8" w:color="582C83"/>
            </w:tcBorders>
            <w:shd w:val="clear" w:color="auto" w:fill="EBE6F0"/>
          </w:tcPr>
          <w:p>
            <w:pPr>
              <w:ind w:left="80"/>
              <w:spacing w:after="0"/>
              <w:rPr>
                <w:sz w:val="20"/>
                <w:szCs w:val="20"/>
                <w:color w:val="auto"/>
              </w:rPr>
            </w:pPr>
            <w:r>
              <w:rPr>
                <w:rFonts w:ascii="Arial" w:cs="Arial" w:eastAsia="Arial" w:hAnsi="Arial"/>
                <w:sz w:val="16"/>
                <w:szCs w:val="16"/>
                <w:color w:val="auto"/>
              </w:rPr>
              <w:t>55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20" w:type="dxa"/>
            <w:vAlign w:val="bottom"/>
            <w:tcBorders>
              <w:bottom w:val="single" w:sz="8" w:color="EBE6F0"/>
            </w:tcBorders>
            <w:shd w:val="clear" w:color="auto" w:fill="EBE6F0"/>
          </w:tcPr>
          <w:p>
            <w:pPr>
              <w:spacing w:after="0"/>
              <w:rPr>
                <w:sz w:val="24"/>
                <w:szCs w:val="24"/>
                <w:color w:val="auto"/>
              </w:rPr>
            </w:pPr>
          </w:p>
        </w:tc>
        <w:tc>
          <w:tcPr>
            <w:tcW w:w="180" w:type="dxa"/>
            <w:vAlign w:val="bottom"/>
            <w:tcBorders>
              <w:bottom w:val="single" w:sz="8" w:color="582C83"/>
            </w:tcBorders>
            <w:shd w:val="clear" w:color="auto" w:fill="EBE6F0"/>
          </w:tcPr>
          <w:p>
            <w:pPr>
              <w:spacing w:after="0"/>
              <w:rPr>
                <w:sz w:val="24"/>
                <w:szCs w:val="24"/>
                <w:color w:val="auto"/>
              </w:rPr>
            </w:pPr>
          </w:p>
        </w:tc>
        <w:tc>
          <w:tcPr>
            <w:tcW w:w="20" w:type="dxa"/>
            <w:vAlign w:val="bottom"/>
            <w:tcBorders>
              <w:bottom w:val="single" w:sz="8" w:color="EBE6F0"/>
            </w:tcBorders>
            <w:shd w:val="clear" w:color="auto" w:fill="EBE6F0"/>
          </w:tcPr>
          <w:p>
            <w:pPr>
              <w:spacing w:after="0"/>
              <w:rPr>
                <w:sz w:val="24"/>
                <w:szCs w:val="24"/>
                <w:color w:val="auto"/>
              </w:rPr>
            </w:pPr>
          </w:p>
        </w:tc>
        <w:tc>
          <w:tcPr>
            <w:tcW w:w="222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740" w:type="dxa"/>
            <w:vAlign w:val="bottom"/>
          </w:tcPr>
          <w:p>
            <w:pPr>
              <w:ind w:left="60"/>
              <w:spacing w:after="0"/>
              <w:rPr>
                <w:sz w:val="20"/>
                <w:szCs w:val="20"/>
                <w:color w:val="auto"/>
              </w:rPr>
            </w:pPr>
            <w:r>
              <w:rPr>
                <w:rFonts w:ascii="Arial" w:cs="Arial" w:eastAsia="Arial" w:hAnsi="Arial"/>
                <w:sz w:val="15"/>
                <w:szCs w:val="15"/>
                <w:color w:val="auto"/>
              </w:rPr>
              <w:t>(1)  See definitions in Annex A.</w:t>
            </w:r>
          </w:p>
        </w:tc>
        <w:tc>
          <w:tcPr>
            <w:tcW w:w="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62"/>
        </w:trPr>
        <w:tc>
          <w:tcPr>
            <w:tcW w:w="20" w:type="dxa"/>
            <w:vAlign w:val="bottom"/>
            <w:tcBorders>
              <w:bottom w:val="single" w:sz="8" w:color="58358F"/>
            </w:tcBorders>
          </w:tcPr>
          <w:p>
            <w:pPr>
              <w:spacing w:after="0"/>
              <w:rPr>
                <w:sz w:val="24"/>
                <w:szCs w:val="24"/>
                <w:color w:val="auto"/>
              </w:rPr>
            </w:pPr>
          </w:p>
        </w:tc>
        <w:tc>
          <w:tcPr>
            <w:tcW w:w="2740" w:type="dxa"/>
            <w:vAlign w:val="bottom"/>
            <w:tcBorders>
              <w:bottom w:val="single" w:sz="8" w:color="58358F"/>
            </w:tcBorders>
          </w:tcPr>
          <w:p>
            <w:pPr>
              <w:spacing w:after="0"/>
              <w:rPr>
                <w:sz w:val="24"/>
                <w:szCs w:val="24"/>
                <w:color w:val="auto"/>
              </w:rPr>
            </w:pPr>
          </w:p>
        </w:tc>
        <w:tc>
          <w:tcPr>
            <w:tcW w:w="20" w:type="dxa"/>
            <w:vAlign w:val="bottom"/>
            <w:tcBorders>
              <w:bottom w:val="single" w:sz="8" w:color="58358F"/>
            </w:tcBorders>
          </w:tcPr>
          <w:p>
            <w:pPr>
              <w:spacing w:after="0"/>
              <w:rPr>
                <w:sz w:val="24"/>
                <w:szCs w:val="24"/>
                <w:color w:val="auto"/>
              </w:rPr>
            </w:pPr>
          </w:p>
        </w:tc>
        <w:tc>
          <w:tcPr>
            <w:tcW w:w="3780" w:type="dxa"/>
            <w:vAlign w:val="bottom"/>
            <w:tcBorders>
              <w:bottom w:val="single" w:sz="8" w:color="58358F"/>
            </w:tcBorders>
          </w:tcPr>
          <w:p>
            <w:pPr>
              <w:spacing w:after="0"/>
              <w:rPr>
                <w:sz w:val="24"/>
                <w:szCs w:val="24"/>
                <w:color w:val="auto"/>
              </w:rPr>
            </w:pPr>
          </w:p>
        </w:tc>
        <w:tc>
          <w:tcPr>
            <w:tcW w:w="20" w:type="dxa"/>
            <w:vAlign w:val="bottom"/>
            <w:tcBorders>
              <w:bottom w:val="single" w:sz="8" w:color="58358F"/>
            </w:tcBorders>
          </w:tcPr>
          <w:p>
            <w:pPr>
              <w:spacing w:after="0"/>
              <w:rPr>
                <w:sz w:val="24"/>
                <w:szCs w:val="24"/>
                <w:color w:val="auto"/>
              </w:rPr>
            </w:pPr>
          </w:p>
        </w:tc>
        <w:tc>
          <w:tcPr>
            <w:tcW w:w="2220" w:type="dxa"/>
            <w:vAlign w:val="bottom"/>
            <w:tcBorders>
              <w:bottom w:val="single" w:sz="8" w:color="58358F"/>
            </w:tcBorders>
          </w:tcPr>
          <w:p>
            <w:pPr>
              <w:spacing w:after="0"/>
              <w:rPr>
                <w:sz w:val="24"/>
                <w:szCs w:val="24"/>
                <w:color w:val="auto"/>
              </w:rPr>
            </w:pPr>
          </w:p>
        </w:tc>
        <w:tc>
          <w:tcPr>
            <w:tcW w:w="20" w:type="dxa"/>
            <w:vAlign w:val="bottom"/>
            <w:tcBorders>
              <w:bottom w:val="single" w:sz="8" w:color="58358F"/>
            </w:tcBorders>
          </w:tcPr>
          <w:p>
            <w:pPr>
              <w:spacing w:after="0"/>
              <w:rPr>
                <w:sz w:val="24"/>
                <w:szCs w:val="24"/>
                <w:color w:val="auto"/>
              </w:rPr>
            </w:pPr>
          </w:p>
        </w:tc>
        <w:tc>
          <w:tcPr>
            <w:tcW w:w="180" w:type="dxa"/>
            <w:vAlign w:val="bottom"/>
            <w:tcBorders>
              <w:bottom w:val="single" w:sz="8" w:color="58358F"/>
            </w:tcBorders>
          </w:tcPr>
          <w:p>
            <w:pPr>
              <w:spacing w:after="0"/>
              <w:rPr>
                <w:sz w:val="24"/>
                <w:szCs w:val="24"/>
                <w:color w:val="auto"/>
              </w:rPr>
            </w:pPr>
          </w:p>
        </w:tc>
        <w:tc>
          <w:tcPr>
            <w:tcW w:w="20" w:type="dxa"/>
            <w:vAlign w:val="bottom"/>
            <w:tcBorders>
              <w:bottom w:val="single" w:sz="8" w:color="58358F"/>
            </w:tcBorders>
          </w:tcPr>
          <w:p>
            <w:pPr>
              <w:spacing w:after="0"/>
              <w:rPr>
                <w:sz w:val="24"/>
                <w:szCs w:val="24"/>
                <w:color w:val="auto"/>
              </w:rPr>
            </w:pPr>
          </w:p>
        </w:tc>
        <w:tc>
          <w:tcPr>
            <w:tcW w:w="2220" w:type="dxa"/>
            <w:vAlign w:val="bottom"/>
            <w:tcBorders>
              <w:bottom w:val="single" w:sz="8" w:color="58358F"/>
            </w:tcBorders>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40" w:type="dxa"/>
            <w:vAlign w:val="bottom"/>
            <w:gridSpan w:val="2"/>
          </w:tcPr>
          <w:p>
            <w:pPr>
              <w:ind w:left="40"/>
              <w:spacing w:after="0"/>
              <w:rPr>
                <w:sz w:val="20"/>
                <w:szCs w:val="20"/>
                <w:color w:val="auto"/>
              </w:rPr>
            </w:pPr>
            <w:r>
              <w:rPr>
                <w:rFonts w:ascii="Arial" w:cs="Arial" w:eastAsia="Arial" w:hAnsi="Arial"/>
                <w:sz w:val="15"/>
                <w:szCs w:val="15"/>
                <w:b w:val="1"/>
                <w:bCs w:val="1"/>
                <w:color w:val="58358F"/>
              </w:rPr>
              <w:t>2023 PROXY STATEMENT | 81</w:t>
            </w:r>
          </w:p>
        </w:tc>
      </w:tr>
      <w:tr>
        <w:trPr>
          <w:trHeight w:val="261"/>
        </w:trPr>
        <w:tc>
          <w:tcPr>
            <w:tcW w:w="20" w:type="dxa"/>
            <w:vAlign w:val="bottom"/>
            <w:tcBorders>
              <w:bottom w:val="single" w:sz="8" w:color="808080"/>
            </w:tcBorders>
          </w:tcPr>
          <w:p>
            <w:pPr>
              <w:spacing w:after="0"/>
              <w:rPr>
                <w:sz w:val="22"/>
                <w:szCs w:val="22"/>
                <w:color w:val="auto"/>
              </w:rPr>
            </w:pPr>
          </w:p>
        </w:tc>
        <w:tc>
          <w:tcPr>
            <w:tcW w:w="274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3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22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1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2220" w:type="dxa"/>
            <w:vAlign w:val="bottom"/>
            <w:tcBorders>
              <w:bottom w:val="single" w:sz="8" w:color="808080"/>
            </w:tcBorders>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906780" cy="22098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85" w:name="page86"/>
    <w:bookmarkEnd w:id="85"/>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 w:right="360"/>
        <w:spacing w:after="0" w:line="268" w:lineRule="auto"/>
        <w:rPr>
          <w:sz w:val="20"/>
          <w:szCs w:val="20"/>
          <w:color w:val="auto"/>
        </w:rPr>
      </w:pPr>
      <w:r>
        <w:rPr>
          <w:rFonts w:ascii="Arial" w:cs="Arial" w:eastAsia="Arial" w:hAnsi="Arial"/>
          <w:sz w:val="20"/>
          <w:szCs w:val="20"/>
          <w:color w:val="auto"/>
        </w:rPr>
        <w:t>The People and Compensation Committee uses different time periods to measure performance relative to each metric in the incentive plans:</w:t>
      </w:r>
    </w:p>
    <w:p>
      <w:pPr>
        <w:spacing w:after="0" w:line="107" w:lineRule="exact"/>
        <w:rPr>
          <w:sz w:val="20"/>
          <w:szCs w:val="20"/>
          <w:color w:val="auto"/>
        </w:rPr>
      </w:pPr>
    </w:p>
    <w:p>
      <w:pPr>
        <w:ind w:left="121" w:right="440" w:hanging="121"/>
        <w:spacing w:after="0" w:line="268" w:lineRule="auto"/>
        <w:tabs>
          <w:tab w:leader="none" w:pos="121" w:val="left"/>
        </w:tabs>
        <w:numPr>
          <w:ilvl w:val="0"/>
          <w:numId w:val="73"/>
        </w:numPr>
        <w:rPr>
          <w:rFonts w:ascii="Arial" w:cs="Arial" w:eastAsia="Arial" w:hAnsi="Arial"/>
          <w:sz w:val="20"/>
          <w:szCs w:val="20"/>
          <w:color w:val="582C83"/>
        </w:rPr>
      </w:pPr>
      <w:r>
        <w:rPr>
          <w:rFonts w:ascii="Arial" w:cs="Arial" w:eastAsia="Arial" w:hAnsi="Arial"/>
          <w:sz w:val="20"/>
          <w:szCs w:val="20"/>
          <w:color w:val="auto"/>
        </w:rPr>
        <w:t>Performance measures for the short-term incentive awards are set on an annual basis and are based on annual operating targets.</w:t>
      </w:r>
    </w:p>
    <w:p>
      <w:pPr>
        <w:spacing w:after="0" w:line="32" w:lineRule="exact"/>
        <w:rPr>
          <w:rFonts w:ascii="Arial" w:cs="Arial" w:eastAsia="Arial" w:hAnsi="Arial"/>
          <w:sz w:val="20"/>
          <w:szCs w:val="20"/>
          <w:color w:val="582C83"/>
        </w:rPr>
      </w:pPr>
    </w:p>
    <w:p>
      <w:pPr>
        <w:ind w:left="141" w:right="160" w:hanging="141"/>
        <w:spacing w:after="0" w:line="268" w:lineRule="auto"/>
        <w:tabs>
          <w:tab w:leader="none" w:pos="141" w:val="left"/>
        </w:tabs>
        <w:numPr>
          <w:ilvl w:val="0"/>
          <w:numId w:val="73"/>
        </w:numPr>
        <w:rPr>
          <w:rFonts w:ascii="Arial" w:cs="Arial" w:eastAsia="Arial" w:hAnsi="Arial"/>
          <w:sz w:val="20"/>
          <w:szCs w:val="20"/>
          <w:color w:val="582C83"/>
        </w:rPr>
      </w:pPr>
      <w:r>
        <w:rPr>
          <w:rFonts w:ascii="Arial" w:cs="Arial" w:eastAsia="Arial" w:hAnsi="Arial"/>
          <w:sz w:val="20"/>
          <w:szCs w:val="20"/>
          <w:color w:val="auto"/>
        </w:rPr>
        <w:t>Performance measures for PSUs are set at the beginning of the performance period and are based on cumulative three-year performance goals.</w:t>
      </w:r>
    </w:p>
    <w:p>
      <w:pPr>
        <w:spacing w:after="0" w:line="33" w:lineRule="exact"/>
        <w:rPr>
          <w:sz w:val="20"/>
          <w:szCs w:val="20"/>
          <w:color w:val="auto"/>
        </w:rPr>
      </w:pPr>
    </w:p>
    <w:p>
      <w:pPr>
        <w:ind w:left="1" w:right="260"/>
        <w:spacing w:after="0" w:line="250" w:lineRule="auto"/>
        <w:rPr>
          <w:sz w:val="20"/>
          <w:szCs w:val="20"/>
          <w:color w:val="auto"/>
        </w:rPr>
      </w:pPr>
      <w:r>
        <w:rPr>
          <w:rFonts w:ascii="Arial" w:cs="Arial" w:eastAsia="Arial" w:hAnsi="Arial"/>
          <w:sz w:val="20"/>
          <w:szCs w:val="20"/>
          <w:color w:val="auto"/>
        </w:rPr>
        <w:t>Earned PSUs vest and pay out (or are cancelled if not earned) following the end of the three-year performance period. The actual value realized by our NEOs with respect to these awards is based on achievement of performance goals and our stock price at the time of vesting.</w:t>
      </w:r>
    </w:p>
    <w:p>
      <w:pPr>
        <w:spacing w:after="0" w:line="13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582C83"/>
        </w:rPr>
        <w:t>2020-2022 Performance Cycle Results and Shares Earned</w:t>
      </w:r>
    </w:p>
    <w:p>
      <w:pPr>
        <w:spacing w:after="0" w:line="44"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following chart details:</w:t>
      </w:r>
    </w:p>
    <w:p>
      <w:pPr>
        <w:spacing w:after="0" w:line="77" w:lineRule="exact"/>
        <w:rPr>
          <w:sz w:val="20"/>
          <w:szCs w:val="20"/>
          <w:color w:val="auto"/>
        </w:rPr>
      </w:pPr>
    </w:p>
    <w:p>
      <w:pPr>
        <w:ind w:left="121" w:right="540" w:hanging="121"/>
        <w:spacing w:after="0" w:line="268" w:lineRule="auto"/>
        <w:tabs>
          <w:tab w:leader="none" w:pos="121" w:val="left"/>
        </w:tabs>
        <w:numPr>
          <w:ilvl w:val="0"/>
          <w:numId w:val="74"/>
        </w:numPr>
        <w:rPr>
          <w:rFonts w:ascii="Arial" w:cs="Arial" w:eastAsia="Arial" w:hAnsi="Arial"/>
          <w:sz w:val="20"/>
          <w:szCs w:val="20"/>
          <w:color w:val="582C83"/>
        </w:rPr>
      </w:pPr>
      <w:r>
        <w:rPr>
          <w:rFonts w:ascii="Arial" w:cs="Arial" w:eastAsia="Arial" w:hAnsi="Arial"/>
          <w:sz w:val="20"/>
          <w:szCs w:val="20"/>
          <w:color w:val="auto"/>
        </w:rPr>
        <w:t>The key financial measures, weightings and performance standards the People and Compensation Committee set in late 2019;</w:t>
      </w:r>
    </w:p>
    <w:p>
      <w:pPr>
        <w:spacing w:after="0" w:line="32" w:lineRule="exact"/>
        <w:rPr>
          <w:rFonts w:ascii="Arial" w:cs="Arial" w:eastAsia="Arial" w:hAnsi="Arial"/>
          <w:sz w:val="20"/>
          <w:szCs w:val="20"/>
          <w:color w:val="582C83"/>
        </w:rPr>
      </w:pPr>
    </w:p>
    <w:p>
      <w:pPr>
        <w:ind w:left="121" w:hanging="121"/>
        <w:spacing w:after="0"/>
        <w:tabs>
          <w:tab w:leader="none" w:pos="121" w:val="left"/>
        </w:tabs>
        <w:numPr>
          <w:ilvl w:val="0"/>
          <w:numId w:val="74"/>
        </w:numPr>
        <w:rPr>
          <w:rFonts w:ascii="Arial" w:cs="Arial" w:eastAsia="Arial" w:hAnsi="Arial"/>
          <w:sz w:val="20"/>
          <w:szCs w:val="20"/>
          <w:color w:val="582C83"/>
        </w:rPr>
      </w:pPr>
      <w:r>
        <w:rPr>
          <w:rFonts w:ascii="Arial" w:cs="Arial" w:eastAsia="Arial" w:hAnsi="Arial"/>
          <w:sz w:val="20"/>
          <w:szCs w:val="20"/>
          <w:color w:val="auto"/>
        </w:rPr>
        <w:t>Our actual performance over the 2020-2022 performance cycle; and</w:t>
      </w:r>
    </w:p>
    <w:p>
      <w:pPr>
        <w:spacing w:after="0" w:line="92" w:lineRule="exact"/>
        <w:rPr>
          <w:rFonts w:ascii="Arial" w:cs="Arial" w:eastAsia="Arial" w:hAnsi="Arial"/>
          <w:sz w:val="20"/>
          <w:szCs w:val="20"/>
          <w:color w:val="582C83"/>
        </w:rPr>
      </w:pPr>
    </w:p>
    <w:p>
      <w:pPr>
        <w:ind w:left="121" w:right="260" w:hanging="121"/>
        <w:spacing w:after="0" w:line="268" w:lineRule="auto"/>
        <w:tabs>
          <w:tab w:leader="none" w:pos="121" w:val="left"/>
        </w:tabs>
        <w:numPr>
          <w:ilvl w:val="0"/>
          <w:numId w:val="74"/>
        </w:numPr>
        <w:rPr>
          <w:rFonts w:ascii="Arial" w:cs="Arial" w:eastAsia="Arial" w:hAnsi="Arial"/>
          <w:sz w:val="20"/>
          <w:szCs w:val="20"/>
          <w:color w:val="582C83"/>
        </w:rPr>
      </w:pPr>
      <w:r>
        <w:rPr>
          <w:rFonts w:ascii="Arial" w:cs="Arial" w:eastAsia="Arial" w:hAnsi="Arial"/>
          <w:sz w:val="20"/>
          <w:szCs w:val="20"/>
          <w:color w:val="auto"/>
        </w:rPr>
        <w:t>The final business performance rating approved by the People and Compensation Committee at the conclusion of the 2020-2022 performance cycle.</w:t>
      </w:r>
    </w:p>
    <w:p>
      <w:pPr>
        <w:spacing w:after="0" w:line="107" w:lineRule="exact"/>
        <w:rPr>
          <w:sz w:val="20"/>
          <w:szCs w:val="20"/>
          <w:color w:val="auto"/>
        </w:rPr>
      </w:pPr>
    </w:p>
    <w:p>
      <w:pPr>
        <w:ind w:left="1" w:right="120"/>
        <w:spacing w:after="0" w:line="250" w:lineRule="auto"/>
        <w:rPr>
          <w:sz w:val="20"/>
          <w:szCs w:val="20"/>
          <w:color w:val="auto"/>
        </w:rPr>
      </w:pPr>
      <w:r>
        <w:rPr>
          <w:rFonts w:ascii="Arial" w:cs="Arial" w:eastAsia="Arial" w:hAnsi="Arial"/>
          <w:sz w:val="20"/>
          <w:szCs w:val="20"/>
          <w:color w:val="auto"/>
        </w:rPr>
        <w:t>The People and Compensation Committee did not apply any discretion to adjust the final business performance rating for the 2020-2022 performance cycle. Based on the Company’s three-year results, we achieved an above target performance rating of 158%. Actual results for the 2020-2022 performance cycle included:</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rPr>
              <w:t>2020-2022 Performance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Borders>
              <w:bottom w:val="single" w:sz="8" w:color="582C83"/>
            </w:tcBorders>
          </w:tcPr>
          <w:p>
            <w:pPr>
              <w:spacing w:after="0"/>
              <w:rPr>
                <w:sz w:val="19"/>
                <w:szCs w:val="19"/>
                <w:color w:val="auto"/>
              </w:rPr>
            </w:pPr>
          </w:p>
        </w:tc>
        <w:tc>
          <w:tcPr>
            <w:tcW w:w="2660" w:type="dxa"/>
            <w:vAlign w:val="bottom"/>
            <w:tcBorders>
              <w:bottom w:val="single" w:sz="8" w:color="582C83"/>
            </w:tcBorders>
            <w:gridSpan w:val="3"/>
          </w:tcPr>
          <w:p>
            <w:pPr>
              <w:jc w:val="right"/>
              <w:ind w:right="719"/>
              <w:spacing w:after="0"/>
              <w:rPr>
                <w:sz w:val="20"/>
                <w:szCs w:val="20"/>
                <w:color w:val="auto"/>
              </w:rPr>
            </w:pPr>
            <w:r>
              <w:rPr>
                <w:rFonts w:ascii="Arial" w:cs="Arial" w:eastAsia="Arial" w:hAnsi="Arial"/>
                <w:sz w:val="16"/>
                <w:szCs w:val="16"/>
                <w:b w:val="1"/>
                <w:bCs w:val="1"/>
                <w:color w:val="auto"/>
              </w:rPr>
              <w:t>Cycle Results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 xml:space="preserve">Key Performance Measures </w:t>
            </w:r>
            <w:r>
              <w:rPr>
                <w:rFonts w:ascii="Arial" w:cs="Arial" w:eastAsia="Arial" w:hAnsi="Arial"/>
                <w:sz w:val="26"/>
                <w:szCs w:val="26"/>
                <w:b w:val="1"/>
                <w:bCs w:val="1"/>
                <w:color w:val="auto"/>
                <w:vertAlign w:val="superscript"/>
              </w:rPr>
              <w:t>(1)</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Payout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582C83"/>
            </w:tcBorders>
          </w:tcPr>
          <w:p>
            <w:pPr>
              <w:spacing w:after="0"/>
              <w:rPr>
                <w:sz w:val="20"/>
                <w:szCs w:val="20"/>
                <w:color w:val="auto"/>
              </w:rPr>
            </w:pPr>
          </w:p>
        </w:tc>
        <w:tc>
          <w:tcPr>
            <w:tcW w:w="3020" w:type="dxa"/>
            <w:vAlign w:val="bottom"/>
            <w:tcBorders>
              <w:bottom w:val="single" w:sz="8" w:color="582C83"/>
            </w:tcBorders>
            <w:vMerge w:val="continue"/>
          </w:tcPr>
          <w:p>
            <w:pPr>
              <w:spacing w:after="0"/>
              <w:rPr>
                <w:sz w:val="20"/>
                <w:szCs w:val="20"/>
                <w:color w:val="auto"/>
              </w:rPr>
            </w:pPr>
          </w:p>
        </w:tc>
        <w:tc>
          <w:tcPr>
            <w:tcW w:w="20" w:type="dxa"/>
            <w:vAlign w:val="bottom"/>
            <w:tcBorders>
              <w:bottom w:val="single" w:sz="8" w:color="582C83"/>
            </w:tcBorders>
          </w:tcPr>
          <w:p>
            <w:pPr>
              <w:spacing w:after="0"/>
              <w:rPr>
                <w:sz w:val="20"/>
                <w:szCs w:val="20"/>
                <w:color w:val="auto"/>
              </w:rPr>
            </w:pPr>
          </w:p>
        </w:tc>
        <w:tc>
          <w:tcPr>
            <w:tcW w:w="112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Weighting</w:t>
            </w:r>
          </w:p>
        </w:tc>
        <w:tc>
          <w:tcPr>
            <w:tcW w:w="146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Threshold</w:t>
            </w:r>
          </w:p>
        </w:tc>
        <w:tc>
          <w:tcPr>
            <w:tcW w:w="146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Target</w:t>
            </w:r>
          </w:p>
        </w:tc>
        <w:tc>
          <w:tcPr>
            <w:tcW w:w="20" w:type="dxa"/>
            <w:vAlign w:val="bottom"/>
            <w:tcBorders>
              <w:bottom w:val="single" w:sz="8" w:color="582C83"/>
            </w:tcBorders>
          </w:tcPr>
          <w:p>
            <w:pPr>
              <w:spacing w:after="0"/>
              <w:rPr>
                <w:sz w:val="20"/>
                <w:szCs w:val="20"/>
                <w:color w:val="auto"/>
              </w:rPr>
            </w:pPr>
          </w:p>
        </w:tc>
        <w:tc>
          <w:tcPr>
            <w:tcW w:w="14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Maximum</w:t>
            </w:r>
          </w:p>
        </w:tc>
        <w:tc>
          <w:tcPr>
            <w:tcW w:w="20" w:type="dxa"/>
            <w:vAlign w:val="bottom"/>
            <w:tcBorders>
              <w:bottom w:val="single" w:sz="8" w:color="582C83"/>
            </w:tcBorders>
          </w:tcPr>
          <w:p>
            <w:pPr>
              <w:spacing w:after="0"/>
              <w:rPr>
                <w:sz w:val="20"/>
                <w:szCs w:val="20"/>
                <w:color w:val="auto"/>
              </w:rPr>
            </w:pPr>
          </w:p>
        </w:tc>
        <w:tc>
          <w:tcPr>
            <w:tcW w:w="14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Actual</w:t>
            </w:r>
          </w:p>
        </w:tc>
        <w:tc>
          <w:tcPr>
            <w:tcW w:w="20" w:type="dxa"/>
            <w:vAlign w:val="bottom"/>
            <w:tcBorders>
              <w:bottom w:val="single" w:sz="8" w:color="582C83"/>
            </w:tcBorders>
          </w:tcPr>
          <w:p>
            <w:pPr>
              <w:spacing w:after="0"/>
              <w:rPr>
                <w:sz w:val="20"/>
                <w:szCs w:val="20"/>
                <w:color w:val="auto"/>
              </w:rPr>
            </w:pPr>
          </w:p>
        </w:tc>
        <w:tc>
          <w:tcPr>
            <w:tcW w:w="120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Percentage</w:t>
            </w:r>
          </w:p>
        </w:tc>
        <w:tc>
          <w:tcPr>
            <w:tcW w:w="20" w:type="dxa"/>
            <w:vAlign w:val="bottom"/>
            <w:tcBorders>
              <w:bottom w:val="single" w:sz="8" w:color="582C83"/>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Borders>
              <w:bottom w:val="single" w:sz="8" w:color="EBE6F0"/>
            </w:tcBorders>
            <w:shd w:val="clear" w:color="auto" w:fill="EBE6F0"/>
          </w:tcPr>
          <w:p>
            <w:pPr>
              <w:spacing w:after="0"/>
              <w:rPr>
                <w:sz w:val="24"/>
                <w:szCs w:val="24"/>
                <w:color w:val="auto"/>
              </w:rPr>
            </w:pPr>
          </w:p>
        </w:tc>
        <w:tc>
          <w:tcPr>
            <w:tcW w:w="302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Organic Net Revenue Growth</w:t>
            </w:r>
          </w:p>
        </w:tc>
        <w:tc>
          <w:tcPr>
            <w:tcW w:w="20" w:type="dxa"/>
            <w:vAlign w:val="bottom"/>
            <w:tcBorders>
              <w:bottom w:val="single" w:sz="8" w:color="EBE6F0"/>
            </w:tcBorders>
            <w:shd w:val="clear" w:color="auto" w:fill="EBE6F0"/>
          </w:tcPr>
          <w:p>
            <w:pPr>
              <w:spacing w:after="0"/>
              <w:rPr>
                <w:sz w:val="24"/>
                <w:szCs w:val="24"/>
                <w:color w:val="auto"/>
              </w:rPr>
            </w:pPr>
          </w:p>
        </w:tc>
        <w:tc>
          <w:tcPr>
            <w:tcW w:w="11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25%</w:t>
            </w:r>
          </w:p>
        </w:tc>
        <w:tc>
          <w:tcPr>
            <w:tcW w:w="14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2.3%</w:t>
            </w:r>
          </w:p>
        </w:tc>
        <w:tc>
          <w:tcPr>
            <w:tcW w:w="14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bottom w:val="single" w:sz="8" w:color="EBE6F0"/>
            </w:tcBorders>
            <w:shd w:val="clear" w:color="auto" w:fill="EBE6F0"/>
          </w:tcPr>
          <w:p>
            <w:pPr>
              <w:spacing w:after="0"/>
              <w:rPr>
                <w:sz w:val="24"/>
                <w:szCs w:val="24"/>
                <w:color w:val="auto"/>
              </w:rPr>
            </w:pPr>
          </w:p>
        </w:tc>
        <w:tc>
          <w:tcPr>
            <w:tcW w:w="14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4.8%</w:t>
            </w:r>
          </w:p>
        </w:tc>
        <w:tc>
          <w:tcPr>
            <w:tcW w:w="20" w:type="dxa"/>
            <w:vAlign w:val="bottom"/>
            <w:tcBorders>
              <w:bottom w:val="single" w:sz="8" w:color="EBE6F0"/>
            </w:tcBorders>
            <w:shd w:val="clear" w:color="auto" w:fill="EBE6F0"/>
          </w:tcPr>
          <w:p>
            <w:pPr>
              <w:spacing w:after="0"/>
              <w:rPr>
                <w:sz w:val="24"/>
                <w:szCs w:val="24"/>
                <w:color w:val="auto"/>
              </w:rPr>
            </w:pPr>
          </w:p>
        </w:tc>
        <w:tc>
          <w:tcPr>
            <w:tcW w:w="14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7.1%</w:t>
            </w:r>
          </w:p>
        </w:tc>
        <w:tc>
          <w:tcPr>
            <w:tcW w:w="20" w:type="dxa"/>
            <w:vAlign w:val="bottom"/>
            <w:tcBorders>
              <w:bottom w:val="single" w:sz="8" w:color="EBE6F0"/>
            </w:tcBorders>
            <w:shd w:val="clear" w:color="auto" w:fill="EBE6F0"/>
          </w:tcPr>
          <w:p>
            <w:pPr>
              <w:spacing w:after="0"/>
              <w:rPr>
                <w:sz w:val="24"/>
                <w:szCs w:val="24"/>
                <w:color w:val="auto"/>
              </w:rPr>
            </w:pPr>
          </w:p>
        </w:tc>
        <w:tc>
          <w:tcPr>
            <w:tcW w:w="12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200%</w:t>
            </w:r>
          </w:p>
        </w:tc>
        <w:tc>
          <w:tcPr>
            <w:tcW w:w="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3020" w:type="dxa"/>
            <w:vAlign w:val="bottom"/>
            <w:tcBorders>
              <w:top w:val="single" w:sz="8" w:color="582C83"/>
            </w:tcBorders>
          </w:tcPr>
          <w:p>
            <w:pPr>
              <w:ind w:left="40"/>
              <w:spacing w:after="0"/>
              <w:rPr>
                <w:sz w:val="20"/>
                <w:szCs w:val="20"/>
                <w:color w:val="auto"/>
              </w:rPr>
            </w:pPr>
            <w:r>
              <w:rPr>
                <w:rFonts w:ascii="Arial" w:cs="Arial" w:eastAsia="Arial" w:hAnsi="Arial"/>
                <w:sz w:val="16"/>
                <w:szCs w:val="16"/>
                <w:color w:val="auto"/>
              </w:rPr>
              <w:t>Adjusted EPS Growth</w:t>
            </w:r>
          </w:p>
        </w:tc>
        <w:tc>
          <w:tcPr>
            <w:tcW w:w="20" w:type="dxa"/>
            <w:vAlign w:val="bottom"/>
            <w:tcBorders>
              <w:top w:val="single" w:sz="8" w:color="EBE6F0"/>
            </w:tcBorders>
          </w:tcPr>
          <w:p>
            <w:pPr>
              <w:spacing w:after="0"/>
              <w:rPr>
                <w:sz w:val="21"/>
                <w:szCs w:val="21"/>
                <w:color w:val="auto"/>
              </w:rPr>
            </w:pPr>
          </w:p>
        </w:tc>
        <w:tc>
          <w:tcPr>
            <w:tcW w:w="112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25%</w:t>
            </w:r>
          </w:p>
        </w:tc>
        <w:tc>
          <w:tcPr>
            <w:tcW w:w="14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5.7%</w:t>
            </w:r>
          </w:p>
        </w:tc>
        <w:tc>
          <w:tcPr>
            <w:tcW w:w="14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6.8%</w:t>
            </w:r>
          </w:p>
        </w:tc>
        <w:tc>
          <w:tcPr>
            <w:tcW w:w="20" w:type="dxa"/>
            <w:vAlign w:val="bottom"/>
            <w:tcBorders>
              <w:top w:val="single" w:sz="8" w:color="EBE6F0"/>
            </w:tcBorders>
          </w:tcPr>
          <w:p>
            <w:pPr>
              <w:spacing w:after="0"/>
              <w:rPr>
                <w:sz w:val="21"/>
                <w:szCs w:val="21"/>
                <w:color w:val="auto"/>
              </w:rPr>
            </w:pPr>
          </w:p>
        </w:tc>
        <w:tc>
          <w:tcPr>
            <w:tcW w:w="144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9.1%</w:t>
            </w:r>
          </w:p>
        </w:tc>
        <w:tc>
          <w:tcPr>
            <w:tcW w:w="20" w:type="dxa"/>
            <w:vAlign w:val="bottom"/>
            <w:tcBorders>
              <w:top w:val="single" w:sz="8" w:color="EBE6F0"/>
            </w:tcBorders>
          </w:tcPr>
          <w:p>
            <w:pPr>
              <w:spacing w:after="0"/>
              <w:rPr>
                <w:sz w:val="21"/>
                <w:szCs w:val="21"/>
                <w:color w:val="auto"/>
              </w:rPr>
            </w:pPr>
          </w:p>
        </w:tc>
        <w:tc>
          <w:tcPr>
            <w:tcW w:w="144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9.1%</w:t>
            </w:r>
          </w:p>
        </w:tc>
        <w:tc>
          <w:tcPr>
            <w:tcW w:w="20" w:type="dxa"/>
            <w:vAlign w:val="bottom"/>
            <w:tcBorders>
              <w:top w:val="single" w:sz="8" w:color="EBE6F0"/>
            </w:tcBorders>
          </w:tcPr>
          <w:p>
            <w:pPr>
              <w:spacing w:after="0"/>
              <w:rPr>
                <w:sz w:val="21"/>
                <w:szCs w:val="21"/>
                <w:color w:val="auto"/>
              </w:rPr>
            </w:pPr>
          </w:p>
        </w:tc>
        <w:tc>
          <w:tcPr>
            <w:tcW w:w="12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200%</w:t>
            </w:r>
          </w:p>
        </w:tc>
        <w:tc>
          <w:tcPr>
            <w:tcW w:w="20" w:type="dxa"/>
            <w:vAlign w:val="bottom"/>
            <w:tcBorders>
              <w:top w:val="single" w:sz="8" w:color="EBE6F0"/>
            </w:tcBorders>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Borders>
              <w:bottom w:val="single" w:sz="8" w:color="582C83"/>
            </w:tcBorders>
          </w:tcPr>
          <w:p>
            <w:pPr>
              <w:spacing w:after="0"/>
              <w:rPr>
                <w:sz w:val="3"/>
                <w:szCs w:val="3"/>
                <w:color w:val="auto"/>
              </w:rPr>
            </w:pPr>
          </w:p>
        </w:tc>
        <w:tc>
          <w:tcPr>
            <w:tcW w:w="302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1460" w:type="dxa"/>
            <w:vAlign w:val="bottom"/>
            <w:tcBorders>
              <w:bottom w:val="single" w:sz="8" w:color="582C83"/>
            </w:tcBorders>
          </w:tcPr>
          <w:p>
            <w:pPr>
              <w:spacing w:after="0"/>
              <w:rPr>
                <w:sz w:val="3"/>
                <w:szCs w:val="3"/>
                <w:color w:val="auto"/>
              </w:rPr>
            </w:pPr>
          </w:p>
        </w:tc>
        <w:tc>
          <w:tcPr>
            <w:tcW w:w="146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44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44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EBE6F0"/>
            </w:tcBorders>
            <w:shd w:val="clear" w:color="auto" w:fill="EBE6F0"/>
          </w:tcPr>
          <w:p>
            <w:pPr>
              <w:spacing w:after="0"/>
              <w:rPr>
                <w:sz w:val="24"/>
                <w:szCs w:val="24"/>
                <w:color w:val="auto"/>
              </w:rPr>
            </w:pPr>
          </w:p>
        </w:tc>
        <w:tc>
          <w:tcPr>
            <w:tcW w:w="3020" w:type="dxa"/>
            <w:vAlign w:val="bottom"/>
            <w:tcBorders>
              <w:bottom w:val="single" w:sz="8" w:color="582C83"/>
            </w:tcBorders>
            <w:shd w:val="clear" w:color="auto" w:fill="EBE6F0"/>
          </w:tcPr>
          <w:p>
            <w:pPr>
              <w:ind w:left="60"/>
              <w:spacing w:after="0"/>
              <w:rPr>
                <w:sz w:val="20"/>
                <w:szCs w:val="20"/>
                <w:color w:val="auto"/>
              </w:rPr>
            </w:pPr>
            <w:r>
              <w:rPr>
                <w:rFonts w:ascii="Arial" w:cs="Arial" w:eastAsia="Arial" w:hAnsi="Arial"/>
                <w:sz w:val="16"/>
                <w:szCs w:val="16"/>
                <w:color w:val="auto"/>
              </w:rPr>
              <w:t>Annualized Relative TSR</w:t>
            </w:r>
            <w:r>
              <w:rPr>
                <w:rFonts w:ascii="Arial" w:cs="Arial" w:eastAsia="Arial" w:hAnsi="Arial"/>
                <w:sz w:val="26"/>
                <w:szCs w:val="26"/>
                <w:color w:val="auto"/>
                <w:vertAlign w:val="superscript"/>
              </w:rPr>
              <w:t>(2)</w:t>
            </w:r>
          </w:p>
        </w:tc>
        <w:tc>
          <w:tcPr>
            <w:tcW w:w="20" w:type="dxa"/>
            <w:vAlign w:val="bottom"/>
            <w:tcBorders>
              <w:bottom w:val="single" w:sz="8" w:color="EBE6F0"/>
            </w:tcBorders>
            <w:shd w:val="clear" w:color="auto" w:fill="EBE6F0"/>
          </w:tcPr>
          <w:p>
            <w:pPr>
              <w:spacing w:after="0"/>
              <w:rPr>
                <w:sz w:val="24"/>
                <w:szCs w:val="24"/>
                <w:color w:val="auto"/>
              </w:rPr>
            </w:pPr>
          </w:p>
        </w:tc>
        <w:tc>
          <w:tcPr>
            <w:tcW w:w="112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50%</w:t>
            </w:r>
          </w:p>
        </w:tc>
        <w:tc>
          <w:tcPr>
            <w:tcW w:w="146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146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55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20" w:type="dxa"/>
            <w:vAlign w:val="bottom"/>
            <w:tcBorders>
              <w:bottom w:val="single" w:sz="8" w:color="EBE6F0"/>
            </w:tcBorders>
            <w:shd w:val="clear" w:color="auto" w:fill="EBE6F0"/>
          </w:tcPr>
          <w:p>
            <w:pPr>
              <w:spacing w:after="0"/>
              <w:rPr>
                <w:sz w:val="24"/>
                <w:szCs w:val="24"/>
                <w:color w:val="auto"/>
              </w:rPr>
            </w:pPr>
          </w:p>
        </w:tc>
        <w:tc>
          <w:tcPr>
            <w:tcW w:w="144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20" w:type="dxa"/>
            <w:vAlign w:val="bottom"/>
            <w:tcBorders>
              <w:bottom w:val="single" w:sz="8" w:color="EBE6F0"/>
            </w:tcBorders>
            <w:shd w:val="clear" w:color="auto" w:fill="EBE6F0"/>
          </w:tcPr>
          <w:p>
            <w:pPr>
              <w:spacing w:after="0"/>
              <w:rPr>
                <w:sz w:val="24"/>
                <w:szCs w:val="24"/>
                <w:color w:val="auto"/>
              </w:rPr>
            </w:pPr>
          </w:p>
        </w:tc>
        <w:tc>
          <w:tcPr>
            <w:tcW w:w="144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61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percentile</w:t>
            </w:r>
          </w:p>
        </w:tc>
        <w:tc>
          <w:tcPr>
            <w:tcW w:w="20" w:type="dxa"/>
            <w:vAlign w:val="bottom"/>
            <w:tcBorders>
              <w:bottom w:val="single" w:sz="8" w:color="EBE6F0"/>
            </w:tcBorders>
            <w:shd w:val="clear" w:color="auto" w:fill="EBE6F0"/>
          </w:tcPr>
          <w:p>
            <w:pPr>
              <w:spacing w:after="0"/>
              <w:rPr>
                <w:sz w:val="24"/>
                <w:szCs w:val="24"/>
                <w:color w:val="auto"/>
              </w:rPr>
            </w:pPr>
          </w:p>
        </w:tc>
        <w:tc>
          <w:tcPr>
            <w:tcW w:w="120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rPr>
              <w:t>115%</w:t>
            </w:r>
          </w:p>
        </w:tc>
        <w:tc>
          <w:tcPr>
            <w:tcW w:w="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Final Business Performance Rating</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158%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582C83"/>
            </w:tcBorders>
          </w:tcPr>
          <w:p>
            <w:pPr>
              <w:spacing w:after="0"/>
              <w:rPr>
                <w:sz w:val="2"/>
                <w:szCs w:val="2"/>
                <w:color w:val="auto"/>
              </w:rPr>
            </w:pPr>
          </w:p>
        </w:tc>
        <w:tc>
          <w:tcPr>
            <w:tcW w:w="3020" w:type="dxa"/>
            <w:vAlign w:val="bottom"/>
            <w:tcBorders>
              <w:bottom w:val="single" w:sz="8" w:color="582C83"/>
            </w:tcBorders>
          </w:tcPr>
          <w:p>
            <w:pPr>
              <w:spacing w:after="0"/>
              <w:rPr>
                <w:sz w:val="2"/>
                <w:szCs w:val="2"/>
                <w:color w:val="auto"/>
              </w:rPr>
            </w:pPr>
          </w:p>
        </w:tc>
        <w:tc>
          <w:tcPr>
            <w:tcW w:w="20" w:type="dxa"/>
            <w:vAlign w:val="bottom"/>
            <w:tcBorders>
              <w:bottom w:val="single" w:sz="8" w:color="582C83"/>
            </w:tcBorders>
          </w:tcPr>
          <w:p>
            <w:pPr>
              <w:spacing w:after="0"/>
              <w:rPr>
                <w:sz w:val="2"/>
                <w:szCs w:val="2"/>
                <w:color w:val="auto"/>
              </w:rPr>
            </w:pPr>
          </w:p>
        </w:tc>
        <w:tc>
          <w:tcPr>
            <w:tcW w:w="1120" w:type="dxa"/>
            <w:vAlign w:val="bottom"/>
            <w:tcBorders>
              <w:bottom w:val="single" w:sz="8" w:color="582C83"/>
            </w:tcBorders>
          </w:tcPr>
          <w:p>
            <w:pPr>
              <w:spacing w:after="0"/>
              <w:rPr>
                <w:sz w:val="2"/>
                <w:szCs w:val="2"/>
                <w:color w:val="auto"/>
              </w:rPr>
            </w:pPr>
          </w:p>
        </w:tc>
        <w:tc>
          <w:tcPr>
            <w:tcW w:w="1460" w:type="dxa"/>
            <w:vAlign w:val="bottom"/>
            <w:tcBorders>
              <w:bottom w:val="single" w:sz="8" w:color="582C83"/>
            </w:tcBorders>
          </w:tcPr>
          <w:p>
            <w:pPr>
              <w:spacing w:after="0"/>
              <w:rPr>
                <w:sz w:val="2"/>
                <w:szCs w:val="2"/>
                <w:color w:val="auto"/>
              </w:rPr>
            </w:pPr>
          </w:p>
        </w:tc>
        <w:tc>
          <w:tcPr>
            <w:tcW w:w="1460" w:type="dxa"/>
            <w:vAlign w:val="bottom"/>
            <w:tcBorders>
              <w:bottom w:val="single" w:sz="8" w:color="582C83"/>
            </w:tcBorders>
          </w:tcPr>
          <w:p>
            <w:pPr>
              <w:spacing w:after="0"/>
              <w:rPr>
                <w:sz w:val="2"/>
                <w:szCs w:val="2"/>
                <w:color w:val="auto"/>
              </w:rPr>
            </w:pPr>
          </w:p>
        </w:tc>
        <w:tc>
          <w:tcPr>
            <w:tcW w:w="20" w:type="dxa"/>
            <w:vAlign w:val="bottom"/>
            <w:tcBorders>
              <w:bottom w:val="single" w:sz="8" w:color="582C83"/>
            </w:tcBorders>
          </w:tcPr>
          <w:p>
            <w:pPr>
              <w:spacing w:after="0"/>
              <w:rPr>
                <w:sz w:val="2"/>
                <w:szCs w:val="2"/>
                <w:color w:val="auto"/>
              </w:rPr>
            </w:pPr>
          </w:p>
        </w:tc>
        <w:tc>
          <w:tcPr>
            <w:tcW w:w="1440" w:type="dxa"/>
            <w:vAlign w:val="bottom"/>
            <w:tcBorders>
              <w:bottom w:val="single" w:sz="8" w:color="582C83"/>
            </w:tcBorders>
          </w:tcPr>
          <w:p>
            <w:pPr>
              <w:spacing w:after="0"/>
              <w:rPr>
                <w:sz w:val="2"/>
                <w:szCs w:val="2"/>
                <w:color w:val="auto"/>
              </w:rPr>
            </w:pPr>
          </w:p>
        </w:tc>
        <w:tc>
          <w:tcPr>
            <w:tcW w:w="20" w:type="dxa"/>
            <w:vAlign w:val="bottom"/>
            <w:tcBorders>
              <w:bottom w:val="single" w:sz="8" w:color="582C83"/>
            </w:tcBorders>
          </w:tcPr>
          <w:p>
            <w:pPr>
              <w:spacing w:after="0"/>
              <w:rPr>
                <w:sz w:val="2"/>
                <w:szCs w:val="2"/>
                <w:color w:val="auto"/>
              </w:rPr>
            </w:pPr>
          </w:p>
        </w:tc>
        <w:tc>
          <w:tcPr>
            <w:tcW w:w="1440" w:type="dxa"/>
            <w:vAlign w:val="bottom"/>
            <w:tcBorders>
              <w:bottom w:val="single" w:sz="8" w:color="582C83"/>
            </w:tcBorders>
          </w:tcPr>
          <w:p>
            <w:pPr>
              <w:spacing w:after="0"/>
              <w:rPr>
                <w:sz w:val="2"/>
                <w:szCs w:val="2"/>
                <w:color w:val="auto"/>
              </w:rPr>
            </w:pPr>
          </w:p>
        </w:tc>
        <w:tc>
          <w:tcPr>
            <w:tcW w:w="20" w:type="dxa"/>
            <w:vAlign w:val="bottom"/>
            <w:tcBorders>
              <w:bottom w:val="single" w:sz="8" w:color="582C83"/>
            </w:tcBorders>
          </w:tcPr>
          <w:p>
            <w:pPr>
              <w:spacing w:after="0"/>
              <w:rPr>
                <w:sz w:val="2"/>
                <w:szCs w:val="2"/>
                <w:color w:val="auto"/>
              </w:rPr>
            </w:pPr>
          </w:p>
        </w:tc>
        <w:tc>
          <w:tcPr>
            <w:tcW w:w="1200" w:type="dxa"/>
            <w:vAlign w:val="bottom"/>
            <w:tcBorders>
              <w:bottom w:val="single" w:sz="8" w:color="582C83"/>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81" w:hanging="219"/>
        <w:spacing w:after="0"/>
        <w:tabs>
          <w:tab w:leader="none" w:pos="281" w:val="left"/>
        </w:tabs>
        <w:numPr>
          <w:ilvl w:val="0"/>
          <w:numId w:val="75"/>
        </w:numPr>
        <w:rPr>
          <w:rFonts w:ascii="Arial" w:cs="Arial" w:eastAsia="Arial" w:hAnsi="Arial"/>
          <w:sz w:val="15"/>
          <w:szCs w:val="15"/>
          <w:color w:val="auto"/>
        </w:rPr>
      </w:pPr>
      <w:r>
        <w:rPr>
          <w:rFonts w:ascii="Arial" w:cs="Arial" w:eastAsia="Arial" w:hAnsi="Arial"/>
          <w:sz w:val="15"/>
          <w:szCs w:val="15"/>
          <w:color w:val="auto"/>
        </w:rPr>
        <w:t>See definition in Annex A.</w:t>
      </w:r>
    </w:p>
    <w:p>
      <w:pPr>
        <w:spacing w:after="0" w:line="38" w:lineRule="exact"/>
        <w:rPr>
          <w:rFonts w:ascii="Arial" w:cs="Arial" w:eastAsia="Arial" w:hAnsi="Arial"/>
          <w:sz w:val="15"/>
          <w:szCs w:val="15"/>
          <w:color w:val="auto"/>
        </w:rPr>
      </w:pPr>
    </w:p>
    <w:p>
      <w:pPr>
        <w:ind w:left="281" w:hanging="219"/>
        <w:spacing w:after="0"/>
        <w:tabs>
          <w:tab w:leader="none" w:pos="281" w:val="left"/>
        </w:tabs>
        <w:numPr>
          <w:ilvl w:val="0"/>
          <w:numId w:val="75"/>
        </w:numPr>
        <w:rPr>
          <w:rFonts w:ascii="Arial" w:cs="Arial" w:eastAsia="Arial" w:hAnsi="Arial"/>
          <w:sz w:val="15"/>
          <w:szCs w:val="15"/>
          <w:color w:val="auto"/>
        </w:rPr>
      </w:pPr>
      <w:r>
        <w:rPr>
          <w:rFonts w:ascii="Arial" w:cs="Arial" w:eastAsia="Arial" w:hAnsi="Arial"/>
          <w:sz w:val="15"/>
          <w:szCs w:val="15"/>
          <w:color w:val="auto"/>
        </w:rPr>
        <w:t>In determining our Annualized Relative TSR performance, we used our 2022 Performance Peer Group (see “Performance Peer Group” on page 87).</w:t>
      </w:r>
    </w:p>
    <w:p>
      <w:pPr>
        <w:spacing w:after="0" w:line="199" w:lineRule="exact"/>
        <w:rPr>
          <w:sz w:val="20"/>
          <w:szCs w:val="20"/>
          <w:color w:val="auto"/>
        </w:rPr>
      </w:pPr>
    </w:p>
    <w:p>
      <w:pPr>
        <w:ind w:left="1" w:right="840"/>
        <w:spacing w:after="0" w:line="268" w:lineRule="auto"/>
        <w:rPr>
          <w:sz w:val="20"/>
          <w:szCs w:val="20"/>
          <w:color w:val="auto"/>
        </w:rPr>
      </w:pPr>
      <w:r>
        <w:rPr>
          <w:rFonts w:ascii="Arial" w:cs="Arial" w:eastAsia="Arial" w:hAnsi="Arial"/>
          <w:sz w:val="20"/>
          <w:szCs w:val="20"/>
          <w:color w:val="auto"/>
        </w:rPr>
        <w:t>Based on target awards and the performance rating, the shares earned (before taxes) for each NEO for the 2020-2022 performance cycle were as follows:</w:t>
      </w:r>
    </w:p>
    <w:p>
      <w:pPr>
        <w:spacing w:after="0" w:line="170" w:lineRule="exact"/>
        <w:rPr>
          <w:sz w:val="20"/>
          <w:szCs w:val="20"/>
          <w:color w:val="auto"/>
        </w:rPr>
      </w:pPr>
    </w:p>
    <w:tbl>
      <w:tblPr>
        <w:tblLayout w:type="fixed"/>
        <w:tblInd w:w="11" w:type="dxa"/>
        <w:tblCellMar>
          <w:top w:w="0" w:type="dxa"/>
          <w:left w:w="0" w:type="dxa"/>
          <w:bottom w:w="0" w:type="dxa"/>
          <w:right w:w="0" w:type="dxa"/>
        </w:tblCellMar>
      </w:tblPr>
      <w:tr>
        <w:trPr>
          <w:trHeight w:val="241"/>
        </w:trPr>
        <w:tc>
          <w:tcPr>
            <w:tcW w:w="902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Name</w:t>
            </w:r>
          </w:p>
        </w:tc>
        <w:tc>
          <w:tcPr>
            <w:tcW w:w="22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Shares Earned</w:t>
            </w:r>
          </w:p>
        </w:tc>
      </w:tr>
      <w:tr>
        <w:trPr>
          <w:trHeight w:val="291"/>
        </w:trPr>
        <w:tc>
          <w:tcPr>
            <w:tcW w:w="902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Mr. Van de Put</w:t>
            </w:r>
          </w:p>
        </w:tc>
        <w:tc>
          <w:tcPr>
            <w:tcW w:w="22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220,790</w:t>
            </w:r>
          </w:p>
        </w:tc>
      </w:tr>
      <w:tr>
        <w:trPr>
          <w:trHeight w:val="243"/>
        </w:trPr>
        <w:tc>
          <w:tcPr>
            <w:tcW w:w="902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Mr. Zaramella</w:t>
            </w:r>
          </w:p>
        </w:tc>
        <w:tc>
          <w:tcPr>
            <w:tcW w:w="224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62,237</w:t>
            </w:r>
          </w:p>
        </w:tc>
      </w:tr>
      <w:tr>
        <w:trPr>
          <w:trHeight w:val="35"/>
        </w:trPr>
        <w:tc>
          <w:tcPr>
            <w:tcW w:w="9020" w:type="dxa"/>
            <w:vAlign w:val="bottom"/>
            <w:tcBorders>
              <w:bottom w:val="single" w:sz="8" w:color="582C83"/>
            </w:tcBorders>
          </w:tcPr>
          <w:p>
            <w:pPr>
              <w:spacing w:after="0"/>
              <w:rPr>
                <w:sz w:val="3"/>
                <w:szCs w:val="3"/>
                <w:color w:val="auto"/>
              </w:rPr>
            </w:pPr>
          </w:p>
        </w:tc>
        <w:tc>
          <w:tcPr>
            <w:tcW w:w="2240" w:type="dxa"/>
            <w:vAlign w:val="bottom"/>
            <w:tcBorders>
              <w:bottom w:val="single" w:sz="8" w:color="582C83"/>
            </w:tcBorders>
          </w:tcPr>
          <w:p>
            <w:pPr>
              <w:spacing w:after="0"/>
              <w:rPr>
                <w:sz w:val="3"/>
                <w:szCs w:val="3"/>
                <w:color w:val="auto"/>
              </w:rPr>
            </w:pPr>
          </w:p>
        </w:tc>
      </w:tr>
      <w:tr>
        <w:trPr>
          <w:trHeight w:val="283"/>
        </w:trPr>
        <w:tc>
          <w:tcPr>
            <w:tcW w:w="902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Mr. Brusadelli</w:t>
            </w:r>
          </w:p>
        </w:tc>
        <w:tc>
          <w:tcPr>
            <w:tcW w:w="22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46,168</w:t>
            </w:r>
          </w:p>
        </w:tc>
      </w:tr>
      <w:tr>
        <w:trPr>
          <w:trHeight w:val="243"/>
        </w:trPr>
        <w:tc>
          <w:tcPr>
            <w:tcW w:w="902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Mr. Gruber</w:t>
            </w:r>
          </w:p>
        </w:tc>
        <w:tc>
          <w:tcPr>
            <w:tcW w:w="224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44,161</w:t>
            </w:r>
          </w:p>
        </w:tc>
      </w:tr>
      <w:tr>
        <w:trPr>
          <w:trHeight w:val="35"/>
        </w:trPr>
        <w:tc>
          <w:tcPr>
            <w:tcW w:w="9020" w:type="dxa"/>
            <w:vAlign w:val="bottom"/>
            <w:tcBorders>
              <w:bottom w:val="single" w:sz="8" w:color="582C83"/>
            </w:tcBorders>
          </w:tcPr>
          <w:p>
            <w:pPr>
              <w:spacing w:after="0"/>
              <w:rPr>
                <w:sz w:val="3"/>
                <w:szCs w:val="3"/>
                <w:color w:val="auto"/>
              </w:rPr>
            </w:pPr>
          </w:p>
        </w:tc>
        <w:tc>
          <w:tcPr>
            <w:tcW w:w="2240" w:type="dxa"/>
            <w:vAlign w:val="bottom"/>
            <w:tcBorders>
              <w:bottom w:val="single" w:sz="8" w:color="582C83"/>
            </w:tcBorders>
          </w:tcPr>
          <w:p>
            <w:pPr>
              <w:spacing w:after="0"/>
              <w:rPr>
                <w:sz w:val="3"/>
                <w:szCs w:val="3"/>
                <w:color w:val="auto"/>
              </w:rPr>
            </w:pPr>
          </w:p>
        </w:tc>
      </w:tr>
      <w:tr>
        <w:trPr>
          <w:trHeight w:val="258"/>
        </w:trPr>
        <w:tc>
          <w:tcPr>
            <w:tcW w:w="902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Mr. Valle</w:t>
            </w:r>
          </w:p>
        </w:tc>
        <w:tc>
          <w:tcPr>
            <w:tcW w:w="22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32,122</w:t>
            </w:r>
          </w:p>
        </w:tc>
      </w:tr>
      <w:tr>
        <w:trPr>
          <w:trHeight w:val="20"/>
        </w:trPr>
        <w:tc>
          <w:tcPr>
            <w:tcW w:w="9020" w:type="dxa"/>
            <w:vAlign w:val="bottom"/>
            <w:tcBorders>
              <w:left w:val="single" w:sz="8" w:color="EBE6F0"/>
              <w:right w:val="single" w:sz="8" w:color="EBE6F0"/>
            </w:tcBorders>
            <w:shd w:val="clear" w:color="auto" w:fill="582C83"/>
          </w:tcPr>
          <w:p>
            <w:pPr>
              <w:spacing w:after="0" w:line="20" w:lineRule="exact"/>
              <w:rPr>
                <w:sz w:val="1"/>
                <w:szCs w:val="1"/>
                <w:color w:val="auto"/>
              </w:rPr>
            </w:pPr>
          </w:p>
        </w:tc>
        <w:tc>
          <w:tcPr>
            <w:tcW w:w="2240" w:type="dxa"/>
            <w:vAlign w:val="bottom"/>
            <w:tcBorders>
              <w:right w:val="single" w:sz="8" w:color="EBE6F0"/>
            </w:tcBorders>
            <w:shd w:val="clear" w:color="auto" w:fill="582C8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244475</wp:posOffset>
            </wp:positionV>
            <wp:extent cx="7143115"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58358F"/>
        </w:rPr>
        <w:t>2023 PROXY STATEMENT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1"/>
          </w:cols>
          <w:pgMar w:left="319" w:top="132" w:right="319" w:bottom="1440" w:gutter="0" w:footer="0" w:header="0"/>
        </w:sectPr>
      </w:pPr>
    </w:p>
    <w:bookmarkStart w:id="86" w:name="page87"/>
    <w:bookmarkEnd w:id="86"/>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Other Outstanding Performance Share Grants</w:t>
      </w:r>
    </w:p>
    <w:p>
      <w:pPr>
        <w:spacing w:after="0" w:line="44" w:lineRule="exact"/>
        <w:rPr>
          <w:sz w:val="20"/>
          <w:szCs w:val="20"/>
          <w:color w:val="auto"/>
        </w:rPr>
      </w:pPr>
    </w:p>
    <w:p>
      <w:pPr>
        <w:ind w:right="660"/>
        <w:spacing w:after="0" w:line="252" w:lineRule="auto"/>
        <w:rPr>
          <w:sz w:val="20"/>
          <w:szCs w:val="20"/>
          <w:color w:val="auto"/>
        </w:rPr>
      </w:pPr>
      <w:r>
        <w:rPr>
          <w:rFonts w:ascii="Arial" w:cs="Arial" w:eastAsia="Arial" w:hAnsi="Arial"/>
          <w:sz w:val="20"/>
          <w:szCs w:val="20"/>
          <w:color w:val="auto"/>
        </w:rPr>
        <w:t>Following are the characteristics of the 2020-2022 PSU grant that recently vested and the two additional PSU grants that remain outstanding as of the end of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20" w:type="dxa"/>
            <w:vAlign w:val="bottom"/>
            <w:tcBorders>
              <w:bottom w:val="single" w:sz="8" w:color="582C83"/>
            </w:tcBorders>
          </w:tcPr>
          <w:p>
            <w:pPr>
              <w:spacing w:after="0"/>
              <w:rPr>
                <w:sz w:val="24"/>
                <w:szCs w:val="24"/>
                <w:color w:val="auto"/>
              </w:rPr>
            </w:pPr>
          </w:p>
        </w:tc>
        <w:tc>
          <w:tcPr>
            <w:tcW w:w="1460" w:type="dxa"/>
            <w:vAlign w:val="bottom"/>
            <w:tcBorders>
              <w:bottom w:val="single" w:sz="8" w:color="582C83"/>
            </w:tcBorders>
          </w:tcPr>
          <w:p>
            <w:pPr>
              <w:spacing w:after="0"/>
              <w:rPr>
                <w:sz w:val="24"/>
                <w:szCs w:val="24"/>
                <w:color w:val="auto"/>
              </w:rPr>
            </w:pPr>
          </w:p>
        </w:tc>
        <w:tc>
          <w:tcPr>
            <w:tcW w:w="1480" w:type="dxa"/>
            <w:vAlign w:val="bottom"/>
            <w:tcBorders>
              <w:bottom w:val="single" w:sz="8" w:color="582C83"/>
            </w:tcBorders>
          </w:tcPr>
          <w:p>
            <w:pPr>
              <w:ind w:left="500"/>
              <w:spacing w:after="0"/>
              <w:rPr>
                <w:sz w:val="20"/>
                <w:szCs w:val="20"/>
                <w:color w:val="auto"/>
              </w:rPr>
            </w:pPr>
            <w:r>
              <w:rPr>
                <w:rFonts w:ascii="Arial" w:cs="Arial" w:eastAsia="Arial" w:hAnsi="Arial"/>
                <w:sz w:val="20"/>
                <w:szCs w:val="20"/>
                <w:b w:val="1"/>
                <w:bCs w:val="1"/>
                <w:color w:val="auto"/>
              </w:rPr>
              <w:t>2020</w:t>
            </w:r>
          </w:p>
        </w:tc>
        <w:tc>
          <w:tcPr>
            <w:tcW w:w="1480" w:type="dxa"/>
            <w:vAlign w:val="bottom"/>
            <w:tcBorders>
              <w:bottom w:val="single" w:sz="8" w:color="582C83"/>
            </w:tcBorders>
          </w:tcPr>
          <w:p>
            <w:pPr>
              <w:ind w:left="500"/>
              <w:spacing w:after="0"/>
              <w:rPr>
                <w:sz w:val="20"/>
                <w:szCs w:val="20"/>
                <w:color w:val="auto"/>
              </w:rPr>
            </w:pPr>
            <w:r>
              <w:rPr>
                <w:rFonts w:ascii="Arial" w:cs="Arial" w:eastAsia="Arial" w:hAnsi="Arial"/>
                <w:sz w:val="20"/>
                <w:szCs w:val="20"/>
                <w:b w:val="1"/>
                <w:bCs w:val="1"/>
                <w:color w:val="auto"/>
              </w:rPr>
              <w:t>2021</w:t>
            </w:r>
          </w:p>
        </w:tc>
        <w:tc>
          <w:tcPr>
            <w:tcW w:w="1720" w:type="dxa"/>
            <w:vAlign w:val="bottom"/>
            <w:tcBorders>
              <w:bottom w:val="single" w:sz="8" w:color="582C83"/>
            </w:tcBorders>
          </w:tcPr>
          <w:p>
            <w:pPr>
              <w:ind w:left="220"/>
              <w:spacing w:after="0"/>
              <w:rPr>
                <w:sz w:val="20"/>
                <w:szCs w:val="20"/>
                <w:color w:val="auto"/>
              </w:rPr>
            </w:pPr>
            <w:r>
              <w:rPr>
                <w:rFonts w:ascii="Arial" w:cs="Arial" w:eastAsia="Arial" w:hAnsi="Arial"/>
                <w:sz w:val="20"/>
                <w:szCs w:val="20"/>
                <w:b w:val="1"/>
                <w:bCs w:val="1"/>
                <w:color w:val="auto"/>
              </w:rPr>
              <w:t>2022</w:t>
            </w:r>
          </w:p>
        </w:tc>
        <w:tc>
          <w:tcPr>
            <w:tcW w:w="1560" w:type="dxa"/>
            <w:vAlign w:val="bottom"/>
            <w:tcBorders>
              <w:bottom w:val="single" w:sz="8" w:color="582C83"/>
            </w:tcBorders>
            <w:gridSpan w:val="2"/>
          </w:tcPr>
          <w:p>
            <w:pPr>
              <w:jc w:val="right"/>
              <w:ind w:right="941"/>
              <w:spacing w:after="0"/>
              <w:rPr>
                <w:sz w:val="20"/>
                <w:szCs w:val="20"/>
                <w:color w:val="auto"/>
              </w:rPr>
            </w:pPr>
            <w:r>
              <w:rPr>
                <w:rFonts w:ascii="Arial" w:cs="Arial" w:eastAsia="Arial" w:hAnsi="Arial"/>
                <w:sz w:val="20"/>
                <w:szCs w:val="20"/>
                <w:b w:val="1"/>
                <w:bCs w:val="1"/>
                <w:color w:val="auto"/>
              </w:rPr>
              <w:t>2023</w:t>
            </w:r>
          </w:p>
        </w:tc>
        <w:tc>
          <w:tcPr>
            <w:tcW w:w="1480" w:type="dxa"/>
            <w:vAlign w:val="bottom"/>
            <w:tcBorders>
              <w:bottom w:val="single" w:sz="8" w:color="582C83"/>
            </w:tcBorders>
          </w:tcPr>
          <w:p>
            <w:pPr>
              <w:spacing w:after="0"/>
              <w:rPr>
                <w:sz w:val="20"/>
                <w:szCs w:val="20"/>
                <w:color w:val="auto"/>
              </w:rPr>
            </w:pPr>
            <w:r>
              <w:rPr>
                <w:rFonts w:ascii="Arial" w:cs="Arial" w:eastAsia="Arial" w:hAnsi="Arial"/>
                <w:sz w:val="20"/>
                <w:szCs w:val="20"/>
                <w:b w:val="1"/>
                <w:bCs w:val="1"/>
                <w:color w:val="auto"/>
              </w:rPr>
              <w:t>2024</w:t>
            </w:r>
          </w:p>
        </w:tc>
        <w:tc>
          <w:tcPr>
            <w:tcW w:w="1480" w:type="dxa"/>
            <w:vAlign w:val="bottom"/>
            <w:tcBorders>
              <w:bottom w:val="single" w:sz="8" w:color="582C83"/>
            </w:tcBorders>
          </w:tcPr>
          <w:p>
            <w:pPr>
              <w:spacing w:after="0"/>
              <w:rPr>
                <w:sz w:val="20"/>
                <w:szCs w:val="20"/>
                <w:color w:val="auto"/>
              </w:rPr>
            </w:pPr>
            <w:r>
              <w:rPr>
                <w:rFonts w:ascii="Arial" w:cs="Arial" w:eastAsia="Arial" w:hAnsi="Arial"/>
                <w:sz w:val="20"/>
                <w:szCs w:val="20"/>
                <w:b w:val="1"/>
                <w:bCs w:val="1"/>
                <w:color w:val="auto"/>
              </w:rPr>
              <w:t>2025</w:t>
            </w:r>
          </w:p>
        </w:tc>
        <w:tc>
          <w:tcPr>
            <w:tcW w:w="560" w:type="dxa"/>
            <w:vAlign w:val="bottom"/>
            <w:tcBorders>
              <w:bottom w:val="single" w:sz="8" w:color="582C83"/>
            </w:tcBorders>
          </w:tcPr>
          <w:p>
            <w:pPr>
              <w:jc w:val="right"/>
              <w:ind w:right="41"/>
              <w:spacing w:after="0"/>
              <w:rPr>
                <w:sz w:val="20"/>
                <w:szCs w:val="20"/>
                <w:color w:val="auto"/>
              </w:rPr>
            </w:pPr>
            <w:r>
              <w:rPr>
                <w:rFonts w:ascii="Arial" w:cs="Arial" w:eastAsia="Arial" w:hAnsi="Arial"/>
                <w:sz w:val="20"/>
                <w:szCs w:val="20"/>
                <w:b w:val="1"/>
                <w:bCs w:val="1"/>
                <w:color w:val="auto"/>
                <w:w w:val="89"/>
              </w:rPr>
              <w:t>2026</w:t>
            </w:r>
          </w:p>
        </w:tc>
        <w:tc>
          <w:tcPr>
            <w:tcW w:w="0" w:type="dxa"/>
            <w:vAlign w:val="bottom"/>
          </w:tcPr>
          <w:p>
            <w:pPr>
              <w:spacing w:after="0"/>
              <w:rPr>
                <w:sz w:val="1"/>
                <w:szCs w:val="1"/>
                <w:color w:val="auto"/>
              </w:rPr>
            </w:pPr>
          </w:p>
        </w:tc>
      </w:tr>
      <w:tr>
        <w:trPr>
          <w:trHeight w:val="247"/>
        </w:trPr>
        <w:tc>
          <w:tcPr>
            <w:tcW w:w="20" w:type="dxa"/>
            <w:vAlign w:val="bottom"/>
            <w:shd w:val="clear" w:color="auto" w:fill="EBEBEB"/>
          </w:tcPr>
          <w:p>
            <w:pPr>
              <w:spacing w:after="0"/>
              <w:rPr>
                <w:sz w:val="21"/>
                <w:szCs w:val="21"/>
                <w:color w:val="auto"/>
              </w:rPr>
            </w:pPr>
          </w:p>
        </w:tc>
        <w:tc>
          <w:tcPr>
            <w:tcW w:w="1460" w:type="dxa"/>
            <w:vAlign w:val="bottom"/>
            <w:tcBorders>
              <w:right w:val="single" w:sz="8" w:color="EBEBEB"/>
            </w:tcBorders>
            <w:vMerge w:val="restart"/>
            <w:shd w:val="clear" w:color="auto" w:fill="EBEBEB"/>
          </w:tcPr>
          <w:p>
            <w:pPr>
              <w:ind w:left="60"/>
              <w:spacing w:after="0"/>
              <w:rPr>
                <w:sz w:val="20"/>
                <w:szCs w:val="20"/>
                <w:color w:val="auto"/>
              </w:rPr>
            </w:pPr>
            <w:r>
              <w:rPr>
                <w:rFonts w:ascii="Arial" w:cs="Arial" w:eastAsia="Arial" w:hAnsi="Arial"/>
                <w:sz w:val="20"/>
                <w:szCs w:val="20"/>
                <w:b w:val="1"/>
                <w:bCs w:val="1"/>
                <w:color w:val="auto"/>
              </w:rPr>
              <w:t>2020-2022</w:t>
            </w:r>
          </w:p>
        </w:tc>
        <w:tc>
          <w:tcPr>
            <w:tcW w:w="4680" w:type="dxa"/>
            <w:vAlign w:val="bottom"/>
            <w:gridSpan w:val="3"/>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Based on achievement of Organic Net Revenue</w:t>
            </w:r>
          </w:p>
        </w:tc>
        <w:tc>
          <w:tcPr>
            <w:tcW w:w="80" w:type="dxa"/>
            <w:vAlign w:val="bottom"/>
          </w:tcPr>
          <w:p>
            <w:pPr>
              <w:spacing w:after="0"/>
              <w:rPr>
                <w:sz w:val="21"/>
                <w:szCs w:val="21"/>
                <w:color w:val="auto"/>
              </w:rPr>
            </w:pPr>
          </w:p>
        </w:tc>
        <w:tc>
          <w:tcPr>
            <w:tcW w:w="1480" w:type="dxa"/>
            <w:vAlign w:val="bottom"/>
            <w:tcBorders>
              <w:right w:val="single" w:sz="8" w:color="F2EEF5"/>
            </w:tcBorders>
            <w:shd w:val="clear" w:color="auto" w:fill="F2EEF5"/>
          </w:tcPr>
          <w:p>
            <w:pPr>
              <w:ind w:left="60"/>
              <w:spacing w:after="0"/>
              <w:rPr>
                <w:sz w:val="20"/>
                <w:szCs w:val="20"/>
                <w:color w:val="auto"/>
              </w:rPr>
            </w:pPr>
            <w:r>
              <w:rPr>
                <w:rFonts w:ascii="Arial" w:cs="Arial" w:eastAsia="Arial" w:hAnsi="Arial"/>
                <w:sz w:val="20"/>
                <w:szCs w:val="20"/>
                <w:color w:val="auto"/>
              </w:rPr>
              <w:t>Shares earned</w:t>
            </w:r>
          </w:p>
        </w:tc>
        <w:tc>
          <w:tcPr>
            <w:tcW w:w="1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EBEBEB"/>
          </w:tcPr>
          <w:p>
            <w:pPr>
              <w:spacing w:after="0"/>
              <w:rPr>
                <w:sz w:val="12"/>
                <w:szCs w:val="12"/>
                <w:color w:val="auto"/>
              </w:rPr>
            </w:pPr>
          </w:p>
        </w:tc>
        <w:tc>
          <w:tcPr>
            <w:tcW w:w="1460" w:type="dxa"/>
            <w:vAlign w:val="bottom"/>
            <w:tcBorders>
              <w:right w:val="single" w:sz="8" w:color="EBEBEB"/>
            </w:tcBorders>
            <w:vMerge w:val="continue"/>
            <w:shd w:val="clear" w:color="auto" w:fill="EBEBEB"/>
          </w:tcPr>
          <w:p>
            <w:pPr>
              <w:spacing w:after="0"/>
              <w:rPr>
                <w:sz w:val="12"/>
                <w:szCs w:val="12"/>
                <w:color w:val="auto"/>
              </w:rPr>
            </w:pPr>
          </w:p>
        </w:tc>
        <w:tc>
          <w:tcPr>
            <w:tcW w:w="4680" w:type="dxa"/>
            <w:vAlign w:val="bottom"/>
            <w:gridSpan w:val="3"/>
            <w:vMerge w:val="restart"/>
          </w:tcPr>
          <w:p>
            <w:pPr>
              <w:ind w:left="180"/>
              <w:spacing w:after="0" w:line="224" w:lineRule="exact"/>
              <w:rPr>
                <w:sz w:val="20"/>
                <w:szCs w:val="20"/>
                <w:color w:val="auto"/>
              </w:rPr>
            </w:pPr>
            <w:r>
              <w:rPr>
                <w:rFonts w:ascii="Arial" w:cs="Arial" w:eastAsia="Arial" w:hAnsi="Arial"/>
                <w:sz w:val="20"/>
                <w:szCs w:val="20"/>
                <w:color w:val="auto"/>
              </w:rPr>
              <w:t>Growth, Adjusted EPS Growth and Relative TSR</w:t>
            </w:r>
          </w:p>
        </w:tc>
        <w:tc>
          <w:tcPr>
            <w:tcW w:w="80" w:type="dxa"/>
            <w:vAlign w:val="bottom"/>
          </w:tcPr>
          <w:p>
            <w:pPr>
              <w:spacing w:after="0"/>
              <w:rPr>
                <w:sz w:val="12"/>
                <w:szCs w:val="12"/>
                <w:color w:val="auto"/>
              </w:rPr>
            </w:pPr>
          </w:p>
        </w:tc>
        <w:tc>
          <w:tcPr>
            <w:tcW w:w="1480" w:type="dxa"/>
            <w:vAlign w:val="bottom"/>
            <w:tcBorders>
              <w:right w:val="single" w:sz="8" w:color="F2EEF5"/>
            </w:tcBorders>
            <w:vMerge w:val="restart"/>
            <w:shd w:val="clear" w:color="auto" w:fill="F2EEF5"/>
          </w:tcPr>
          <w:p>
            <w:pPr>
              <w:ind w:left="60"/>
              <w:spacing w:after="0" w:line="224" w:lineRule="exact"/>
              <w:rPr>
                <w:sz w:val="20"/>
                <w:szCs w:val="20"/>
                <w:color w:val="auto"/>
              </w:rPr>
            </w:pPr>
            <w:r>
              <w:rPr>
                <w:rFonts w:ascii="Arial" w:cs="Arial" w:eastAsia="Arial" w:hAnsi="Arial"/>
                <w:sz w:val="20"/>
                <w:szCs w:val="20"/>
                <w:color w:val="auto"/>
              </w:rPr>
              <w:t>are subject to</w:t>
            </w:r>
          </w:p>
        </w:tc>
        <w:tc>
          <w:tcPr>
            <w:tcW w:w="1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shd w:val="clear" w:color="auto" w:fill="EBEBEB"/>
          </w:tcPr>
          <w:p>
            <w:pPr>
              <w:spacing w:after="0"/>
              <w:rPr>
                <w:sz w:val="6"/>
                <w:szCs w:val="6"/>
                <w:color w:val="auto"/>
              </w:rPr>
            </w:pPr>
          </w:p>
        </w:tc>
        <w:tc>
          <w:tcPr>
            <w:tcW w:w="1460" w:type="dxa"/>
            <w:vAlign w:val="bottom"/>
            <w:tcBorders>
              <w:right w:val="single" w:sz="8" w:color="EBEBEB"/>
            </w:tcBorders>
            <w:vMerge w:val="restart"/>
            <w:shd w:val="clear" w:color="auto" w:fill="EBEBEB"/>
          </w:tcPr>
          <w:p>
            <w:pPr>
              <w:ind w:left="60"/>
              <w:spacing w:after="0" w:line="224" w:lineRule="exact"/>
              <w:rPr>
                <w:sz w:val="20"/>
                <w:szCs w:val="20"/>
                <w:color w:val="auto"/>
              </w:rPr>
            </w:pPr>
            <w:r>
              <w:rPr>
                <w:rFonts w:ascii="Arial" w:cs="Arial" w:eastAsia="Arial" w:hAnsi="Arial"/>
                <w:sz w:val="20"/>
                <w:szCs w:val="20"/>
                <w:color w:val="auto"/>
              </w:rPr>
              <w:t>75% of long-</w:t>
            </w:r>
          </w:p>
        </w:tc>
        <w:tc>
          <w:tcPr>
            <w:tcW w:w="468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right w:val="single" w:sz="8" w:color="F2EEF5"/>
            </w:tcBorders>
            <w:vMerge w:val="continue"/>
            <w:shd w:val="clear" w:color="auto" w:fill="F2EEF5"/>
          </w:tcPr>
          <w:p>
            <w:pPr>
              <w:spacing w:after="0"/>
              <w:rPr>
                <w:sz w:val="6"/>
                <w:szCs w:val="6"/>
                <w:color w:val="auto"/>
              </w:rPr>
            </w:pPr>
          </w:p>
        </w:tc>
        <w:tc>
          <w:tcPr>
            <w:tcW w:w="14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EBEBEB"/>
          </w:tcPr>
          <w:p>
            <w:pPr>
              <w:spacing w:after="0"/>
              <w:rPr>
                <w:sz w:val="12"/>
                <w:szCs w:val="12"/>
                <w:color w:val="auto"/>
              </w:rPr>
            </w:pPr>
          </w:p>
        </w:tc>
        <w:tc>
          <w:tcPr>
            <w:tcW w:w="1460" w:type="dxa"/>
            <w:vAlign w:val="bottom"/>
            <w:tcBorders>
              <w:right w:val="single" w:sz="8" w:color="EBEBEB"/>
            </w:tcBorders>
            <w:vMerge w:val="continue"/>
            <w:shd w:val="clear" w:color="auto" w:fill="EBEBEB"/>
          </w:tcPr>
          <w:p>
            <w:pPr>
              <w:spacing w:after="0"/>
              <w:rPr>
                <w:sz w:val="12"/>
                <w:szCs w:val="12"/>
                <w:color w:val="auto"/>
              </w:rPr>
            </w:pPr>
          </w:p>
        </w:tc>
        <w:tc>
          <w:tcPr>
            <w:tcW w:w="1480" w:type="dxa"/>
            <w:vAlign w:val="bottom"/>
            <w:vMerge w:val="restart"/>
          </w:tcPr>
          <w:p>
            <w:pPr>
              <w:ind w:left="180"/>
              <w:spacing w:after="0"/>
              <w:rPr>
                <w:sz w:val="20"/>
                <w:szCs w:val="20"/>
                <w:color w:val="auto"/>
              </w:rPr>
            </w:pPr>
            <w:r>
              <w:rPr>
                <w:rFonts w:ascii="Arial" w:cs="Arial" w:eastAsia="Arial" w:hAnsi="Arial"/>
                <w:sz w:val="20"/>
                <w:szCs w:val="20"/>
                <w:color w:val="auto"/>
              </w:rPr>
              <w:t>targets</w:t>
            </w: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Borders>
              <w:right w:val="single" w:sz="8" w:color="F2EEF5"/>
            </w:tcBorders>
            <w:vMerge w:val="restart"/>
            <w:shd w:val="clear" w:color="auto" w:fill="F2EEF5"/>
          </w:tcPr>
          <w:p>
            <w:pPr>
              <w:ind w:left="60"/>
              <w:spacing w:after="0"/>
              <w:rPr>
                <w:sz w:val="20"/>
                <w:szCs w:val="20"/>
                <w:color w:val="auto"/>
              </w:rPr>
            </w:pPr>
            <w:r>
              <w:rPr>
                <w:rFonts w:ascii="Arial" w:cs="Arial" w:eastAsia="Arial" w:hAnsi="Arial"/>
                <w:sz w:val="20"/>
                <w:szCs w:val="20"/>
                <w:color w:val="auto"/>
              </w:rPr>
              <w:t>a 1-year</w:t>
            </w:r>
          </w:p>
        </w:tc>
        <w:tc>
          <w:tcPr>
            <w:tcW w:w="1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0" w:type="dxa"/>
            <w:vAlign w:val="bottom"/>
            <w:shd w:val="clear" w:color="auto" w:fill="EBEBEB"/>
          </w:tcPr>
          <w:p>
            <w:pPr>
              <w:spacing w:after="0"/>
              <w:rPr>
                <w:sz w:val="7"/>
                <w:szCs w:val="7"/>
                <w:color w:val="auto"/>
              </w:rPr>
            </w:pPr>
          </w:p>
        </w:tc>
        <w:tc>
          <w:tcPr>
            <w:tcW w:w="1460" w:type="dxa"/>
            <w:vAlign w:val="bottom"/>
            <w:tcBorders>
              <w:right w:val="single" w:sz="8" w:color="EBEBEB"/>
            </w:tcBorders>
            <w:vMerge w:val="restart"/>
            <w:shd w:val="clear" w:color="auto" w:fill="EBEBEB"/>
          </w:tcPr>
          <w:p>
            <w:pPr>
              <w:ind w:left="60"/>
              <w:spacing w:after="0" w:line="224" w:lineRule="exact"/>
              <w:rPr>
                <w:sz w:val="20"/>
                <w:szCs w:val="20"/>
                <w:color w:val="auto"/>
              </w:rPr>
            </w:pPr>
            <w:r>
              <w:rPr>
                <w:rFonts w:ascii="Arial" w:cs="Arial" w:eastAsia="Arial" w:hAnsi="Arial"/>
                <w:sz w:val="20"/>
                <w:szCs w:val="20"/>
                <w:color w:val="auto"/>
              </w:rPr>
              <w:t>term incentive</w:t>
            </w:r>
          </w:p>
        </w:tc>
        <w:tc>
          <w:tcPr>
            <w:tcW w:w="148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tcBorders>
              <w:right w:val="single" w:sz="8" w:color="F2EEF5"/>
            </w:tcBorders>
            <w:vMerge w:val="continue"/>
            <w:shd w:val="clear" w:color="auto" w:fill="F2EEF5"/>
          </w:tcPr>
          <w:p>
            <w:pPr>
              <w:spacing w:after="0"/>
              <w:rPr>
                <w:sz w:val="7"/>
                <w:szCs w:val="7"/>
                <w:color w:val="auto"/>
              </w:rPr>
            </w:pPr>
          </w:p>
        </w:tc>
        <w:tc>
          <w:tcPr>
            <w:tcW w:w="1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EBEBEB"/>
          </w:tcPr>
          <w:p>
            <w:pPr>
              <w:spacing w:after="0"/>
              <w:rPr>
                <w:sz w:val="11"/>
                <w:szCs w:val="11"/>
                <w:color w:val="auto"/>
              </w:rPr>
            </w:pPr>
          </w:p>
        </w:tc>
        <w:tc>
          <w:tcPr>
            <w:tcW w:w="1460" w:type="dxa"/>
            <w:vAlign w:val="bottom"/>
            <w:tcBorders>
              <w:right w:val="single" w:sz="8" w:color="EBEBEB"/>
            </w:tcBorders>
            <w:vMerge w:val="continue"/>
            <w:shd w:val="clear" w:color="auto" w:fill="EBEBEB"/>
          </w:tcPr>
          <w:p>
            <w:pPr>
              <w:spacing w:after="0"/>
              <w:rPr>
                <w:sz w:val="11"/>
                <w:szCs w:val="11"/>
                <w:color w:val="auto"/>
              </w:rPr>
            </w:pPr>
          </w:p>
        </w:tc>
        <w:tc>
          <w:tcPr>
            <w:tcW w:w="4680" w:type="dxa"/>
            <w:vAlign w:val="bottom"/>
            <w:gridSpan w:val="3"/>
            <w:vMerge w:val="restart"/>
          </w:tcPr>
          <w:p>
            <w:pPr>
              <w:ind w:left="60"/>
              <w:spacing w:after="0" w:line="225"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Results certified in February 2023 above target</w:t>
            </w:r>
          </w:p>
        </w:tc>
        <w:tc>
          <w:tcPr>
            <w:tcW w:w="80" w:type="dxa"/>
            <w:vAlign w:val="bottom"/>
          </w:tcPr>
          <w:p>
            <w:pPr>
              <w:spacing w:after="0"/>
              <w:rPr>
                <w:sz w:val="11"/>
                <w:szCs w:val="11"/>
                <w:color w:val="auto"/>
              </w:rPr>
            </w:pPr>
          </w:p>
        </w:tc>
        <w:tc>
          <w:tcPr>
            <w:tcW w:w="1480" w:type="dxa"/>
            <w:vAlign w:val="bottom"/>
            <w:tcBorders>
              <w:right w:val="single" w:sz="8" w:color="F2EEF5"/>
            </w:tcBorders>
            <w:vMerge w:val="restart"/>
            <w:shd w:val="clear" w:color="auto" w:fill="F2EEF5"/>
          </w:tcPr>
          <w:p>
            <w:pPr>
              <w:ind w:left="60"/>
              <w:spacing w:after="0" w:line="225" w:lineRule="exact"/>
              <w:rPr>
                <w:sz w:val="20"/>
                <w:szCs w:val="20"/>
                <w:color w:val="auto"/>
              </w:rPr>
            </w:pPr>
            <w:r>
              <w:rPr>
                <w:rFonts w:ascii="Arial" w:cs="Arial" w:eastAsia="Arial" w:hAnsi="Arial"/>
                <w:sz w:val="20"/>
                <w:szCs w:val="20"/>
                <w:color w:val="auto"/>
              </w:rPr>
              <w:t>holding period</w:t>
            </w:r>
          </w:p>
        </w:tc>
        <w:tc>
          <w:tcPr>
            <w:tcW w:w="14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shd w:val="clear" w:color="auto" w:fill="EBEBEB"/>
          </w:tcPr>
          <w:p>
            <w:pPr>
              <w:spacing w:after="0"/>
              <w:rPr>
                <w:sz w:val="7"/>
                <w:szCs w:val="7"/>
                <w:color w:val="auto"/>
              </w:rPr>
            </w:pPr>
          </w:p>
        </w:tc>
        <w:tc>
          <w:tcPr>
            <w:tcW w:w="1460" w:type="dxa"/>
            <w:vAlign w:val="bottom"/>
            <w:tcBorders>
              <w:right w:val="single" w:sz="8" w:color="EBEBEB"/>
            </w:tcBorders>
            <w:vMerge w:val="restart"/>
            <w:shd w:val="clear" w:color="auto" w:fill="EBEBEB"/>
          </w:tcPr>
          <w:p>
            <w:pPr>
              <w:ind w:left="60"/>
              <w:spacing w:after="0"/>
              <w:rPr>
                <w:sz w:val="20"/>
                <w:szCs w:val="20"/>
                <w:color w:val="auto"/>
              </w:rPr>
            </w:pPr>
            <w:r>
              <w:rPr>
                <w:rFonts w:ascii="Arial" w:cs="Arial" w:eastAsia="Arial" w:hAnsi="Arial"/>
                <w:sz w:val="20"/>
                <w:szCs w:val="20"/>
                <w:color w:val="auto"/>
              </w:rPr>
              <w:t>value</w:t>
            </w:r>
          </w:p>
        </w:tc>
        <w:tc>
          <w:tcPr>
            <w:tcW w:w="46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tcBorders>
              <w:right w:val="single" w:sz="8" w:color="F2EEF5"/>
            </w:tcBorders>
            <w:vMerge w:val="continue"/>
            <w:shd w:val="clear" w:color="auto" w:fill="F2EEF5"/>
          </w:tcPr>
          <w:p>
            <w:pPr>
              <w:spacing w:after="0"/>
              <w:rPr>
                <w:sz w:val="7"/>
                <w:szCs w:val="7"/>
                <w:color w:val="auto"/>
              </w:rPr>
            </w:pPr>
          </w:p>
        </w:tc>
        <w:tc>
          <w:tcPr>
            <w:tcW w:w="1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EBEBEB"/>
          </w:tcPr>
          <w:p>
            <w:pPr>
              <w:spacing w:after="0"/>
              <w:rPr>
                <w:sz w:val="15"/>
                <w:szCs w:val="15"/>
                <w:color w:val="auto"/>
              </w:rPr>
            </w:pPr>
          </w:p>
        </w:tc>
        <w:tc>
          <w:tcPr>
            <w:tcW w:w="1460" w:type="dxa"/>
            <w:vAlign w:val="bottom"/>
            <w:tcBorders>
              <w:right w:val="single" w:sz="8" w:color="EBEBEB"/>
            </w:tcBorders>
            <w:vMerge w:val="continue"/>
            <w:shd w:val="clear" w:color="auto" w:fill="EBEBEB"/>
          </w:tcPr>
          <w:p>
            <w:pPr>
              <w:spacing w:after="0"/>
              <w:rPr>
                <w:sz w:val="15"/>
                <w:szCs w:val="15"/>
                <w:color w:val="auto"/>
              </w:rPr>
            </w:pPr>
          </w:p>
        </w:tc>
        <w:tc>
          <w:tcPr>
            <w:tcW w:w="2960" w:type="dxa"/>
            <w:vAlign w:val="bottom"/>
            <w:gridSpan w:val="2"/>
            <w:vMerge w:val="restart"/>
          </w:tcPr>
          <w:p>
            <w:pPr>
              <w:ind w:left="180"/>
              <w:spacing w:after="0"/>
              <w:rPr>
                <w:sz w:val="20"/>
                <w:szCs w:val="20"/>
                <w:color w:val="auto"/>
              </w:rPr>
            </w:pPr>
            <w:r>
              <w:rPr>
                <w:rFonts w:ascii="Arial" w:cs="Arial" w:eastAsia="Arial" w:hAnsi="Arial"/>
                <w:sz w:val="20"/>
                <w:szCs w:val="20"/>
                <w:color w:val="auto"/>
              </w:rPr>
              <w:t>performance rating of 158%</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Borders>
              <w:right w:val="single" w:sz="8" w:color="F2EEF5"/>
            </w:tcBorders>
            <w:vMerge w:val="restart"/>
            <w:shd w:val="clear" w:color="auto" w:fill="F2EEF5"/>
          </w:tcPr>
          <w:p>
            <w:pPr>
              <w:ind w:left="60"/>
              <w:spacing w:after="0"/>
              <w:rPr>
                <w:sz w:val="20"/>
                <w:szCs w:val="20"/>
                <w:color w:val="auto"/>
              </w:rPr>
            </w:pPr>
            <w:r>
              <w:rPr>
                <w:rFonts w:ascii="Arial" w:cs="Arial" w:eastAsia="Arial" w:hAnsi="Arial"/>
                <w:sz w:val="20"/>
                <w:szCs w:val="20"/>
                <w:color w:val="auto"/>
              </w:rPr>
              <w:t>post vest</w:t>
            </w:r>
          </w:p>
        </w:tc>
        <w:tc>
          <w:tcPr>
            <w:tcW w:w="14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EBEBEB"/>
            </w:tcBorders>
            <w:shd w:val="clear" w:color="auto" w:fill="EBEBEB"/>
          </w:tcPr>
          <w:p>
            <w:pPr>
              <w:spacing w:after="0"/>
              <w:rPr>
                <w:sz w:val="12"/>
                <w:szCs w:val="12"/>
                <w:color w:val="auto"/>
              </w:rPr>
            </w:pPr>
          </w:p>
        </w:tc>
        <w:tc>
          <w:tcPr>
            <w:tcW w:w="1460" w:type="dxa"/>
            <w:vAlign w:val="bottom"/>
            <w:tcBorders>
              <w:bottom w:val="single" w:sz="8" w:color="EBEBEB"/>
              <w:right w:val="single" w:sz="8" w:color="EBEBEB"/>
            </w:tcBorders>
            <w:shd w:val="clear" w:color="auto" w:fill="EBEBEB"/>
          </w:tcPr>
          <w:p>
            <w:pPr>
              <w:spacing w:after="0"/>
              <w:rPr>
                <w:sz w:val="12"/>
                <w:szCs w:val="12"/>
                <w:color w:val="auto"/>
              </w:rPr>
            </w:pPr>
          </w:p>
        </w:tc>
        <w:tc>
          <w:tcPr>
            <w:tcW w:w="2960" w:type="dxa"/>
            <w:vAlign w:val="bottom"/>
            <w:gridSpan w:val="2"/>
            <w:vMerge w:val="continue"/>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Borders>
              <w:bottom w:val="single" w:sz="8" w:color="F2EEF5"/>
              <w:right w:val="single" w:sz="8" w:color="F2EEF5"/>
            </w:tcBorders>
            <w:vMerge w:val="continue"/>
            <w:shd w:val="clear" w:color="auto" w:fill="F2EEF5"/>
          </w:tcPr>
          <w:p>
            <w:pPr>
              <w:spacing w:after="0"/>
              <w:rPr>
                <w:sz w:val="12"/>
                <w:szCs w:val="12"/>
                <w:color w:val="auto"/>
              </w:rPr>
            </w:pPr>
          </w:p>
        </w:tc>
        <w:tc>
          <w:tcPr>
            <w:tcW w:w="1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EBEBEB"/>
            </w:tcBorders>
          </w:tcPr>
          <w:p>
            <w:pPr>
              <w:spacing w:after="0"/>
              <w:rPr>
                <w:sz w:val="20"/>
                <w:szCs w:val="20"/>
                <w:color w:val="auto"/>
              </w:rPr>
            </w:pPr>
          </w:p>
        </w:tc>
        <w:tc>
          <w:tcPr>
            <w:tcW w:w="1460" w:type="dxa"/>
            <w:vAlign w:val="bottom"/>
            <w:tcBorders>
              <w:top w:val="single" w:sz="8" w:color="582C83"/>
              <w:right w:val="single" w:sz="8" w:color="EBEBEB"/>
            </w:tcBorders>
          </w:tcPr>
          <w:p>
            <w:pPr>
              <w:spacing w:after="0"/>
              <w:rPr>
                <w:sz w:val="20"/>
                <w:szCs w:val="20"/>
                <w:color w:val="auto"/>
              </w:rPr>
            </w:pPr>
          </w:p>
        </w:tc>
        <w:tc>
          <w:tcPr>
            <w:tcW w:w="1480" w:type="dxa"/>
            <w:vAlign w:val="bottom"/>
            <w:tcBorders>
              <w:top w:val="single" w:sz="8" w:color="582C83"/>
              <w:right w:val="single" w:sz="8" w:color="EBEBEB"/>
            </w:tcBorders>
            <w:vMerge w:val="restart"/>
            <w:shd w:val="clear" w:color="auto" w:fill="EBEBEB"/>
          </w:tcPr>
          <w:p>
            <w:pPr>
              <w:ind w:left="60"/>
              <w:spacing w:after="0"/>
              <w:rPr>
                <w:sz w:val="20"/>
                <w:szCs w:val="20"/>
                <w:color w:val="auto"/>
              </w:rPr>
            </w:pPr>
            <w:r>
              <w:rPr>
                <w:rFonts w:ascii="Arial" w:cs="Arial" w:eastAsia="Arial" w:hAnsi="Arial"/>
                <w:sz w:val="20"/>
                <w:szCs w:val="20"/>
                <w:b w:val="1"/>
                <w:bCs w:val="1"/>
                <w:color w:val="auto"/>
              </w:rPr>
              <w:t>2021-2023</w:t>
            </w:r>
          </w:p>
        </w:tc>
        <w:tc>
          <w:tcPr>
            <w:tcW w:w="4760" w:type="dxa"/>
            <w:vAlign w:val="bottom"/>
            <w:tcBorders>
              <w:top w:val="single" w:sz="8" w:color="582C83"/>
              <w:right w:val="single" w:sz="8" w:color="F2EEF5"/>
            </w:tcBorders>
            <w:gridSpan w:val="4"/>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Based on achievement of Organic Net Revenue</w:t>
            </w:r>
          </w:p>
        </w:tc>
        <w:tc>
          <w:tcPr>
            <w:tcW w:w="1480" w:type="dxa"/>
            <w:vAlign w:val="bottom"/>
            <w:tcBorders>
              <w:top w:val="single" w:sz="8" w:color="F2EEF5"/>
              <w:right w:val="single" w:sz="8" w:color="F2EEF5"/>
            </w:tcBorders>
            <w:shd w:val="clear" w:color="auto" w:fill="F2EEF5"/>
          </w:tcPr>
          <w:p>
            <w:pPr>
              <w:ind w:left="60"/>
              <w:spacing w:after="0"/>
              <w:rPr>
                <w:sz w:val="20"/>
                <w:szCs w:val="20"/>
                <w:color w:val="auto"/>
              </w:rPr>
            </w:pPr>
            <w:r>
              <w:rPr>
                <w:rFonts w:ascii="Arial" w:cs="Arial" w:eastAsia="Arial" w:hAnsi="Arial"/>
                <w:sz w:val="20"/>
                <w:szCs w:val="20"/>
                <w:color w:val="auto"/>
              </w:rPr>
              <w:t>Shares earned</w:t>
            </w: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Borders>
              <w:right w:val="single" w:sz="8" w:color="EBEBEB"/>
            </w:tcBorders>
          </w:tcPr>
          <w:p>
            <w:pPr>
              <w:spacing w:after="0"/>
              <w:rPr>
                <w:sz w:val="12"/>
                <w:szCs w:val="12"/>
                <w:color w:val="auto"/>
              </w:rPr>
            </w:pPr>
          </w:p>
        </w:tc>
        <w:tc>
          <w:tcPr>
            <w:tcW w:w="1480" w:type="dxa"/>
            <w:vAlign w:val="bottom"/>
            <w:tcBorders>
              <w:right w:val="single" w:sz="8" w:color="EBEBEB"/>
            </w:tcBorders>
            <w:vMerge w:val="continue"/>
            <w:shd w:val="clear" w:color="auto" w:fill="EBEBEB"/>
          </w:tcPr>
          <w:p>
            <w:pPr>
              <w:spacing w:after="0"/>
              <w:rPr>
                <w:sz w:val="12"/>
                <w:szCs w:val="12"/>
                <w:color w:val="auto"/>
              </w:rPr>
            </w:pPr>
          </w:p>
        </w:tc>
        <w:tc>
          <w:tcPr>
            <w:tcW w:w="4760" w:type="dxa"/>
            <w:vAlign w:val="bottom"/>
            <w:tcBorders>
              <w:right w:val="single" w:sz="8" w:color="F2EEF5"/>
            </w:tcBorders>
            <w:gridSpan w:val="4"/>
            <w:vMerge w:val="restart"/>
          </w:tcPr>
          <w:p>
            <w:pPr>
              <w:ind w:left="180"/>
              <w:spacing w:after="0" w:line="224" w:lineRule="exact"/>
              <w:rPr>
                <w:sz w:val="20"/>
                <w:szCs w:val="20"/>
                <w:color w:val="auto"/>
              </w:rPr>
            </w:pPr>
            <w:r>
              <w:rPr>
                <w:rFonts w:ascii="Arial" w:cs="Arial" w:eastAsia="Arial" w:hAnsi="Arial"/>
                <w:sz w:val="20"/>
                <w:szCs w:val="20"/>
                <w:color w:val="auto"/>
              </w:rPr>
              <w:t>Growth, Adjusted EPS Growth and Relative TSR</w:t>
            </w:r>
          </w:p>
        </w:tc>
        <w:tc>
          <w:tcPr>
            <w:tcW w:w="1480" w:type="dxa"/>
            <w:vAlign w:val="bottom"/>
            <w:tcBorders>
              <w:right w:val="single" w:sz="8" w:color="F2EEF5"/>
            </w:tcBorders>
            <w:vMerge w:val="restart"/>
            <w:shd w:val="clear" w:color="auto" w:fill="F2EEF5"/>
          </w:tcPr>
          <w:p>
            <w:pPr>
              <w:ind w:left="60"/>
              <w:spacing w:after="0" w:line="224" w:lineRule="exact"/>
              <w:rPr>
                <w:sz w:val="20"/>
                <w:szCs w:val="20"/>
                <w:color w:val="auto"/>
              </w:rPr>
            </w:pPr>
            <w:r>
              <w:rPr>
                <w:rFonts w:ascii="Arial" w:cs="Arial" w:eastAsia="Arial" w:hAnsi="Arial"/>
                <w:sz w:val="20"/>
                <w:szCs w:val="20"/>
                <w:color w:val="auto"/>
              </w:rPr>
              <w:t>are subject to</w:t>
            </w:r>
          </w:p>
        </w:tc>
        <w:tc>
          <w:tcPr>
            <w:tcW w:w="1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60" w:type="dxa"/>
            <w:vAlign w:val="bottom"/>
            <w:tcBorders>
              <w:right w:val="single" w:sz="8" w:color="EBEBEB"/>
            </w:tcBorders>
          </w:tcPr>
          <w:p>
            <w:pPr>
              <w:spacing w:after="0"/>
              <w:rPr>
                <w:sz w:val="6"/>
                <w:szCs w:val="6"/>
                <w:color w:val="auto"/>
              </w:rPr>
            </w:pPr>
          </w:p>
        </w:tc>
        <w:tc>
          <w:tcPr>
            <w:tcW w:w="1480" w:type="dxa"/>
            <w:vAlign w:val="bottom"/>
            <w:tcBorders>
              <w:right w:val="single" w:sz="8" w:color="EBEBEB"/>
            </w:tcBorders>
            <w:vMerge w:val="restart"/>
            <w:shd w:val="clear" w:color="auto" w:fill="EBEBEB"/>
          </w:tcPr>
          <w:p>
            <w:pPr>
              <w:ind w:left="60"/>
              <w:spacing w:after="0" w:line="224" w:lineRule="exact"/>
              <w:rPr>
                <w:sz w:val="20"/>
                <w:szCs w:val="20"/>
                <w:color w:val="auto"/>
              </w:rPr>
            </w:pPr>
            <w:r>
              <w:rPr>
                <w:rFonts w:ascii="Arial" w:cs="Arial" w:eastAsia="Arial" w:hAnsi="Arial"/>
                <w:sz w:val="20"/>
                <w:szCs w:val="20"/>
                <w:color w:val="auto"/>
              </w:rPr>
              <w:t>75% of long-</w:t>
            </w:r>
          </w:p>
        </w:tc>
        <w:tc>
          <w:tcPr>
            <w:tcW w:w="4760" w:type="dxa"/>
            <w:vAlign w:val="bottom"/>
            <w:tcBorders>
              <w:right w:val="single" w:sz="8" w:color="F2EEF5"/>
            </w:tcBorders>
            <w:gridSpan w:val="4"/>
            <w:vMerge w:val="continue"/>
          </w:tcPr>
          <w:p>
            <w:pPr>
              <w:spacing w:after="0"/>
              <w:rPr>
                <w:sz w:val="6"/>
                <w:szCs w:val="6"/>
                <w:color w:val="auto"/>
              </w:rPr>
            </w:pPr>
          </w:p>
        </w:tc>
        <w:tc>
          <w:tcPr>
            <w:tcW w:w="1480" w:type="dxa"/>
            <w:vAlign w:val="bottom"/>
            <w:tcBorders>
              <w:right w:val="single" w:sz="8" w:color="F2EEF5"/>
            </w:tcBorders>
            <w:vMerge w:val="continue"/>
            <w:shd w:val="clear" w:color="auto" w:fill="F2EEF5"/>
          </w:tcPr>
          <w:p>
            <w:pPr>
              <w:spacing w:after="0"/>
              <w:rPr>
                <w:sz w:val="6"/>
                <w:szCs w:val="6"/>
                <w:color w:val="auto"/>
              </w:rPr>
            </w:pPr>
          </w:p>
        </w:tc>
        <w:tc>
          <w:tcPr>
            <w:tcW w:w="1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Borders>
              <w:right w:val="single" w:sz="8" w:color="EBEBEB"/>
            </w:tcBorders>
          </w:tcPr>
          <w:p>
            <w:pPr>
              <w:spacing w:after="0"/>
              <w:rPr>
                <w:sz w:val="12"/>
                <w:szCs w:val="12"/>
                <w:color w:val="auto"/>
              </w:rPr>
            </w:pPr>
          </w:p>
        </w:tc>
        <w:tc>
          <w:tcPr>
            <w:tcW w:w="1480" w:type="dxa"/>
            <w:vAlign w:val="bottom"/>
            <w:tcBorders>
              <w:right w:val="single" w:sz="8" w:color="EBEBEB"/>
            </w:tcBorders>
            <w:vMerge w:val="continue"/>
            <w:shd w:val="clear" w:color="auto" w:fill="EBEBEB"/>
          </w:tcPr>
          <w:p>
            <w:pPr>
              <w:spacing w:after="0"/>
              <w:rPr>
                <w:sz w:val="12"/>
                <w:szCs w:val="12"/>
                <w:color w:val="auto"/>
              </w:rPr>
            </w:pPr>
          </w:p>
        </w:tc>
        <w:tc>
          <w:tcPr>
            <w:tcW w:w="1480" w:type="dxa"/>
            <w:vAlign w:val="bottom"/>
            <w:vMerge w:val="restart"/>
          </w:tcPr>
          <w:p>
            <w:pPr>
              <w:ind w:left="180"/>
              <w:spacing w:after="0"/>
              <w:rPr>
                <w:sz w:val="20"/>
                <w:szCs w:val="20"/>
                <w:color w:val="auto"/>
              </w:rPr>
            </w:pPr>
            <w:r>
              <w:rPr>
                <w:rFonts w:ascii="Arial" w:cs="Arial" w:eastAsia="Arial" w:hAnsi="Arial"/>
                <w:sz w:val="20"/>
                <w:szCs w:val="20"/>
                <w:color w:val="auto"/>
              </w:rPr>
              <w:t>targets</w:t>
            </w: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Borders>
              <w:right w:val="single" w:sz="8" w:color="F2EEF5"/>
            </w:tcBorders>
          </w:tcPr>
          <w:p>
            <w:pPr>
              <w:spacing w:after="0"/>
              <w:rPr>
                <w:sz w:val="12"/>
                <w:szCs w:val="12"/>
                <w:color w:val="auto"/>
              </w:rPr>
            </w:pPr>
          </w:p>
        </w:tc>
        <w:tc>
          <w:tcPr>
            <w:tcW w:w="1480" w:type="dxa"/>
            <w:vAlign w:val="bottom"/>
            <w:tcBorders>
              <w:right w:val="single" w:sz="8" w:color="F2EEF5"/>
            </w:tcBorders>
            <w:vMerge w:val="restart"/>
            <w:shd w:val="clear" w:color="auto" w:fill="F2EEF5"/>
          </w:tcPr>
          <w:p>
            <w:pPr>
              <w:ind w:left="60"/>
              <w:spacing w:after="0"/>
              <w:rPr>
                <w:sz w:val="20"/>
                <w:szCs w:val="20"/>
                <w:color w:val="auto"/>
              </w:rPr>
            </w:pPr>
            <w:r>
              <w:rPr>
                <w:rFonts w:ascii="Arial" w:cs="Arial" w:eastAsia="Arial" w:hAnsi="Arial"/>
                <w:sz w:val="20"/>
                <w:szCs w:val="20"/>
                <w:color w:val="auto"/>
              </w:rPr>
              <w:t>a 1-year</w:t>
            </w:r>
          </w:p>
        </w:tc>
        <w:tc>
          <w:tcPr>
            <w:tcW w:w="1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460" w:type="dxa"/>
            <w:vAlign w:val="bottom"/>
            <w:tcBorders>
              <w:right w:val="single" w:sz="8" w:color="EBEBEB"/>
            </w:tcBorders>
          </w:tcPr>
          <w:p>
            <w:pPr>
              <w:spacing w:after="0"/>
              <w:rPr>
                <w:sz w:val="7"/>
                <w:szCs w:val="7"/>
                <w:color w:val="auto"/>
              </w:rPr>
            </w:pPr>
          </w:p>
        </w:tc>
        <w:tc>
          <w:tcPr>
            <w:tcW w:w="1480" w:type="dxa"/>
            <w:vAlign w:val="bottom"/>
            <w:tcBorders>
              <w:right w:val="single" w:sz="8" w:color="EBEBEB"/>
            </w:tcBorders>
            <w:vMerge w:val="restart"/>
            <w:shd w:val="clear" w:color="auto" w:fill="EBEBEB"/>
          </w:tcPr>
          <w:p>
            <w:pPr>
              <w:ind w:left="60"/>
              <w:spacing w:after="0" w:line="224" w:lineRule="exact"/>
              <w:rPr>
                <w:sz w:val="20"/>
                <w:szCs w:val="20"/>
                <w:color w:val="auto"/>
              </w:rPr>
            </w:pPr>
            <w:r>
              <w:rPr>
                <w:rFonts w:ascii="Arial" w:cs="Arial" w:eastAsia="Arial" w:hAnsi="Arial"/>
                <w:sz w:val="20"/>
                <w:szCs w:val="20"/>
                <w:color w:val="auto"/>
              </w:rPr>
              <w:t>term incentive</w:t>
            </w:r>
          </w:p>
        </w:tc>
        <w:tc>
          <w:tcPr>
            <w:tcW w:w="14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tcBorders>
              <w:right w:val="single" w:sz="8" w:color="F2EEF5"/>
            </w:tcBorders>
          </w:tcPr>
          <w:p>
            <w:pPr>
              <w:spacing w:after="0"/>
              <w:rPr>
                <w:sz w:val="7"/>
                <w:szCs w:val="7"/>
                <w:color w:val="auto"/>
              </w:rPr>
            </w:pPr>
          </w:p>
        </w:tc>
        <w:tc>
          <w:tcPr>
            <w:tcW w:w="1480" w:type="dxa"/>
            <w:vAlign w:val="bottom"/>
            <w:tcBorders>
              <w:right w:val="single" w:sz="8" w:color="F2EEF5"/>
            </w:tcBorders>
            <w:vMerge w:val="continue"/>
            <w:shd w:val="clear" w:color="auto" w:fill="F2EEF5"/>
          </w:tcPr>
          <w:p>
            <w:pPr>
              <w:spacing w:after="0"/>
              <w:rPr>
                <w:sz w:val="7"/>
                <w:szCs w:val="7"/>
                <w:color w:val="auto"/>
              </w:rPr>
            </w:pPr>
          </w:p>
        </w:tc>
        <w:tc>
          <w:tcPr>
            <w:tcW w:w="1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60" w:type="dxa"/>
            <w:vAlign w:val="bottom"/>
            <w:tcBorders>
              <w:right w:val="single" w:sz="8" w:color="EBEBEB"/>
            </w:tcBorders>
          </w:tcPr>
          <w:p>
            <w:pPr>
              <w:spacing w:after="0"/>
              <w:rPr>
                <w:sz w:val="11"/>
                <w:szCs w:val="11"/>
                <w:color w:val="auto"/>
              </w:rPr>
            </w:pPr>
          </w:p>
        </w:tc>
        <w:tc>
          <w:tcPr>
            <w:tcW w:w="1480" w:type="dxa"/>
            <w:vAlign w:val="bottom"/>
            <w:tcBorders>
              <w:right w:val="single" w:sz="8" w:color="EBEBEB"/>
            </w:tcBorders>
            <w:vMerge w:val="continue"/>
            <w:shd w:val="clear" w:color="auto" w:fill="EBEBEB"/>
          </w:tcPr>
          <w:p>
            <w:pPr>
              <w:spacing w:after="0"/>
              <w:rPr>
                <w:sz w:val="11"/>
                <w:szCs w:val="11"/>
                <w:color w:val="auto"/>
              </w:rPr>
            </w:pPr>
          </w:p>
        </w:tc>
        <w:tc>
          <w:tcPr>
            <w:tcW w:w="4760" w:type="dxa"/>
            <w:vAlign w:val="bottom"/>
            <w:tcBorders>
              <w:right w:val="single" w:sz="8" w:color="F2EEF5"/>
            </w:tcBorders>
            <w:gridSpan w:val="4"/>
            <w:vMerge w:val="restart"/>
          </w:tcPr>
          <w:p>
            <w:pPr>
              <w:ind w:left="60"/>
              <w:spacing w:after="0" w:line="225"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At December 31, 2022, performance was</w:t>
            </w:r>
          </w:p>
        </w:tc>
        <w:tc>
          <w:tcPr>
            <w:tcW w:w="1480" w:type="dxa"/>
            <w:vAlign w:val="bottom"/>
            <w:tcBorders>
              <w:right w:val="single" w:sz="8" w:color="F2EEF5"/>
            </w:tcBorders>
            <w:vMerge w:val="restart"/>
            <w:shd w:val="clear" w:color="auto" w:fill="F2EEF5"/>
          </w:tcPr>
          <w:p>
            <w:pPr>
              <w:ind w:left="60"/>
              <w:spacing w:after="0" w:line="225" w:lineRule="exact"/>
              <w:rPr>
                <w:sz w:val="20"/>
                <w:szCs w:val="20"/>
                <w:color w:val="auto"/>
              </w:rPr>
            </w:pPr>
            <w:r>
              <w:rPr>
                <w:rFonts w:ascii="Arial" w:cs="Arial" w:eastAsia="Arial" w:hAnsi="Arial"/>
                <w:sz w:val="20"/>
                <w:szCs w:val="20"/>
                <w:color w:val="auto"/>
              </w:rPr>
              <w:t>holding period</w:t>
            </w:r>
          </w:p>
        </w:tc>
        <w:tc>
          <w:tcPr>
            <w:tcW w:w="1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460" w:type="dxa"/>
            <w:vAlign w:val="bottom"/>
            <w:tcBorders>
              <w:right w:val="single" w:sz="8" w:color="EBEBEB"/>
            </w:tcBorders>
          </w:tcPr>
          <w:p>
            <w:pPr>
              <w:spacing w:after="0"/>
              <w:rPr>
                <w:sz w:val="7"/>
                <w:szCs w:val="7"/>
                <w:color w:val="auto"/>
              </w:rPr>
            </w:pPr>
          </w:p>
        </w:tc>
        <w:tc>
          <w:tcPr>
            <w:tcW w:w="1480" w:type="dxa"/>
            <w:vAlign w:val="bottom"/>
            <w:tcBorders>
              <w:right w:val="single" w:sz="8" w:color="EBEBEB"/>
            </w:tcBorders>
            <w:vMerge w:val="restart"/>
            <w:shd w:val="clear" w:color="auto" w:fill="EBEBEB"/>
          </w:tcPr>
          <w:p>
            <w:pPr>
              <w:ind w:left="60"/>
              <w:spacing w:after="0"/>
              <w:rPr>
                <w:sz w:val="20"/>
                <w:szCs w:val="20"/>
                <w:color w:val="auto"/>
              </w:rPr>
            </w:pPr>
            <w:r>
              <w:rPr>
                <w:rFonts w:ascii="Arial" w:cs="Arial" w:eastAsia="Arial" w:hAnsi="Arial"/>
                <w:sz w:val="20"/>
                <w:szCs w:val="20"/>
                <w:color w:val="auto"/>
              </w:rPr>
              <w:t>value</w:t>
            </w:r>
          </w:p>
        </w:tc>
        <w:tc>
          <w:tcPr>
            <w:tcW w:w="4760" w:type="dxa"/>
            <w:vAlign w:val="bottom"/>
            <w:tcBorders>
              <w:right w:val="single" w:sz="8" w:color="F2EEF5"/>
            </w:tcBorders>
            <w:gridSpan w:val="4"/>
            <w:vMerge w:val="continue"/>
          </w:tcPr>
          <w:p>
            <w:pPr>
              <w:spacing w:after="0"/>
              <w:rPr>
                <w:sz w:val="7"/>
                <w:szCs w:val="7"/>
                <w:color w:val="auto"/>
              </w:rPr>
            </w:pPr>
          </w:p>
        </w:tc>
        <w:tc>
          <w:tcPr>
            <w:tcW w:w="1480" w:type="dxa"/>
            <w:vAlign w:val="bottom"/>
            <w:tcBorders>
              <w:right w:val="single" w:sz="8" w:color="F2EEF5"/>
            </w:tcBorders>
            <w:vMerge w:val="continue"/>
            <w:shd w:val="clear" w:color="auto" w:fill="F2EEF5"/>
          </w:tcPr>
          <w:p>
            <w:pPr>
              <w:spacing w:after="0"/>
              <w:rPr>
                <w:sz w:val="7"/>
                <w:szCs w:val="7"/>
                <w:color w:val="auto"/>
              </w:rPr>
            </w:pPr>
          </w:p>
        </w:tc>
        <w:tc>
          <w:tcPr>
            <w:tcW w:w="1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tcBorders>
              <w:right w:val="single" w:sz="8" w:color="EBEBEB"/>
            </w:tcBorders>
          </w:tcPr>
          <w:p>
            <w:pPr>
              <w:spacing w:after="0"/>
              <w:rPr>
                <w:sz w:val="15"/>
                <w:szCs w:val="15"/>
                <w:color w:val="auto"/>
              </w:rPr>
            </w:pPr>
          </w:p>
        </w:tc>
        <w:tc>
          <w:tcPr>
            <w:tcW w:w="1480" w:type="dxa"/>
            <w:vAlign w:val="bottom"/>
            <w:tcBorders>
              <w:right w:val="single" w:sz="8" w:color="EBEBEB"/>
            </w:tcBorders>
            <w:vMerge w:val="continue"/>
            <w:shd w:val="clear" w:color="auto" w:fill="EBEBEB"/>
          </w:tcPr>
          <w:p>
            <w:pPr>
              <w:spacing w:after="0"/>
              <w:rPr>
                <w:sz w:val="15"/>
                <w:szCs w:val="15"/>
                <w:color w:val="auto"/>
              </w:rPr>
            </w:pPr>
          </w:p>
        </w:tc>
        <w:tc>
          <w:tcPr>
            <w:tcW w:w="3200" w:type="dxa"/>
            <w:vAlign w:val="bottom"/>
            <w:gridSpan w:val="2"/>
            <w:vMerge w:val="restart"/>
          </w:tcPr>
          <w:p>
            <w:pPr>
              <w:ind w:left="180"/>
              <w:spacing w:after="0"/>
              <w:rPr>
                <w:sz w:val="20"/>
                <w:szCs w:val="20"/>
                <w:color w:val="auto"/>
              </w:rPr>
            </w:pPr>
            <w:r>
              <w:rPr>
                <w:rFonts w:ascii="Arial" w:cs="Arial" w:eastAsia="Arial" w:hAnsi="Arial"/>
                <w:sz w:val="20"/>
                <w:szCs w:val="20"/>
                <w:color w:val="auto"/>
              </w:rPr>
              <w:t>projected to be above target level</w:t>
            </w:r>
          </w:p>
        </w:tc>
        <w:tc>
          <w:tcPr>
            <w:tcW w:w="80" w:type="dxa"/>
            <w:vAlign w:val="bottom"/>
          </w:tcPr>
          <w:p>
            <w:pPr>
              <w:spacing w:after="0"/>
              <w:rPr>
                <w:sz w:val="15"/>
                <w:szCs w:val="15"/>
                <w:color w:val="auto"/>
              </w:rPr>
            </w:pPr>
          </w:p>
        </w:tc>
        <w:tc>
          <w:tcPr>
            <w:tcW w:w="1480" w:type="dxa"/>
            <w:vAlign w:val="bottom"/>
            <w:tcBorders>
              <w:right w:val="single" w:sz="8" w:color="F2EEF5"/>
            </w:tcBorders>
          </w:tcPr>
          <w:p>
            <w:pPr>
              <w:spacing w:after="0"/>
              <w:rPr>
                <w:sz w:val="15"/>
                <w:szCs w:val="15"/>
                <w:color w:val="auto"/>
              </w:rPr>
            </w:pPr>
          </w:p>
        </w:tc>
        <w:tc>
          <w:tcPr>
            <w:tcW w:w="1480" w:type="dxa"/>
            <w:vAlign w:val="bottom"/>
            <w:tcBorders>
              <w:right w:val="single" w:sz="8" w:color="F2EEF5"/>
            </w:tcBorders>
            <w:vMerge w:val="restart"/>
            <w:shd w:val="clear" w:color="auto" w:fill="F2EEF5"/>
          </w:tcPr>
          <w:p>
            <w:pPr>
              <w:ind w:left="60"/>
              <w:spacing w:after="0"/>
              <w:rPr>
                <w:sz w:val="20"/>
                <w:szCs w:val="20"/>
                <w:color w:val="auto"/>
              </w:rPr>
            </w:pPr>
            <w:r>
              <w:rPr>
                <w:rFonts w:ascii="Arial" w:cs="Arial" w:eastAsia="Arial" w:hAnsi="Arial"/>
                <w:sz w:val="20"/>
                <w:szCs w:val="20"/>
                <w:color w:val="auto"/>
              </w:rPr>
              <w:t>post vest</w:t>
            </w:r>
          </w:p>
        </w:tc>
        <w:tc>
          <w:tcPr>
            <w:tcW w:w="1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60" w:type="dxa"/>
            <w:vAlign w:val="bottom"/>
            <w:tcBorders>
              <w:right w:val="single" w:sz="8" w:color="EBEBEB"/>
            </w:tcBorders>
          </w:tcPr>
          <w:p>
            <w:pPr>
              <w:spacing w:after="0"/>
              <w:rPr>
                <w:sz w:val="11"/>
                <w:szCs w:val="11"/>
                <w:color w:val="auto"/>
              </w:rPr>
            </w:pPr>
          </w:p>
        </w:tc>
        <w:tc>
          <w:tcPr>
            <w:tcW w:w="1480" w:type="dxa"/>
            <w:vAlign w:val="bottom"/>
            <w:tcBorders>
              <w:bottom w:val="single" w:sz="8" w:color="EBEBEB"/>
              <w:right w:val="single" w:sz="8" w:color="EBEBEB"/>
            </w:tcBorders>
            <w:shd w:val="clear" w:color="auto" w:fill="EBEBEB"/>
          </w:tcPr>
          <w:p>
            <w:pPr>
              <w:spacing w:after="0"/>
              <w:rPr>
                <w:sz w:val="11"/>
                <w:szCs w:val="11"/>
                <w:color w:val="auto"/>
              </w:rPr>
            </w:pPr>
          </w:p>
        </w:tc>
        <w:tc>
          <w:tcPr>
            <w:tcW w:w="3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Borders>
              <w:right w:val="single" w:sz="8" w:color="F2EEF5"/>
            </w:tcBorders>
          </w:tcPr>
          <w:p>
            <w:pPr>
              <w:spacing w:after="0"/>
              <w:rPr>
                <w:sz w:val="11"/>
                <w:szCs w:val="11"/>
                <w:color w:val="auto"/>
              </w:rPr>
            </w:pPr>
          </w:p>
        </w:tc>
        <w:tc>
          <w:tcPr>
            <w:tcW w:w="1480" w:type="dxa"/>
            <w:vAlign w:val="bottom"/>
            <w:tcBorders>
              <w:bottom w:val="single" w:sz="8" w:color="F2EEF5"/>
              <w:right w:val="single" w:sz="8" w:color="F2EEF5"/>
            </w:tcBorders>
            <w:vMerge w:val="continue"/>
            <w:shd w:val="clear" w:color="auto" w:fill="F2EEF5"/>
          </w:tcPr>
          <w:p>
            <w:pPr>
              <w:spacing w:after="0"/>
              <w:rPr>
                <w:sz w:val="11"/>
                <w:szCs w:val="11"/>
                <w:color w:val="auto"/>
              </w:rPr>
            </w:pPr>
          </w:p>
        </w:tc>
        <w:tc>
          <w:tcPr>
            <w:tcW w:w="1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right w:val="single" w:sz="8" w:color="582C83"/>
            </w:tcBorders>
          </w:tcPr>
          <w:p>
            <w:pPr>
              <w:spacing w:after="0" w:line="20" w:lineRule="exact"/>
              <w:rPr>
                <w:sz w:val="1"/>
                <w:szCs w:val="1"/>
                <w:color w:val="auto"/>
              </w:rPr>
            </w:pPr>
          </w:p>
        </w:tc>
        <w:tc>
          <w:tcPr>
            <w:tcW w:w="1480" w:type="dxa"/>
            <w:vAlign w:val="bottom"/>
            <w:tcBorders>
              <w:right w:val="single" w:sz="8" w:color="EBEBEB"/>
            </w:tcBorders>
            <w:shd w:val="clear" w:color="auto" w:fill="582C83"/>
          </w:tcPr>
          <w:p>
            <w:pPr>
              <w:spacing w:after="0" w:line="20" w:lineRule="exact"/>
              <w:rPr>
                <w:sz w:val="1"/>
                <w:szCs w:val="1"/>
                <w:color w:val="auto"/>
              </w:rPr>
            </w:pPr>
          </w:p>
        </w:tc>
        <w:tc>
          <w:tcPr>
            <w:tcW w:w="1480" w:type="dxa"/>
            <w:vAlign w:val="bottom"/>
            <w:tcBorders>
              <w:right w:val="single" w:sz="8" w:color="582C83"/>
            </w:tcBorders>
            <w:shd w:val="clear" w:color="auto" w:fill="582C83"/>
          </w:tcPr>
          <w:p>
            <w:pPr>
              <w:spacing w:after="0" w:line="20" w:lineRule="exact"/>
              <w:rPr>
                <w:sz w:val="1"/>
                <w:szCs w:val="1"/>
                <w:color w:val="auto"/>
              </w:rPr>
            </w:pPr>
          </w:p>
        </w:tc>
        <w:tc>
          <w:tcPr>
            <w:tcW w:w="1800" w:type="dxa"/>
            <w:vAlign w:val="bottom"/>
            <w:gridSpan w:val="2"/>
            <w:shd w:val="clear" w:color="auto" w:fill="582C83"/>
          </w:tcPr>
          <w:p>
            <w:pPr>
              <w:spacing w:after="0" w:line="20" w:lineRule="exact"/>
              <w:rPr>
                <w:sz w:val="1"/>
                <w:szCs w:val="1"/>
                <w:color w:val="auto"/>
              </w:rPr>
            </w:pPr>
          </w:p>
        </w:tc>
        <w:tc>
          <w:tcPr>
            <w:tcW w:w="1480" w:type="dxa"/>
            <w:vAlign w:val="bottom"/>
            <w:tcBorders>
              <w:right w:val="single" w:sz="8" w:color="F2EEF5"/>
            </w:tcBorders>
            <w:shd w:val="clear" w:color="auto" w:fill="582C83"/>
          </w:tcPr>
          <w:p>
            <w:pPr>
              <w:spacing w:after="0" w:line="20" w:lineRule="exact"/>
              <w:rPr>
                <w:sz w:val="1"/>
                <w:szCs w:val="1"/>
                <w:color w:val="auto"/>
              </w:rPr>
            </w:pPr>
          </w:p>
        </w:tc>
        <w:tc>
          <w:tcPr>
            <w:tcW w:w="1480" w:type="dxa"/>
            <w:vAlign w:val="bottom"/>
            <w:tcBorders>
              <w:right w:val="single" w:sz="8" w:color="F2EEF5"/>
            </w:tcBorders>
            <w:shd w:val="clear" w:color="auto" w:fill="582C83"/>
          </w:tcPr>
          <w:p>
            <w:pPr>
              <w:spacing w:after="0" w:line="20" w:lineRule="exact"/>
              <w:rPr>
                <w:sz w:val="1"/>
                <w:szCs w:val="1"/>
                <w:color w:val="auto"/>
              </w:rPr>
            </w:pPr>
          </w:p>
        </w:tc>
        <w:tc>
          <w:tcPr>
            <w:tcW w:w="1480" w:type="dxa"/>
            <w:vAlign w:val="bottom"/>
            <w:tcBorders>
              <w:right w:val="single" w:sz="8" w:color="F2EEF5"/>
            </w:tcBorders>
            <w:shd w:val="clear" w:color="auto" w:fill="F2EEF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Borders>
              <w:right w:val="single" w:sz="8" w:color="EBEBEB"/>
            </w:tcBorders>
          </w:tcPr>
          <w:p>
            <w:pPr>
              <w:spacing w:after="0"/>
              <w:rPr>
                <w:sz w:val="20"/>
                <w:szCs w:val="20"/>
                <w:color w:val="auto"/>
              </w:rPr>
            </w:pPr>
          </w:p>
        </w:tc>
        <w:tc>
          <w:tcPr>
            <w:tcW w:w="1480" w:type="dxa"/>
            <w:vAlign w:val="bottom"/>
            <w:tcBorders>
              <w:right w:val="single" w:sz="8" w:color="EBEBEB"/>
            </w:tcBorders>
            <w:vMerge w:val="restart"/>
            <w:shd w:val="clear" w:color="auto" w:fill="EBEBEB"/>
          </w:tcPr>
          <w:p>
            <w:pPr>
              <w:ind w:left="60"/>
              <w:spacing w:after="0"/>
              <w:rPr>
                <w:sz w:val="20"/>
                <w:szCs w:val="20"/>
                <w:color w:val="auto"/>
              </w:rPr>
            </w:pPr>
            <w:r>
              <w:rPr>
                <w:rFonts w:ascii="Arial" w:cs="Arial" w:eastAsia="Arial" w:hAnsi="Arial"/>
                <w:sz w:val="20"/>
                <w:szCs w:val="20"/>
                <w:b w:val="1"/>
                <w:bCs w:val="1"/>
                <w:color w:val="auto"/>
              </w:rPr>
              <w:t>2022-2024</w:t>
            </w:r>
          </w:p>
        </w:tc>
        <w:tc>
          <w:tcPr>
            <w:tcW w:w="4760" w:type="dxa"/>
            <w:vAlign w:val="bottom"/>
            <w:tcBorders>
              <w:right w:val="single" w:sz="8" w:color="F2EEF5"/>
            </w:tcBorders>
            <w:gridSpan w:val="4"/>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Based on achievement of Organic Net Revenue</w:t>
            </w:r>
          </w:p>
        </w:tc>
        <w:tc>
          <w:tcPr>
            <w:tcW w:w="1480" w:type="dxa"/>
            <w:vAlign w:val="bottom"/>
            <w:tcBorders>
              <w:right w:val="single" w:sz="8" w:color="F2EEF5"/>
            </w:tcBorders>
            <w:shd w:val="clear" w:color="auto" w:fill="F2EEF5"/>
          </w:tcPr>
          <w:p>
            <w:pPr>
              <w:ind w:left="60"/>
              <w:spacing w:after="0"/>
              <w:rPr>
                <w:sz w:val="20"/>
                <w:szCs w:val="20"/>
                <w:color w:val="auto"/>
              </w:rPr>
            </w:pPr>
            <w:r>
              <w:rPr>
                <w:rFonts w:ascii="Arial" w:cs="Arial" w:eastAsia="Arial" w:hAnsi="Arial"/>
                <w:sz w:val="20"/>
                <w:szCs w:val="20"/>
                <w:color w:val="auto"/>
              </w:rPr>
              <w:t>Shares earned</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Borders>
              <w:right w:val="single" w:sz="8" w:color="EBEBEB"/>
            </w:tcBorders>
          </w:tcPr>
          <w:p>
            <w:pPr>
              <w:spacing w:after="0"/>
              <w:rPr>
                <w:sz w:val="12"/>
                <w:szCs w:val="12"/>
                <w:color w:val="auto"/>
              </w:rPr>
            </w:pPr>
          </w:p>
        </w:tc>
        <w:tc>
          <w:tcPr>
            <w:tcW w:w="1480" w:type="dxa"/>
            <w:vAlign w:val="bottom"/>
            <w:tcBorders>
              <w:right w:val="single" w:sz="8" w:color="EBEBEB"/>
            </w:tcBorders>
            <w:vMerge w:val="continue"/>
            <w:shd w:val="clear" w:color="auto" w:fill="EBEBEB"/>
          </w:tcPr>
          <w:p>
            <w:pPr>
              <w:spacing w:after="0"/>
              <w:rPr>
                <w:sz w:val="12"/>
                <w:szCs w:val="12"/>
                <w:color w:val="auto"/>
              </w:rPr>
            </w:pPr>
          </w:p>
        </w:tc>
        <w:tc>
          <w:tcPr>
            <w:tcW w:w="4760" w:type="dxa"/>
            <w:vAlign w:val="bottom"/>
            <w:tcBorders>
              <w:right w:val="single" w:sz="8" w:color="F2EEF5"/>
            </w:tcBorders>
            <w:gridSpan w:val="4"/>
            <w:vMerge w:val="restart"/>
          </w:tcPr>
          <w:p>
            <w:pPr>
              <w:ind w:left="180"/>
              <w:spacing w:after="0" w:line="224" w:lineRule="exact"/>
              <w:rPr>
                <w:sz w:val="20"/>
                <w:szCs w:val="20"/>
                <w:color w:val="auto"/>
              </w:rPr>
            </w:pPr>
            <w:r>
              <w:rPr>
                <w:rFonts w:ascii="Arial" w:cs="Arial" w:eastAsia="Arial" w:hAnsi="Arial"/>
                <w:sz w:val="20"/>
                <w:szCs w:val="20"/>
                <w:color w:val="auto"/>
              </w:rPr>
              <w:t>Growth, Adjusted EPS Growth and Relative TSR</w:t>
            </w:r>
          </w:p>
        </w:tc>
        <w:tc>
          <w:tcPr>
            <w:tcW w:w="1480" w:type="dxa"/>
            <w:vAlign w:val="bottom"/>
            <w:tcBorders>
              <w:right w:val="single" w:sz="8" w:color="F2EEF5"/>
            </w:tcBorders>
            <w:vMerge w:val="restart"/>
            <w:shd w:val="clear" w:color="auto" w:fill="F2EEF5"/>
          </w:tcPr>
          <w:p>
            <w:pPr>
              <w:ind w:left="60"/>
              <w:spacing w:after="0" w:line="224" w:lineRule="exact"/>
              <w:rPr>
                <w:sz w:val="20"/>
                <w:szCs w:val="20"/>
                <w:color w:val="auto"/>
              </w:rPr>
            </w:pPr>
            <w:r>
              <w:rPr>
                <w:rFonts w:ascii="Arial" w:cs="Arial" w:eastAsia="Arial" w:hAnsi="Arial"/>
                <w:sz w:val="20"/>
                <w:szCs w:val="20"/>
                <w:color w:val="auto"/>
              </w:rPr>
              <w:t>are subject to</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480" w:type="dxa"/>
            <w:vAlign w:val="bottom"/>
            <w:tcBorders>
              <w:right w:val="single" w:sz="8" w:color="EBEBEB"/>
            </w:tcBorders>
          </w:tcPr>
          <w:p>
            <w:pPr>
              <w:spacing w:after="0"/>
              <w:rPr>
                <w:sz w:val="6"/>
                <w:szCs w:val="6"/>
                <w:color w:val="auto"/>
              </w:rPr>
            </w:pPr>
          </w:p>
        </w:tc>
        <w:tc>
          <w:tcPr>
            <w:tcW w:w="1480" w:type="dxa"/>
            <w:vAlign w:val="bottom"/>
            <w:tcBorders>
              <w:right w:val="single" w:sz="8" w:color="EBEBEB"/>
            </w:tcBorders>
            <w:vMerge w:val="restart"/>
            <w:shd w:val="clear" w:color="auto" w:fill="EBEBEB"/>
          </w:tcPr>
          <w:p>
            <w:pPr>
              <w:ind w:left="60"/>
              <w:spacing w:after="0" w:line="224" w:lineRule="exact"/>
              <w:rPr>
                <w:sz w:val="20"/>
                <w:szCs w:val="20"/>
                <w:color w:val="auto"/>
              </w:rPr>
            </w:pPr>
            <w:r>
              <w:rPr>
                <w:rFonts w:ascii="Arial" w:cs="Arial" w:eastAsia="Arial" w:hAnsi="Arial"/>
                <w:sz w:val="20"/>
                <w:szCs w:val="20"/>
                <w:color w:val="auto"/>
              </w:rPr>
              <w:t>75% of long-</w:t>
            </w:r>
          </w:p>
        </w:tc>
        <w:tc>
          <w:tcPr>
            <w:tcW w:w="4760" w:type="dxa"/>
            <w:vAlign w:val="bottom"/>
            <w:tcBorders>
              <w:right w:val="single" w:sz="8" w:color="F2EEF5"/>
            </w:tcBorders>
            <w:gridSpan w:val="4"/>
            <w:vMerge w:val="continue"/>
          </w:tcPr>
          <w:p>
            <w:pPr>
              <w:spacing w:after="0"/>
              <w:rPr>
                <w:sz w:val="6"/>
                <w:szCs w:val="6"/>
                <w:color w:val="auto"/>
              </w:rPr>
            </w:pPr>
          </w:p>
        </w:tc>
        <w:tc>
          <w:tcPr>
            <w:tcW w:w="1480" w:type="dxa"/>
            <w:vAlign w:val="bottom"/>
            <w:tcBorders>
              <w:right w:val="single" w:sz="8" w:color="F2EEF5"/>
            </w:tcBorders>
            <w:vMerge w:val="continue"/>
            <w:shd w:val="clear" w:color="auto" w:fill="F2EEF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Borders>
              <w:right w:val="single" w:sz="8" w:color="EBEBEB"/>
            </w:tcBorders>
          </w:tcPr>
          <w:p>
            <w:pPr>
              <w:spacing w:after="0"/>
              <w:rPr>
                <w:sz w:val="12"/>
                <w:szCs w:val="12"/>
                <w:color w:val="auto"/>
              </w:rPr>
            </w:pPr>
          </w:p>
        </w:tc>
        <w:tc>
          <w:tcPr>
            <w:tcW w:w="1480" w:type="dxa"/>
            <w:vAlign w:val="bottom"/>
            <w:tcBorders>
              <w:right w:val="single" w:sz="8" w:color="EBEBEB"/>
            </w:tcBorders>
            <w:vMerge w:val="continue"/>
            <w:shd w:val="clear" w:color="auto" w:fill="EBEBEB"/>
          </w:tcPr>
          <w:p>
            <w:pPr>
              <w:spacing w:after="0"/>
              <w:rPr>
                <w:sz w:val="12"/>
                <w:szCs w:val="12"/>
                <w:color w:val="auto"/>
              </w:rPr>
            </w:pPr>
          </w:p>
        </w:tc>
        <w:tc>
          <w:tcPr>
            <w:tcW w:w="1720" w:type="dxa"/>
            <w:vAlign w:val="bottom"/>
            <w:vMerge w:val="restart"/>
          </w:tcPr>
          <w:p>
            <w:pPr>
              <w:ind w:left="180"/>
              <w:spacing w:after="0"/>
              <w:rPr>
                <w:sz w:val="20"/>
                <w:szCs w:val="20"/>
                <w:color w:val="auto"/>
              </w:rPr>
            </w:pPr>
            <w:r>
              <w:rPr>
                <w:rFonts w:ascii="Arial" w:cs="Arial" w:eastAsia="Arial" w:hAnsi="Arial"/>
                <w:sz w:val="20"/>
                <w:szCs w:val="20"/>
                <w:color w:val="auto"/>
              </w:rPr>
              <w:t>targets</w:t>
            </w: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80" w:type="dxa"/>
            <w:vAlign w:val="bottom"/>
            <w:tcBorders>
              <w:right w:val="single" w:sz="8" w:color="F2EEF5"/>
            </w:tcBorders>
          </w:tcPr>
          <w:p>
            <w:pPr>
              <w:spacing w:after="0"/>
              <w:rPr>
                <w:sz w:val="12"/>
                <w:szCs w:val="12"/>
                <w:color w:val="auto"/>
              </w:rPr>
            </w:pPr>
          </w:p>
        </w:tc>
        <w:tc>
          <w:tcPr>
            <w:tcW w:w="1480" w:type="dxa"/>
            <w:vAlign w:val="bottom"/>
            <w:tcBorders>
              <w:right w:val="single" w:sz="8" w:color="F2EEF5"/>
            </w:tcBorders>
            <w:vMerge w:val="restart"/>
            <w:shd w:val="clear" w:color="auto" w:fill="F2EEF5"/>
          </w:tcPr>
          <w:p>
            <w:pPr>
              <w:ind w:left="60"/>
              <w:spacing w:after="0"/>
              <w:rPr>
                <w:sz w:val="20"/>
                <w:szCs w:val="20"/>
                <w:color w:val="auto"/>
              </w:rPr>
            </w:pPr>
            <w:r>
              <w:rPr>
                <w:rFonts w:ascii="Arial" w:cs="Arial" w:eastAsia="Arial" w:hAnsi="Arial"/>
                <w:sz w:val="20"/>
                <w:szCs w:val="20"/>
                <w:color w:val="auto"/>
              </w:rPr>
              <w:t>a 1-year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480" w:type="dxa"/>
            <w:vAlign w:val="bottom"/>
            <w:tcBorders>
              <w:right w:val="single" w:sz="8" w:color="EBEBEB"/>
            </w:tcBorders>
          </w:tcPr>
          <w:p>
            <w:pPr>
              <w:spacing w:after="0"/>
              <w:rPr>
                <w:sz w:val="7"/>
                <w:szCs w:val="7"/>
                <w:color w:val="auto"/>
              </w:rPr>
            </w:pPr>
          </w:p>
        </w:tc>
        <w:tc>
          <w:tcPr>
            <w:tcW w:w="1480" w:type="dxa"/>
            <w:vAlign w:val="bottom"/>
            <w:tcBorders>
              <w:right w:val="single" w:sz="8" w:color="EBEBEB"/>
            </w:tcBorders>
            <w:vMerge w:val="restart"/>
            <w:shd w:val="clear" w:color="auto" w:fill="EBEBEB"/>
          </w:tcPr>
          <w:p>
            <w:pPr>
              <w:ind w:left="60"/>
              <w:spacing w:after="0" w:line="224" w:lineRule="exact"/>
              <w:rPr>
                <w:sz w:val="20"/>
                <w:szCs w:val="20"/>
                <w:color w:val="auto"/>
              </w:rPr>
            </w:pPr>
            <w:r>
              <w:rPr>
                <w:rFonts w:ascii="Arial" w:cs="Arial" w:eastAsia="Arial" w:hAnsi="Arial"/>
                <w:sz w:val="20"/>
                <w:szCs w:val="20"/>
                <w:color w:val="auto"/>
              </w:rPr>
              <w:t>term incentive</w:t>
            </w:r>
          </w:p>
        </w:tc>
        <w:tc>
          <w:tcPr>
            <w:tcW w:w="1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80" w:type="dxa"/>
            <w:vAlign w:val="bottom"/>
            <w:tcBorders>
              <w:right w:val="single" w:sz="8" w:color="F2EEF5"/>
            </w:tcBorders>
          </w:tcPr>
          <w:p>
            <w:pPr>
              <w:spacing w:after="0"/>
              <w:rPr>
                <w:sz w:val="7"/>
                <w:szCs w:val="7"/>
                <w:color w:val="auto"/>
              </w:rPr>
            </w:pPr>
          </w:p>
        </w:tc>
        <w:tc>
          <w:tcPr>
            <w:tcW w:w="1480" w:type="dxa"/>
            <w:vAlign w:val="bottom"/>
            <w:tcBorders>
              <w:right w:val="single" w:sz="8" w:color="F2EEF5"/>
            </w:tcBorders>
            <w:vMerge w:val="continue"/>
            <w:shd w:val="clear" w:color="auto" w:fill="F2EEF5"/>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80" w:type="dxa"/>
            <w:vAlign w:val="bottom"/>
            <w:tcBorders>
              <w:right w:val="single" w:sz="8" w:color="EBEBEB"/>
            </w:tcBorders>
          </w:tcPr>
          <w:p>
            <w:pPr>
              <w:spacing w:after="0"/>
              <w:rPr>
                <w:sz w:val="11"/>
                <w:szCs w:val="11"/>
                <w:color w:val="auto"/>
              </w:rPr>
            </w:pPr>
          </w:p>
        </w:tc>
        <w:tc>
          <w:tcPr>
            <w:tcW w:w="1480" w:type="dxa"/>
            <w:vAlign w:val="bottom"/>
            <w:tcBorders>
              <w:right w:val="single" w:sz="8" w:color="EBEBEB"/>
            </w:tcBorders>
            <w:vMerge w:val="continue"/>
            <w:shd w:val="clear" w:color="auto" w:fill="EBEBEB"/>
          </w:tcPr>
          <w:p>
            <w:pPr>
              <w:spacing w:after="0"/>
              <w:rPr>
                <w:sz w:val="11"/>
                <w:szCs w:val="11"/>
                <w:color w:val="auto"/>
              </w:rPr>
            </w:pPr>
          </w:p>
        </w:tc>
        <w:tc>
          <w:tcPr>
            <w:tcW w:w="4760" w:type="dxa"/>
            <w:vAlign w:val="bottom"/>
            <w:tcBorders>
              <w:right w:val="single" w:sz="8" w:color="F2EEF5"/>
            </w:tcBorders>
            <w:gridSpan w:val="4"/>
            <w:vMerge w:val="restart"/>
          </w:tcPr>
          <w:p>
            <w:pPr>
              <w:ind w:left="60"/>
              <w:spacing w:after="0" w:line="225"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At December 31, 2022, performance was</w:t>
            </w:r>
          </w:p>
        </w:tc>
        <w:tc>
          <w:tcPr>
            <w:tcW w:w="1480" w:type="dxa"/>
            <w:vAlign w:val="bottom"/>
            <w:tcBorders>
              <w:right w:val="single" w:sz="8" w:color="F2EEF5"/>
            </w:tcBorders>
            <w:vMerge w:val="restart"/>
            <w:shd w:val="clear" w:color="auto" w:fill="F2EEF5"/>
          </w:tcPr>
          <w:p>
            <w:pPr>
              <w:ind w:left="60"/>
              <w:spacing w:after="0" w:line="225" w:lineRule="exact"/>
              <w:rPr>
                <w:sz w:val="20"/>
                <w:szCs w:val="20"/>
                <w:color w:val="auto"/>
              </w:rPr>
            </w:pPr>
            <w:r>
              <w:rPr>
                <w:rFonts w:ascii="Arial" w:cs="Arial" w:eastAsia="Arial" w:hAnsi="Arial"/>
                <w:sz w:val="20"/>
                <w:szCs w:val="20"/>
                <w:color w:val="auto"/>
              </w:rPr>
              <w:t>holding period</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480" w:type="dxa"/>
            <w:vAlign w:val="bottom"/>
            <w:tcBorders>
              <w:right w:val="single" w:sz="8" w:color="EBEBEB"/>
            </w:tcBorders>
          </w:tcPr>
          <w:p>
            <w:pPr>
              <w:spacing w:after="0"/>
              <w:rPr>
                <w:sz w:val="7"/>
                <w:szCs w:val="7"/>
                <w:color w:val="auto"/>
              </w:rPr>
            </w:pPr>
          </w:p>
        </w:tc>
        <w:tc>
          <w:tcPr>
            <w:tcW w:w="1480" w:type="dxa"/>
            <w:vAlign w:val="bottom"/>
            <w:tcBorders>
              <w:right w:val="single" w:sz="8" w:color="EBEBEB"/>
            </w:tcBorders>
            <w:vMerge w:val="restart"/>
            <w:shd w:val="clear" w:color="auto" w:fill="EBEBEB"/>
          </w:tcPr>
          <w:p>
            <w:pPr>
              <w:ind w:left="60"/>
              <w:spacing w:after="0"/>
              <w:rPr>
                <w:sz w:val="20"/>
                <w:szCs w:val="20"/>
                <w:color w:val="auto"/>
              </w:rPr>
            </w:pPr>
            <w:r>
              <w:rPr>
                <w:rFonts w:ascii="Arial" w:cs="Arial" w:eastAsia="Arial" w:hAnsi="Arial"/>
                <w:sz w:val="20"/>
                <w:szCs w:val="20"/>
                <w:color w:val="auto"/>
              </w:rPr>
              <w:t>value</w:t>
            </w:r>
          </w:p>
        </w:tc>
        <w:tc>
          <w:tcPr>
            <w:tcW w:w="4760" w:type="dxa"/>
            <w:vAlign w:val="bottom"/>
            <w:tcBorders>
              <w:right w:val="single" w:sz="8" w:color="F2EEF5"/>
            </w:tcBorders>
            <w:gridSpan w:val="4"/>
            <w:vMerge w:val="continue"/>
          </w:tcPr>
          <w:p>
            <w:pPr>
              <w:spacing w:after="0"/>
              <w:rPr>
                <w:sz w:val="7"/>
                <w:szCs w:val="7"/>
                <w:color w:val="auto"/>
              </w:rPr>
            </w:pPr>
          </w:p>
        </w:tc>
        <w:tc>
          <w:tcPr>
            <w:tcW w:w="1480" w:type="dxa"/>
            <w:vAlign w:val="bottom"/>
            <w:tcBorders>
              <w:right w:val="single" w:sz="8" w:color="F2EEF5"/>
            </w:tcBorders>
            <w:vMerge w:val="continue"/>
            <w:shd w:val="clear" w:color="auto" w:fill="F2EEF5"/>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80" w:type="dxa"/>
            <w:vAlign w:val="bottom"/>
            <w:tcBorders>
              <w:right w:val="single" w:sz="8" w:color="EBEBEB"/>
            </w:tcBorders>
          </w:tcPr>
          <w:p>
            <w:pPr>
              <w:spacing w:after="0"/>
              <w:rPr>
                <w:sz w:val="15"/>
                <w:szCs w:val="15"/>
                <w:color w:val="auto"/>
              </w:rPr>
            </w:pPr>
          </w:p>
        </w:tc>
        <w:tc>
          <w:tcPr>
            <w:tcW w:w="1480" w:type="dxa"/>
            <w:vAlign w:val="bottom"/>
            <w:tcBorders>
              <w:right w:val="single" w:sz="8" w:color="EBEBEB"/>
            </w:tcBorders>
            <w:vMerge w:val="continue"/>
            <w:shd w:val="clear" w:color="auto" w:fill="EBEBEB"/>
          </w:tcPr>
          <w:p>
            <w:pPr>
              <w:spacing w:after="0"/>
              <w:rPr>
                <w:sz w:val="15"/>
                <w:szCs w:val="15"/>
                <w:color w:val="auto"/>
              </w:rPr>
            </w:pPr>
          </w:p>
        </w:tc>
        <w:tc>
          <w:tcPr>
            <w:tcW w:w="3280" w:type="dxa"/>
            <w:vAlign w:val="bottom"/>
            <w:gridSpan w:val="3"/>
            <w:vMerge w:val="restart"/>
          </w:tcPr>
          <w:p>
            <w:pPr>
              <w:ind w:left="180"/>
              <w:spacing w:after="0"/>
              <w:rPr>
                <w:sz w:val="20"/>
                <w:szCs w:val="20"/>
                <w:color w:val="auto"/>
              </w:rPr>
            </w:pPr>
            <w:r>
              <w:rPr>
                <w:rFonts w:ascii="Arial" w:cs="Arial" w:eastAsia="Arial" w:hAnsi="Arial"/>
                <w:sz w:val="20"/>
                <w:szCs w:val="20"/>
                <w:color w:val="auto"/>
              </w:rPr>
              <w:t>projected to be above target level</w:t>
            </w:r>
          </w:p>
        </w:tc>
        <w:tc>
          <w:tcPr>
            <w:tcW w:w="1480" w:type="dxa"/>
            <w:vAlign w:val="bottom"/>
            <w:tcBorders>
              <w:right w:val="single" w:sz="8" w:color="F2EEF5"/>
            </w:tcBorders>
          </w:tcPr>
          <w:p>
            <w:pPr>
              <w:spacing w:after="0"/>
              <w:rPr>
                <w:sz w:val="15"/>
                <w:szCs w:val="15"/>
                <w:color w:val="auto"/>
              </w:rPr>
            </w:pPr>
          </w:p>
        </w:tc>
        <w:tc>
          <w:tcPr>
            <w:tcW w:w="1480" w:type="dxa"/>
            <w:vAlign w:val="bottom"/>
            <w:tcBorders>
              <w:right w:val="single" w:sz="8" w:color="F2EEF5"/>
            </w:tcBorders>
            <w:vMerge w:val="restart"/>
            <w:shd w:val="clear" w:color="auto" w:fill="F2EEF5"/>
          </w:tcPr>
          <w:p>
            <w:pPr>
              <w:ind w:left="60"/>
              <w:spacing w:after="0"/>
              <w:rPr>
                <w:sz w:val="20"/>
                <w:szCs w:val="20"/>
                <w:color w:val="auto"/>
              </w:rPr>
            </w:pPr>
            <w:r>
              <w:rPr>
                <w:rFonts w:ascii="Arial" w:cs="Arial" w:eastAsia="Arial" w:hAnsi="Arial"/>
                <w:sz w:val="20"/>
                <w:szCs w:val="20"/>
                <w:color w:val="auto"/>
              </w:rPr>
              <w:t>post vest</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80" w:type="dxa"/>
            <w:vAlign w:val="bottom"/>
            <w:tcBorders>
              <w:right w:val="single" w:sz="8" w:color="EBEBEB"/>
            </w:tcBorders>
          </w:tcPr>
          <w:p>
            <w:pPr>
              <w:spacing w:after="0"/>
              <w:rPr>
                <w:sz w:val="11"/>
                <w:szCs w:val="11"/>
                <w:color w:val="auto"/>
              </w:rPr>
            </w:pPr>
          </w:p>
        </w:tc>
        <w:tc>
          <w:tcPr>
            <w:tcW w:w="1480" w:type="dxa"/>
            <w:vAlign w:val="bottom"/>
            <w:tcBorders>
              <w:bottom w:val="single" w:sz="8" w:color="EBEBEB"/>
              <w:right w:val="single" w:sz="8" w:color="EBEBEB"/>
            </w:tcBorders>
            <w:shd w:val="clear" w:color="auto" w:fill="EBEBEB"/>
          </w:tcPr>
          <w:p>
            <w:pPr>
              <w:spacing w:after="0"/>
              <w:rPr>
                <w:sz w:val="11"/>
                <w:szCs w:val="11"/>
                <w:color w:val="auto"/>
              </w:rPr>
            </w:pPr>
          </w:p>
        </w:tc>
        <w:tc>
          <w:tcPr>
            <w:tcW w:w="3280" w:type="dxa"/>
            <w:vAlign w:val="bottom"/>
            <w:gridSpan w:val="3"/>
            <w:vMerge w:val="continue"/>
          </w:tcPr>
          <w:p>
            <w:pPr>
              <w:spacing w:after="0"/>
              <w:rPr>
                <w:sz w:val="11"/>
                <w:szCs w:val="11"/>
                <w:color w:val="auto"/>
              </w:rPr>
            </w:pPr>
          </w:p>
        </w:tc>
        <w:tc>
          <w:tcPr>
            <w:tcW w:w="1480" w:type="dxa"/>
            <w:vAlign w:val="bottom"/>
            <w:tcBorders>
              <w:right w:val="single" w:sz="8" w:color="F2EEF5"/>
            </w:tcBorders>
          </w:tcPr>
          <w:p>
            <w:pPr>
              <w:spacing w:after="0"/>
              <w:rPr>
                <w:sz w:val="11"/>
                <w:szCs w:val="11"/>
                <w:color w:val="auto"/>
              </w:rPr>
            </w:pPr>
          </w:p>
        </w:tc>
        <w:tc>
          <w:tcPr>
            <w:tcW w:w="1480" w:type="dxa"/>
            <w:vAlign w:val="bottom"/>
            <w:tcBorders>
              <w:bottom w:val="single" w:sz="8" w:color="F2EEF5"/>
              <w:right w:val="single" w:sz="8" w:color="F2EEF5"/>
            </w:tcBorders>
            <w:vMerge w:val="continue"/>
            <w:shd w:val="clear" w:color="auto" w:fill="F2EEF5"/>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Borders>
              <w:right w:val="single" w:sz="8" w:color="EBEBEB"/>
            </w:tcBorders>
          </w:tcPr>
          <w:p>
            <w:pPr>
              <w:spacing w:after="0" w:line="20" w:lineRule="exact"/>
              <w:rPr>
                <w:sz w:val="1"/>
                <w:szCs w:val="1"/>
                <w:color w:val="auto"/>
              </w:rPr>
            </w:pPr>
          </w:p>
        </w:tc>
        <w:tc>
          <w:tcPr>
            <w:tcW w:w="1480" w:type="dxa"/>
            <w:vAlign w:val="bottom"/>
            <w:tcBorders>
              <w:right w:val="single" w:sz="8" w:color="EBEBEB"/>
            </w:tcBorders>
            <w:shd w:val="clear" w:color="auto" w:fill="582C83"/>
          </w:tcPr>
          <w:p>
            <w:pPr>
              <w:spacing w:after="0" w:line="20" w:lineRule="exact"/>
              <w:rPr>
                <w:sz w:val="1"/>
                <w:szCs w:val="1"/>
                <w:color w:val="auto"/>
              </w:rPr>
            </w:pPr>
          </w:p>
        </w:tc>
        <w:tc>
          <w:tcPr>
            <w:tcW w:w="1720" w:type="dxa"/>
            <w:vAlign w:val="bottom"/>
            <w:shd w:val="clear" w:color="auto" w:fill="582C83"/>
          </w:tcPr>
          <w:p>
            <w:pPr>
              <w:spacing w:after="0" w:line="20" w:lineRule="exact"/>
              <w:rPr>
                <w:sz w:val="1"/>
                <w:szCs w:val="1"/>
                <w:color w:val="auto"/>
              </w:rPr>
            </w:pPr>
          </w:p>
        </w:tc>
        <w:tc>
          <w:tcPr>
            <w:tcW w:w="80" w:type="dxa"/>
            <w:vAlign w:val="bottom"/>
            <w:shd w:val="clear" w:color="auto" w:fill="582C83"/>
          </w:tcPr>
          <w:p>
            <w:pPr>
              <w:spacing w:after="0" w:line="20" w:lineRule="exact"/>
              <w:rPr>
                <w:sz w:val="1"/>
                <w:szCs w:val="1"/>
                <w:color w:val="auto"/>
              </w:rPr>
            </w:pPr>
          </w:p>
        </w:tc>
        <w:tc>
          <w:tcPr>
            <w:tcW w:w="1480" w:type="dxa"/>
            <w:vAlign w:val="bottom"/>
            <w:tcBorders>
              <w:right w:val="single" w:sz="8" w:color="582C83"/>
            </w:tcBorders>
            <w:shd w:val="clear" w:color="auto" w:fill="582C83"/>
          </w:tcPr>
          <w:p>
            <w:pPr>
              <w:spacing w:after="0" w:line="20" w:lineRule="exact"/>
              <w:rPr>
                <w:sz w:val="1"/>
                <w:szCs w:val="1"/>
                <w:color w:val="auto"/>
              </w:rPr>
            </w:pPr>
          </w:p>
        </w:tc>
        <w:tc>
          <w:tcPr>
            <w:tcW w:w="1480" w:type="dxa"/>
            <w:vAlign w:val="bottom"/>
            <w:tcBorders>
              <w:right w:val="single" w:sz="8" w:color="F2EEF5"/>
            </w:tcBorders>
            <w:shd w:val="clear" w:color="auto" w:fill="582C83"/>
          </w:tcPr>
          <w:p>
            <w:pPr>
              <w:spacing w:after="0" w:line="20" w:lineRule="exact"/>
              <w:rPr>
                <w:sz w:val="1"/>
                <w:szCs w:val="1"/>
                <w:color w:val="auto"/>
              </w:rPr>
            </w:pPr>
          </w:p>
        </w:tc>
        <w:tc>
          <w:tcPr>
            <w:tcW w:w="1480" w:type="dxa"/>
            <w:vAlign w:val="bottom"/>
            <w:tcBorders>
              <w:right w:val="single" w:sz="8" w:color="582C83"/>
            </w:tcBorders>
            <w:shd w:val="clear" w:color="auto" w:fill="582C83"/>
          </w:tcPr>
          <w:p>
            <w:pPr>
              <w:spacing w:after="0" w:line="20" w:lineRule="exact"/>
              <w:rPr>
                <w:sz w:val="1"/>
                <w:szCs w:val="1"/>
                <w:color w:val="auto"/>
              </w:rPr>
            </w:pPr>
          </w:p>
        </w:tc>
        <w:tc>
          <w:tcPr>
            <w:tcW w:w="560" w:type="dxa"/>
            <w:vAlign w:val="bottom"/>
            <w:shd w:val="clear" w:color="auto" w:fill="582C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Options (25%)</w:t>
      </w:r>
    </w:p>
    <w:p>
      <w:pPr>
        <w:spacing w:after="0" w:line="56"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Stock options vest ratably over three years and have a term of ten years. The Board believes options are an appropriate vehicle for long-term compensation because they are performance-based and emphasize growth. As with PSUs, NEOs must hold the net shares acquired upon exercising stock options for at least one year while also maintaining their stock ownership requirement.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OTHER COMPENSATION ELEMENTS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Compensation</w:t>
      </w:r>
    </w:p>
    <w:p>
      <w:pPr>
        <w:spacing w:after="0" w:line="56"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In 2022, our U.S.-based NEOs were eligible to participate in the Mondelēz Global LLC Executive Deferred Compensation Plan (“MEDCP”), a voluntary non-qualified deferred compensation plan. The MEDCP allows executives to defer, on a pre-tax basis, up to 50% of their salary and up to 100% of their award under the AIP. Participants may invest deferred amounts in one or more notional investment options.</w:t>
      </w:r>
    </w:p>
    <w:p>
      <w:pPr>
        <w:spacing w:after="0" w:line="133" w:lineRule="exact"/>
        <w:rPr>
          <w:sz w:val="20"/>
          <w:szCs w:val="20"/>
          <w:color w:val="auto"/>
        </w:rPr>
      </w:pPr>
    </w:p>
    <w:p>
      <w:pPr>
        <w:jc w:val="both"/>
        <w:ind w:right="120"/>
        <w:spacing w:after="0" w:line="249" w:lineRule="auto"/>
        <w:rPr>
          <w:sz w:val="20"/>
          <w:szCs w:val="20"/>
          <w:color w:val="auto"/>
        </w:rPr>
      </w:pPr>
      <w:r>
        <w:rPr>
          <w:rFonts w:ascii="Arial" w:cs="Arial" w:eastAsia="Arial" w:hAnsi="Arial"/>
          <w:sz w:val="20"/>
          <w:szCs w:val="20"/>
          <w:color w:val="auto"/>
        </w:rPr>
        <w:t xml:space="preserve">The MEDCP is similar to plans provided to executives at many of the companies in our Compensation Survey Peer </w:t>
      </w:r>
      <w:r>
        <w:rPr>
          <w:rFonts w:ascii="Times New Roman" w:cs="Times New Roman" w:eastAsia="Times New Roman" w:hAnsi="Times New Roman"/>
          <w:sz w:val="20"/>
          <w:szCs w:val="20"/>
          <w:color w:val="auto"/>
        </w:rPr>
        <w:t> </w:t>
      </w:r>
      <w:r>
        <w:rPr>
          <w:rFonts w:ascii="Arial" w:cs="Arial" w:eastAsia="Arial" w:hAnsi="Arial"/>
          <w:sz w:val="20"/>
          <w:szCs w:val="20"/>
          <w:color w:val="auto"/>
        </w:rPr>
        <w:t>Group. The People and Compensation Committee believes the MEDCP aids in recruitment and assists executives in</w:t>
      </w:r>
      <w:r>
        <w:rPr>
          <w:rFonts w:ascii="Times New Roman" w:cs="Times New Roman" w:eastAsia="Times New Roman" w:hAnsi="Times New Roman"/>
          <w:sz w:val="20"/>
          <w:szCs w:val="20"/>
          <w:color w:val="auto"/>
        </w:rPr>
        <w:t> </w:t>
      </w:r>
      <w:r>
        <w:rPr>
          <w:rFonts w:ascii="Arial" w:cs="Arial" w:eastAsia="Arial" w:hAnsi="Arial"/>
          <w:sz w:val="20"/>
          <w:szCs w:val="20"/>
          <w:color w:val="auto"/>
        </w:rPr>
        <w:t>managing their future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143115"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7" w:name="page88"/>
    <w:bookmarkEnd w:id="87"/>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Limited Perquisites; No Executive-Only Welfare Plans or Tax Gross-Ups</w:t>
      </w:r>
    </w:p>
    <w:p>
      <w:pPr>
        <w:spacing w:after="0" w:line="56" w:lineRule="exact"/>
        <w:rPr>
          <w:sz w:val="20"/>
          <w:szCs w:val="20"/>
          <w:color w:val="auto"/>
        </w:rPr>
      </w:pPr>
    </w:p>
    <w:p>
      <w:pPr>
        <w:jc w:val="both"/>
        <w:ind w:left="1" w:right="180"/>
        <w:spacing w:after="0" w:line="250" w:lineRule="auto"/>
        <w:rPr>
          <w:sz w:val="20"/>
          <w:szCs w:val="20"/>
          <w:color w:val="auto"/>
        </w:rPr>
      </w:pPr>
      <w:r>
        <w:rPr>
          <w:rFonts w:ascii="Arial" w:cs="Arial" w:eastAsia="Arial" w:hAnsi="Arial"/>
          <w:sz w:val="20"/>
          <w:szCs w:val="20"/>
          <w:color w:val="auto"/>
        </w:rPr>
        <w:t>The People and Compensation Committee believes offering certain limited perquisites is important for executive retention and recruitment. Our perquisites for NEOs, including car and financial planning allowances, are similar in scope and value to those offered by companies in our Compensation Survey Peer Group.</w:t>
      </w:r>
    </w:p>
    <w:p>
      <w:pPr>
        <w:spacing w:after="0" w:line="126" w:lineRule="exact"/>
        <w:rPr>
          <w:sz w:val="20"/>
          <w:szCs w:val="20"/>
          <w:color w:val="auto"/>
        </w:rPr>
      </w:pPr>
    </w:p>
    <w:p>
      <w:pPr>
        <w:ind w:left="1" w:right="80"/>
        <w:spacing w:after="0" w:line="250" w:lineRule="auto"/>
        <w:rPr>
          <w:sz w:val="20"/>
          <w:szCs w:val="20"/>
          <w:color w:val="auto"/>
        </w:rPr>
      </w:pPr>
      <w:r>
        <w:rPr>
          <w:rFonts w:ascii="Arial" w:cs="Arial" w:eastAsia="Arial" w:hAnsi="Arial"/>
          <w:sz w:val="20"/>
          <w:szCs w:val="20"/>
          <w:color w:val="auto"/>
        </w:rPr>
        <w:t>In addition, based on the findings of an independent, third-party security study, we require our CEO to use a private (non-commercial) aircraft for both business and personal travel. Use of a private aircraft enhances personal safety and increases the time available for business purposes for our CEO, which is necessary since we do business in more than 150 countries.</w:t>
      </w:r>
    </w:p>
    <w:p>
      <w:pPr>
        <w:spacing w:after="0" w:line="126" w:lineRule="exact"/>
        <w:rPr>
          <w:sz w:val="20"/>
          <w:szCs w:val="20"/>
          <w:color w:val="auto"/>
        </w:rPr>
      </w:pPr>
    </w:p>
    <w:p>
      <w:pPr>
        <w:jc w:val="both"/>
        <w:ind w:left="1" w:right="200"/>
        <w:spacing w:after="0" w:line="250" w:lineRule="auto"/>
        <w:rPr>
          <w:sz w:val="20"/>
          <w:szCs w:val="20"/>
          <w:color w:val="auto"/>
        </w:rPr>
      </w:pPr>
      <w:r>
        <w:rPr>
          <w:rFonts w:ascii="Arial" w:cs="Arial" w:eastAsia="Arial" w:hAnsi="Arial"/>
          <w:sz w:val="20"/>
          <w:szCs w:val="20"/>
          <w:color w:val="auto"/>
        </w:rPr>
        <w:t>Our NEOs generally participate in the same retirement, health and welfare plans broadly available to all salaried employees in the location where they are based. The footnotes to the Summary Compensation Table list the perquisites we provided to our NEOs in 2022. We do not provide our NEOs with tax gross-ups on perquisites or health and welfare benefits.</w:t>
      </w:r>
    </w:p>
    <w:p>
      <w:pPr>
        <w:spacing w:after="0" w:line="126"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582C83"/>
        </w:rPr>
        <w:t>RETIREMENT AND SEPARATION BENEFITS</w:t>
      </w:r>
    </w:p>
    <w:p>
      <w:pPr>
        <w:spacing w:after="0" w:line="94" w:lineRule="exact"/>
        <w:rPr>
          <w:sz w:val="20"/>
          <w:szCs w:val="20"/>
          <w:color w:val="auto"/>
        </w:rPr>
      </w:pPr>
    </w:p>
    <w:p>
      <w:pPr>
        <w:ind w:left="1" w:right="40"/>
        <w:spacing w:after="0" w:line="268" w:lineRule="auto"/>
        <w:rPr>
          <w:sz w:val="20"/>
          <w:szCs w:val="20"/>
          <w:color w:val="auto"/>
        </w:rPr>
      </w:pPr>
      <w:r>
        <w:rPr>
          <w:rFonts w:ascii="Arial" w:cs="Arial" w:eastAsia="Arial" w:hAnsi="Arial"/>
          <w:sz w:val="20"/>
          <w:szCs w:val="20"/>
          <w:color w:val="auto"/>
        </w:rPr>
        <w:t>Our U.S.-based NEOs are eligible for broad-based U.S. employee benefit plans on the same terms as U.S. salaried employees, including the Mondelēz Global LLC Thrift Plan (“Thrift Plan”).</w:t>
      </w:r>
    </w:p>
    <w:p>
      <w:pPr>
        <w:spacing w:after="0" w:line="107" w:lineRule="exact"/>
        <w:rPr>
          <w:sz w:val="20"/>
          <w:szCs w:val="20"/>
          <w:color w:val="auto"/>
        </w:rPr>
      </w:pPr>
    </w:p>
    <w:p>
      <w:pPr>
        <w:ind w:left="1" w:right="140"/>
        <w:spacing w:after="0" w:line="295" w:lineRule="auto"/>
        <w:rPr>
          <w:sz w:val="20"/>
          <w:szCs w:val="20"/>
          <w:color w:val="auto"/>
        </w:rPr>
      </w:pPr>
      <w:r>
        <w:rPr>
          <w:rFonts w:ascii="Arial" w:cs="Arial" w:eastAsia="Arial" w:hAnsi="Arial"/>
          <w:sz w:val="19"/>
          <w:szCs w:val="19"/>
          <w:color w:val="auto"/>
        </w:rPr>
        <w:t>We also provide an unfunded non-qualified plan, the Mondelēz Global LLC Supplemental Benefits Plan (“Supplemental Plan”), for eligible U.S. employees. The Supplemental Plan provides benefits that are not provided under the Thrift Plan because:</w:t>
      </w:r>
    </w:p>
    <w:p>
      <w:pPr>
        <w:spacing w:after="0" w:line="84" w:lineRule="exact"/>
        <w:rPr>
          <w:sz w:val="20"/>
          <w:szCs w:val="20"/>
          <w:color w:val="auto"/>
        </w:rPr>
      </w:pPr>
    </w:p>
    <w:p>
      <w:pPr>
        <w:ind w:left="121" w:hanging="121"/>
        <w:spacing w:after="0"/>
        <w:tabs>
          <w:tab w:leader="none" w:pos="121" w:val="left"/>
        </w:tabs>
        <w:numPr>
          <w:ilvl w:val="0"/>
          <w:numId w:val="76"/>
        </w:numPr>
        <w:rPr>
          <w:rFonts w:ascii="Arial" w:cs="Arial" w:eastAsia="Arial" w:hAnsi="Arial"/>
          <w:sz w:val="20"/>
          <w:szCs w:val="20"/>
          <w:color w:val="582C83"/>
        </w:rPr>
      </w:pPr>
      <w:r>
        <w:rPr>
          <w:rFonts w:ascii="Arial" w:cs="Arial" w:eastAsia="Arial" w:hAnsi="Arial"/>
          <w:sz w:val="20"/>
          <w:szCs w:val="20"/>
          <w:color w:val="auto"/>
        </w:rPr>
        <w:t>An employee’s compensation exceeds the tax-qualified plan compensation limit under Code Section 401(a)(17);</w:t>
      </w:r>
    </w:p>
    <w:p>
      <w:pPr>
        <w:spacing w:after="0" w:line="92" w:lineRule="exact"/>
        <w:rPr>
          <w:rFonts w:ascii="Arial" w:cs="Arial" w:eastAsia="Arial" w:hAnsi="Arial"/>
          <w:sz w:val="20"/>
          <w:szCs w:val="20"/>
          <w:color w:val="582C83"/>
        </w:rPr>
      </w:pPr>
    </w:p>
    <w:p>
      <w:pPr>
        <w:ind w:left="121" w:hanging="121"/>
        <w:spacing w:after="0"/>
        <w:tabs>
          <w:tab w:leader="none" w:pos="121" w:val="left"/>
        </w:tabs>
        <w:numPr>
          <w:ilvl w:val="0"/>
          <w:numId w:val="76"/>
        </w:numPr>
        <w:rPr>
          <w:rFonts w:ascii="Arial" w:cs="Arial" w:eastAsia="Arial" w:hAnsi="Arial"/>
          <w:sz w:val="20"/>
          <w:szCs w:val="20"/>
          <w:color w:val="582C83"/>
        </w:rPr>
      </w:pPr>
      <w:r>
        <w:rPr>
          <w:rFonts w:ascii="Arial" w:cs="Arial" w:eastAsia="Arial" w:hAnsi="Arial"/>
          <w:sz w:val="20"/>
          <w:szCs w:val="20"/>
          <w:color w:val="auto"/>
        </w:rPr>
        <w:t>An employee elects to defer compensation under either the MEDCP or the Supplemental Plan; or</w:t>
      </w:r>
    </w:p>
    <w:p>
      <w:pPr>
        <w:spacing w:after="0" w:line="92" w:lineRule="exact"/>
        <w:rPr>
          <w:rFonts w:ascii="Arial" w:cs="Arial" w:eastAsia="Arial" w:hAnsi="Arial"/>
          <w:sz w:val="20"/>
          <w:szCs w:val="20"/>
          <w:color w:val="582C83"/>
        </w:rPr>
      </w:pPr>
    </w:p>
    <w:p>
      <w:pPr>
        <w:ind w:left="121" w:hanging="121"/>
        <w:spacing w:after="0"/>
        <w:tabs>
          <w:tab w:leader="none" w:pos="121" w:val="left"/>
        </w:tabs>
        <w:numPr>
          <w:ilvl w:val="0"/>
          <w:numId w:val="76"/>
        </w:numPr>
        <w:rPr>
          <w:rFonts w:ascii="Arial" w:cs="Arial" w:eastAsia="Arial" w:hAnsi="Arial"/>
          <w:sz w:val="20"/>
          <w:szCs w:val="20"/>
          <w:color w:val="582C83"/>
        </w:rPr>
      </w:pPr>
      <w:r>
        <w:rPr>
          <w:rFonts w:ascii="Arial" w:cs="Arial" w:eastAsia="Arial" w:hAnsi="Arial"/>
          <w:sz w:val="20"/>
          <w:szCs w:val="20"/>
          <w:color w:val="auto"/>
        </w:rPr>
        <w:t>A participant’s Thrift Plan benefit exceeds the limits under Section 415 of the Code.</w:t>
      </w:r>
    </w:p>
    <w:p>
      <w:pPr>
        <w:spacing w:after="0" w:line="167" w:lineRule="exact"/>
        <w:rPr>
          <w:sz w:val="20"/>
          <w:szCs w:val="20"/>
          <w:color w:val="auto"/>
        </w:rPr>
      </w:pPr>
    </w:p>
    <w:p>
      <w:pPr>
        <w:ind w:left="1" w:right="80"/>
        <w:spacing w:after="0" w:line="242" w:lineRule="auto"/>
        <w:rPr>
          <w:sz w:val="20"/>
          <w:szCs w:val="20"/>
          <w:color w:val="auto"/>
        </w:rPr>
      </w:pPr>
      <w:r>
        <w:rPr>
          <w:rFonts w:ascii="Arial" w:cs="Arial" w:eastAsia="Arial" w:hAnsi="Arial"/>
          <w:sz w:val="20"/>
          <w:szCs w:val="20"/>
          <w:color w:val="auto"/>
        </w:rPr>
        <w:t>The People and Compensation Committee believes the Thrift Plan and the Supplemental Plan are integral pieces of our overall executive compensation program because they promote the retention of our executive leadership team over the long term. The People and Compensation Committee believes our NEOs should be able to defer the same percentage of their compensation and receive the same corresponding notional employer contributions as all other employees, without regard to the Code’s compensation limit applicable to tax-qualified plans or to whether the NEO has elected to defer compensation.</w:t>
      </w:r>
    </w:p>
    <w:p>
      <w:pPr>
        <w:spacing w:after="0" w:line="132" w:lineRule="exact"/>
        <w:rPr>
          <w:sz w:val="20"/>
          <w:szCs w:val="20"/>
          <w:color w:val="auto"/>
        </w:rPr>
      </w:pPr>
    </w:p>
    <w:p>
      <w:pPr>
        <w:ind w:left="1" w:right="480"/>
        <w:spacing w:after="0" w:line="356" w:lineRule="auto"/>
        <w:rPr>
          <w:sz w:val="20"/>
          <w:szCs w:val="20"/>
          <w:color w:val="auto"/>
        </w:rPr>
      </w:pPr>
      <w:r>
        <w:rPr>
          <w:rFonts w:ascii="Arial" w:cs="Arial" w:eastAsia="Arial" w:hAnsi="Arial"/>
          <w:sz w:val="20"/>
          <w:szCs w:val="20"/>
          <w:color w:val="auto"/>
        </w:rPr>
        <w:t xml:space="preserve">Mr. Gruber participates in the Company’s pension plan for Swiss employees on the same basis as other Swiss employees. </w:t>
      </w:r>
      <w:r>
        <w:rPr>
          <w:rFonts w:ascii="Arial" w:cs="Arial" w:eastAsia="Arial" w:hAnsi="Arial"/>
          <w:sz w:val="20"/>
          <w:szCs w:val="20"/>
          <w:b w:val="1"/>
          <w:bCs w:val="1"/>
          <w:color w:val="auto"/>
        </w:rPr>
        <w:t>Change in Control Severance Plan</w:t>
      </w:r>
    </w:p>
    <w:p>
      <w:pPr>
        <w:spacing w:after="0" w:line="1" w:lineRule="exact"/>
        <w:rPr>
          <w:sz w:val="20"/>
          <w:szCs w:val="20"/>
          <w:color w:val="auto"/>
        </w:rPr>
      </w:pPr>
    </w:p>
    <w:p>
      <w:pPr>
        <w:ind w:left="1" w:right="20"/>
        <w:spacing w:after="0" w:line="237" w:lineRule="auto"/>
        <w:rPr>
          <w:sz w:val="20"/>
          <w:szCs w:val="20"/>
          <w:color w:val="auto"/>
        </w:rPr>
      </w:pPr>
      <w:r>
        <w:rPr>
          <w:rFonts w:ascii="Arial" w:cs="Arial" w:eastAsia="Arial" w:hAnsi="Arial"/>
          <w:sz w:val="20"/>
          <w:szCs w:val="20"/>
          <w:color w:val="auto"/>
        </w:rPr>
        <w:t>In order to promote the retention of our executive leadership team in the event of a potentially disruptive corporate transaction, we maintain a Change in Control Plan for Key Executives (the “CIC Plan”). The CIC Plan is consistent with similar severance plans maintained by companies in our Compensation Survey Peer Group, including eligibility and severance benefit levels. We structure separation payments with two goals in mind: to make key executives, including our NEOs, available to facilitate a successful transition following a CIC and to provide a competitive level of severance protection if an executive is involuntarily terminated without cause or resigns for good reason within two years following a CIC (“double trigger”). In the event a payment under the CIC Plan or otherwise triggers an excise tax under Code Section 4999, the payment will be the greater of the full benefit or a reduced benefit that does not trigger the excise tax, as determined on an after-tax basis for each. We do not provide any tax gross-ups for taxes payable on CIC</w:t>
      </w:r>
      <w:r>
        <w:rPr>
          <w:rFonts w:ascii="Times New Roman" w:cs="Times New Roman" w:eastAsia="Times New Roman" w:hAnsi="Times New Roman"/>
          <w:sz w:val="20"/>
          <w:szCs w:val="20"/>
          <w:color w:val="auto"/>
        </w:rPr>
        <w:t> </w:t>
      </w:r>
      <w:r>
        <w:rPr>
          <w:rFonts w:ascii="Arial" w:cs="Arial" w:eastAsia="Arial" w:hAnsi="Arial"/>
          <w:sz w:val="20"/>
          <w:szCs w:val="20"/>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7143115"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88" w:name="page89"/>
    <w:bookmarkEnd w:id="88"/>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We further describe the severance arrangements and other benefits provided under the CIC Plan (as well as the equity treatment upon certain separations in the event of a CIC) under “Potential Payments Upon Termination or Change in Control” on page 102.</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Severance Agreements</w:t>
      </w:r>
    </w:p>
    <w:p>
      <w:pPr>
        <w:spacing w:after="0" w:line="56"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Although we generally do not have individual severance or employment agreements with any of our NEOs, we typically provide separation benefits as consideration for a departing NEO entering into an agreement protecting our interests. The severance payments and other benefits provided to a typical NEO are described under “Potential Payments Upon Termination or Change in Control” on page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210820</wp:posOffset>
            </wp:positionV>
            <wp:extent cx="7143115"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9" w:name="page90"/>
    <w:bookmarkEnd w:id="89"/>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HOW COMPENSATION DECISIONS ARE MADE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Peer Groups</w:t>
      </w:r>
    </w:p>
    <w:p>
      <w:pPr>
        <w:spacing w:after="0" w:line="56" w:lineRule="exact"/>
        <w:rPr>
          <w:sz w:val="20"/>
          <w:szCs w:val="20"/>
          <w:color w:val="auto"/>
        </w:rPr>
      </w:pPr>
    </w:p>
    <w:p>
      <w:pPr>
        <w:ind w:right="940"/>
        <w:spacing w:after="0" w:line="268" w:lineRule="auto"/>
        <w:rPr>
          <w:sz w:val="20"/>
          <w:szCs w:val="20"/>
          <w:color w:val="auto"/>
        </w:rPr>
      </w:pPr>
      <w:r>
        <w:rPr>
          <w:rFonts w:ascii="Arial" w:cs="Arial" w:eastAsia="Arial" w:hAnsi="Arial"/>
          <w:sz w:val="20"/>
          <w:szCs w:val="20"/>
          <w:color w:val="auto"/>
        </w:rPr>
        <w:t>The People and Compensation Committee uses two different groups of peer companies: one to benchmark executive compensation, market practices and compensation design and one to assess relative performance.</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Survey Peer Group</w:t>
      </w:r>
    </w:p>
    <w:p>
      <w:pPr>
        <w:spacing w:after="0" w:line="56" w:lineRule="exact"/>
        <w:rPr>
          <w:sz w:val="20"/>
          <w:szCs w:val="20"/>
          <w:color w:val="auto"/>
        </w:rPr>
      </w:pPr>
    </w:p>
    <w:p>
      <w:pPr>
        <w:spacing w:after="0" w:line="238" w:lineRule="auto"/>
        <w:rPr>
          <w:sz w:val="20"/>
          <w:szCs w:val="20"/>
          <w:color w:val="auto"/>
        </w:rPr>
      </w:pPr>
      <w:r>
        <w:rPr>
          <w:rFonts w:ascii="Arial" w:cs="Arial" w:eastAsia="Arial" w:hAnsi="Arial"/>
          <w:sz w:val="20"/>
          <w:szCs w:val="20"/>
          <w:color w:val="auto"/>
        </w:rPr>
        <w:t>The People and Compensation Committee reviews compensation data from a comparator group of companies as one reference point when making compensation decisions for all executive pay, including CEO pay and when benchmarking compensation plan designs. Aon Hewitt (“Aon”) provides aggregate pay level benchmarking data for each NEO role and for all elements of compensation, including salary, target bonus, total target cash, long-term incentive and target total pay. Then, at the request of the People and Compensation Committee, the Committee’s consultant, Semler Brossy, reviews and evaluates the Aon data. Separately, market data for the CEO is reviewed independently of the Aon data. Other factors considered in NEO compensation decisions include individual performance, responsibilities, leadership, years of experience, Company performance and long-term growth potential.</w:t>
      </w:r>
    </w:p>
    <w:p>
      <w:pPr>
        <w:spacing w:after="0" w:line="137"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We routinely review the selection criteria and companies in our Compensation Survey Peer Group. In 2021, the People and Compensation Committee reviewed the Compensation Survey Peer Group to ensure all companies still met the original criteria for selection. This review resulted in the addition of The Kraft Heinz Company. The following table shows our criteria for choosing the Compensation Survey Peer Group and how it is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48195" cy="359219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48195" cy="3592195"/>
                    </a:xfrm>
                    <a:prstGeom prst="rect">
                      <a:avLst/>
                    </a:prstGeom>
                    <a:noFill/>
                  </pic:spPr>
                </pic:pic>
              </a:graphicData>
            </a:graphic>
          </wp:anchor>
        </w:drawing>
      </w: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273"/>
        </w:trPr>
        <w:tc>
          <w:tcPr>
            <w:tcW w:w="3700" w:type="dxa"/>
            <w:vAlign w:val="bottom"/>
            <w:tcBorders>
              <w:right w:val="single" w:sz="8" w:color="582C83"/>
            </w:tcBorders>
          </w:tcPr>
          <w:p>
            <w:pPr>
              <w:ind w:left="120"/>
              <w:spacing w:after="0"/>
              <w:rPr>
                <w:sz w:val="20"/>
                <w:szCs w:val="20"/>
                <w:color w:val="auto"/>
              </w:rPr>
            </w:pPr>
            <w:r>
              <w:rPr>
                <w:rFonts w:ascii="Arial" w:cs="Arial" w:eastAsia="Arial" w:hAnsi="Arial"/>
                <w:sz w:val="20"/>
                <w:szCs w:val="20"/>
                <w:b w:val="1"/>
                <w:bCs w:val="1"/>
                <w:color w:val="auto"/>
              </w:rPr>
              <w:t>How the Compensation Survey</w:t>
            </w:r>
          </w:p>
        </w:tc>
        <w:tc>
          <w:tcPr>
            <w:tcW w:w="3700" w:type="dxa"/>
            <w:vAlign w:val="bottom"/>
            <w:tcBorders>
              <w:top w:val="single" w:sz="8" w:color="582C83"/>
              <w:right w:val="single" w:sz="8" w:color="582C83"/>
            </w:tcBorders>
            <w:gridSpan w:val="2"/>
          </w:tcPr>
          <w:p>
            <w:pPr>
              <w:ind w:left="120"/>
              <w:spacing w:after="0"/>
              <w:rPr>
                <w:sz w:val="20"/>
                <w:szCs w:val="20"/>
                <w:color w:val="auto"/>
              </w:rPr>
            </w:pPr>
            <w:r>
              <w:rPr>
                <w:rFonts w:ascii="Arial" w:cs="Arial" w:eastAsia="Arial" w:hAnsi="Arial"/>
                <w:sz w:val="20"/>
                <w:szCs w:val="20"/>
                <w:b w:val="1"/>
                <w:bCs w:val="1"/>
                <w:color w:val="auto"/>
              </w:rPr>
              <w:t>2022 Compensation Survey Peer</w:t>
            </w:r>
          </w:p>
        </w:tc>
        <w:tc>
          <w:tcPr>
            <w:tcW w:w="3680" w:type="dxa"/>
            <w:vAlign w:val="bottom"/>
          </w:tcPr>
          <w:p>
            <w:pPr>
              <w:ind w:left="120"/>
              <w:spacing w:after="0"/>
              <w:rPr>
                <w:sz w:val="20"/>
                <w:szCs w:val="20"/>
                <w:color w:val="auto"/>
              </w:rPr>
            </w:pPr>
            <w:r>
              <w:rPr>
                <w:rFonts w:ascii="Arial" w:cs="Arial" w:eastAsia="Arial" w:hAnsi="Arial"/>
                <w:sz w:val="20"/>
                <w:szCs w:val="20"/>
                <w:b w:val="1"/>
                <w:bCs w:val="1"/>
                <w:color w:val="auto"/>
              </w:rPr>
              <w:t>How We Use the Compensation</w:t>
            </w:r>
          </w:p>
        </w:tc>
        <w:tc>
          <w:tcPr>
            <w:tcW w:w="0" w:type="dxa"/>
            <w:vAlign w:val="bottom"/>
          </w:tcPr>
          <w:p>
            <w:pPr>
              <w:spacing w:after="0"/>
              <w:rPr>
                <w:sz w:val="1"/>
                <w:szCs w:val="1"/>
                <w:color w:val="auto"/>
              </w:rPr>
            </w:pPr>
          </w:p>
        </w:tc>
      </w:tr>
      <w:tr>
        <w:trPr>
          <w:trHeight w:val="303"/>
        </w:trPr>
        <w:tc>
          <w:tcPr>
            <w:tcW w:w="3700" w:type="dxa"/>
            <w:vAlign w:val="bottom"/>
            <w:tcBorders>
              <w:bottom w:val="single" w:sz="8" w:color="582C83"/>
              <w:right w:val="single" w:sz="8" w:color="582C83"/>
            </w:tcBorders>
          </w:tcPr>
          <w:p>
            <w:pPr>
              <w:ind w:left="120"/>
              <w:spacing w:after="0"/>
              <w:rPr>
                <w:sz w:val="20"/>
                <w:szCs w:val="20"/>
                <w:color w:val="auto"/>
              </w:rPr>
            </w:pPr>
            <w:r>
              <w:rPr>
                <w:rFonts w:ascii="Arial" w:cs="Arial" w:eastAsia="Arial" w:hAnsi="Arial"/>
                <w:sz w:val="20"/>
                <w:szCs w:val="20"/>
                <w:b w:val="1"/>
                <w:bCs w:val="1"/>
                <w:color w:val="auto"/>
              </w:rPr>
              <w:t>Peer Group Was Chosen</w:t>
            </w:r>
          </w:p>
        </w:tc>
        <w:tc>
          <w:tcPr>
            <w:tcW w:w="3700" w:type="dxa"/>
            <w:vAlign w:val="bottom"/>
            <w:tcBorders>
              <w:bottom w:val="single" w:sz="8" w:color="582C83"/>
              <w:right w:val="single" w:sz="8" w:color="582C83"/>
            </w:tcBorders>
            <w:gridSpan w:val="2"/>
          </w:tcPr>
          <w:p>
            <w:pPr>
              <w:ind w:left="120"/>
              <w:spacing w:after="0" w:line="285" w:lineRule="exact"/>
              <w:rPr>
                <w:sz w:val="20"/>
                <w:szCs w:val="20"/>
                <w:color w:val="auto"/>
              </w:rPr>
            </w:pPr>
            <w:r>
              <w:rPr>
                <w:rFonts w:ascii="Arial" w:cs="Arial" w:eastAsia="Arial" w:hAnsi="Arial"/>
                <w:sz w:val="20"/>
                <w:szCs w:val="20"/>
                <w:b w:val="1"/>
                <w:bCs w:val="1"/>
                <w:color w:val="auto"/>
              </w:rPr>
              <w:t>Group</w:t>
            </w:r>
            <w:r>
              <w:rPr>
                <w:rFonts w:ascii="Arial" w:cs="Arial" w:eastAsia="Arial" w:hAnsi="Arial"/>
                <w:sz w:val="33"/>
                <w:szCs w:val="33"/>
                <w:b w:val="1"/>
                <w:bCs w:val="1"/>
                <w:color w:val="auto"/>
                <w:vertAlign w:val="superscript"/>
              </w:rPr>
              <w:t>(1)</w:t>
            </w:r>
          </w:p>
        </w:tc>
        <w:tc>
          <w:tcPr>
            <w:tcW w:w="3680" w:type="dxa"/>
            <w:vAlign w:val="bottom"/>
            <w:tcBorders>
              <w:bottom w:val="single" w:sz="8" w:color="582C83"/>
            </w:tcBorders>
          </w:tcPr>
          <w:p>
            <w:pPr>
              <w:ind w:left="120"/>
              <w:spacing w:after="0" w:line="285" w:lineRule="exact"/>
              <w:rPr>
                <w:sz w:val="20"/>
                <w:szCs w:val="20"/>
                <w:color w:val="auto"/>
              </w:rPr>
            </w:pPr>
            <w:r>
              <w:rPr>
                <w:rFonts w:ascii="Arial" w:cs="Arial" w:eastAsia="Arial" w:hAnsi="Arial"/>
                <w:sz w:val="20"/>
                <w:szCs w:val="20"/>
                <w:b w:val="1"/>
                <w:bCs w:val="1"/>
                <w:color w:val="auto"/>
              </w:rPr>
              <w:t>Survey Peer Group</w:t>
            </w:r>
            <w:r>
              <w:rPr>
                <w:rFonts w:ascii="Arial" w:cs="Arial" w:eastAsia="Arial" w:hAnsi="Arial"/>
                <w:sz w:val="33"/>
                <w:szCs w:val="33"/>
                <w:b w:val="1"/>
                <w:bCs w:val="1"/>
                <w:color w:val="auto"/>
                <w:vertAlign w:val="superscript"/>
              </w:rPr>
              <w:t>(2)</w:t>
            </w:r>
          </w:p>
        </w:tc>
        <w:tc>
          <w:tcPr>
            <w:tcW w:w="0" w:type="dxa"/>
            <w:vAlign w:val="bottom"/>
          </w:tcPr>
          <w:p>
            <w:pPr>
              <w:spacing w:after="0"/>
              <w:rPr>
                <w:sz w:val="1"/>
                <w:szCs w:val="1"/>
                <w:color w:val="auto"/>
              </w:rPr>
            </w:pPr>
          </w:p>
        </w:tc>
      </w:tr>
      <w:tr>
        <w:trPr>
          <w:trHeight w:val="235"/>
        </w:trPr>
        <w:tc>
          <w:tcPr>
            <w:tcW w:w="3700" w:type="dxa"/>
            <w:vAlign w:val="bottom"/>
            <w:tcBorders>
              <w:right w:val="single" w:sz="8" w:color="582C83"/>
            </w:tcBorders>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Comparable size (0.5x-2.5x) based on</w:t>
            </w:r>
          </w:p>
        </w:tc>
        <w:tc>
          <w:tcPr>
            <w:tcW w:w="3700" w:type="dxa"/>
            <w:vAlign w:val="bottom"/>
            <w:tcBorders>
              <w:right w:val="single" w:sz="8" w:color="582C83"/>
            </w:tcBorders>
            <w:gridSpan w:val="2"/>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3M Company</w:t>
            </w:r>
          </w:p>
        </w:tc>
        <w:tc>
          <w:tcPr>
            <w:tcW w:w="3680" w:type="dxa"/>
            <w:vAlign w:val="bottom"/>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Benchmark total direct compensation</w:t>
            </w:r>
          </w:p>
        </w:tc>
        <w:tc>
          <w:tcPr>
            <w:tcW w:w="0" w:type="dxa"/>
            <w:vAlign w:val="bottom"/>
          </w:tcPr>
          <w:p>
            <w:pPr>
              <w:spacing w:after="0"/>
              <w:rPr>
                <w:sz w:val="1"/>
                <w:szCs w:val="1"/>
                <w:color w:val="auto"/>
              </w:rPr>
            </w:pPr>
          </w:p>
        </w:tc>
      </w:tr>
      <w:tr>
        <w:trPr>
          <w:trHeight w:val="237"/>
        </w:trPr>
        <w:tc>
          <w:tcPr>
            <w:tcW w:w="3700" w:type="dxa"/>
            <w:vAlign w:val="bottom"/>
            <w:tcBorders>
              <w:right w:val="single" w:sz="8" w:color="582C83"/>
            </w:tcBorders>
          </w:tcPr>
          <w:p>
            <w:pPr>
              <w:ind w:left="280"/>
              <w:spacing w:after="0"/>
              <w:rPr>
                <w:sz w:val="20"/>
                <w:szCs w:val="20"/>
                <w:color w:val="auto"/>
              </w:rPr>
            </w:pPr>
            <w:r>
              <w:rPr>
                <w:rFonts w:ascii="Arial" w:cs="Arial" w:eastAsia="Arial" w:hAnsi="Arial"/>
                <w:sz w:val="20"/>
                <w:szCs w:val="20"/>
                <w:color w:val="auto"/>
              </w:rPr>
              <w:t>net revenue and market capitalization</w:t>
            </w:r>
          </w:p>
        </w:tc>
        <w:tc>
          <w:tcPr>
            <w:tcW w:w="3700" w:type="dxa"/>
            <w:vAlign w:val="bottom"/>
            <w:tcBorders>
              <w:right w:val="single" w:sz="8" w:color="582C83"/>
            </w:tcBorders>
            <w:gridSpan w:val="2"/>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b w:val="1"/>
                <w:bCs w:val="1"/>
                <w:color w:val="000000"/>
              </w:rPr>
              <w:t>The Coca-Cola Company</w:t>
            </w:r>
          </w:p>
        </w:tc>
        <w:tc>
          <w:tcPr>
            <w:tcW w:w="3680" w:type="dxa"/>
            <w:vAlign w:val="bottom"/>
          </w:tcPr>
          <w:p>
            <w:pPr>
              <w:ind w:left="280"/>
              <w:spacing w:after="0"/>
              <w:rPr>
                <w:sz w:val="20"/>
                <w:szCs w:val="20"/>
                <w:color w:val="auto"/>
              </w:rPr>
            </w:pPr>
            <w:r>
              <w:rPr>
                <w:rFonts w:ascii="Arial" w:cs="Arial" w:eastAsia="Arial" w:hAnsi="Arial"/>
                <w:sz w:val="20"/>
                <w:szCs w:val="20"/>
                <w:color w:val="auto"/>
              </w:rPr>
              <w:t>(at target levels), including base</w:t>
            </w:r>
          </w:p>
        </w:tc>
        <w:tc>
          <w:tcPr>
            <w:tcW w:w="0" w:type="dxa"/>
            <w:vAlign w:val="bottom"/>
          </w:tcPr>
          <w:p>
            <w:pPr>
              <w:spacing w:after="0"/>
              <w:rPr>
                <w:sz w:val="1"/>
                <w:szCs w:val="1"/>
                <w:color w:val="auto"/>
              </w:rPr>
            </w:pPr>
          </w:p>
        </w:tc>
      </w:tr>
      <w:tr>
        <w:trPr>
          <w:trHeight w:val="261"/>
        </w:trPr>
        <w:tc>
          <w:tcPr>
            <w:tcW w:w="3700" w:type="dxa"/>
            <w:vAlign w:val="bottom"/>
            <w:tcBorders>
              <w:right w:val="single" w:sz="8" w:color="582C83"/>
            </w:tcBorders>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Considerable global presence with</w:t>
            </w:r>
          </w:p>
        </w:tc>
        <w:tc>
          <w:tcPr>
            <w:tcW w:w="3700" w:type="dxa"/>
            <w:vAlign w:val="bottom"/>
            <w:tcBorders>
              <w:right w:val="single" w:sz="8" w:color="582C83"/>
            </w:tcBorders>
            <w:gridSpan w:val="2"/>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b w:val="1"/>
                <w:bCs w:val="1"/>
                <w:color w:val="000000"/>
              </w:rPr>
              <w:t>Colgate-Palmolive Company</w:t>
            </w:r>
          </w:p>
        </w:tc>
        <w:tc>
          <w:tcPr>
            <w:tcW w:w="3680" w:type="dxa"/>
            <w:vAlign w:val="bottom"/>
          </w:tcPr>
          <w:p>
            <w:pPr>
              <w:ind w:left="280"/>
              <w:spacing w:after="0"/>
              <w:rPr>
                <w:sz w:val="20"/>
                <w:szCs w:val="20"/>
                <w:color w:val="auto"/>
              </w:rPr>
            </w:pPr>
            <w:r>
              <w:rPr>
                <w:rFonts w:ascii="Arial" w:cs="Arial" w:eastAsia="Arial" w:hAnsi="Arial"/>
                <w:sz w:val="20"/>
                <w:szCs w:val="20"/>
                <w:color w:val="auto"/>
              </w:rPr>
              <w:t>salary and annual and long-term</w:t>
            </w:r>
          </w:p>
        </w:tc>
        <w:tc>
          <w:tcPr>
            <w:tcW w:w="0" w:type="dxa"/>
            <w:vAlign w:val="bottom"/>
          </w:tcPr>
          <w:p>
            <w:pPr>
              <w:spacing w:after="0"/>
              <w:rPr>
                <w:sz w:val="1"/>
                <w:szCs w:val="1"/>
                <w:color w:val="auto"/>
              </w:rPr>
            </w:pPr>
          </w:p>
        </w:tc>
      </w:tr>
      <w:tr>
        <w:trPr>
          <w:trHeight w:val="210"/>
        </w:trPr>
        <w:tc>
          <w:tcPr>
            <w:tcW w:w="3700" w:type="dxa"/>
            <w:vAlign w:val="bottom"/>
            <w:tcBorders>
              <w:right w:val="single" w:sz="8" w:color="582C83"/>
            </w:tcBorders>
          </w:tcPr>
          <w:p>
            <w:pPr>
              <w:ind w:left="280"/>
              <w:spacing w:after="0" w:line="210" w:lineRule="exact"/>
              <w:rPr>
                <w:sz w:val="20"/>
                <w:szCs w:val="20"/>
                <w:color w:val="auto"/>
              </w:rPr>
            </w:pPr>
            <w:r>
              <w:rPr>
                <w:rFonts w:ascii="Arial" w:cs="Arial" w:eastAsia="Arial" w:hAnsi="Arial"/>
                <w:sz w:val="20"/>
                <w:szCs w:val="20"/>
                <w:color w:val="auto"/>
              </w:rPr>
              <w:t>sales and operations outside the</w:t>
            </w:r>
          </w:p>
        </w:tc>
        <w:tc>
          <w:tcPr>
            <w:tcW w:w="3700" w:type="dxa"/>
            <w:vAlign w:val="bottom"/>
            <w:tcBorders>
              <w:right w:val="single" w:sz="8" w:color="582C83"/>
            </w:tcBorders>
            <w:gridSpan w:val="2"/>
            <w:vMerge w:val="restart"/>
          </w:tcPr>
          <w:p>
            <w:pPr>
              <w:ind w:left="120"/>
              <w:spacing w:after="0" w:line="370" w:lineRule="exact"/>
              <w:rPr>
                <w:sz w:val="20"/>
                <w:szCs w:val="20"/>
                <w:color w:val="auto"/>
              </w:rPr>
            </w:pPr>
            <w:r>
              <w:rPr>
                <w:rFonts w:ascii="Arial" w:cs="Arial" w:eastAsia="Arial" w:hAnsi="Arial"/>
                <w:sz w:val="39"/>
                <w:szCs w:val="39"/>
                <w:color w:val="582C83"/>
                <w:vertAlign w:val="superscript"/>
              </w:rPr>
              <w:t>•</w:t>
            </w:r>
            <w:r>
              <w:rPr>
                <w:rFonts w:ascii="Arial" w:cs="Arial" w:eastAsia="Arial" w:hAnsi="Arial"/>
                <w:sz w:val="20"/>
                <w:szCs w:val="20"/>
                <w:color w:val="auto"/>
              </w:rPr>
              <w:t xml:space="preserve"> The Estee Lauder Companies Inc.</w:t>
            </w:r>
            <w:r>
              <w:rPr>
                <w:rFonts w:ascii="Arial" w:cs="Arial" w:eastAsia="Arial" w:hAnsi="Arial"/>
                <w:sz w:val="33"/>
                <w:szCs w:val="33"/>
                <w:color w:val="auto"/>
                <w:vertAlign w:val="superscript"/>
              </w:rPr>
              <w:t>(3)</w:t>
            </w:r>
          </w:p>
        </w:tc>
        <w:tc>
          <w:tcPr>
            <w:tcW w:w="3680" w:type="dxa"/>
            <w:vAlign w:val="bottom"/>
          </w:tcPr>
          <w:p>
            <w:pPr>
              <w:ind w:left="280"/>
              <w:spacing w:after="0" w:line="210" w:lineRule="exact"/>
              <w:rPr>
                <w:sz w:val="20"/>
                <w:szCs w:val="20"/>
                <w:color w:val="auto"/>
              </w:rPr>
            </w:pPr>
            <w:r>
              <w:rPr>
                <w:rFonts w:ascii="Arial" w:cs="Arial" w:eastAsia="Arial" w:hAnsi="Arial"/>
                <w:sz w:val="20"/>
                <w:szCs w:val="20"/>
                <w:color w:val="auto"/>
              </w:rPr>
              <w:t>incentive awards</w:t>
            </w:r>
          </w:p>
        </w:tc>
        <w:tc>
          <w:tcPr>
            <w:tcW w:w="0" w:type="dxa"/>
            <w:vAlign w:val="bottom"/>
          </w:tcPr>
          <w:p>
            <w:pPr>
              <w:spacing w:after="0"/>
              <w:rPr>
                <w:sz w:val="1"/>
                <w:szCs w:val="1"/>
                <w:color w:val="auto"/>
              </w:rPr>
            </w:pPr>
          </w:p>
        </w:tc>
      </w:tr>
      <w:tr>
        <w:trPr>
          <w:trHeight w:val="161"/>
        </w:trPr>
        <w:tc>
          <w:tcPr>
            <w:tcW w:w="3700" w:type="dxa"/>
            <w:vAlign w:val="bottom"/>
            <w:tcBorders>
              <w:right w:val="single" w:sz="8" w:color="582C83"/>
            </w:tcBorders>
            <w:vMerge w:val="restart"/>
          </w:tcPr>
          <w:p>
            <w:pPr>
              <w:ind w:left="280"/>
              <w:spacing w:after="0" w:line="224" w:lineRule="exact"/>
              <w:rPr>
                <w:sz w:val="20"/>
                <w:szCs w:val="20"/>
                <w:color w:val="auto"/>
              </w:rPr>
            </w:pPr>
            <w:r>
              <w:rPr>
                <w:rFonts w:ascii="Arial" w:cs="Arial" w:eastAsia="Arial" w:hAnsi="Arial"/>
                <w:sz w:val="20"/>
                <w:szCs w:val="20"/>
                <w:color w:val="auto"/>
              </w:rPr>
              <w:t>United States</w:t>
            </w:r>
          </w:p>
        </w:tc>
        <w:tc>
          <w:tcPr>
            <w:tcW w:w="3700" w:type="dxa"/>
            <w:vAlign w:val="bottom"/>
            <w:tcBorders>
              <w:right w:val="single" w:sz="8" w:color="582C83"/>
            </w:tcBorders>
            <w:gridSpan w:val="2"/>
            <w:vMerge w:val="continue"/>
          </w:tcPr>
          <w:p>
            <w:pPr>
              <w:spacing w:after="0"/>
              <w:rPr>
                <w:sz w:val="14"/>
                <w:szCs w:val="14"/>
                <w:color w:val="auto"/>
              </w:rPr>
            </w:pPr>
          </w:p>
        </w:tc>
        <w:tc>
          <w:tcPr>
            <w:tcW w:w="3680" w:type="dxa"/>
            <w:vAlign w:val="bottom"/>
            <w:vMerge w:val="restart"/>
          </w:tcPr>
          <w:p>
            <w:pPr>
              <w:ind w:left="12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Evaluate share utilization by reviewing</w:t>
            </w:r>
          </w:p>
        </w:tc>
        <w:tc>
          <w:tcPr>
            <w:tcW w:w="0" w:type="dxa"/>
            <w:vAlign w:val="bottom"/>
          </w:tcPr>
          <w:p>
            <w:pPr>
              <w:spacing w:after="0"/>
              <w:rPr>
                <w:sz w:val="1"/>
                <w:szCs w:val="1"/>
                <w:color w:val="auto"/>
              </w:rPr>
            </w:pPr>
          </w:p>
        </w:tc>
      </w:tr>
      <w:tr>
        <w:trPr>
          <w:trHeight w:val="62"/>
        </w:trPr>
        <w:tc>
          <w:tcPr>
            <w:tcW w:w="3700" w:type="dxa"/>
            <w:vAlign w:val="bottom"/>
            <w:tcBorders>
              <w:right w:val="single" w:sz="8" w:color="582C83"/>
            </w:tcBorders>
            <w:vMerge w:val="continue"/>
          </w:tcPr>
          <w:p>
            <w:pPr>
              <w:spacing w:after="0"/>
              <w:rPr>
                <w:sz w:val="5"/>
                <w:szCs w:val="5"/>
                <w:color w:val="auto"/>
              </w:rPr>
            </w:pPr>
          </w:p>
        </w:tc>
        <w:tc>
          <w:tcPr>
            <w:tcW w:w="3700" w:type="dxa"/>
            <w:vAlign w:val="bottom"/>
            <w:tcBorders>
              <w:right w:val="single" w:sz="8" w:color="582C83"/>
            </w:tcBorders>
            <w:gridSpan w:val="2"/>
            <w:vMerge w:val="restart"/>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b w:val="1"/>
                <w:bCs w:val="1"/>
                <w:color w:val="000000"/>
              </w:rPr>
              <w:t>General Mills Inc.</w:t>
            </w:r>
          </w:p>
        </w:tc>
        <w:tc>
          <w:tcPr>
            <w:tcW w:w="3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700" w:type="dxa"/>
            <w:vAlign w:val="bottom"/>
            <w:tcBorders>
              <w:right w:val="single" w:sz="8" w:color="582C83"/>
            </w:tcBorders>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Primarily consumer facing</w:t>
            </w:r>
          </w:p>
        </w:tc>
        <w:tc>
          <w:tcPr>
            <w:tcW w:w="3700" w:type="dxa"/>
            <w:vAlign w:val="bottom"/>
            <w:tcBorders>
              <w:right w:val="single" w:sz="8" w:color="582C83"/>
            </w:tcBorders>
            <w:gridSpan w:val="2"/>
            <w:vMerge w:val="continue"/>
          </w:tcPr>
          <w:p>
            <w:pPr>
              <w:spacing w:after="0"/>
              <w:rPr>
                <w:sz w:val="20"/>
                <w:szCs w:val="20"/>
                <w:color w:val="auto"/>
              </w:rPr>
            </w:pPr>
          </w:p>
        </w:tc>
        <w:tc>
          <w:tcPr>
            <w:tcW w:w="3680" w:type="dxa"/>
            <w:vAlign w:val="bottom"/>
          </w:tcPr>
          <w:p>
            <w:pPr>
              <w:ind w:left="280"/>
              <w:spacing w:after="0"/>
              <w:rPr>
                <w:sz w:val="20"/>
                <w:szCs w:val="20"/>
                <w:color w:val="auto"/>
              </w:rPr>
            </w:pPr>
            <w:r>
              <w:rPr>
                <w:rFonts w:ascii="Arial" w:cs="Arial" w:eastAsia="Arial" w:hAnsi="Arial"/>
                <w:sz w:val="20"/>
                <w:szCs w:val="20"/>
                <w:color w:val="auto"/>
              </w:rPr>
              <w:t>overhang and annual run rate</w:t>
            </w:r>
          </w:p>
        </w:tc>
        <w:tc>
          <w:tcPr>
            <w:tcW w:w="0" w:type="dxa"/>
            <w:vAlign w:val="bottom"/>
          </w:tcPr>
          <w:p>
            <w:pPr>
              <w:spacing w:after="0"/>
              <w:rPr>
                <w:sz w:val="1"/>
                <w:szCs w:val="1"/>
                <w:color w:val="auto"/>
              </w:rPr>
            </w:pPr>
          </w:p>
        </w:tc>
      </w:tr>
      <w:tr>
        <w:trPr>
          <w:trHeight w:val="261"/>
        </w:trPr>
        <w:tc>
          <w:tcPr>
            <w:tcW w:w="3700" w:type="dxa"/>
            <w:vAlign w:val="bottom"/>
            <w:tcBorders>
              <w:right w:val="single" w:sz="8" w:color="582C83"/>
            </w:tcBorders>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Market-leading brands</w:t>
            </w:r>
          </w:p>
        </w:tc>
        <w:tc>
          <w:tcPr>
            <w:tcW w:w="3700" w:type="dxa"/>
            <w:vAlign w:val="bottom"/>
            <w:tcBorders>
              <w:right w:val="single" w:sz="8" w:color="582C83"/>
            </w:tcBorders>
            <w:gridSpan w:val="2"/>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Johnson &amp; Johnson</w:t>
            </w:r>
          </w:p>
        </w:tc>
        <w:tc>
          <w:tcPr>
            <w:tcW w:w="3680" w:type="dxa"/>
            <w:vAlign w:val="bottom"/>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Benchmark share ownership</w:t>
            </w:r>
          </w:p>
        </w:tc>
        <w:tc>
          <w:tcPr>
            <w:tcW w:w="0" w:type="dxa"/>
            <w:vAlign w:val="bottom"/>
          </w:tcPr>
          <w:p>
            <w:pPr>
              <w:spacing w:after="0"/>
              <w:rPr>
                <w:sz w:val="1"/>
                <w:szCs w:val="1"/>
                <w:color w:val="auto"/>
              </w:rPr>
            </w:pPr>
          </w:p>
        </w:tc>
      </w:tr>
      <w:tr>
        <w:trPr>
          <w:trHeight w:val="222"/>
        </w:trPr>
        <w:tc>
          <w:tcPr>
            <w:tcW w:w="3700" w:type="dxa"/>
            <w:vAlign w:val="bottom"/>
            <w:tcBorders>
              <w:right w:val="single" w:sz="8" w:color="582C83"/>
            </w:tcBorders>
            <w:vMerge w:val="restart"/>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Incorporated in the United States</w:t>
            </w:r>
          </w:p>
        </w:tc>
        <w:tc>
          <w:tcPr>
            <w:tcW w:w="3700" w:type="dxa"/>
            <w:vAlign w:val="bottom"/>
            <w:tcBorders>
              <w:right w:val="single" w:sz="8" w:color="582C83"/>
            </w:tcBorders>
            <w:gridSpan w:val="2"/>
          </w:tcPr>
          <w:p>
            <w:pPr>
              <w:ind w:left="120"/>
              <w:spacing w:after="0" w:line="223"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b w:val="1"/>
                <w:bCs w:val="1"/>
                <w:color w:val="000000"/>
              </w:rPr>
              <w:t>The Kellogg Company</w:t>
            </w:r>
          </w:p>
        </w:tc>
        <w:tc>
          <w:tcPr>
            <w:tcW w:w="3680" w:type="dxa"/>
            <w:vAlign w:val="bottom"/>
          </w:tcPr>
          <w:p>
            <w:pPr>
              <w:ind w:left="280"/>
              <w:spacing w:after="0" w:line="223" w:lineRule="exact"/>
              <w:rPr>
                <w:sz w:val="20"/>
                <w:szCs w:val="20"/>
                <w:color w:val="auto"/>
              </w:rPr>
            </w:pPr>
            <w:r>
              <w:rPr>
                <w:rFonts w:ascii="Arial" w:cs="Arial" w:eastAsia="Arial" w:hAnsi="Arial"/>
                <w:sz w:val="20"/>
                <w:szCs w:val="20"/>
                <w:color w:val="auto"/>
              </w:rPr>
              <w:t>guidelines</w:t>
            </w:r>
          </w:p>
        </w:tc>
        <w:tc>
          <w:tcPr>
            <w:tcW w:w="0" w:type="dxa"/>
            <w:vAlign w:val="bottom"/>
          </w:tcPr>
          <w:p>
            <w:pPr>
              <w:spacing w:after="0"/>
              <w:rPr>
                <w:sz w:val="1"/>
                <w:szCs w:val="1"/>
                <w:color w:val="auto"/>
              </w:rPr>
            </w:pPr>
          </w:p>
        </w:tc>
      </w:tr>
      <w:tr>
        <w:trPr>
          <w:trHeight w:val="99"/>
        </w:trPr>
        <w:tc>
          <w:tcPr>
            <w:tcW w:w="3700" w:type="dxa"/>
            <w:vAlign w:val="bottom"/>
            <w:tcBorders>
              <w:right w:val="single" w:sz="8" w:color="582C83"/>
            </w:tcBorders>
            <w:vMerge w:val="continue"/>
          </w:tcPr>
          <w:p>
            <w:pPr>
              <w:spacing w:after="0"/>
              <w:rPr>
                <w:sz w:val="8"/>
                <w:szCs w:val="8"/>
                <w:color w:val="auto"/>
              </w:rPr>
            </w:pPr>
          </w:p>
        </w:tc>
        <w:tc>
          <w:tcPr>
            <w:tcW w:w="3700" w:type="dxa"/>
            <w:vAlign w:val="bottom"/>
            <w:tcBorders>
              <w:right w:val="single" w:sz="8" w:color="582C83"/>
            </w:tcBorders>
            <w:gridSpan w:val="2"/>
            <w:vMerge w:val="restart"/>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b w:val="1"/>
                <w:bCs w:val="1"/>
                <w:color w:val="000000"/>
              </w:rPr>
              <w:t>The Kraft Heinz Company</w:t>
            </w:r>
          </w:p>
        </w:tc>
        <w:tc>
          <w:tcPr>
            <w:tcW w:w="3680" w:type="dxa"/>
            <w:vAlign w:val="bottom"/>
            <w:vMerge w:val="restart"/>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Assess the competitiveness of total</w:t>
            </w:r>
          </w:p>
        </w:tc>
        <w:tc>
          <w:tcPr>
            <w:tcW w:w="0" w:type="dxa"/>
            <w:vAlign w:val="bottom"/>
          </w:tcPr>
          <w:p>
            <w:pPr>
              <w:spacing w:after="0"/>
              <w:rPr>
                <w:sz w:val="1"/>
                <w:szCs w:val="1"/>
                <w:color w:val="auto"/>
              </w:rPr>
            </w:pPr>
          </w:p>
        </w:tc>
      </w:tr>
      <w:tr>
        <w:trPr>
          <w:trHeight w:val="149"/>
        </w:trPr>
        <w:tc>
          <w:tcPr>
            <w:tcW w:w="3700" w:type="dxa"/>
            <w:vAlign w:val="bottom"/>
            <w:tcBorders>
              <w:right w:val="single" w:sz="8" w:color="582C83"/>
            </w:tcBorders>
            <w:vMerge w:val="restart"/>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Non-controlled company structure</w:t>
            </w:r>
          </w:p>
        </w:tc>
        <w:tc>
          <w:tcPr>
            <w:tcW w:w="3700" w:type="dxa"/>
            <w:vAlign w:val="bottom"/>
            <w:tcBorders>
              <w:right w:val="single" w:sz="8" w:color="582C83"/>
            </w:tcBorders>
            <w:gridSpan w:val="2"/>
            <w:vMerge w:val="continue"/>
          </w:tcPr>
          <w:p>
            <w:pPr>
              <w:spacing w:after="0"/>
              <w:rPr>
                <w:sz w:val="12"/>
                <w:szCs w:val="12"/>
                <w:color w:val="auto"/>
              </w:rPr>
            </w:pP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700" w:type="dxa"/>
            <w:vAlign w:val="bottom"/>
            <w:tcBorders>
              <w:right w:val="single" w:sz="8" w:color="582C83"/>
            </w:tcBorders>
            <w:vMerge w:val="continue"/>
          </w:tcPr>
          <w:p>
            <w:pPr>
              <w:spacing w:after="0"/>
              <w:rPr>
                <w:sz w:val="9"/>
                <w:szCs w:val="9"/>
                <w:color w:val="auto"/>
              </w:rPr>
            </w:pPr>
          </w:p>
        </w:tc>
        <w:tc>
          <w:tcPr>
            <w:tcW w:w="3700" w:type="dxa"/>
            <w:vAlign w:val="bottom"/>
            <w:tcBorders>
              <w:right w:val="single" w:sz="8" w:color="582C83"/>
            </w:tcBorders>
            <w:gridSpan w:val="2"/>
            <w:vMerge w:val="restart"/>
          </w:tcPr>
          <w:p>
            <w:pPr>
              <w:ind w:left="12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Kimberly-Clark Corporation</w:t>
            </w:r>
          </w:p>
        </w:tc>
        <w:tc>
          <w:tcPr>
            <w:tcW w:w="3680" w:type="dxa"/>
            <w:vAlign w:val="bottom"/>
            <w:vMerge w:val="restart"/>
          </w:tcPr>
          <w:p>
            <w:pPr>
              <w:ind w:left="280"/>
              <w:spacing w:after="0" w:line="224" w:lineRule="exact"/>
              <w:rPr>
                <w:sz w:val="20"/>
                <w:szCs w:val="20"/>
                <w:color w:val="auto"/>
              </w:rPr>
            </w:pPr>
            <w:r>
              <w:rPr>
                <w:rFonts w:ascii="Arial" w:cs="Arial" w:eastAsia="Arial" w:hAnsi="Arial"/>
                <w:sz w:val="20"/>
                <w:szCs w:val="20"/>
                <w:color w:val="auto"/>
              </w:rPr>
              <w:t>direct compensation awarded to</w:t>
            </w:r>
          </w:p>
        </w:tc>
        <w:tc>
          <w:tcPr>
            <w:tcW w:w="0" w:type="dxa"/>
            <w:vAlign w:val="bottom"/>
          </w:tcPr>
          <w:p>
            <w:pPr>
              <w:spacing w:after="0"/>
              <w:rPr>
                <w:sz w:val="1"/>
                <w:szCs w:val="1"/>
                <w:color w:val="auto"/>
              </w:rPr>
            </w:pPr>
          </w:p>
        </w:tc>
      </w:tr>
      <w:tr>
        <w:trPr>
          <w:trHeight w:val="109"/>
        </w:trPr>
        <w:tc>
          <w:tcPr>
            <w:tcW w:w="3700" w:type="dxa"/>
            <w:vAlign w:val="bottom"/>
            <w:tcBorders>
              <w:right w:val="single" w:sz="8" w:color="582C83"/>
            </w:tcBorders>
          </w:tcPr>
          <w:p>
            <w:pPr>
              <w:spacing w:after="0"/>
              <w:rPr>
                <w:sz w:val="9"/>
                <w:szCs w:val="9"/>
                <w:color w:val="auto"/>
              </w:rPr>
            </w:pPr>
          </w:p>
        </w:tc>
        <w:tc>
          <w:tcPr>
            <w:tcW w:w="3700" w:type="dxa"/>
            <w:vAlign w:val="bottom"/>
            <w:tcBorders>
              <w:right w:val="single" w:sz="8" w:color="582C83"/>
            </w:tcBorders>
            <w:gridSpan w:val="2"/>
            <w:vMerge w:val="continue"/>
          </w:tcPr>
          <w:p>
            <w:pPr>
              <w:spacing w:after="0"/>
              <w:rPr>
                <w:sz w:val="9"/>
                <w:szCs w:val="9"/>
                <w:color w:val="auto"/>
              </w:rPr>
            </w:pPr>
          </w:p>
        </w:tc>
        <w:tc>
          <w:tcPr>
            <w:tcW w:w="3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3700" w:type="dxa"/>
            <w:vAlign w:val="bottom"/>
            <w:tcBorders>
              <w:right w:val="single" w:sz="8" w:color="582C83"/>
            </w:tcBorders>
          </w:tcPr>
          <w:p>
            <w:pPr>
              <w:spacing w:after="0"/>
              <w:rPr>
                <w:sz w:val="22"/>
                <w:szCs w:val="22"/>
                <w:color w:val="auto"/>
              </w:rPr>
            </w:pPr>
          </w:p>
        </w:tc>
        <w:tc>
          <w:tcPr>
            <w:tcW w:w="3700" w:type="dxa"/>
            <w:vAlign w:val="bottom"/>
            <w:tcBorders>
              <w:right w:val="single" w:sz="8" w:color="582C83"/>
            </w:tcBorders>
            <w:gridSpan w:val="2"/>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McDonald’s Corporation</w:t>
            </w:r>
          </w:p>
        </w:tc>
        <w:tc>
          <w:tcPr>
            <w:tcW w:w="3680" w:type="dxa"/>
            <w:vAlign w:val="bottom"/>
          </w:tcPr>
          <w:p>
            <w:pPr>
              <w:ind w:left="280"/>
              <w:spacing w:after="0"/>
              <w:rPr>
                <w:sz w:val="20"/>
                <w:szCs w:val="20"/>
                <w:color w:val="auto"/>
              </w:rPr>
            </w:pPr>
            <w:r>
              <w:rPr>
                <w:rFonts w:ascii="Arial" w:cs="Arial" w:eastAsia="Arial" w:hAnsi="Arial"/>
                <w:sz w:val="20"/>
                <w:szCs w:val="20"/>
                <w:color w:val="auto"/>
              </w:rPr>
              <w:t>senior executives</w:t>
            </w:r>
          </w:p>
        </w:tc>
        <w:tc>
          <w:tcPr>
            <w:tcW w:w="0" w:type="dxa"/>
            <w:vAlign w:val="bottom"/>
          </w:tcPr>
          <w:p>
            <w:pPr>
              <w:spacing w:after="0"/>
              <w:rPr>
                <w:sz w:val="1"/>
                <w:szCs w:val="1"/>
                <w:color w:val="auto"/>
              </w:rPr>
            </w:pPr>
          </w:p>
        </w:tc>
      </w:tr>
      <w:tr>
        <w:trPr>
          <w:trHeight w:val="249"/>
        </w:trPr>
        <w:tc>
          <w:tcPr>
            <w:tcW w:w="3700" w:type="dxa"/>
            <w:vAlign w:val="bottom"/>
            <w:tcBorders>
              <w:right w:val="single" w:sz="8" w:color="582C83"/>
            </w:tcBorders>
          </w:tcPr>
          <w:p>
            <w:pPr>
              <w:spacing w:after="0"/>
              <w:rPr>
                <w:sz w:val="21"/>
                <w:szCs w:val="21"/>
                <w:color w:val="auto"/>
              </w:rPr>
            </w:pPr>
          </w:p>
        </w:tc>
        <w:tc>
          <w:tcPr>
            <w:tcW w:w="3700" w:type="dxa"/>
            <w:vAlign w:val="bottom"/>
            <w:tcBorders>
              <w:right w:val="single" w:sz="8" w:color="582C83"/>
            </w:tcBorders>
            <w:gridSpan w:val="2"/>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Nike, Inc.</w:t>
            </w:r>
          </w:p>
        </w:tc>
        <w:tc>
          <w:tcPr>
            <w:tcW w:w="3680" w:type="dxa"/>
            <w:vAlign w:val="bottom"/>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Compare pay-for-performance</w:t>
            </w:r>
          </w:p>
        </w:tc>
        <w:tc>
          <w:tcPr>
            <w:tcW w:w="0" w:type="dxa"/>
            <w:vAlign w:val="bottom"/>
          </w:tcPr>
          <w:p>
            <w:pPr>
              <w:spacing w:after="0"/>
              <w:rPr>
                <w:sz w:val="1"/>
                <w:szCs w:val="1"/>
                <w:color w:val="auto"/>
              </w:rPr>
            </w:pPr>
          </w:p>
        </w:tc>
      </w:tr>
      <w:tr>
        <w:trPr>
          <w:trHeight w:val="235"/>
        </w:trPr>
        <w:tc>
          <w:tcPr>
            <w:tcW w:w="3700" w:type="dxa"/>
            <w:vAlign w:val="bottom"/>
            <w:tcBorders>
              <w:right w:val="single" w:sz="8" w:color="582C83"/>
            </w:tcBorders>
          </w:tcPr>
          <w:p>
            <w:pPr>
              <w:spacing w:after="0"/>
              <w:rPr>
                <w:sz w:val="20"/>
                <w:szCs w:val="20"/>
                <w:color w:val="auto"/>
              </w:rPr>
            </w:pPr>
          </w:p>
        </w:tc>
        <w:tc>
          <w:tcPr>
            <w:tcW w:w="240" w:type="dxa"/>
            <w:vAlign w:val="bottom"/>
            <w:vMerge w:val="restart"/>
          </w:tcPr>
          <w:p>
            <w:pPr>
              <w:ind w:left="120"/>
              <w:spacing w:after="0"/>
              <w:rPr>
                <w:sz w:val="20"/>
                <w:szCs w:val="20"/>
                <w:color w:val="auto"/>
              </w:rPr>
            </w:pPr>
            <w:r>
              <w:rPr>
                <w:rFonts w:ascii="Arial" w:cs="Arial" w:eastAsia="Arial" w:hAnsi="Arial"/>
                <w:sz w:val="20"/>
                <w:szCs w:val="20"/>
                <w:color w:val="582C83"/>
              </w:rPr>
              <w:t>•</w:t>
            </w:r>
          </w:p>
        </w:tc>
        <w:tc>
          <w:tcPr>
            <w:tcW w:w="3460" w:type="dxa"/>
            <w:vAlign w:val="bottom"/>
            <w:tcBorders>
              <w:right w:val="single" w:sz="8" w:color="582C83"/>
            </w:tcBorders>
            <w:vMerge w:val="restart"/>
          </w:tcPr>
          <w:p>
            <w:pPr>
              <w:ind w:left="40"/>
              <w:spacing w:after="0"/>
              <w:rPr>
                <w:sz w:val="20"/>
                <w:szCs w:val="20"/>
                <w:color w:val="auto"/>
              </w:rPr>
            </w:pPr>
            <w:r>
              <w:rPr>
                <w:rFonts w:ascii="Arial" w:cs="Arial" w:eastAsia="Arial" w:hAnsi="Arial"/>
                <w:sz w:val="20"/>
                <w:szCs w:val="20"/>
                <w:b w:val="1"/>
                <w:bCs w:val="1"/>
                <w:color w:val="auto"/>
              </w:rPr>
              <w:t>PepsiCo, Inc.</w:t>
            </w:r>
          </w:p>
        </w:tc>
        <w:tc>
          <w:tcPr>
            <w:tcW w:w="3680" w:type="dxa"/>
            <w:vAlign w:val="bottom"/>
          </w:tcPr>
          <w:p>
            <w:pPr>
              <w:ind w:left="280"/>
              <w:spacing w:after="0"/>
              <w:rPr>
                <w:sz w:val="20"/>
                <w:szCs w:val="20"/>
                <w:color w:val="auto"/>
              </w:rPr>
            </w:pPr>
            <w:r>
              <w:rPr>
                <w:rFonts w:ascii="Arial" w:cs="Arial" w:eastAsia="Arial" w:hAnsi="Arial"/>
                <w:sz w:val="20"/>
                <w:szCs w:val="20"/>
                <w:color w:val="auto"/>
              </w:rPr>
              <w:t>alignment</w:t>
            </w:r>
          </w:p>
        </w:tc>
        <w:tc>
          <w:tcPr>
            <w:tcW w:w="0" w:type="dxa"/>
            <w:vAlign w:val="bottom"/>
          </w:tcPr>
          <w:p>
            <w:pPr>
              <w:spacing w:after="0"/>
              <w:rPr>
                <w:sz w:val="1"/>
                <w:szCs w:val="1"/>
                <w:color w:val="auto"/>
              </w:rPr>
            </w:pPr>
          </w:p>
        </w:tc>
      </w:tr>
      <w:tr>
        <w:trPr>
          <w:trHeight w:val="87"/>
        </w:trPr>
        <w:tc>
          <w:tcPr>
            <w:tcW w:w="3700" w:type="dxa"/>
            <w:vAlign w:val="bottom"/>
            <w:tcBorders>
              <w:right w:val="single" w:sz="8" w:color="582C83"/>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3460" w:type="dxa"/>
            <w:vAlign w:val="bottom"/>
            <w:tcBorders>
              <w:right w:val="single" w:sz="8" w:color="582C83"/>
            </w:tcBorders>
            <w:vMerge w:val="continue"/>
          </w:tcPr>
          <w:p>
            <w:pPr>
              <w:spacing w:after="0"/>
              <w:rPr>
                <w:sz w:val="7"/>
                <w:szCs w:val="7"/>
                <w:color w:val="auto"/>
              </w:rPr>
            </w:pPr>
          </w:p>
        </w:tc>
        <w:tc>
          <w:tcPr>
            <w:tcW w:w="3680" w:type="dxa"/>
            <w:vAlign w:val="bottom"/>
            <w:vMerge w:val="restart"/>
          </w:tcPr>
          <w:p>
            <w:pPr>
              <w:ind w:left="12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Benchmark annual and long-term</w:t>
            </w:r>
          </w:p>
        </w:tc>
        <w:tc>
          <w:tcPr>
            <w:tcW w:w="0" w:type="dxa"/>
            <w:vAlign w:val="bottom"/>
          </w:tcPr>
          <w:p>
            <w:pPr>
              <w:spacing w:after="0"/>
              <w:rPr>
                <w:sz w:val="1"/>
                <w:szCs w:val="1"/>
                <w:color w:val="auto"/>
              </w:rPr>
            </w:pPr>
          </w:p>
        </w:tc>
      </w:tr>
      <w:tr>
        <w:trPr>
          <w:trHeight w:val="137"/>
        </w:trPr>
        <w:tc>
          <w:tcPr>
            <w:tcW w:w="3700" w:type="dxa"/>
            <w:vAlign w:val="bottom"/>
            <w:tcBorders>
              <w:right w:val="single" w:sz="8" w:color="582C83"/>
            </w:tcBorders>
          </w:tcPr>
          <w:p>
            <w:pPr>
              <w:spacing w:after="0"/>
              <w:rPr>
                <w:sz w:val="11"/>
                <w:szCs w:val="11"/>
                <w:color w:val="auto"/>
              </w:rPr>
            </w:pPr>
          </w:p>
        </w:tc>
        <w:tc>
          <w:tcPr>
            <w:tcW w:w="240" w:type="dxa"/>
            <w:vAlign w:val="bottom"/>
            <w:vMerge w:val="restart"/>
          </w:tcPr>
          <w:p>
            <w:pPr>
              <w:ind w:left="120"/>
              <w:spacing w:after="0"/>
              <w:rPr>
                <w:sz w:val="20"/>
                <w:szCs w:val="20"/>
                <w:color w:val="auto"/>
              </w:rPr>
            </w:pPr>
            <w:r>
              <w:rPr>
                <w:rFonts w:ascii="Arial" w:cs="Arial" w:eastAsia="Arial" w:hAnsi="Arial"/>
                <w:sz w:val="20"/>
                <w:szCs w:val="20"/>
                <w:color w:val="582C83"/>
              </w:rPr>
              <w:t>•</w:t>
            </w:r>
          </w:p>
        </w:tc>
        <w:tc>
          <w:tcPr>
            <w:tcW w:w="3460" w:type="dxa"/>
            <w:vAlign w:val="bottom"/>
            <w:tcBorders>
              <w:right w:val="single" w:sz="8" w:color="582C83"/>
            </w:tcBorders>
            <w:vMerge w:val="restart"/>
          </w:tcPr>
          <w:p>
            <w:pPr>
              <w:ind w:left="40"/>
              <w:spacing w:after="0"/>
              <w:rPr>
                <w:sz w:val="20"/>
                <w:szCs w:val="20"/>
                <w:color w:val="auto"/>
              </w:rPr>
            </w:pPr>
            <w:r>
              <w:rPr>
                <w:rFonts w:ascii="Arial" w:cs="Arial" w:eastAsia="Arial" w:hAnsi="Arial"/>
                <w:sz w:val="20"/>
                <w:szCs w:val="20"/>
                <w:color w:val="auto"/>
              </w:rPr>
              <w:t>Philip Morris International, Inc.</w:t>
            </w:r>
          </w:p>
        </w:tc>
        <w:tc>
          <w:tcPr>
            <w:tcW w:w="3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700" w:type="dxa"/>
            <w:vAlign w:val="bottom"/>
            <w:tcBorders>
              <w:right w:val="single" w:sz="8" w:color="582C83"/>
            </w:tcBorders>
          </w:tcPr>
          <w:p>
            <w:pPr>
              <w:spacing w:after="0"/>
              <w:rPr>
                <w:sz w:val="10"/>
                <w:szCs w:val="10"/>
                <w:color w:val="auto"/>
              </w:rPr>
            </w:pPr>
          </w:p>
        </w:tc>
        <w:tc>
          <w:tcPr>
            <w:tcW w:w="240" w:type="dxa"/>
            <w:vAlign w:val="bottom"/>
            <w:vMerge w:val="continue"/>
          </w:tcPr>
          <w:p>
            <w:pPr>
              <w:spacing w:after="0"/>
              <w:rPr>
                <w:sz w:val="10"/>
                <w:szCs w:val="10"/>
                <w:color w:val="auto"/>
              </w:rPr>
            </w:pPr>
          </w:p>
        </w:tc>
        <w:tc>
          <w:tcPr>
            <w:tcW w:w="3460" w:type="dxa"/>
            <w:vAlign w:val="bottom"/>
            <w:tcBorders>
              <w:right w:val="single" w:sz="8" w:color="582C83"/>
            </w:tcBorders>
            <w:vMerge w:val="continue"/>
          </w:tcPr>
          <w:p>
            <w:pPr>
              <w:spacing w:after="0"/>
              <w:rPr>
                <w:sz w:val="10"/>
                <w:szCs w:val="10"/>
                <w:color w:val="auto"/>
              </w:rPr>
            </w:pPr>
          </w:p>
        </w:tc>
        <w:tc>
          <w:tcPr>
            <w:tcW w:w="3680" w:type="dxa"/>
            <w:vAlign w:val="bottom"/>
            <w:vMerge w:val="restart"/>
          </w:tcPr>
          <w:p>
            <w:pPr>
              <w:ind w:left="280"/>
              <w:spacing w:after="0"/>
              <w:rPr>
                <w:sz w:val="20"/>
                <w:szCs w:val="20"/>
                <w:color w:val="auto"/>
              </w:rPr>
            </w:pPr>
            <w:r>
              <w:rPr>
                <w:rFonts w:ascii="Arial" w:cs="Arial" w:eastAsia="Arial" w:hAnsi="Arial"/>
                <w:sz w:val="20"/>
                <w:szCs w:val="20"/>
                <w:color w:val="auto"/>
              </w:rPr>
              <w:t>incentive plan design</w:t>
            </w:r>
          </w:p>
        </w:tc>
        <w:tc>
          <w:tcPr>
            <w:tcW w:w="0" w:type="dxa"/>
            <w:vAlign w:val="bottom"/>
          </w:tcPr>
          <w:p>
            <w:pPr>
              <w:spacing w:after="0"/>
              <w:rPr>
                <w:sz w:val="1"/>
                <w:szCs w:val="1"/>
                <w:color w:val="auto"/>
              </w:rPr>
            </w:pPr>
          </w:p>
        </w:tc>
      </w:tr>
      <w:tr>
        <w:trPr>
          <w:trHeight w:val="140"/>
        </w:trPr>
        <w:tc>
          <w:tcPr>
            <w:tcW w:w="3700" w:type="dxa"/>
            <w:vAlign w:val="bottom"/>
            <w:tcBorders>
              <w:right w:val="single" w:sz="8" w:color="582C83"/>
            </w:tcBorders>
          </w:tcPr>
          <w:p>
            <w:pPr>
              <w:spacing w:after="0"/>
              <w:rPr>
                <w:sz w:val="12"/>
                <w:szCs w:val="12"/>
                <w:color w:val="auto"/>
              </w:rPr>
            </w:pPr>
          </w:p>
        </w:tc>
        <w:tc>
          <w:tcPr>
            <w:tcW w:w="240" w:type="dxa"/>
            <w:vAlign w:val="bottom"/>
            <w:vMerge w:val="restart"/>
          </w:tcPr>
          <w:p>
            <w:pPr>
              <w:ind w:left="120"/>
              <w:spacing w:after="0"/>
              <w:rPr>
                <w:sz w:val="20"/>
                <w:szCs w:val="20"/>
                <w:color w:val="auto"/>
              </w:rPr>
            </w:pPr>
            <w:r>
              <w:rPr>
                <w:rFonts w:ascii="Arial" w:cs="Arial" w:eastAsia="Arial" w:hAnsi="Arial"/>
                <w:sz w:val="20"/>
                <w:szCs w:val="20"/>
                <w:color w:val="582C83"/>
              </w:rPr>
              <w:t>•</w:t>
            </w:r>
          </w:p>
        </w:tc>
        <w:tc>
          <w:tcPr>
            <w:tcW w:w="3460" w:type="dxa"/>
            <w:vAlign w:val="bottom"/>
            <w:tcBorders>
              <w:right w:val="single" w:sz="8" w:color="582C83"/>
            </w:tcBorders>
            <w:vMerge w:val="restart"/>
          </w:tcPr>
          <w:p>
            <w:pPr>
              <w:ind w:left="40"/>
              <w:spacing w:after="0"/>
              <w:rPr>
                <w:sz w:val="20"/>
                <w:szCs w:val="20"/>
                <w:color w:val="auto"/>
              </w:rPr>
            </w:pPr>
            <w:r>
              <w:rPr>
                <w:rFonts w:ascii="Arial" w:cs="Arial" w:eastAsia="Arial" w:hAnsi="Arial"/>
                <w:sz w:val="20"/>
                <w:szCs w:val="20"/>
                <w:b w:val="1"/>
                <w:bCs w:val="1"/>
                <w:color w:val="auto"/>
              </w:rPr>
              <w:t>The Procter &amp; Gamble Company</w:t>
            </w: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700" w:type="dxa"/>
            <w:vAlign w:val="bottom"/>
            <w:tcBorders>
              <w:right w:val="single" w:sz="8" w:color="582C83"/>
            </w:tcBorders>
          </w:tcPr>
          <w:p>
            <w:pPr>
              <w:spacing w:after="0"/>
              <w:rPr>
                <w:sz w:val="10"/>
                <w:szCs w:val="10"/>
                <w:color w:val="auto"/>
              </w:rPr>
            </w:pPr>
          </w:p>
        </w:tc>
        <w:tc>
          <w:tcPr>
            <w:tcW w:w="240" w:type="dxa"/>
            <w:vAlign w:val="bottom"/>
            <w:vMerge w:val="continue"/>
          </w:tcPr>
          <w:p>
            <w:pPr>
              <w:spacing w:after="0"/>
              <w:rPr>
                <w:sz w:val="10"/>
                <w:szCs w:val="10"/>
                <w:color w:val="auto"/>
              </w:rPr>
            </w:pPr>
          </w:p>
        </w:tc>
        <w:tc>
          <w:tcPr>
            <w:tcW w:w="3460" w:type="dxa"/>
            <w:vAlign w:val="bottom"/>
            <w:tcBorders>
              <w:right w:val="single" w:sz="8" w:color="582C83"/>
            </w:tcBorders>
            <w:vMerge w:val="continue"/>
          </w:tcPr>
          <w:p>
            <w:pPr>
              <w:spacing w:after="0"/>
              <w:rPr>
                <w:sz w:val="10"/>
                <w:szCs w:val="10"/>
                <w:color w:val="auto"/>
              </w:rPr>
            </w:pPr>
          </w:p>
        </w:tc>
        <w:tc>
          <w:tcPr>
            <w:tcW w:w="3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3700" w:type="dxa"/>
            <w:vAlign w:val="bottom"/>
            <w:tcBorders>
              <w:right w:val="single" w:sz="8" w:color="582C83"/>
            </w:tcBorders>
          </w:tcPr>
          <w:p>
            <w:pPr>
              <w:spacing w:after="0"/>
              <w:rPr>
                <w:sz w:val="22"/>
                <w:szCs w:val="22"/>
                <w:color w:val="auto"/>
              </w:rPr>
            </w:pPr>
          </w:p>
        </w:tc>
        <w:tc>
          <w:tcPr>
            <w:tcW w:w="3700" w:type="dxa"/>
            <w:vAlign w:val="bottom"/>
            <w:tcBorders>
              <w:right w:val="single" w:sz="8" w:color="582C83"/>
            </w:tcBorders>
            <w:gridSpan w:val="2"/>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Starbucks Corporation</w:t>
            </w:r>
          </w:p>
        </w:tc>
        <w:tc>
          <w:tcPr>
            <w:tcW w:w="3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700" w:type="dxa"/>
            <w:vAlign w:val="bottom"/>
            <w:tcBorders>
              <w:bottom w:val="single" w:sz="8" w:color="582C83"/>
              <w:right w:val="single" w:sz="8" w:color="582C83"/>
            </w:tcBorders>
          </w:tcPr>
          <w:p>
            <w:pPr>
              <w:spacing w:after="0" w:line="20" w:lineRule="exact"/>
              <w:rPr>
                <w:sz w:val="1"/>
                <w:szCs w:val="1"/>
                <w:color w:val="auto"/>
              </w:rPr>
            </w:pPr>
          </w:p>
        </w:tc>
        <w:tc>
          <w:tcPr>
            <w:tcW w:w="240" w:type="dxa"/>
            <w:vAlign w:val="bottom"/>
            <w:tcBorders>
              <w:bottom w:val="single" w:sz="8" w:color="582C83"/>
            </w:tcBorders>
          </w:tcPr>
          <w:p>
            <w:pPr>
              <w:spacing w:after="0" w:line="20" w:lineRule="exact"/>
              <w:rPr>
                <w:sz w:val="1"/>
                <w:szCs w:val="1"/>
                <w:color w:val="auto"/>
              </w:rPr>
            </w:pPr>
          </w:p>
        </w:tc>
        <w:tc>
          <w:tcPr>
            <w:tcW w:w="3460" w:type="dxa"/>
            <w:vAlign w:val="bottom"/>
            <w:tcBorders>
              <w:bottom w:val="single" w:sz="8" w:color="582C83"/>
              <w:right w:val="single" w:sz="8" w:color="582C83"/>
            </w:tcBorders>
          </w:tcPr>
          <w:p>
            <w:pPr>
              <w:spacing w:after="0" w:line="20" w:lineRule="exact"/>
              <w:rPr>
                <w:sz w:val="1"/>
                <w:szCs w:val="1"/>
                <w:color w:val="auto"/>
              </w:rPr>
            </w:pPr>
          </w:p>
        </w:tc>
        <w:tc>
          <w:tcPr>
            <w:tcW w:w="3680" w:type="dxa"/>
            <w:vAlign w:val="bottom"/>
            <w:tcBorders>
              <w:bottom w:val="single" w:sz="8" w:color="582C83"/>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Companies indicated in bold are represented in both the Compensation Survey and Performance Peer Groups.</w:t>
      </w:r>
    </w:p>
    <w:p>
      <w:pPr>
        <w:spacing w:after="0" w:line="39"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5"/>
          <w:szCs w:val="15"/>
          <w:color w:val="auto"/>
        </w:rPr>
        <w:t>(2)</w:t>
      </w:r>
      <w:r>
        <w:rPr>
          <w:sz w:val="20"/>
          <w:szCs w:val="20"/>
          <w:color w:val="auto"/>
        </w:rPr>
        <w:tab/>
      </w:r>
      <w:r>
        <w:rPr>
          <w:rFonts w:ascii="Arial" w:cs="Arial" w:eastAsia="Arial" w:hAnsi="Arial"/>
          <w:sz w:val="14"/>
          <w:szCs w:val="14"/>
          <w:color w:val="auto"/>
        </w:rPr>
        <w:t>The People and Compensation Committee also considers pay at Nestlé, Danone and Unilever when reviewing CEO compensation.</w:t>
      </w:r>
    </w:p>
    <w:p>
      <w:pPr>
        <w:spacing w:after="0" w:line="39"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5"/>
          <w:szCs w:val="15"/>
          <w:color w:val="auto"/>
        </w:rPr>
        <w:t>(3)</w:t>
      </w:r>
      <w:r>
        <w:rPr>
          <w:sz w:val="20"/>
          <w:szCs w:val="20"/>
          <w:color w:val="auto"/>
        </w:rPr>
        <w:tab/>
      </w:r>
      <w:r>
        <w:rPr>
          <w:rFonts w:ascii="Arial" w:cs="Arial" w:eastAsia="Arial" w:hAnsi="Arial"/>
          <w:sz w:val="14"/>
          <w:szCs w:val="14"/>
          <w:color w:val="auto"/>
        </w:rPr>
        <w:t>Excluded by the People and Compensation Committee when reviewing CEO compensation.</w:t>
      </w:r>
    </w:p>
    <w:p>
      <w:pPr>
        <w:spacing w:after="0" w:line="3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To further validate our compensation levels, using data provided by the executive compensation consultant, the People and Compensation Committee retrospectively evaluates our pay-for-performance alignment versus our Compensation Survey Peer Group. The Committee believes that pay and performance are appropriately aligned.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7143115"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0" w:name="page91"/>
    <w:bookmarkEnd w:id="90"/>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Peer Group</w:t>
      </w:r>
    </w:p>
    <w:p>
      <w:pPr>
        <w:spacing w:after="0" w:line="56"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auto"/>
        </w:rPr>
        <w:t>We compare our financial and TSR performance against our Performance Peer Group, which allows us to link long-term incentive compensation directly to the delivery of superior financial results relative to our consumer packaged goods peers. This group of companies is less relevant as a comparator for compensation levels for certain executive positions because of differences in company size, scope and complexity. However, we consider these companies direct competitors both for business and talent, so comparing our results with this peer group’s performance provides a valuable and relevant measure of our performance. We did not change our Performance Peer Group for 2022. The table below shows our criteria for choosing the Performance Peer Group and how it is used.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Borders>
              <w:bottom w:val="single" w:sz="8" w:color="EBE6F0"/>
            </w:tcBorders>
            <w:shd w:val="clear" w:color="auto" w:fill="EBE6F0"/>
          </w:tcPr>
          <w:p>
            <w:pPr>
              <w:spacing w:after="0"/>
              <w:rPr>
                <w:sz w:val="16"/>
                <w:szCs w:val="16"/>
                <w:color w:val="auto"/>
              </w:rPr>
            </w:pPr>
          </w:p>
        </w:tc>
        <w:tc>
          <w:tcPr>
            <w:tcW w:w="3680" w:type="dxa"/>
            <w:vAlign w:val="bottom"/>
            <w:tcBorders>
              <w:bottom w:val="single" w:sz="8" w:color="EBE6F0"/>
            </w:tcBorders>
            <w:vMerge w:val="restart"/>
            <w:shd w:val="clear" w:color="auto" w:fill="EBE6F0"/>
          </w:tcPr>
          <w:p>
            <w:pPr>
              <w:ind w:left="120"/>
              <w:spacing w:after="0"/>
              <w:rPr>
                <w:sz w:val="20"/>
                <w:szCs w:val="20"/>
                <w:color w:val="auto"/>
              </w:rPr>
            </w:pPr>
            <w:r>
              <w:rPr>
                <w:rFonts w:ascii="Arial" w:cs="Arial" w:eastAsia="Arial" w:hAnsi="Arial"/>
                <w:sz w:val="20"/>
                <w:szCs w:val="20"/>
                <w:b w:val="1"/>
                <w:bCs w:val="1"/>
                <w:color w:val="auto"/>
              </w:rPr>
              <w:t>How the Performance Peer Group</w:t>
            </w:r>
          </w:p>
        </w:tc>
        <w:tc>
          <w:tcPr>
            <w:tcW w:w="260" w:type="dxa"/>
            <w:vAlign w:val="bottom"/>
            <w:tcBorders>
              <w:left w:val="single" w:sz="8" w:color="EBE6F0"/>
              <w:bottom w:val="single" w:sz="8" w:color="582C83"/>
            </w:tcBorders>
            <w:shd w:val="clear" w:color="auto" w:fill="EBE6F0"/>
          </w:tcPr>
          <w:p>
            <w:pPr>
              <w:spacing w:after="0"/>
              <w:rPr>
                <w:sz w:val="16"/>
                <w:szCs w:val="16"/>
                <w:color w:val="auto"/>
              </w:rPr>
            </w:pPr>
          </w:p>
        </w:tc>
        <w:tc>
          <w:tcPr>
            <w:tcW w:w="3460" w:type="dxa"/>
            <w:vAlign w:val="bottom"/>
            <w:tcBorders>
              <w:bottom w:val="single" w:sz="8" w:color="582C83"/>
              <w:right w:val="single" w:sz="8" w:color="EBE6F0"/>
            </w:tcBorders>
            <w:shd w:val="clear" w:color="auto" w:fill="EBE6F0"/>
          </w:tcPr>
          <w:p>
            <w:pPr>
              <w:spacing w:after="0"/>
              <w:rPr>
                <w:sz w:val="16"/>
                <w:szCs w:val="16"/>
                <w:color w:val="auto"/>
              </w:rPr>
            </w:pPr>
          </w:p>
        </w:tc>
        <w:tc>
          <w:tcPr>
            <w:tcW w:w="3780" w:type="dxa"/>
            <w:vAlign w:val="bottom"/>
            <w:tcBorders>
              <w:bottom w:val="single" w:sz="8" w:color="EBE6F0"/>
            </w:tcBorders>
            <w:gridSpan w:val="2"/>
            <w:vMerge w:val="restart"/>
            <w:shd w:val="clear" w:color="auto" w:fill="EBE6F0"/>
          </w:tcPr>
          <w:p>
            <w:pPr>
              <w:ind w:left="120"/>
              <w:spacing w:after="0"/>
              <w:rPr>
                <w:sz w:val="20"/>
                <w:szCs w:val="20"/>
                <w:color w:val="auto"/>
              </w:rPr>
            </w:pPr>
            <w:r>
              <w:rPr>
                <w:rFonts w:ascii="Arial" w:cs="Arial" w:eastAsia="Arial" w:hAnsi="Arial"/>
                <w:sz w:val="20"/>
                <w:szCs w:val="20"/>
                <w:b w:val="1"/>
                <w:bCs w:val="1"/>
                <w:color w:val="auto"/>
              </w:rPr>
              <w:t>How We Use the Performance</w:t>
            </w:r>
          </w:p>
        </w:tc>
        <w:tc>
          <w:tcPr>
            <w:tcW w:w="0" w:type="dxa"/>
            <w:vAlign w:val="bottom"/>
          </w:tcPr>
          <w:p>
            <w:pPr>
              <w:spacing w:after="0"/>
              <w:rPr>
                <w:sz w:val="1"/>
                <w:szCs w:val="1"/>
                <w:color w:val="auto"/>
              </w:rPr>
            </w:pPr>
          </w:p>
        </w:tc>
      </w:tr>
      <w:tr>
        <w:trPr>
          <w:trHeight w:val="227"/>
        </w:trPr>
        <w:tc>
          <w:tcPr>
            <w:tcW w:w="80" w:type="dxa"/>
            <w:vAlign w:val="bottom"/>
            <w:shd w:val="clear" w:color="auto" w:fill="EBE6F0"/>
          </w:tcPr>
          <w:p>
            <w:pPr>
              <w:spacing w:after="0"/>
              <w:rPr>
                <w:sz w:val="19"/>
                <w:szCs w:val="19"/>
                <w:color w:val="auto"/>
              </w:rPr>
            </w:pPr>
          </w:p>
        </w:tc>
        <w:tc>
          <w:tcPr>
            <w:tcW w:w="3680" w:type="dxa"/>
            <w:vAlign w:val="bottom"/>
            <w:vMerge w:val="continue"/>
            <w:shd w:val="clear" w:color="auto" w:fill="EBE6F0"/>
          </w:tcPr>
          <w:p>
            <w:pPr>
              <w:spacing w:after="0"/>
              <w:rPr>
                <w:sz w:val="19"/>
                <w:szCs w:val="19"/>
                <w:color w:val="auto"/>
              </w:rPr>
            </w:pPr>
          </w:p>
        </w:tc>
        <w:tc>
          <w:tcPr>
            <w:tcW w:w="3720" w:type="dxa"/>
            <w:vAlign w:val="bottom"/>
            <w:tcBorders>
              <w:left w:val="single" w:sz="8" w:color="582C83"/>
              <w:right w:val="single" w:sz="8" w:color="582C83"/>
            </w:tcBorders>
            <w:gridSpan w:val="2"/>
            <w:vMerge w:val="restart"/>
            <w:shd w:val="clear" w:color="auto" w:fill="EBE6F0"/>
          </w:tcPr>
          <w:p>
            <w:pPr>
              <w:ind w:left="140"/>
              <w:spacing w:after="0"/>
              <w:rPr>
                <w:sz w:val="20"/>
                <w:szCs w:val="20"/>
                <w:color w:val="auto"/>
              </w:rPr>
            </w:pPr>
            <w:r>
              <w:rPr>
                <w:rFonts w:ascii="Arial" w:cs="Arial" w:eastAsia="Arial" w:hAnsi="Arial"/>
                <w:sz w:val="20"/>
                <w:szCs w:val="20"/>
                <w:b w:val="1"/>
                <w:bCs w:val="1"/>
                <w:color w:val="auto"/>
              </w:rPr>
              <w:t>2022 Performance Peer Group</w:t>
            </w:r>
            <w:r>
              <w:rPr>
                <w:rFonts w:ascii="Arial" w:cs="Arial" w:eastAsia="Arial" w:hAnsi="Arial"/>
                <w:sz w:val="33"/>
                <w:szCs w:val="33"/>
                <w:b w:val="1"/>
                <w:bCs w:val="1"/>
                <w:color w:val="auto"/>
                <w:vertAlign w:val="superscript"/>
              </w:rPr>
              <w:t>(1)</w:t>
            </w:r>
          </w:p>
        </w:tc>
        <w:tc>
          <w:tcPr>
            <w:tcW w:w="3780" w:type="dxa"/>
            <w:vAlign w:val="bottom"/>
            <w:gridSpan w:val="2"/>
            <w:vMerge w:val="continue"/>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EBE6F0"/>
            </w:tcBorders>
            <w:shd w:val="clear" w:color="auto" w:fill="EBE6F0"/>
          </w:tcPr>
          <w:p>
            <w:pPr>
              <w:spacing w:after="0"/>
              <w:rPr>
                <w:sz w:val="24"/>
                <w:szCs w:val="24"/>
                <w:color w:val="auto"/>
              </w:rPr>
            </w:pPr>
          </w:p>
        </w:tc>
        <w:tc>
          <w:tcPr>
            <w:tcW w:w="3680" w:type="dxa"/>
            <w:vAlign w:val="bottom"/>
            <w:tcBorders>
              <w:bottom w:val="single" w:sz="8" w:color="582C83"/>
            </w:tcBorders>
            <w:shd w:val="clear" w:color="auto" w:fill="EBE6F0"/>
          </w:tcPr>
          <w:p>
            <w:pPr>
              <w:ind w:left="120"/>
              <w:spacing w:after="0"/>
              <w:rPr>
                <w:sz w:val="20"/>
                <w:szCs w:val="20"/>
                <w:color w:val="auto"/>
              </w:rPr>
            </w:pPr>
            <w:r>
              <w:rPr>
                <w:rFonts w:ascii="Arial" w:cs="Arial" w:eastAsia="Arial" w:hAnsi="Arial"/>
                <w:sz w:val="20"/>
                <w:szCs w:val="20"/>
                <w:b w:val="1"/>
                <w:bCs w:val="1"/>
                <w:color w:val="auto"/>
              </w:rPr>
              <w:t>Was Chosen</w:t>
            </w:r>
          </w:p>
        </w:tc>
        <w:tc>
          <w:tcPr>
            <w:tcW w:w="3720" w:type="dxa"/>
            <w:vAlign w:val="bottom"/>
            <w:tcBorders>
              <w:left w:val="single" w:sz="8" w:color="582C83"/>
              <w:bottom w:val="single" w:sz="8" w:color="582C83"/>
              <w:right w:val="single" w:sz="8" w:color="582C83"/>
            </w:tcBorders>
            <w:gridSpan w:val="2"/>
            <w:vMerge w:val="continue"/>
            <w:shd w:val="clear" w:color="auto" w:fill="EBE6F0"/>
          </w:tcPr>
          <w:p>
            <w:pPr>
              <w:spacing w:after="0"/>
              <w:rPr>
                <w:sz w:val="24"/>
                <w:szCs w:val="24"/>
                <w:color w:val="auto"/>
              </w:rPr>
            </w:pPr>
          </w:p>
        </w:tc>
        <w:tc>
          <w:tcPr>
            <w:tcW w:w="3680" w:type="dxa"/>
            <w:vAlign w:val="bottom"/>
            <w:tcBorders>
              <w:bottom w:val="single" w:sz="8" w:color="582C83"/>
            </w:tcBorders>
            <w:shd w:val="clear" w:color="auto" w:fill="EBE6F0"/>
          </w:tcPr>
          <w:p>
            <w:pPr>
              <w:ind w:left="120"/>
              <w:spacing w:after="0"/>
              <w:rPr>
                <w:sz w:val="20"/>
                <w:szCs w:val="20"/>
                <w:color w:val="auto"/>
              </w:rPr>
            </w:pPr>
            <w:r>
              <w:rPr>
                <w:rFonts w:ascii="Arial" w:cs="Arial" w:eastAsia="Arial" w:hAnsi="Arial"/>
                <w:sz w:val="20"/>
                <w:szCs w:val="20"/>
                <w:b w:val="1"/>
                <w:bCs w:val="1"/>
                <w:color w:val="auto"/>
              </w:rPr>
              <w:t>Peer Group</w:t>
            </w:r>
          </w:p>
        </w:tc>
        <w:tc>
          <w:tcPr>
            <w:tcW w:w="10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0" w:type="dxa"/>
            <w:vAlign w:val="bottom"/>
            <w:shd w:val="clear" w:color="auto" w:fill="EBE6F0"/>
          </w:tcPr>
          <w:p>
            <w:pPr>
              <w:spacing w:after="0"/>
              <w:rPr>
                <w:sz w:val="20"/>
                <w:szCs w:val="20"/>
                <w:color w:val="auto"/>
              </w:rPr>
            </w:pPr>
          </w:p>
        </w:tc>
        <w:tc>
          <w:tcPr>
            <w:tcW w:w="3680" w:type="dxa"/>
            <w:vAlign w:val="bottom"/>
            <w:shd w:val="clear" w:color="auto" w:fill="EBE6F0"/>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Industry competitor</w:t>
            </w:r>
          </w:p>
        </w:tc>
        <w:tc>
          <w:tcPr>
            <w:tcW w:w="3720" w:type="dxa"/>
            <w:vAlign w:val="bottom"/>
            <w:tcBorders>
              <w:left w:val="single" w:sz="8" w:color="582C83"/>
              <w:right w:val="single" w:sz="8" w:color="582C83"/>
            </w:tcBorders>
            <w:gridSpan w:val="2"/>
            <w:shd w:val="clear" w:color="auto" w:fill="EBE6F0"/>
          </w:tcPr>
          <w:p>
            <w:pPr>
              <w:ind w:left="14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Campbell Soup Company</w:t>
            </w:r>
          </w:p>
        </w:tc>
        <w:tc>
          <w:tcPr>
            <w:tcW w:w="3780" w:type="dxa"/>
            <w:vAlign w:val="bottom"/>
            <w:gridSpan w:val="2"/>
            <w:shd w:val="clear" w:color="auto" w:fill="EBE6F0"/>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Compare annualized TSR to assess</w:t>
            </w:r>
          </w:p>
        </w:tc>
        <w:tc>
          <w:tcPr>
            <w:tcW w:w="0" w:type="dxa"/>
            <w:vAlign w:val="bottom"/>
          </w:tcPr>
          <w:p>
            <w:pPr>
              <w:spacing w:after="0"/>
              <w:rPr>
                <w:sz w:val="1"/>
                <w:szCs w:val="1"/>
                <w:color w:val="auto"/>
              </w:rPr>
            </w:pPr>
          </w:p>
        </w:tc>
      </w:tr>
      <w:tr>
        <w:trPr>
          <w:trHeight w:val="237"/>
        </w:trPr>
        <w:tc>
          <w:tcPr>
            <w:tcW w:w="80" w:type="dxa"/>
            <w:vAlign w:val="bottom"/>
            <w:shd w:val="clear" w:color="auto" w:fill="EBE6F0"/>
          </w:tcPr>
          <w:p>
            <w:pPr>
              <w:spacing w:after="0"/>
              <w:rPr>
                <w:sz w:val="20"/>
                <w:szCs w:val="20"/>
                <w:color w:val="auto"/>
              </w:rPr>
            </w:pPr>
          </w:p>
        </w:tc>
        <w:tc>
          <w:tcPr>
            <w:tcW w:w="3680" w:type="dxa"/>
            <w:vAlign w:val="bottom"/>
            <w:shd w:val="clear" w:color="auto" w:fill="EBE6F0"/>
          </w:tcPr>
          <w:p>
            <w:pPr>
              <w:ind w:left="12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Fast moving consumer good</w:t>
            </w:r>
          </w:p>
        </w:tc>
        <w:tc>
          <w:tcPr>
            <w:tcW w:w="3720" w:type="dxa"/>
            <w:vAlign w:val="bottom"/>
            <w:tcBorders>
              <w:left w:val="single" w:sz="8" w:color="582C83"/>
              <w:right w:val="single" w:sz="8" w:color="582C83"/>
            </w:tcBorders>
            <w:gridSpan w:val="2"/>
            <w:shd w:val="clear" w:color="auto" w:fill="EBE6F0"/>
          </w:tcPr>
          <w:p>
            <w:pPr>
              <w:ind w:left="14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b w:val="1"/>
                <w:bCs w:val="1"/>
                <w:color w:val="000000"/>
              </w:rPr>
              <w:t>The Coca-Cola Company</w:t>
            </w:r>
          </w:p>
        </w:tc>
        <w:tc>
          <w:tcPr>
            <w:tcW w:w="3780" w:type="dxa"/>
            <w:vAlign w:val="bottom"/>
            <w:gridSpan w:val="2"/>
            <w:shd w:val="clear" w:color="auto" w:fill="EBE6F0"/>
          </w:tcPr>
          <w:p>
            <w:pPr>
              <w:ind w:left="280"/>
              <w:spacing w:after="0"/>
              <w:rPr>
                <w:sz w:val="20"/>
                <w:szCs w:val="20"/>
                <w:color w:val="auto"/>
              </w:rPr>
            </w:pPr>
            <w:r>
              <w:rPr>
                <w:rFonts w:ascii="Arial" w:cs="Arial" w:eastAsia="Arial" w:hAnsi="Arial"/>
                <w:sz w:val="20"/>
                <w:szCs w:val="20"/>
                <w:color w:val="auto"/>
              </w:rPr>
              <w:t>our results against the TSR</w:t>
            </w:r>
          </w:p>
        </w:tc>
        <w:tc>
          <w:tcPr>
            <w:tcW w:w="0" w:type="dxa"/>
            <w:vAlign w:val="bottom"/>
          </w:tcPr>
          <w:p>
            <w:pPr>
              <w:spacing w:after="0"/>
              <w:rPr>
                <w:sz w:val="1"/>
                <w:szCs w:val="1"/>
                <w:color w:val="auto"/>
              </w:rPr>
            </w:pPr>
          </w:p>
        </w:tc>
      </w:tr>
      <w:tr>
        <w:trPr>
          <w:trHeight w:val="261"/>
        </w:trPr>
        <w:tc>
          <w:tcPr>
            <w:tcW w:w="80" w:type="dxa"/>
            <w:vAlign w:val="bottom"/>
            <w:shd w:val="clear" w:color="auto" w:fill="EBE6F0"/>
          </w:tcPr>
          <w:p>
            <w:pPr>
              <w:spacing w:after="0"/>
              <w:rPr>
                <w:sz w:val="22"/>
                <w:szCs w:val="22"/>
                <w:color w:val="auto"/>
              </w:rPr>
            </w:pPr>
          </w:p>
        </w:tc>
        <w:tc>
          <w:tcPr>
            <w:tcW w:w="3680" w:type="dxa"/>
            <w:vAlign w:val="bottom"/>
            <w:shd w:val="clear" w:color="auto" w:fill="EBE6F0"/>
          </w:tcPr>
          <w:p>
            <w:pPr>
              <w:ind w:left="280"/>
              <w:spacing w:after="0"/>
              <w:rPr>
                <w:sz w:val="20"/>
                <w:szCs w:val="20"/>
                <w:color w:val="auto"/>
              </w:rPr>
            </w:pPr>
            <w:r>
              <w:rPr>
                <w:rFonts w:ascii="Arial" w:cs="Arial" w:eastAsia="Arial" w:hAnsi="Arial"/>
                <w:sz w:val="20"/>
                <w:szCs w:val="20"/>
                <w:color w:val="auto"/>
              </w:rPr>
              <w:t>companies and primarily focused on</w:t>
            </w:r>
          </w:p>
        </w:tc>
        <w:tc>
          <w:tcPr>
            <w:tcW w:w="3720" w:type="dxa"/>
            <w:vAlign w:val="bottom"/>
            <w:tcBorders>
              <w:left w:val="single" w:sz="8" w:color="582C83"/>
              <w:right w:val="single" w:sz="8" w:color="582C83"/>
            </w:tcBorders>
            <w:gridSpan w:val="2"/>
            <w:shd w:val="clear" w:color="auto" w:fill="EBE6F0"/>
          </w:tcPr>
          <w:p>
            <w:pPr>
              <w:ind w:left="14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b w:val="1"/>
                <w:bCs w:val="1"/>
                <w:color w:val="000000"/>
              </w:rPr>
              <w:t>Colgate-Palmolive Company</w:t>
            </w:r>
          </w:p>
        </w:tc>
        <w:tc>
          <w:tcPr>
            <w:tcW w:w="3780" w:type="dxa"/>
            <w:vAlign w:val="bottom"/>
            <w:gridSpan w:val="2"/>
            <w:shd w:val="clear" w:color="auto" w:fill="EBE6F0"/>
          </w:tcPr>
          <w:p>
            <w:pPr>
              <w:ind w:left="280"/>
              <w:spacing w:after="0"/>
              <w:rPr>
                <w:sz w:val="20"/>
                <w:szCs w:val="20"/>
                <w:color w:val="auto"/>
              </w:rPr>
            </w:pPr>
            <w:r>
              <w:rPr>
                <w:rFonts w:ascii="Arial" w:cs="Arial" w:eastAsia="Arial" w:hAnsi="Arial"/>
                <w:sz w:val="20"/>
                <w:szCs w:val="20"/>
                <w:color w:val="auto"/>
              </w:rPr>
              <w:t>performance measure for PSUs</w:t>
            </w:r>
          </w:p>
        </w:tc>
        <w:tc>
          <w:tcPr>
            <w:tcW w:w="0" w:type="dxa"/>
            <w:vAlign w:val="bottom"/>
          </w:tcPr>
          <w:p>
            <w:pPr>
              <w:spacing w:after="0"/>
              <w:rPr>
                <w:sz w:val="1"/>
                <w:szCs w:val="1"/>
                <w:color w:val="auto"/>
              </w:rPr>
            </w:pPr>
          </w:p>
        </w:tc>
      </w:tr>
      <w:tr>
        <w:trPr>
          <w:trHeight w:val="261"/>
        </w:trPr>
        <w:tc>
          <w:tcPr>
            <w:tcW w:w="80" w:type="dxa"/>
            <w:vAlign w:val="bottom"/>
            <w:shd w:val="clear" w:color="auto" w:fill="EBE6F0"/>
          </w:tcPr>
          <w:p>
            <w:pPr>
              <w:spacing w:after="0"/>
              <w:rPr>
                <w:sz w:val="22"/>
                <w:szCs w:val="22"/>
                <w:color w:val="auto"/>
              </w:rPr>
            </w:pPr>
          </w:p>
        </w:tc>
        <w:tc>
          <w:tcPr>
            <w:tcW w:w="3680" w:type="dxa"/>
            <w:vAlign w:val="bottom"/>
            <w:shd w:val="clear" w:color="auto" w:fill="EBE6F0"/>
          </w:tcPr>
          <w:p>
            <w:pPr>
              <w:ind w:left="280"/>
              <w:spacing w:after="0"/>
              <w:rPr>
                <w:sz w:val="20"/>
                <w:szCs w:val="20"/>
                <w:color w:val="auto"/>
              </w:rPr>
            </w:pPr>
            <w:r>
              <w:rPr>
                <w:rFonts w:ascii="Arial" w:cs="Arial" w:eastAsia="Arial" w:hAnsi="Arial"/>
                <w:sz w:val="20"/>
                <w:szCs w:val="20"/>
                <w:color w:val="auto"/>
              </w:rPr>
              <w:t>food and non-alcoholic beverages</w:t>
            </w:r>
          </w:p>
        </w:tc>
        <w:tc>
          <w:tcPr>
            <w:tcW w:w="3720" w:type="dxa"/>
            <w:vAlign w:val="bottom"/>
            <w:tcBorders>
              <w:left w:val="single" w:sz="8" w:color="582C83"/>
              <w:right w:val="single" w:sz="8" w:color="582C83"/>
            </w:tcBorders>
            <w:gridSpan w:val="2"/>
            <w:vMerge w:val="restart"/>
            <w:shd w:val="clear" w:color="auto" w:fill="EBE6F0"/>
          </w:tcPr>
          <w:p>
            <w:pPr>
              <w:ind w:left="14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Danone</w:t>
            </w:r>
          </w:p>
        </w:tc>
        <w:tc>
          <w:tcPr>
            <w:tcW w:w="3680" w:type="dxa"/>
            <w:vAlign w:val="bottom"/>
            <w:shd w:val="clear" w:color="auto" w:fill="EBE6F0"/>
          </w:tcPr>
          <w:p>
            <w:pPr>
              <w:spacing w:after="0"/>
              <w:rPr>
                <w:sz w:val="22"/>
                <w:szCs w:val="22"/>
                <w:color w:val="auto"/>
              </w:rPr>
            </w:pPr>
          </w:p>
        </w:tc>
        <w:tc>
          <w:tcPr>
            <w:tcW w:w="10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80" w:type="dxa"/>
            <w:vAlign w:val="bottom"/>
            <w:shd w:val="clear" w:color="auto" w:fill="EBE6F0"/>
          </w:tcPr>
          <w:p>
            <w:pPr>
              <w:spacing w:after="0"/>
              <w:rPr>
                <w:sz w:val="5"/>
                <w:szCs w:val="5"/>
                <w:color w:val="auto"/>
              </w:rPr>
            </w:pPr>
          </w:p>
        </w:tc>
        <w:tc>
          <w:tcPr>
            <w:tcW w:w="3680" w:type="dxa"/>
            <w:vAlign w:val="bottom"/>
            <w:shd w:val="clear" w:color="auto" w:fill="EBE6F0"/>
          </w:tcPr>
          <w:p>
            <w:pPr>
              <w:spacing w:after="0"/>
              <w:rPr>
                <w:sz w:val="5"/>
                <w:szCs w:val="5"/>
                <w:color w:val="auto"/>
              </w:rPr>
            </w:pPr>
          </w:p>
        </w:tc>
        <w:tc>
          <w:tcPr>
            <w:tcW w:w="3720" w:type="dxa"/>
            <w:vAlign w:val="bottom"/>
            <w:tcBorders>
              <w:left w:val="single" w:sz="8" w:color="582C83"/>
              <w:right w:val="single" w:sz="8" w:color="582C83"/>
            </w:tcBorders>
            <w:gridSpan w:val="2"/>
            <w:vMerge w:val="continue"/>
            <w:shd w:val="clear" w:color="auto" w:fill="EBE6F0"/>
          </w:tcPr>
          <w:p>
            <w:pPr>
              <w:spacing w:after="0"/>
              <w:rPr>
                <w:sz w:val="5"/>
                <w:szCs w:val="5"/>
                <w:color w:val="auto"/>
              </w:rPr>
            </w:pPr>
          </w:p>
        </w:tc>
        <w:tc>
          <w:tcPr>
            <w:tcW w:w="3680" w:type="dxa"/>
            <w:vAlign w:val="bottom"/>
            <w:shd w:val="clear" w:color="auto" w:fill="EBE6F0"/>
          </w:tcPr>
          <w:p>
            <w:pPr>
              <w:spacing w:after="0"/>
              <w:rPr>
                <w:sz w:val="5"/>
                <w:szCs w:val="5"/>
                <w:color w:val="auto"/>
              </w:rPr>
            </w:pPr>
          </w:p>
        </w:tc>
        <w:tc>
          <w:tcPr>
            <w:tcW w:w="100" w:type="dxa"/>
            <w:vAlign w:val="bottom"/>
            <w:shd w:val="clear" w:color="auto" w:fill="EBE6F0"/>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80" w:type="dxa"/>
            <w:vAlign w:val="bottom"/>
            <w:shd w:val="clear" w:color="auto" w:fill="EBE6F0"/>
          </w:tcPr>
          <w:p>
            <w:pPr>
              <w:spacing w:after="0"/>
              <w:rPr>
                <w:sz w:val="22"/>
                <w:szCs w:val="22"/>
                <w:color w:val="auto"/>
              </w:rPr>
            </w:pPr>
          </w:p>
        </w:tc>
        <w:tc>
          <w:tcPr>
            <w:tcW w:w="3680" w:type="dxa"/>
            <w:vAlign w:val="bottom"/>
            <w:shd w:val="clear" w:color="auto" w:fill="EBE6F0"/>
          </w:tcPr>
          <w:p>
            <w:pPr>
              <w:spacing w:after="0"/>
              <w:rPr>
                <w:sz w:val="22"/>
                <w:szCs w:val="22"/>
                <w:color w:val="auto"/>
              </w:rPr>
            </w:pPr>
          </w:p>
        </w:tc>
        <w:tc>
          <w:tcPr>
            <w:tcW w:w="260" w:type="dxa"/>
            <w:vAlign w:val="bottom"/>
            <w:tcBorders>
              <w:left w:val="single" w:sz="8" w:color="582C83"/>
            </w:tcBorders>
            <w:shd w:val="clear" w:color="auto" w:fill="EBE6F0"/>
          </w:tcPr>
          <w:p>
            <w:pPr>
              <w:ind w:left="140"/>
              <w:spacing w:after="0"/>
              <w:rPr>
                <w:sz w:val="20"/>
                <w:szCs w:val="20"/>
                <w:color w:val="auto"/>
              </w:rPr>
            </w:pPr>
            <w:r>
              <w:rPr>
                <w:rFonts w:ascii="Arial" w:cs="Arial" w:eastAsia="Arial" w:hAnsi="Arial"/>
                <w:sz w:val="20"/>
                <w:szCs w:val="20"/>
                <w:color w:val="582C83"/>
              </w:rPr>
              <w:t>•</w:t>
            </w:r>
          </w:p>
        </w:tc>
        <w:tc>
          <w:tcPr>
            <w:tcW w:w="3460" w:type="dxa"/>
            <w:vAlign w:val="bottom"/>
            <w:tcBorders>
              <w:right w:val="single" w:sz="8" w:color="582C83"/>
            </w:tcBorders>
            <w:shd w:val="clear" w:color="auto" w:fill="EBE6F0"/>
          </w:tcPr>
          <w:p>
            <w:pPr>
              <w:ind w:left="40"/>
              <w:spacing w:after="0"/>
              <w:rPr>
                <w:sz w:val="20"/>
                <w:szCs w:val="20"/>
                <w:color w:val="auto"/>
              </w:rPr>
            </w:pPr>
            <w:r>
              <w:rPr>
                <w:rFonts w:ascii="Arial" w:cs="Arial" w:eastAsia="Arial" w:hAnsi="Arial"/>
                <w:sz w:val="20"/>
                <w:szCs w:val="20"/>
                <w:b w:val="1"/>
                <w:bCs w:val="1"/>
                <w:color w:val="auto"/>
              </w:rPr>
              <w:t>General Mills Inc.</w:t>
            </w:r>
          </w:p>
        </w:tc>
        <w:tc>
          <w:tcPr>
            <w:tcW w:w="3680" w:type="dxa"/>
            <w:vAlign w:val="bottom"/>
            <w:shd w:val="clear" w:color="auto" w:fill="EBE6F0"/>
          </w:tcPr>
          <w:p>
            <w:pPr>
              <w:spacing w:after="0"/>
              <w:rPr>
                <w:sz w:val="22"/>
                <w:szCs w:val="22"/>
                <w:color w:val="auto"/>
              </w:rPr>
            </w:pPr>
          </w:p>
        </w:tc>
        <w:tc>
          <w:tcPr>
            <w:tcW w:w="10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80" w:type="dxa"/>
            <w:vAlign w:val="bottom"/>
            <w:shd w:val="clear" w:color="auto" w:fill="EBE6F0"/>
          </w:tcPr>
          <w:p>
            <w:pPr>
              <w:spacing w:after="0"/>
              <w:rPr>
                <w:sz w:val="22"/>
                <w:szCs w:val="22"/>
                <w:color w:val="auto"/>
              </w:rPr>
            </w:pPr>
          </w:p>
        </w:tc>
        <w:tc>
          <w:tcPr>
            <w:tcW w:w="3680" w:type="dxa"/>
            <w:vAlign w:val="bottom"/>
            <w:shd w:val="clear" w:color="auto" w:fill="EBE6F0"/>
          </w:tcPr>
          <w:p>
            <w:pPr>
              <w:spacing w:after="0"/>
              <w:rPr>
                <w:sz w:val="22"/>
                <w:szCs w:val="22"/>
                <w:color w:val="auto"/>
              </w:rPr>
            </w:pPr>
          </w:p>
        </w:tc>
        <w:tc>
          <w:tcPr>
            <w:tcW w:w="3720" w:type="dxa"/>
            <w:vAlign w:val="bottom"/>
            <w:tcBorders>
              <w:left w:val="single" w:sz="8" w:color="582C83"/>
              <w:right w:val="single" w:sz="8" w:color="582C83"/>
            </w:tcBorders>
            <w:gridSpan w:val="2"/>
            <w:shd w:val="clear" w:color="auto" w:fill="EBE6F0"/>
          </w:tcPr>
          <w:p>
            <w:pPr>
              <w:ind w:left="14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The Hershey Company</w:t>
            </w:r>
          </w:p>
        </w:tc>
        <w:tc>
          <w:tcPr>
            <w:tcW w:w="3680" w:type="dxa"/>
            <w:vAlign w:val="bottom"/>
            <w:shd w:val="clear" w:color="auto" w:fill="EBE6F0"/>
          </w:tcPr>
          <w:p>
            <w:pPr>
              <w:spacing w:after="0"/>
              <w:rPr>
                <w:sz w:val="22"/>
                <w:szCs w:val="22"/>
                <w:color w:val="auto"/>
              </w:rPr>
            </w:pPr>
          </w:p>
        </w:tc>
        <w:tc>
          <w:tcPr>
            <w:tcW w:w="10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80" w:type="dxa"/>
            <w:vAlign w:val="bottom"/>
            <w:shd w:val="clear" w:color="auto" w:fill="EBE6F0"/>
          </w:tcPr>
          <w:p>
            <w:pPr>
              <w:spacing w:after="0"/>
              <w:rPr>
                <w:sz w:val="22"/>
                <w:szCs w:val="22"/>
                <w:color w:val="auto"/>
              </w:rPr>
            </w:pPr>
          </w:p>
        </w:tc>
        <w:tc>
          <w:tcPr>
            <w:tcW w:w="3680" w:type="dxa"/>
            <w:vAlign w:val="bottom"/>
            <w:shd w:val="clear" w:color="auto" w:fill="EBE6F0"/>
          </w:tcPr>
          <w:p>
            <w:pPr>
              <w:spacing w:after="0"/>
              <w:rPr>
                <w:sz w:val="22"/>
                <w:szCs w:val="22"/>
                <w:color w:val="auto"/>
              </w:rPr>
            </w:pPr>
          </w:p>
        </w:tc>
        <w:tc>
          <w:tcPr>
            <w:tcW w:w="260" w:type="dxa"/>
            <w:vAlign w:val="bottom"/>
            <w:tcBorders>
              <w:left w:val="single" w:sz="8" w:color="582C83"/>
            </w:tcBorders>
            <w:shd w:val="clear" w:color="auto" w:fill="EBE6F0"/>
          </w:tcPr>
          <w:p>
            <w:pPr>
              <w:ind w:left="140"/>
              <w:spacing w:after="0"/>
              <w:rPr>
                <w:sz w:val="20"/>
                <w:szCs w:val="20"/>
                <w:color w:val="auto"/>
              </w:rPr>
            </w:pPr>
            <w:r>
              <w:rPr>
                <w:rFonts w:ascii="Arial" w:cs="Arial" w:eastAsia="Arial" w:hAnsi="Arial"/>
                <w:sz w:val="20"/>
                <w:szCs w:val="20"/>
                <w:color w:val="582C83"/>
              </w:rPr>
              <w:t>•</w:t>
            </w:r>
          </w:p>
        </w:tc>
        <w:tc>
          <w:tcPr>
            <w:tcW w:w="3460" w:type="dxa"/>
            <w:vAlign w:val="bottom"/>
            <w:tcBorders>
              <w:right w:val="single" w:sz="8" w:color="582C83"/>
            </w:tcBorders>
            <w:shd w:val="clear" w:color="auto" w:fill="EBE6F0"/>
          </w:tcPr>
          <w:p>
            <w:pPr>
              <w:ind w:left="40"/>
              <w:spacing w:after="0"/>
              <w:rPr>
                <w:sz w:val="20"/>
                <w:szCs w:val="20"/>
                <w:color w:val="auto"/>
              </w:rPr>
            </w:pPr>
            <w:r>
              <w:rPr>
                <w:rFonts w:ascii="Arial" w:cs="Arial" w:eastAsia="Arial" w:hAnsi="Arial"/>
                <w:sz w:val="20"/>
                <w:szCs w:val="20"/>
                <w:b w:val="1"/>
                <w:bCs w:val="1"/>
                <w:color w:val="auto"/>
              </w:rPr>
              <w:t>The Kellogg Company</w:t>
            </w:r>
          </w:p>
        </w:tc>
        <w:tc>
          <w:tcPr>
            <w:tcW w:w="3680" w:type="dxa"/>
            <w:vAlign w:val="bottom"/>
            <w:shd w:val="clear" w:color="auto" w:fill="EBE6F0"/>
          </w:tcPr>
          <w:p>
            <w:pPr>
              <w:spacing w:after="0"/>
              <w:rPr>
                <w:sz w:val="22"/>
                <w:szCs w:val="22"/>
                <w:color w:val="auto"/>
              </w:rPr>
            </w:pPr>
          </w:p>
        </w:tc>
        <w:tc>
          <w:tcPr>
            <w:tcW w:w="10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80" w:type="dxa"/>
            <w:vAlign w:val="bottom"/>
            <w:shd w:val="clear" w:color="auto" w:fill="EBE6F0"/>
          </w:tcPr>
          <w:p>
            <w:pPr>
              <w:spacing w:after="0"/>
              <w:rPr>
                <w:sz w:val="22"/>
                <w:szCs w:val="22"/>
                <w:color w:val="auto"/>
              </w:rPr>
            </w:pPr>
          </w:p>
        </w:tc>
        <w:tc>
          <w:tcPr>
            <w:tcW w:w="3680" w:type="dxa"/>
            <w:vAlign w:val="bottom"/>
            <w:shd w:val="clear" w:color="auto" w:fill="EBE6F0"/>
          </w:tcPr>
          <w:p>
            <w:pPr>
              <w:spacing w:after="0"/>
              <w:rPr>
                <w:sz w:val="22"/>
                <w:szCs w:val="22"/>
                <w:color w:val="auto"/>
              </w:rPr>
            </w:pPr>
          </w:p>
        </w:tc>
        <w:tc>
          <w:tcPr>
            <w:tcW w:w="260" w:type="dxa"/>
            <w:vAlign w:val="bottom"/>
            <w:tcBorders>
              <w:left w:val="single" w:sz="8" w:color="582C83"/>
            </w:tcBorders>
            <w:shd w:val="clear" w:color="auto" w:fill="EBE6F0"/>
          </w:tcPr>
          <w:p>
            <w:pPr>
              <w:ind w:left="140"/>
              <w:spacing w:after="0"/>
              <w:rPr>
                <w:sz w:val="20"/>
                <w:szCs w:val="20"/>
                <w:color w:val="auto"/>
              </w:rPr>
            </w:pPr>
            <w:r>
              <w:rPr>
                <w:rFonts w:ascii="Arial" w:cs="Arial" w:eastAsia="Arial" w:hAnsi="Arial"/>
                <w:sz w:val="20"/>
                <w:szCs w:val="20"/>
                <w:color w:val="582C83"/>
              </w:rPr>
              <w:t>•</w:t>
            </w:r>
          </w:p>
        </w:tc>
        <w:tc>
          <w:tcPr>
            <w:tcW w:w="3460" w:type="dxa"/>
            <w:vAlign w:val="bottom"/>
            <w:tcBorders>
              <w:right w:val="single" w:sz="8" w:color="582C83"/>
            </w:tcBorders>
            <w:shd w:val="clear" w:color="auto" w:fill="EBE6F0"/>
          </w:tcPr>
          <w:p>
            <w:pPr>
              <w:ind w:left="40"/>
              <w:spacing w:after="0"/>
              <w:rPr>
                <w:sz w:val="20"/>
                <w:szCs w:val="20"/>
                <w:color w:val="auto"/>
              </w:rPr>
            </w:pPr>
            <w:r>
              <w:rPr>
                <w:rFonts w:ascii="Arial" w:cs="Arial" w:eastAsia="Arial" w:hAnsi="Arial"/>
                <w:sz w:val="20"/>
                <w:szCs w:val="20"/>
                <w:b w:val="1"/>
                <w:bCs w:val="1"/>
                <w:color w:val="auto"/>
              </w:rPr>
              <w:t>The Kraft Heinz Company</w:t>
            </w:r>
          </w:p>
        </w:tc>
        <w:tc>
          <w:tcPr>
            <w:tcW w:w="3680" w:type="dxa"/>
            <w:vAlign w:val="bottom"/>
            <w:shd w:val="clear" w:color="auto" w:fill="EBE6F0"/>
          </w:tcPr>
          <w:p>
            <w:pPr>
              <w:spacing w:after="0"/>
              <w:rPr>
                <w:sz w:val="22"/>
                <w:szCs w:val="22"/>
                <w:color w:val="auto"/>
              </w:rPr>
            </w:pPr>
          </w:p>
        </w:tc>
        <w:tc>
          <w:tcPr>
            <w:tcW w:w="10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80" w:type="dxa"/>
            <w:vAlign w:val="bottom"/>
            <w:shd w:val="clear" w:color="auto" w:fill="EBE6F0"/>
          </w:tcPr>
          <w:p>
            <w:pPr>
              <w:spacing w:after="0"/>
              <w:rPr>
                <w:sz w:val="22"/>
                <w:szCs w:val="22"/>
                <w:color w:val="auto"/>
              </w:rPr>
            </w:pPr>
          </w:p>
        </w:tc>
        <w:tc>
          <w:tcPr>
            <w:tcW w:w="3680" w:type="dxa"/>
            <w:vAlign w:val="bottom"/>
            <w:shd w:val="clear" w:color="auto" w:fill="EBE6F0"/>
          </w:tcPr>
          <w:p>
            <w:pPr>
              <w:spacing w:after="0"/>
              <w:rPr>
                <w:sz w:val="22"/>
                <w:szCs w:val="22"/>
                <w:color w:val="auto"/>
              </w:rPr>
            </w:pPr>
          </w:p>
        </w:tc>
        <w:tc>
          <w:tcPr>
            <w:tcW w:w="3720" w:type="dxa"/>
            <w:vAlign w:val="bottom"/>
            <w:tcBorders>
              <w:left w:val="single" w:sz="8" w:color="582C83"/>
              <w:right w:val="single" w:sz="8" w:color="582C83"/>
            </w:tcBorders>
            <w:gridSpan w:val="2"/>
            <w:shd w:val="clear" w:color="auto" w:fill="EBE6F0"/>
          </w:tcPr>
          <w:p>
            <w:pPr>
              <w:ind w:left="14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Nestlé S.A.</w:t>
            </w:r>
          </w:p>
        </w:tc>
        <w:tc>
          <w:tcPr>
            <w:tcW w:w="3680" w:type="dxa"/>
            <w:vAlign w:val="bottom"/>
            <w:shd w:val="clear" w:color="auto" w:fill="EBE6F0"/>
          </w:tcPr>
          <w:p>
            <w:pPr>
              <w:spacing w:after="0"/>
              <w:rPr>
                <w:sz w:val="22"/>
                <w:szCs w:val="22"/>
                <w:color w:val="auto"/>
              </w:rPr>
            </w:pPr>
          </w:p>
        </w:tc>
        <w:tc>
          <w:tcPr>
            <w:tcW w:w="10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80" w:type="dxa"/>
            <w:vAlign w:val="bottom"/>
            <w:shd w:val="clear" w:color="auto" w:fill="EBE6F0"/>
          </w:tcPr>
          <w:p>
            <w:pPr>
              <w:spacing w:after="0"/>
              <w:rPr>
                <w:sz w:val="22"/>
                <w:szCs w:val="22"/>
                <w:color w:val="auto"/>
              </w:rPr>
            </w:pPr>
          </w:p>
        </w:tc>
        <w:tc>
          <w:tcPr>
            <w:tcW w:w="3680" w:type="dxa"/>
            <w:vAlign w:val="bottom"/>
            <w:shd w:val="clear" w:color="auto" w:fill="EBE6F0"/>
          </w:tcPr>
          <w:p>
            <w:pPr>
              <w:spacing w:after="0"/>
              <w:rPr>
                <w:sz w:val="22"/>
                <w:szCs w:val="22"/>
                <w:color w:val="auto"/>
              </w:rPr>
            </w:pPr>
          </w:p>
        </w:tc>
        <w:tc>
          <w:tcPr>
            <w:tcW w:w="260" w:type="dxa"/>
            <w:vAlign w:val="bottom"/>
            <w:tcBorders>
              <w:left w:val="single" w:sz="8" w:color="582C83"/>
            </w:tcBorders>
            <w:shd w:val="clear" w:color="auto" w:fill="EBE6F0"/>
          </w:tcPr>
          <w:p>
            <w:pPr>
              <w:ind w:left="140"/>
              <w:spacing w:after="0"/>
              <w:rPr>
                <w:sz w:val="20"/>
                <w:szCs w:val="20"/>
                <w:color w:val="auto"/>
              </w:rPr>
            </w:pPr>
            <w:r>
              <w:rPr>
                <w:rFonts w:ascii="Arial" w:cs="Arial" w:eastAsia="Arial" w:hAnsi="Arial"/>
                <w:sz w:val="20"/>
                <w:szCs w:val="20"/>
                <w:color w:val="582C83"/>
              </w:rPr>
              <w:t>•</w:t>
            </w:r>
          </w:p>
        </w:tc>
        <w:tc>
          <w:tcPr>
            <w:tcW w:w="3460" w:type="dxa"/>
            <w:vAlign w:val="bottom"/>
            <w:tcBorders>
              <w:right w:val="single" w:sz="8" w:color="582C83"/>
            </w:tcBorders>
            <w:shd w:val="clear" w:color="auto" w:fill="EBE6F0"/>
          </w:tcPr>
          <w:p>
            <w:pPr>
              <w:ind w:left="40"/>
              <w:spacing w:after="0"/>
              <w:rPr>
                <w:sz w:val="20"/>
                <w:szCs w:val="20"/>
                <w:color w:val="auto"/>
              </w:rPr>
            </w:pPr>
            <w:r>
              <w:rPr>
                <w:rFonts w:ascii="Arial" w:cs="Arial" w:eastAsia="Arial" w:hAnsi="Arial"/>
                <w:sz w:val="20"/>
                <w:szCs w:val="20"/>
                <w:b w:val="1"/>
                <w:bCs w:val="1"/>
                <w:color w:val="auto"/>
              </w:rPr>
              <w:t>PepsiCo, Inc</w:t>
            </w:r>
            <w:r>
              <w:rPr>
                <w:rFonts w:ascii="Arial" w:cs="Arial" w:eastAsia="Arial" w:hAnsi="Arial"/>
                <w:sz w:val="20"/>
                <w:szCs w:val="20"/>
                <w:color w:val="auto"/>
              </w:rPr>
              <w:t>.</w:t>
            </w:r>
          </w:p>
        </w:tc>
        <w:tc>
          <w:tcPr>
            <w:tcW w:w="3680" w:type="dxa"/>
            <w:vAlign w:val="bottom"/>
            <w:shd w:val="clear" w:color="auto" w:fill="EBE6F0"/>
          </w:tcPr>
          <w:p>
            <w:pPr>
              <w:spacing w:after="0"/>
              <w:rPr>
                <w:sz w:val="22"/>
                <w:szCs w:val="22"/>
                <w:color w:val="auto"/>
              </w:rPr>
            </w:pPr>
          </w:p>
        </w:tc>
        <w:tc>
          <w:tcPr>
            <w:tcW w:w="10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80" w:type="dxa"/>
            <w:vAlign w:val="bottom"/>
            <w:shd w:val="clear" w:color="auto" w:fill="EBE6F0"/>
          </w:tcPr>
          <w:p>
            <w:pPr>
              <w:spacing w:after="0"/>
              <w:rPr>
                <w:sz w:val="22"/>
                <w:szCs w:val="22"/>
                <w:color w:val="auto"/>
              </w:rPr>
            </w:pPr>
          </w:p>
        </w:tc>
        <w:tc>
          <w:tcPr>
            <w:tcW w:w="3680" w:type="dxa"/>
            <w:vAlign w:val="bottom"/>
            <w:shd w:val="clear" w:color="auto" w:fill="EBE6F0"/>
          </w:tcPr>
          <w:p>
            <w:pPr>
              <w:spacing w:after="0"/>
              <w:rPr>
                <w:sz w:val="22"/>
                <w:szCs w:val="22"/>
                <w:color w:val="auto"/>
              </w:rPr>
            </w:pPr>
          </w:p>
        </w:tc>
        <w:tc>
          <w:tcPr>
            <w:tcW w:w="260" w:type="dxa"/>
            <w:vAlign w:val="bottom"/>
            <w:tcBorders>
              <w:left w:val="single" w:sz="8" w:color="582C83"/>
            </w:tcBorders>
            <w:shd w:val="clear" w:color="auto" w:fill="EBE6F0"/>
          </w:tcPr>
          <w:p>
            <w:pPr>
              <w:ind w:left="140"/>
              <w:spacing w:after="0"/>
              <w:rPr>
                <w:sz w:val="20"/>
                <w:szCs w:val="20"/>
                <w:color w:val="auto"/>
              </w:rPr>
            </w:pPr>
            <w:r>
              <w:rPr>
                <w:rFonts w:ascii="Arial" w:cs="Arial" w:eastAsia="Arial" w:hAnsi="Arial"/>
                <w:sz w:val="20"/>
                <w:szCs w:val="20"/>
                <w:color w:val="582C83"/>
              </w:rPr>
              <w:t>•</w:t>
            </w:r>
          </w:p>
        </w:tc>
        <w:tc>
          <w:tcPr>
            <w:tcW w:w="3460" w:type="dxa"/>
            <w:vAlign w:val="bottom"/>
            <w:tcBorders>
              <w:right w:val="single" w:sz="8" w:color="582C83"/>
            </w:tcBorders>
            <w:shd w:val="clear" w:color="auto" w:fill="EBE6F0"/>
          </w:tcPr>
          <w:p>
            <w:pPr>
              <w:ind w:left="40"/>
              <w:spacing w:after="0"/>
              <w:rPr>
                <w:sz w:val="20"/>
                <w:szCs w:val="20"/>
                <w:color w:val="auto"/>
              </w:rPr>
            </w:pPr>
            <w:r>
              <w:rPr>
                <w:rFonts w:ascii="Arial" w:cs="Arial" w:eastAsia="Arial" w:hAnsi="Arial"/>
                <w:sz w:val="20"/>
                <w:szCs w:val="20"/>
                <w:b w:val="1"/>
                <w:bCs w:val="1"/>
                <w:color w:val="auto"/>
              </w:rPr>
              <w:t>The Procter &amp; Gamble Company</w:t>
            </w:r>
          </w:p>
        </w:tc>
        <w:tc>
          <w:tcPr>
            <w:tcW w:w="3680" w:type="dxa"/>
            <w:vAlign w:val="bottom"/>
            <w:shd w:val="clear" w:color="auto" w:fill="EBE6F0"/>
          </w:tcPr>
          <w:p>
            <w:pPr>
              <w:spacing w:after="0"/>
              <w:rPr>
                <w:sz w:val="22"/>
                <w:szCs w:val="22"/>
                <w:color w:val="auto"/>
              </w:rPr>
            </w:pPr>
          </w:p>
        </w:tc>
        <w:tc>
          <w:tcPr>
            <w:tcW w:w="10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80" w:type="dxa"/>
            <w:vAlign w:val="bottom"/>
            <w:tcBorders>
              <w:bottom w:val="single" w:sz="8" w:color="EBE6F0"/>
            </w:tcBorders>
            <w:shd w:val="clear" w:color="auto" w:fill="EBE6F0"/>
          </w:tcPr>
          <w:p>
            <w:pPr>
              <w:spacing w:after="0"/>
              <w:rPr>
                <w:sz w:val="24"/>
                <w:szCs w:val="24"/>
                <w:color w:val="auto"/>
              </w:rPr>
            </w:pPr>
          </w:p>
        </w:tc>
        <w:tc>
          <w:tcPr>
            <w:tcW w:w="3680" w:type="dxa"/>
            <w:vAlign w:val="bottom"/>
            <w:tcBorders>
              <w:bottom w:val="single" w:sz="8" w:color="EBE6F0"/>
            </w:tcBorders>
            <w:shd w:val="clear" w:color="auto" w:fill="EBE6F0"/>
          </w:tcPr>
          <w:p>
            <w:pPr>
              <w:spacing w:after="0"/>
              <w:rPr>
                <w:sz w:val="24"/>
                <w:szCs w:val="24"/>
                <w:color w:val="auto"/>
              </w:rPr>
            </w:pPr>
          </w:p>
        </w:tc>
        <w:tc>
          <w:tcPr>
            <w:tcW w:w="3720" w:type="dxa"/>
            <w:vAlign w:val="bottom"/>
            <w:tcBorders>
              <w:left w:val="single" w:sz="8" w:color="582C83"/>
              <w:bottom w:val="single" w:sz="8" w:color="EBE6F0"/>
              <w:right w:val="single" w:sz="8" w:color="582C83"/>
            </w:tcBorders>
            <w:gridSpan w:val="2"/>
            <w:shd w:val="clear" w:color="auto" w:fill="EBE6F0"/>
          </w:tcPr>
          <w:p>
            <w:pPr>
              <w:ind w:left="14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Unilever PLC</w:t>
            </w:r>
          </w:p>
        </w:tc>
        <w:tc>
          <w:tcPr>
            <w:tcW w:w="3680" w:type="dxa"/>
            <w:vAlign w:val="bottom"/>
            <w:tcBorders>
              <w:bottom w:val="single" w:sz="8" w:color="EBE6F0"/>
            </w:tcBorders>
            <w:shd w:val="clear" w:color="auto" w:fill="EBE6F0"/>
          </w:tcPr>
          <w:p>
            <w:pPr>
              <w:spacing w:after="0"/>
              <w:rPr>
                <w:sz w:val="24"/>
                <w:szCs w:val="24"/>
                <w:color w:val="auto"/>
              </w:rPr>
            </w:pPr>
          </w:p>
        </w:tc>
        <w:tc>
          <w:tcPr>
            <w:tcW w:w="10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 w:type="dxa"/>
            <w:vAlign w:val="bottom"/>
            <w:tcBorders>
              <w:top w:val="single" w:sz="8" w:color="EBE6F0"/>
            </w:tcBorders>
            <w:shd w:val="clear" w:color="auto" w:fill="EBE6F0"/>
          </w:tcPr>
          <w:p>
            <w:pPr>
              <w:spacing w:after="0"/>
              <w:rPr>
                <w:sz w:val="22"/>
                <w:szCs w:val="22"/>
                <w:color w:val="auto"/>
              </w:rPr>
            </w:pPr>
          </w:p>
        </w:tc>
        <w:tc>
          <w:tcPr>
            <w:tcW w:w="11080" w:type="dxa"/>
            <w:vAlign w:val="bottom"/>
            <w:tcBorders>
              <w:top w:val="single" w:sz="8" w:color="582C83"/>
            </w:tcBorders>
            <w:gridSpan w:val="4"/>
            <w:shd w:val="clear" w:color="auto" w:fill="EBE6F0"/>
          </w:tcPr>
          <w:p>
            <w:pPr>
              <w:spacing w:after="0"/>
              <w:rPr>
                <w:sz w:val="20"/>
                <w:szCs w:val="20"/>
                <w:color w:val="auto"/>
              </w:rPr>
            </w:pPr>
            <w:r>
              <w:rPr>
                <w:rFonts w:ascii="Arial" w:cs="Arial" w:eastAsia="Arial" w:hAnsi="Arial"/>
                <w:sz w:val="15"/>
                <w:szCs w:val="15"/>
                <w:color w:val="auto"/>
              </w:rPr>
              <w:t>(1)  Companies indicated in bold are represented in both the Compensation Survey and Performance Peer Groups.</w:t>
            </w:r>
          </w:p>
        </w:tc>
        <w:tc>
          <w:tcPr>
            <w:tcW w:w="100" w:type="dxa"/>
            <w:vAlign w:val="bottom"/>
            <w:tcBorders>
              <w:top w:val="single" w:sz="8" w:color="EBE6F0"/>
            </w:tcBorders>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80" w:type="dxa"/>
            <w:vAlign w:val="bottom"/>
            <w:shd w:val="clear" w:color="auto" w:fill="EBE6F0"/>
          </w:tcPr>
          <w:p>
            <w:pPr>
              <w:spacing w:after="0"/>
              <w:rPr>
                <w:sz w:val="3"/>
                <w:szCs w:val="3"/>
                <w:color w:val="auto"/>
              </w:rPr>
            </w:pPr>
          </w:p>
        </w:tc>
        <w:tc>
          <w:tcPr>
            <w:tcW w:w="3680" w:type="dxa"/>
            <w:vAlign w:val="bottom"/>
            <w:shd w:val="clear" w:color="auto" w:fill="EBE6F0"/>
          </w:tcPr>
          <w:p>
            <w:pPr>
              <w:spacing w:after="0"/>
              <w:rPr>
                <w:sz w:val="3"/>
                <w:szCs w:val="3"/>
                <w:color w:val="auto"/>
              </w:rPr>
            </w:pPr>
          </w:p>
        </w:tc>
        <w:tc>
          <w:tcPr>
            <w:tcW w:w="260" w:type="dxa"/>
            <w:vAlign w:val="bottom"/>
            <w:tcBorders>
              <w:left w:val="single" w:sz="8" w:color="EBE6F0"/>
            </w:tcBorders>
            <w:shd w:val="clear" w:color="auto" w:fill="EBE6F0"/>
          </w:tcPr>
          <w:p>
            <w:pPr>
              <w:spacing w:after="0"/>
              <w:rPr>
                <w:sz w:val="3"/>
                <w:szCs w:val="3"/>
                <w:color w:val="auto"/>
              </w:rPr>
            </w:pPr>
          </w:p>
        </w:tc>
        <w:tc>
          <w:tcPr>
            <w:tcW w:w="3460" w:type="dxa"/>
            <w:vAlign w:val="bottom"/>
            <w:tcBorders>
              <w:right w:val="single" w:sz="8" w:color="EBE6F0"/>
            </w:tcBorders>
            <w:shd w:val="clear" w:color="auto" w:fill="EBE6F0"/>
          </w:tcPr>
          <w:p>
            <w:pPr>
              <w:spacing w:after="0"/>
              <w:rPr>
                <w:sz w:val="3"/>
                <w:szCs w:val="3"/>
                <w:color w:val="auto"/>
              </w:rPr>
            </w:pPr>
          </w:p>
        </w:tc>
        <w:tc>
          <w:tcPr>
            <w:tcW w:w="3680" w:type="dxa"/>
            <w:vAlign w:val="bottom"/>
            <w:shd w:val="clear" w:color="auto" w:fill="EBE6F0"/>
          </w:tcPr>
          <w:p>
            <w:pPr>
              <w:spacing w:after="0"/>
              <w:rPr>
                <w:sz w:val="3"/>
                <w:szCs w:val="3"/>
                <w:color w:val="auto"/>
              </w:rPr>
            </w:pPr>
          </w:p>
        </w:tc>
        <w:tc>
          <w:tcPr>
            <w:tcW w:w="100" w:type="dxa"/>
            <w:vAlign w:val="bottom"/>
            <w:shd w:val="clear" w:color="auto" w:fill="EBE6F0"/>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DECISION-MAKING PROCESS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the People and Compensation Committee</w:t>
      </w:r>
    </w:p>
    <w:p>
      <w:pPr>
        <w:spacing w:after="0" w:line="56" w:lineRule="exact"/>
        <w:rPr>
          <w:sz w:val="20"/>
          <w:szCs w:val="20"/>
          <w:color w:val="auto"/>
        </w:rPr>
      </w:pPr>
    </w:p>
    <w:p>
      <w:pPr>
        <w:ind w:right="100"/>
        <w:spacing w:after="0" w:line="239" w:lineRule="auto"/>
        <w:rPr>
          <w:sz w:val="20"/>
          <w:szCs w:val="20"/>
          <w:color w:val="auto"/>
        </w:rPr>
      </w:pPr>
      <w:r>
        <w:rPr>
          <w:rFonts w:ascii="Arial" w:cs="Arial" w:eastAsia="Arial" w:hAnsi="Arial"/>
          <w:sz w:val="20"/>
          <w:szCs w:val="20"/>
          <w:color w:val="auto"/>
        </w:rPr>
        <w:t>The approach used to determine both CEO and NEO compensation is the same approach used in determining compensation for the broader employee population, including pay competitiveness and the use of performance-based metrics that reward exceptional financial performance. When determining CEO and NEO pay, the People and Compensation Committee also considers other factors that it regularly reviews, including shareholder feedback, the advisory vote on compensation, global pay fairness, performance and progress against the strategic SPIs. The People and Compensation Committee understands that CEO pay should be reasonably relative to overall employee pay and is mindful of the pay grades and salary ranges of our employees when making compensation decisions.</w:t>
      </w:r>
    </w:p>
    <w:p>
      <w:pPr>
        <w:spacing w:after="0" w:line="135"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The People and Compensation Committee reviews and discusses the CEO’s self-evaluation of his performance with the Board and makes preliminary recommendations about base salary and long-term incentive compensation based on a consideration of all the factors mentioned above. The People and Compensation Committee then discusses the compensation recommendations with the Board before approving the final compensation decisions. The CEO is not present during People and Compensation Committee voting or deliberations regarding his own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43115"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2" w:lineRule="exact"/>
        <w:rPr>
          <w:sz w:val="20"/>
          <w:szCs w:val="20"/>
          <w:color w:val="auto"/>
        </w:rPr>
      </w:pPr>
    </w:p>
    <w:p>
      <w:pPr>
        <w:ind w:left="9060"/>
        <w:spacing w:after="0"/>
        <w:rPr>
          <w:sz w:val="20"/>
          <w:szCs w:val="20"/>
          <w:color w:val="auto"/>
        </w:rPr>
      </w:pPr>
      <w:r>
        <w:rPr>
          <w:rFonts w:ascii="Arial" w:cs="Arial" w:eastAsia="Arial" w:hAnsi="Arial"/>
          <w:sz w:val="15"/>
          <w:szCs w:val="15"/>
          <w:b w:val="1"/>
          <w:bCs w:val="1"/>
          <w:color w:val="58358F"/>
        </w:rPr>
        <w:t>2023 PROXY STATEMENT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91" w:name="page92"/>
    <w:bookmarkEnd w:id="91"/>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Role of the Compensation Consultant</w:t>
      </w:r>
    </w:p>
    <w:p>
      <w:pPr>
        <w:spacing w:after="0" w:line="56" w:lineRule="exact"/>
        <w:rPr>
          <w:sz w:val="20"/>
          <w:szCs w:val="20"/>
          <w:color w:val="auto"/>
        </w:rPr>
      </w:pPr>
    </w:p>
    <w:p>
      <w:pPr>
        <w:ind w:left="1" w:right="60"/>
        <w:spacing w:after="0" w:line="239" w:lineRule="auto"/>
        <w:rPr>
          <w:sz w:val="20"/>
          <w:szCs w:val="20"/>
          <w:color w:val="auto"/>
        </w:rPr>
      </w:pPr>
      <w:r>
        <w:rPr>
          <w:rFonts w:ascii="Arial" w:cs="Arial" w:eastAsia="Arial" w:hAnsi="Arial"/>
          <w:sz w:val="20"/>
          <w:szCs w:val="20"/>
          <w:color w:val="auto"/>
        </w:rPr>
        <w:t>The People and Compensation Committee retains an independent compensation consultant to assist in evaluating executive compensation programs and advise the People and Compensation Committee regarding the amount and form of executive and director compensation and pay-for-performance alignment. Conferring with a consultant provides additional assurance that our executive and director compensation programs are reasonable, competitive and consistent with our objectives. The People and Compensation Committee directly engages the consultant under an engagement letter that the People and Compensation Committee reviews at least annually. Since August 2019, the People and Compensation Committee has engaged Semler Brossy as its independent compensation consultant.</w:t>
      </w:r>
    </w:p>
    <w:p>
      <w:pPr>
        <w:spacing w:after="0" w:line="135" w:lineRule="exact"/>
        <w:rPr>
          <w:sz w:val="20"/>
          <w:szCs w:val="20"/>
          <w:color w:val="auto"/>
        </w:rPr>
      </w:pPr>
    </w:p>
    <w:p>
      <w:pPr>
        <w:ind w:left="1"/>
        <w:spacing w:after="0"/>
        <w:rPr>
          <w:sz w:val="20"/>
          <w:szCs w:val="20"/>
          <w:color w:val="auto"/>
        </w:rPr>
      </w:pPr>
      <w:r>
        <w:rPr>
          <w:rFonts w:ascii="Arial" w:cs="Arial" w:eastAsia="Arial" w:hAnsi="Arial"/>
          <w:sz w:val="20"/>
          <w:szCs w:val="20"/>
          <w:color w:val="auto"/>
        </w:rPr>
        <w:t>During 2022, Semler Brossy provided the People and Compensation Committee advice and services, including:</w:t>
      </w:r>
    </w:p>
    <w:p>
      <w:pPr>
        <w:spacing w:after="0" w:line="93" w:lineRule="exact"/>
        <w:rPr>
          <w:sz w:val="20"/>
          <w:szCs w:val="20"/>
          <w:color w:val="auto"/>
        </w:rPr>
      </w:pPr>
    </w:p>
    <w:p>
      <w:pPr>
        <w:ind w:left="161" w:right="880" w:hanging="161"/>
        <w:spacing w:after="0" w:line="268" w:lineRule="auto"/>
        <w:tabs>
          <w:tab w:leader="none" w:pos="161" w:val="left"/>
        </w:tabs>
        <w:numPr>
          <w:ilvl w:val="0"/>
          <w:numId w:val="77"/>
        </w:numPr>
        <w:rPr>
          <w:rFonts w:ascii="Arial" w:cs="Arial" w:eastAsia="Arial" w:hAnsi="Arial"/>
          <w:sz w:val="20"/>
          <w:szCs w:val="20"/>
          <w:color w:val="582C83"/>
        </w:rPr>
      </w:pPr>
      <w:r>
        <w:rPr>
          <w:rFonts w:ascii="Arial" w:cs="Arial" w:eastAsia="Arial" w:hAnsi="Arial"/>
          <w:sz w:val="20"/>
          <w:szCs w:val="20"/>
          <w:color w:val="auto"/>
        </w:rPr>
        <w:t>Regularly participating in People and Compensation Committee meetings, including executive sessions that exclude management;</w:t>
      </w:r>
    </w:p>
    <w:p>
      <w:pPr>
        <w:spacing w:after="0" w:line="32" w:lineRule="exact"/>
        <w:rPr>
          <w:rFonts w:ascii="Arial" w:cs="Arial" w:eastAsia="Arial" w:hAnsi="Arial"/>
          <w:sz w:val="20"/>
          <w:szCs w:val="20"/>
          <w:color w:val="582C83"/>
        </w:rPr>
      </w:pPr>
    </w:p>
    <w:p>
      <w:pPr>
        <w:ind w:left="161" w:right="900" w:hanging="161"/>
        <w:spacing w:after="0" w:line="268" w:lineRule="auto"/>
        <w:tabs>
          <w:tab w:leader="none" w:pos="161" w:val="left"/>
        </w:tabs>
        <w:numPr>
          <w:ilvl w:val="0"/>
          <w:numId w:val="77"/>
        </w:numPr>
        <w:rPr>
          <w:rFonts w:ascii="Arial" w:cs="Arial" w:eastAsia="Arial" w:hAnsi="Arial"/>
          <w:sz w:val="20"/>
          <w:szCs w:val="20"/>
          <w:color w:val="582C83"/>
        </w:rPr>
      </w:pPr>
      <w:r>
        <w:rPr>
          <w:rFonts w:ascii="Arial" w:cs="Arial" w:eastAsia="Arial" w:hAnsi="Arial"/>
          <w:sz w:val="20"/>
          <w:szCs w:val="20"/>
          <w:color w:val="auto"/>
        </w:rPr>
        <w:t>Consulting with the People and Compensation Committee Chair and being available to consult with other committee members between meetings;</w:t>
      </w:r>
    </w:p>
    <w:p>
      <w:pPr>
        <w:spacing w:after="0" w:line="32" w:lineRule="exact"/>
        <w:rPr>
          <w:rFonts w:ascii="Arial" w:cs="Arial" w:eastAsia="Arial" w:hAnsi="Arial"/>
          <w:sz w:val="20"/>
          <w:szCs w:val="20"/>
          <w:color w:val="582C83"/>
        </w:rPr>
      </w:pPr>
    </w:p>
    <w:p>
      <w:pPr>
        <w:ind w:left="161" w:hanging="161"/>
        <w:spacing w:after="0"/>
        <w:tabs>
          <w:tab w:leader="none" w:pos="161" w:val="left"/>
        </w:tabs>
        <w:numPr>
          <w:ilvl w:val="0"/>
          <w:numId w:val="77"/>
        </w:numPr>
        <w:rPr>
          <w:rFonts w:ascii="Arial" w:cs="Arial" w:eastAsia="Arial" w:hAnsi="Arial"/>
          <w:sz w:val="20"/>
          <w:szCs w:val="20"/>
          <w:color w:val="582C83"/>
        </w:rPr>
      </w:pPr>
      <w:r>
        <w:rPr>
          <w:rFonts w:ascii="Arial" w:cs="Arial" w:eastAsia="Arial" w:hAnsi="Arial"/>
          <w:sz w:val="20"/>
          <w:szCs w:val="20"/>
          <w:color w:val="auto"/>
        </w:rPr>
        <w:t>Advising on the composition of the Compensation Survey Peer Group and the Performance Peer Group;</w:t>
      </w:r>
    </w:p>
    <w:p>
      <w:pPr>
        <w:spacing w:after="0" w:line="92" w:lineRule="exact"/>
        <w:rPr>
          <w:rFonts w:ascii="Arial" w:cs="Arial" w:eastAsia="Arial" w:hAnsi="Arial"/>
          <w:sz w:val="20"/>
          <w:szCs w:val="20"/>
          <w:color w:val="582C83"/>
        </w:rPr>
      </w:pPr>
    </w:p>
    <w:p>
      <w:pPr>
        <w:ind w:left="161" w:right="340" w:hanging="161"/>
        <w:spacing w:after="0" w:line="268" w:lineRule="auto"/>
        <w:tabs>
          <w:tab w:leader="none" w:pos="161" w:val="left"/>
        </w:tabs>
        <w:numPr>
          <w:ilvl w:val="0"/>
          <w:numId w:val="77"/>
        </w:numPr>
        <w:rPr>
          <w:rFonts w:ascii="Arial" w:cs="Arial" w:eastAsia="Arial" w:hAnsi="Arial"/>
          <w:sz w:val="20"/>
          <w:szCs w:val="20"/>
          <w:color w:val="582C83"/>
        </w:rPr>
      </w:pPr>
      <w:r>
        <w:rPr>
          <w:rFonts w:ascii="Arial" w:cs="Arial" w:eastAsia="Arial" w:hAnsi="Arial"/>
          <w:sz w:val="20"/>
          <w:szCs w:val="20"/>
          <w:color w:val="auto"/>
        </w:rPr>
        <w:t>Providing competitive peer group compensation data for executive positions and evaluating how the compensation we pay the NEOs relates both to the Company’s performance and to how peers compensate their executives;</w:t>
      </w:r>
    </w:p>
    <w:p>
      <w:pPr>
        <w:spacing w:after="0" w:line="32" w:lineRule="exact"/>
        <w:rPr>
          <w:rFonts w:ascii="Arial" w:cs="Arial" w:eastAsia="Arial" w:hAnsi="Arial"/>
          <w:sz w:val="20"/>
          <w:szCs w:val="20"/>
          <w:color w:val="582C83"/>
        </w:rPr>
      </w:pPr>
    </w:p>
    <w:p>
      <w:pPr>
        <w:ind w:left="161" w:right="280" w:hanging="161"/>
        <w:spacing w:after="0" w:line="268" w:lineRule="auto"/>
        <w:tabs>
          <w:tab w:leader="none" w:pos="161" w:val="left"/>
        </w:tabs>
        <w:numPr>
          <w:ilvl w:val="0"/>
          <w:numId w:val="77"/>
        </w:numPr>
        <w:rPr>
          <w:rFonts w:ascii="Arial" w:cs="Arial" w:eastAsia="Arial" w:hAnsi="Arial"/>
          <w:sz w:val="20"/>
          <w:szCs w:val="20"/>
          <w:color w:val="582C83"/>
        </w:rPr>
      </w:pPr>
      <w:r>
        <w:rPr>
          <w:rFonts w:ascii="Arial" w:cs="Arial" w:eastAsia="Arial" w:hAnsi="Arial"/>
          <w:sz w:val="20"/>
          <w:szCs w:val="20"/>
          <w:color w:val="auto"/>
        </w:rPr>
        <w:t>Analyzing best practices and providing advice about design of the annual and long-term incentive plans, including selecting performance metrics and ranges;</w:t>
      </w:r>
    </w:p>
    <w:p>
      <w:pPr>
        <w:spacing w:after="0" w:line="32" w:lineRule="exact"/>
        <w:rPr>
          <w:rFonts w:ascii="Arial" w:cs="Arial" w:eastAsia="Arial" w:hAnsi="Arial"/>
          <w:sz w:val="20"/>
          <w:szCs w:val="20"/>
          <w:color w:val="582C83"/>
        </w:rPr>
      </w:pPr>
    </w:p>
    <w:p>
      <w:pPr>
        <w:ind w:left="161" w:hanging="161"/>
        <w:spacing w:after="0"/>
        <w:tabs>
          <w:tab w:leader="none" w:pos="161" w:val="left"/>
        </w:tabs>
        <w:numPr>
          <w:ilvl w:val="0"/>
          <w:numId w:val="77"/>
        </w:numPr>
        <w:rPr>
          <w:rFonts w:ascii="Arial" w:cs="Arial" w:eastAsia="Arial" w:hAnsi="Arial"/>
          <w:sz w:val="20"/>
          <w:szCs w:val="20"/>
          <w:color w:val="582C83"/>
        </w:rPr>
      </w:pPr>
      <w:r>
        <w:rPr>
          <w:rFonts w:ascii="Arial" w:cs="Arial" w:eastAsia="Arial" w:hAnsi="Arial"/>
          <w:sz w:val="20"/>
          <w:szCs w:val="20"/>
          <w:color w:val="auto"/>
        </w:rPr>
        <w:t>Updating the People and Compensation Committee on executive compensation trends, issues and regulatory developments;</w:t>
      </w:r>
    </w:p>
    <w:p>
      <w:pPr>
        <w:spacing w:after="0" w:line="92" w:lineRule="exact"/>
        <w:rPr>
          <w:rFonts w:ascii="Arial" w:cs="Arial" w:eastAsia="Arial" w:hAnsi="Arial"/>
          <w:sz w:val="20"/>
          <w:szCs w:val="20"/>
          <w:color w:val="582C83"/>
        </w:rPr>
      </w:pPr>
    </w:p>
    <w:p>
      <w:pPr>
        <w:ind w:left="161" w:right="40" w:hanging="161"/>
        <w:spacing w:after="0" w:line="268" w:lineRule="auto"/>
        <w:tabs>
          <w:tab w:leader="none" w:pos="161" w:val="left"/>
        </w:tabs>
        <w:numPr>
          <w:ilvl w:val="0"/>
          <w:numId w:val="77"/>
        </w:numPr>
        <w:rPr>
          <w:rFonts w:ascii="Arial" w:cs="Arial" w:eastAsia="Arial" w:hAnsi="Arial"/>
          <w:sz w:val="20"/>
          <w:szCs w:val="20"/>
          <w:color w:val="582C83"/>
        </w:rPr>
      </w:pPr>
      <w:r>
        <w:rPr>
          <w:rFonts w:ascii="Arial" w:cs="Arial" w:eastAsia="Arial" w:hAnsi="Arial"/>
          <w:sz w:val="20"/>
          <w:szCs w:val="20"/>
          <w:color w:val="auto"/>
        </w:rPr>
        <w:t>Advising on our proxy statement and CD&amp;A and supporting our efforts in shareholder outreach on the compensation program; and</w:t>
      </w:r>
    </w:p>
    <w:p>
      <w:pPr>
        <w:spacing w:after="0" w:line="32" w:lineRule="exact"/>
        <w:rPr>
          <w:rFonts w:ascii="Arial" w:cs="Arial" w:eastAsia="Arial" w:hAnsi="Arial"/>
          <w:sz w:val="20"/>
          <w:szCs w:val="20"/>
          <w:color w:val="582C83"/>
        </w:rPr>
      </w:pPr>
    </w:p>
    <w:p>
      <w:pPr>
        <w:ind w:left="161" w:hanging="161"/>
        <w:spacing w:after="0"/>
        <w:tabs>
          <w:tab w:leader="none" w:pos="161" w:val="left"/>
        </w:tabs>
        <w:numPr>
          <w:ilvl w:val="0"/>
          <w:numId w:val="77"/>
        </w:numPr>
        <w:rPr>
          <w:rFonts w:ascii="Arial" w:cs="Arial" w:eastAsia="Arial" w:hAnsi="Arial"/>
          <w:sz w:val="20"/>
          <w:szCs w:val="20"/>
          <w:color w:val="582C83"/>
        </w:rPr>
      </w:pPr>
      <w:r>
        <w:rPr>
          <w:rFonts w:ascii="Arial" w:cs="Arial" w:eastAsia="Arial" w:hAnsi="Arial"/>
          <w:sz w:val="20"/>
          <w:szCs w:val="20"/>
          <w:color w:val="auto"/>
        </w:rPr>
        <w:t>Benchmarking, assessing and recommending non-employee director compensation.</w:t>
      </w:r>
    </w:p>
    <w:p>
      <w:pPr>
        <w:spacing w:after="0" w:line="167" w:lineRule="exact"/>
        <w:rPr>
          <w:sz w:val="20"/>
          <w:szCs w:val="20"/>
          <w:color w:val="auto"/>
        </w:rPr>
      </w:pPr>
    </w:p>
    <w:p>
      <w:pPr>
        <w:ind w:left="1" w:right="300"/>
        <w:spacing w:after="0" w:line="295" w:lineRule="auto"/>
        <w:rPr>
          <w:sz w:val="20"/>
          <w:szCs w:val="20"/>
          <w:color w:val="auto"/>
        </w:rPr>
      </w:pPr>
      <w:r>
        <w:rPr>
          <w:rFonts w:ascii="Arial" w:cs="Arial" w:eastAsia="Arial" w:hAnsi="Arial"/>
          <w:sz w:val="19"/>
          <w:szCs w:val="19"/>
          <w:color w:val="auto"/>
        </w:rPr>
        <w:t>For the year ended December 31, 2022, Semler Brossy provided no services to Mondelēz International other than consulting services to the People and Compensation Committee regarding executive and non-employee director compensation.</w:t>
      </w:r>
    </w:p>
    <w:p>
      <w:pPr>
        <w:spacing w:after="0" w:line="84" w:lineRule="exact"/>
        <w:rPr>
          <w:sz w:val="20"/>
          <w:szCs w:val="20"/>
          <w:color w:val="auto"/>
        </w:rPr>
      </w:pPr>
    </w:p>
    <w:p>
      <w:pPr>
        <w:ind w:left="1" w:right="200"/>
        <w:spacing w:after="0" w:line="244" w:lineRule="auto"/>
        <w:rPr>
          <w:sz w:val="20"/>
          <w:szCs w:val="20"/>
          <w:color w:val="auto"/>
        </w:rPr>
      </w:pPr>
      <w:r>
        <w:rPr>
          <w:rFonts w:ascii="Arial" w:cs="Arial" w:eastAsia="Arial" w:hAnsi="Arial"/>
          <w:sz w:val="20"/>
          <w:szCs w:val="20"/>
          <w:color w:val="auto"/>
        </w:rPr>
        <w:t>At least annually, the People and Compensation Committee reviews the current engagements and the objectivity and independence of the advice that Semler Brossy provides on executive and non-employee director compensation. In 2022, the People and Compensation Committee considered the six specific independence factors adopted by the SEC and Nasdaq and determined that Semler Brossy is independent and Semler Brossy’s work did not raise any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43115"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92" w:name="page93"/>
    <w:bookmarkEnd w:id="92"/>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the Chief Executive Officer</w:t>
      </w:r>
    </w:p>
    <w:p>
      <w:pPr>
        <w:spacing w:after="0" w:line="56"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Each year the CEO makes compensation recommendations to the People and Compensation Committee for base salary, annual incentive and long-term incentive compensation for the NEOs other than himself, taking into account pay competitiveness and both individual and Company performance. The People and Compensation Committee reviews and discusses these recommendations with the CEO but the People and Compensation Committee retains full discretion over the compensation of these employees. We consider individual performance in the base salary and long-term incentive recommendations made by the CEO. Based on each NEO’s contributions in specific areas, such as achievement of key strategic initiatives, operational efficiency, enterprise leadership, quality of financial results, leadership in a time of crisis and talent management, the CEO also provides the People and Compensation Committee with individual performance assessments and rating recommendations. The People and Compensation Committee considers the CEO’s analysis and direct knowledge of each NEO’s performance and contributions when determining the NEOs’ individual performance ratings and making final compensation decisions.</w:t>
      </w:r>
    </w:p>
    <w:p>
      <w:pPr>
        <w:spacing w:after="0" w:line="134" w:lineRule="exact"/>
        <w:rPr>
          <w:sz w:val="20"/>
          <w:szCs w:val="20"/>
          <w:color w:val="auto"/>
        </w:rPr>
      </w:pPr>
    </w:p>
    <w:p>
      <w:pPr>
        <w:ind w:right="1860"/>
        <w:spacing w:after="0" w:line="356" w:lineRule="auto"/>
        <w:rPr>
          <w:sz w:val="20"/>
          <w:szCs w:val="20"/>
          <w:color w:val="auto"/>
        </w:rPr>
      </w:pPr>
      <w:r>
        <w:rPr>
          <w:rFonts w:ascii="Arial" w:cs="Arial" w:eastAsia="Arial" w:hAnsi="Arial"/>
          <w:sz w:val="20"/>
          <w:szCs w:val="20"/>
          <w:color w:val="auto"/>
        </w:rPr>
        <w:t xml:space="preserve">The CEO does not make recommendations or participate in deliberations regarding his own compensation. </w:t>
      </w:r>
      <w:r>
        <w:rPr>
          <w:rFonts w:ascii="Arial" w:cs="Arial" w:eastAsia="Arial" w:hAnsi="Arial"/>
          <w:sz w:val="20"/>
          <w:szCs w:val="20"/>
          <w:b w:val="1"/>
          <w:bCs w:val="1"/>
          <w:color w:val="auto"/>
        </w:rPr>
        <w:t>People and Compensation Committee Resources</w:t>
      </w:r>
    </w:p>
    <w:p>
      <w:pPr>
        <w:spacing w:after="0" w:line="1"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The People and Compensation Committee uses several resources to help with decision-making, including competitive market data and “tally sheets” that quantify each compensation element, as well as accumulated outstanding long-term equity awards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7143115"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3" w:name="page94"/>
    <w:bookmarkEnd w:id="93"/>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Compensation Governance</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2C83"/>
        </w:rPr>
        <w:t>HOW THE PEOPLE AND COMPENSATION COMMITTEE MANAGES COMPENSATION-RELATED RISK</w:t>
      </w:r>
    </w:p>
    <w:p>
      <w:pPr>
        <w:spacing w:after="0" w:line="94" w:lineRule="exact"/>
        <w:rPr>
          <w:sz w:val="20"/>
          <w:szCs w:val="20"/>
          <w:color w:val="auto"/>
        </w:rPr>
      </w:pPr>
    </w:p>
    <w:p>
      <w:pPr>
        <w:ind w:left="20" w:right="60"/>
        <w:spacing w:after="0" w:line="239" w:lineRule="auto"/>
        <w:rPr>
          <w:sz w:val="20"/>
          <w:szCs w:val="20"/>
          <w:color w:val="auto"/>
        </w:rPr>
      </w:pPr>
      <w:r>
        <w:rPr>
          <w:rFonts w:ascii="Arial" w:cs="Arial" w:eastAsia="Arial" w:hAnsi="Arial"/>
          <w:sz w:val="20"/>
          <w:szCs w:val="20"/>
          <w:color w:val="auto"/>
        </w:rPr>
        <w:t>As it does each year, in 2022 the People and Compensation Committee evaluated whether our compensation designs, policies and practices operate to discourage our executive officers and other employees from taking unnecessary or excessive risks. As described above, we design our compensation to incentivize executives and other employees to achieve the Company’s financial and strategic goals as well as individual performance goals that promote long-term shareholder returns. Our compensation design discourages our executives and other employees from taking excessive risks for short-term benefits that may harm the Company and our shareholders in the long term. The compensation program includes several risk-mitigating elements, including:</w:t>
      </w:r>
    </w:p>
    <w:p>
      <w:pPr>
        <w:spacing w:after="0" w:line="61" w:lineRule="exact"/>
        <w:rPr>
          <w:sz w:val="20"/>
          <w:szCs w:val="20"/>
          <w:color w:val="auto"/>
        </w:rPr>
      </w:pPr>
    </w:p>
    <w:p>
      <w:pPr>
        <w:ind w:left="180" w:right="560" w:hanging="161"/>
        <w:spacing w:after="0" w:line="268" w:lineRule="auto"/>
        <w:tabs>
          <w:tab w:leader="none" w:pos="180" w:val="left"/>
        </w:tabs>
        <w:numPr>
          <w:ilvl w:val="0"/>
          <w:numId w:val="78"/>
        </w:numPr>
        <w:rPr>
          <w:rFonts w:ascii="Arial" w:cs="Arial" w:eastAsia="Arial" w:hAnsi="Arial"/>
          <w:sz w:val="20"/>
          <w:szCs w:val="20"/>
          <w:color w:val="582C83"/>
        </w:rPr>
      </w:pPr>
      <w:r>
        <w:rPr>
          <w:rFonts w:ascii="Arial" w:cs="Arial" w:eastAsia="Arial" w:hAnsi="Arial"/>
          <w:sz w:val="20"/>
          <w:szCs w:val="20"/>
          <w:color w:val="auto"/>
        </w:rPr>
        <w:t>Using both short-term and long-term performance-based compensation, so executives do not focus solely on short-term performance;</w:t>
      </w:r>
    </w:p>
    <w:p>
      <w:pPr>
        <w:spacing w:after="0" w:line="32" w:lineRule="exact"/>
        <w:rPr>
          <w:rFonts w:ascii="Arial" w:cs="Arial" w:eastAsia="Arial" w:hAnsi="Arial"/>
          <w:sz w:val="20"/>
          <w:szCs w:val="20"/>
          <w:color w:val="582C83"/>
        </w:rPr>
      </w:pPr>
    </w:p>
    <w:p>
      <w:pPr>
        <w:ind w:left="180" w:right="560" w:hanging="161"/>
        <w:spacing w:after="0" w:line="268" w:lineRule="auto"/>
        <w:tabs>
          <w:tab w:leader="none" w:pos="180" w:val="left"/>
        </w:tabs>
        <w:numPr>
          <w:ilvl w:val="0"/>
          <w:numId w:val="78"/>
        </w:numPr>
        <w:rPr>
          <w:rFonts w:ascii="Arial" w:cs="Arial" w:eastAsia="Arial" w:hAnsi="Arial"/>
          <w:sz w:val="20"/>
          <w:szCs w:val="20"/>
          <w:color w:val="582C83"/>
        </w:rPr>
      </w:pPr>
      <w:r>
        <w:rPr>
          <w:rFonts w:ascii="Arial" w:cs="Arial" w:eastAsia="Arial" w:hAnsi="Arial"/>
          <w:sz w:val="20"/>
          <w:szCs w:val="20"/>
          <w:color w:val="auto"/>
        </w:rPr>
        <w:t>Weighting executive compensation heavily toward long-term incentives to encourage sustainable shareholder value and accountability for long-term results;</w:t>
      </w:r>
    </w:p>
    <w:p>
      <w:pPr>
        <w:spacing w:after="0" w:line="32" w:lineRule="exact"/>
        <w:rPr>
          <w:rFonts w:ascii="Arial" w:cs="Arial" w:eastAsia="Arial" w:hAnsi="Arial"/>
          <w:sz w:val="20"/>
          <w:szCs w:val="20"/>
          <w:color w:val="582C83"/>
        </w:rPr>
      </w:pPr>
    </w:p>
    <w:p>
      <w:pPr>
        <w:ind w:left="180" w:right="40" w:hanging="161"/>
        <w:spacing w:after="0" w:line="268" w:lineRule="auto"/>
        <w:tabs>
          <w:tab w:leader="none" w:pos="180" w:val="left"/>
        </w:tabs>
        <w:numPr>
          <w:ilvl w:val="0"/>
          <w:numId w:val="78"/>
        </w:numPr>
        <w:rPr>
          <w:rFonts w:ascii="Arial" w:cs="Arial" w:eastAsia="Arial" w:hAnsi="Arial"/>
          <w:sz w:val="20"/>
          <w:szCs w:val="20"/>
          <w:color w:val="582C83"/>
        </w:rPr>
      </w:pPr>
      <w:r>
        <w:rPr>
          <w:rFonts w:ascii="Arial" w:cs="Arial" w:eastAsia="Arial" w:hAnsi="Arial"/>
          <w:sz w:val="20"/>
          <w:szCs w:val="20"/>
          <w:color w:val="auto"/>
        </w:rPr>
        <w:t>Using multiple relevant performance measures in our incentive plan designs, so executives do not place undue importance on one measure, which could distort the results that we want to incent;</w:t>
      </w:r>
    </w:p>
    <w:p>
      <w:pPr>
        <w:spacing w:after="0" w:line="32" w:lineRule="exact"/>
        <w:rPr>
          <w:rFonts w:ascii="Arial" w:cs="Arial" w:eastAsia="Arial" w:hAnsi="Arial"/>
          <w:sz w:val="20"/>
          <w:szCs w:val="20"/>
          <w:color w:val="582C83"/>
        </w:rPr>
      </w:pPr>
    </w:p>
    <w:p>
      <w:pPr>
        <w:ind w:left="180" w:hanging="161"/>
        <w:spacing w:after="0"/>
        <w:tabs>
          <w:tab w:leader="none" w:pos="180" w:val="left"/>
        </w:tabs>
        <w:numPr>
          <w:ilvl w:val="0"/>
          <w:numId w:val="78"/>
        </w:numPr>
        <w:rPr>
          <w:rFonts w:ascii="Arial" w:cs="Arial" w:eastAsia="Arial" w:hAnsi="Arial"/>
          <w:sz w:val="20"/>
          <w:szCs w:val="20"/>
          <w:color w:val="582C83"/>
        </w:rPr>
      </w:pPr>
      <w:r>
        <w:rPr>
          <w:rFonts w:ascii="Arial" w:cs="Arial" w:eastAsia="Arial" w:hAnsi="Arial"/>
          <w:sz w:val="20"/>
          <w:szCs w:val="20"/>
          <w:color w:val="auto"/>
        </w:rPr>
        <w:t>Weighting both business performance and strategic SPIs in our AIP, so executives do not have too narrow a focus;</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78"/>
        </w:numPr>
        <w:rPr>
          <w:rFonts w:ascii="Arial" w:cs="Arial" w:eastAsia="Arial" w:hAnsi="Arial"/>
          <w:sz w:val="20"/>
          <w:szCs w:val="20"/>
          <w:color w:val="582C83"/>
        </w:rPr>
      </w:pPr>
      <w:r>
        <w:rPr>
          <w:rFonts w:ascii="Arial" w:cs="Arial" w:eastAsia="Arial" w:hAnsi="Arial"/>
          <w:sz w:val="20"/>
          <w:szCs w:val="20"/>
          <w:color w:val="auto"/>
        </w:rPr>
        <w:t>Capping the amount of incentives that may be awarded or granted;</w:t>
      </w:r>
    </w:p>
    <w:p>
      <w:pPr>
        <w:spacing w:after="0" w:line="92" w:lineRule="exact"/>
        <w:rPr>
          <w:rFonts w:ascii="Arial" w:cs="Arial" w:eastAsia="Arial" w:hAnsi="Arial"/>
          <w:sz w:val="20"/>
          <w:szCs w:val="20"/>
          <w:color w:val="582C83"/>
        </w:rPr>
      </w:pPr>
    </w:p>
    <w:p>
      <w:pPr>
        <w:ind w:left="180" w:right="960" w:hanging="161"/>
        <w:spacing w:after="0" w:line="250" w:lineRule="auto"/>
        <w:tabs>
          <w:tab w:leader="none" w:pos="180" w:val="left"/>
        </w:tabs>
        <w:numPr>
          <w:ilvl w:val="0"/>
          <w:numId w:val="78"/>
        </w:numPr>
        <w:rPr>
          <w:rFonts w:ascii="Arial" w:cs="Arial" w:eastAsia="Arial" w:hAnsi="Arial"/>
          <w:sz w:val="20"/>
          <w:szCs w:val="20"/>
          <w:color w:val="582C83"/>
        </w:rPr>
      </w:pPr>
      <w:r>
        <w:rPr>
          <w:rFonts w:ascii="Arial" w:cs="Arial" w:eastAsia="Arial" w:hAnsi="Arial"/>
          <w:sz w:val="20"/>
          <w:szCs w:val="20"/>
          <w:color w:val="auto"/>
        </w:rPr>
        <w:t>Retaining discretion to reduce incentive awards based on unforeseen or unintended consequences and claw back compensation upon certain financial restatements or significant misconduct that could damage the reputation of the Company;</w:t>
      </w:r>
    </w:p>
    <w:p>
      <w:pPr>
        <w:spacing w:after="0" w:line="51" w:lineRule="exact"/>
        <w:rPr>
          <w:rFonts w:ascii="Arial" w:cs="Arial" w:eastAsia="Arial" w:hAnsi="Arial"/>
          <w:sz w:val="20"/>
          <w:szCs w:val="20"/>
          <w:color w:val="582C83"/>
        </w:rPr>
      </w:pPr>
    </w:p>
    <w:p>
      <w:pPr>
        <w:ind w:left="180" w:right="200" w:hanging="161"/>
        <w:spacing w:after="0" w:line="268" w:lineRule="auto"/>
        <w:tabs>
          <w:tab w:leader="none" w:pos="180" w:val="left"/>
        </w:tabs>
        <w:numPr>
          <w:ilvl w:val="0"/>
          <w:numId w:val="78"/>
        </w:numPr>
        <w:rPr>
          <w:rFonts w:ascii="Arial" w:cs="Arial" w:eastAsia="Arial" w:hAnsi="Arial"/>
          <w:sz w:val="20"/>
          <w:szCs w:val="20"/>
          <w:color w:val="582C83"/>
        </w:rPr>
      </w:pPr>
      <w:r>
        <w:rPr>
          <w:rFonts w:ascii="Arial" w:cs="Arial" w:eastAsia="Arial" w:hAnsi="Arial"/>
          <w:sz w:val="20"/>
          <w:szCs w:val="20"/>
          <w:color w:val="auto"/>
        </w:rPr>
        <w:t>Requiring our top executives to hold a significant amount of their compensation in Common Stock and prohibiting them from hedging, pledging or engaging in short sales of their Common Stock;</w:t>
      </w:r>
    </w:p>
    <w:p>
      <w:pPr>
        <w:spacing w:after="0" w:line="32" w:lineRule="exact"/>
        <w:rPr>
          <w:rFonts w:ascii="Arial" w:cs="Arial" w:eastAsia="Arial" w:hAnsi="Arial"/>
          <w:sz w:val="20"/>
          <w:szCs w:val="20"/>
          <w:color w:val="582C83"/>
        </w:rPr>
      </w:pPr>
    </w:p>
    <w:p>
      <w:pPr>
        <w:ind w:left="180" w:hanging="161"/>
        <w:spacing w:after="0"/>
        <w:tabs>
          <w:tab w:leader="none" w:pos="180" w:val="left"/>
        </w:tabs>
        <w:numPr>
          <w:ilvl w:val="0"/>
          <w:numId w:val="78"/>
        </w:numPr>
        <w:rPr>
          <w:rFonts w:ascii="Arial" w:cs="Arial" w:eastAsia="Arial" w:hAnsi="Arial"/>
          <w:sz w:val="20"/>
          <w:szCs w:val="20"/>
          <w:color w:val="582C83"/>
        </w:rPr>
      </w:pPr>
      <w:r>
        <w:rPr>
          <w:rFonts w:ascii="Arial" w:cs="Arial" w:eastAsia="Arial" w:hAnsi="Arial"/>
          <w:sz w:val="20"/>
          <w:szCs w:val="20"/>
          <w:color w:val="auto"/>
        </w:rPr>
        <w:t>Minimizing use of employment contracts;</w:t>
      </w:r>
    </w:p>
    <w:p>
      <w:pPr>
        <w:spacing w:after="0" w:line="92" w:lineRule="exact"/>
        <w:rPr>
          <w:rFonts w:ascii="Arial" w:cs="Arial" w:eastAsia="Arial" w:hAnsi="Arial"/>
          <w:sz w:val="20"/>
          <w:szCs w:val="20"/>
          <w:color w:val="582C83"/>
        </w:rPr>
      </w:pPr>
    </w:p>
    <w:p>
      <w:pPr>
        <w:ind w:left="180" w:hanging="161"/>
        <w:spacing w:after="0"/>
        <w:tabs>
          <w:tab w:leader="none" w:pos="180" w:val="left"/>
        </w:tabs>
        <w:numPr>
          <w:ilvl w:val="0"/>
          <w:numId w:val="78"/>
        </w:numPr>
        <w:rPr>
          <w:rFonts w:ascii="Arial" w:cs="Arial" w:eastAsia="Arial" w:hAnsi="Arial"/>
          <w:sz w:val="20"/>
          <w:szCs w:val="20"/>
          <w:color w:val="582C83"/>
        </w:rPr>
      </w:pPr>
      <w:r>
        <w:rPr>
          <w:rFonts w:ascii="Arial" w:cs="Arial" w:eastAsia="Arial" w:hAnsi="Arial"/>
          <w:sz w:val="20"/>
          <w:szCs w:val="20"/>
          <w:color w:val="auto"/>
        </w:rPr>
        <w:t>Not backdating or re-pricing option grants; and</w:t>
      </w:r>
    </w:p>
    <w:p>
      <w:pPr>
        <w:spacing w:after="0" w:line="92" w:lineRule="exact"/>
        <w:rPr>
          <w:rFonts w:ascii="Arial" w:cs="Arial" w:eastAsia="Arial" w:hAnsi="Arial"/>
          <w:sz w:val="20"/>
          <w:szCs w:val="20"/>
          <w:color w:val="582C83"/>
        </w:rPr>
      </w:pPr>
    </w:p>
    <w:p>
      <w:pPr>
        <w:ind w:left="180" w:right="640" w:hanging="161"/>
        <w:spacing w:after="0" w:line="268" w:lineRule="auto"/>
        <w:tabs>
          <w:tab w:leader="none" w:pos="180" w:val="left"/>
        </w:tabs>
        <w:numPr>
          <w:ilvl w:val="0"/>
          <w:numId w:val="78"/>
        </w:numPr>
        <w:rPr>
          <w:rFonts w:ascii="Arial" w:cs="Arial" w:eastAsia="Arial" w:hAnsi="Arial"/>
          <w:sz w:val="20"/>
          <w:szCs w:val="20"/>
          <w:color w:val="582C83"/>
        </w:rPr>
      </w:pPr>
      <w:r>
        <w:rPr>
          <w:rFonts w:ascii="Arial" w:cs="Arial" w:eastAsia="Arial" w:hAnsi="Arial"/>
          <w:sz w:val="20"/>
          <w:szCs w:val="20"/>
          <w:color w:val="auto"/>
        </w:rPr>
        <w:t>Not paying severance benefits on change in control events unless the affected executive is first involuntarily terminated without cause or terminates due to good reason.</w:t>
      </w:r>
    </w:p>
    <w:p>
      <w:pPr>
        <w:spacing w:after="0" w:line="107" w:lineRule="exact"/>
        <w:rPr>
          <w:sz w:val="20"/>
          <w:szCs w:val="20"/>
          <w:color w:val="auto"/>
        </w:rPr>
      </w:pPr>
    </w:p>
    <w:p>
      <w:pPr>
        <w:ind w:left="20" w:right="100"/>
        <w:spacing w:after="0" w:line="242" w:lineRule="auto"/>
        <w:rPr>
          <w:sz w:val="20"/>
          <w:szCs w:val="20"/>
          <w:color w:val="auto"/>
        </w:rPr>
      </w:pPr>
      <w:r>
        <w:rPr>
          <w:rFonts w:ascii="Arial" w:cs="Arial" w:eastAsia="Arial" w:hAnsi="Arial"/>
          <w:sz w:val="20"/>
          <w:szCs w:val="20"/>
          <w:color w:val="auto"/>
        </w:rPr>
        <w:t>The Audit Committee oversees our ethics and compliance programs that educate executives and other employees on appropriate behavior and the consequences of inappropriate actions. Additionally, the People and Compensation Committee reviews workplace compliance on an annual basis. These programs not only drive compliance and integrity but also encourage employees with knowledge of potential wrongdoing to report concerns by providing multiple reporting avenues while protecting reporting employees against retaliation.</w:t>
      </w:r>
    </w:p>
    <w:p>
      <w:pPr>
        <w:spacing w:after="0" w:line="132" w:lineRule="exact"/>
        <w:rPr>
          <w:sz w:val="20"/>
          <w:szCs w:val="20"/>
          <w:color w:val="auto"/>
        </w:rPr>
      </w:pPr>
    </w:p>
    <w:p>
      <w:pPr>
        <w:ind w:left="20" w:right="40"/>
        <w:spacing w:after="0" w:line="244" w:lineRule="auto"/>
        <w:rPr>
          <w:sz w:val="20"/>
          <w:szCs w:val="20"/>
          <w:color w:val="auto"/>
        </w:rPr>
      </w:pPr>
      <w:r>
        <w:rPr>
          <w:rFonts w:ascii="Arial" w:cs="Arial" w:eastAsia="Arial" w:hAnsi="Arial"/>
          <w:sz w:val="20"/>
          <w:szCs w:val="20"/>
          <w:color w:val="auto"/>
        </w:rPr>
        <w:t>In light of these considerations, the People and Compensation Committee believes that our compensation programs and processes do not encourage excessive risk taking, nor do they create risks that are reasonably likely to have a material adverse effect on the Company. Semler Brossy conducted a thorough annual review of our approach and reviewed the People and Compensation Committee’s risk analysis and agreed with this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100965</wp:posOffset>
            </wp:positionV>
            <wp:extent cx="7143115"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00" w:top="132" w:right="339" w:bottom="1440" w:gutter="0" w:footer="0" w:header="0"/>
        </w:sectPr>
      </w:pPr>
    </w:p>
    <w:bookmarkStart w:id="94" w:name="page95"/>
    <w:bookmarkEnd w:id="94"/>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582C83"/>
        </w:rPr>
        <w:t>STOCK OWNERSHIP</w:t>
      </w:r>
    </w:p>
    <w:p>
      <w:pPr>
        <w:spacing w:after="0" w:line="94" w:lineRule="exact"/>
        <w:rPr>
          <w:sz w:val="20"/>
          <w:szCs w:val="20"/>
          <w:color w:val="auto"/>
        </w:rPr>
      </w:pPr>
    </w:p>
    <w:p>
      <w:pPr>
        <w:ind w:left="1" w:right="320"/>
        <w:spacing w:after="0" w:line="250" w:lineRule="auto"/>
        <w:rPr>
          <w:sz w:val="20"/>
          <w:szCs w:val="20"/>
          <w:color w:val="auto"/>
        </w:rPr>
      </w:pPr>
      <w:r>
        <w:rPr>
          <w:rFonts w:ascii="Arial" w:cs="Arial" w:eastAsia="Arial" w:hAnsi="Arial"/>
          <w:sz w:val="20"/>
          <w:szCs w:val="20"/>
          <w:color w:val="auto"/>
        </w:rPr>
        <w:t>To further align NEO and shareholder interests, the People and Compensation Committee requires all executives to hold a significant amount of Common Stock. The following chart summarizes our requirements, which are comparable to, or greater than, stock ownership requirements at the majority of companies in our Compensation Survey Peer Group.</w:t>
      </w:r>
    </w:p>
    <w:p>
      <w:pPr>
        <w:spacing w:after="0" w:line="175" w:lineRule="exact"/>
        <w:rPr>
          <w:sz w:val="20"/>
          <w:szCs w:val="20"/>
          <w:color w:val="auto"/>
        </w:rPr>
      </w:pPr>
    </w:p>
    <w:tbl>
      <w:tblPr>
        <w:tblLayout w:type="fixed"/>
        <w:tblInd w:w="1" w:type="dxa"/>
        <w:tblCellMar>
          <w:top w:w="0" w:type="dxa"/>
          <w:left w:w="0" w:type="dxa"/>
          <w:bottom w:w="0" w:type="dxa"/>
          <w:right w:w="0" w:type="dxa"/>
        </w:tblCellMar>
      </w:tblPr>
      <w:tr>
        <w:trPr>
          <w:trHeight w:val="292"/>
        </w:trPr>
        <w:tc>
          <w:tcPr>
            <w:tcW w:w="2830" w:type="dxa"/>
            <w:vAlign w:val="bottom"/>
            <w:tcBorders>
              <w:bottom w:val="single" w:sz="8" w:color="582C83"/>
            </w:tcBorders>
          </w:tcPr>
          <w:p>
            <w:pPr>
              <w:ind w:left="60"/>
              <w:spacing w:after="0"/>
              <w:rPr>
                <w:sz w:val="20"/>
                <w:szCs w:val="20"/>
                <w:color w:val="auto"/>
              </w:rPr>
            </w:pPr>
            <w:r>
              <w:rPr>
                <w:rFonts w:ascii="Arial" w:cs="Arial" w:eastAsia="Arial" w:hAnsi="Arial"/>
                <w:sz w:val="20"/>
                <w:szCs w:val="20"/>
                <w:b w:val="1"/>
                <w:bCs w:val="1"/>
                <w:color w:val="auto"/>
              </w:rPr>
              <w:t>Key Provisions</w:t>
            </w:r>
          </w:p>
        </w:tc>
        <w:tc>
          <w:tcPr>
            <w:tcW w:w="8410" w:type="dxa"/>
            <w:vAlign w:val="bottom"/>
            <w:tcBorders>
              <w:bottom w:val="single" w:sz="8" w:color="582C83"/>
            </w:tcBorders>
          </w:tcPr>
          <w:p>
            <w:pPr>
              <w:ind w:left="50"/>
              <w:spacing w:after="0"/>
              <w:rPr>
                <w:sz w:val="20"/>
                <w:szCs w:val="20"/>
                <w:color w:val="auto"/>
              </w:rPr>
            </w:pPr>
            <w:r>
              <w:rPr>
                <w:rFonts w:ascii="Arial" w:cs="Arial" w:eastAsia="Arial" w:hAnsi="Arial"/>
                <w:sz w:val="20"/>
                <w:szCs w:val="20"/>
                <w:b w:val="1"/>
                <w:bCs w:val="1"/>
                <w:color w:val="auto"/>
              </w:rPr>
              <w:t>Explanation of Key Provisions</w:t>
            </w:r>
          </w:p>
        </w:tc>
        <w:tc>
          <w:tcPr>
            <w:tcW w:w="20" w:type="dxa"/>
            <w:vAlign w:val="bottom"/>
            <w:tcBorders>
              <w:bottom w:val="single" w:sz="8" w:color="582C83"/>
            </w:tcBorders>
          </w:tcPr>
          <w:p>
            <w:pPr>
              <w:spacing w:after="0"/>
              <w:rPr>
                <w:sz w:val="24"/>
                <w:szCs w:val="24"/>
                <w:color w:val="auto"/>
              </w:rPr>
            </w:pPr>
          </w:p>
        </w:tc>
      </w:tr>
      <w:tr>
        <w:trPr>
          <w:trHeight w:val="284"/>
        </w:trPr>
        <w:tc>
          <w:tcPr>
            <w:tcW w:w="283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auto"/>
              </w:rPr>
              <w:t>Ownership Requirement</w:t>
            </w:r>
          </w:p>
        </w:tc>
        <w:tc>
          <w:tcPr>
            <w:tcW w:w="841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CEO: 8 times salary</w:t>
            </w:r>
          </w:p>
        </w:tc>
        <w:tc>
          <w:tcPr>
            <w:tcW w:w="20" w:type="dxa"/>
            <w:vAlign w:val="bottom"/>
            <w:shd w:val="clear" w:color="auto" w:fill="EBE6F0"/>
          </w:tcPr>
          <w:p>
            <w:pPr>
              <w:spacing w:after="0"/>
              <w:rPr>
                <w:sz w:val="24"/>
                <w:szCs w:val="24"/>
                <w:color w:val="auto"/>
              </w:rPr>
            </w:pPr>
          </w:p>
        </w:tc>
      </w:tr>
      <w:tr>
        <w:trPr>
          <w:trHeight w:val="292"/>
        </w:trPr>
        <w:tc>
          <w:tcPr>
            <w:tcW w:w="2830" w:type="dxa"/>
            <w:vAlign w:val="bottom"/>
            <w:tcBorders>
              <w:bottom w:val="single" w:sz="8" w:color="EBE6F0"/>
            </w:tcBorders>
            <w:shd w:val="clear" w:color="auto" w:fill="EBE6F0"/>
          </w:tcPr>
          <w:p>
            <w:pPr>
              <w:spacing w:after="0"/>
              <w:rPr>
                <w:sz w:val="24"/>
                <w:szCs w:val="24"/>
                <w:color w:val="auto"/>
              </w:rPr>
            </w:pPr>
          </w:p>
        </w:tc>
        <w:tc>
          <w:tcPr>
            <w:tcW w:w="8410" w:type="dxa"/>
            <w:vAlign w:val="bottom"/>
            <w:tcBorders>
              <w:bottom w:val="single" w:sz="8" w:color="EBE6F0"/>
            </w:tcBorders>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Other NEOs: 4 times salary</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97"/>
        </w:trPr>
        <w:tc>
          <w:tcPr>
            <w:tcW w:w="2830" w:type="dxa"/>
            <w:vAlign w:val="bottom"/>
          </w:tcPr>
          <w:p>
            <w:pPr>
              <w:ind w:left="60"/>
              <w:spacing w:after="0"/>
              <w:rPr>
                <w:sz w:val="20"/>
                <w:szCs w:val="20"/>
                <w:color w:val="auto"/>
              </w:rPr>
            </w:pPr>
            <w:r>
              <w:rPr>
                <w:rFonts w:ascii="Arial" w:cs="Arial" w:eastAsia="Arial" w:hAnsi="Arial"/>
                <w:sz w:val="20"/>
                <w:szCs w:val="20"/>
                <w:b w:val="1"/>
                <w:bCs w:val="1"/>
                <w:color w:val="auto"/>
              </w:rPr>
              <w:t>Time to Meet Requirements</w:t>
            </w:r>
          </w:p>
        </w:tc>
        <w:tc>
          <w:tcPr>
            <w:tcW w:w="8410" w:type="dxa"/>
            <w:vAlign w:val="bottom"/>
          </w:tcPr>
          <w:p>
            <w:pPr>
              <w:ind w:left="5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5 years from employment date or 3 years following a promotion</w:t>
            </w:r>
          </w:p>
        </w:tc>
        <w:tc>
          <w:tcPr>
            <w:tcW w:w="20" w:type="dxa"/>
            <w:vAlign w:val="bottom"/>
          </w:tcPr>
          <w:p>
            <w:pPr>
              <w:spacing w:after="0"/>
              <w:rPr>
                <w:sz w:val="24"/>
                <w:szCs w:val="24"/>
                <w:color w:val="auto"/>
              </w:rPr>
            </w:pPr>
          </w:p>
        </w:tc>
      </w:tr>
      <w:tr>
        <w:trPr>
          <w:trHeight w:val="25"/>
        </w:trPr>
        <w:tc>
          <w:tcPr>
            <w:tcW w:w="2830" w:type="dxa"/>
            <w:vAlign w:val="bottom"/>
          </w:tcPr>
          <w:p>
            <w:pPr>
              <w:spacing w:after="0"/>
              <w:rPr>
                <w:sz w:val="2"/>
                <w:szCs w:val="2"/>
                <w:color w:val="auto"/>
              </w:rPr>
            </w:pPr>
          </w:p>
        </w:tc>
        <w:tc>
          <w:tcPr>
            <w:tcW w:w="841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0"/>
        </w:trPr>
        <w:tc>
          <w:tcPr>
            <w:tcW w:w="283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auto"/>
              </w:rPr>
              <w:t>Shares Counted Toward</w:t>
            </w:r>
          </w:p>
        </w:tc>
        <w:tc>
          <w:tcPr>
            <w:tcW w:w="841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Common Stock, including shares owned outright, direct purchase plan shares, unvested</w:t>
            </w:r>
          </w:p>
        </w:tc>
        <w:tc>
          <w:tcPr>
            <w:tcW w:w="20" w:type="dxa"/>
            <w:vAlign w:val="bottom"/>
            <w:shd w:val="clear" w:color="auto" w:fill="EBE6F0"/>
          </w:tcPr>
          <w:p>
            <w:pPr>
              <w:spacing w:after="0"/>
              <w:rPr>
                <w:sz w:val="22"/>
                <w:szCs w:val="22"/>
                <w:color w:val="auto"/>
              </w:rPr>
            </w:pPr>
          </w:p>
        </w:tc>
      </w:tr>
      <w:tr>
        <w:trPr>
          <w:trHeight w:val="223"/>
        </w:trPr>
        <w:tc>
          <w:tcPr>
            <w:tcW w:w="283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b w:val="1"/>
                <w:bCs w:val="1"/>
                <w:color w:val="auto"/>
              </w:rPr>
              <w:t>Ownership</w:t>
            </w:r>
          </w:p>
        </w:tc>
        <w:tc>
          <w:tcPr>
            <w:tcW w:w="8410" w:type="dxa"/>
            <w:vAlign w:val="bottom"/>
            <w:shd w:val="clear" w:color="auto" w:fill="EBE6F0"/>
          </w:tcPr>
          <w:p>
            <w:pPr>
              <w:ind w:left="230"/>
              <w:spacing w:after="0" w:line="224" w:lineRule="exact"/>
              <w:rPr>
                <w:sz w:val="20"/>
                <w:szCs w:val="20"/>
                <w:color w:val="auto"/>
              </w:rPr>
            </w:pPr>
            <w:r>
              <w:rPr>
                <w:rFonts w:ascii="Arial" w:cs="Arial" w:eastAsia="Arial" w:hAnsi="Arial"/>
                <w:sz w:val="20"/>
                <w:szCs w:val="20"/>
                <w:color w:val="auto"/>
              </w:rPr>
              <w:t>deferred stock units and accounts over which the executive has direct or indirect ownership</w:t>
            </w:r>
          </w:p>
        </w:tc>
        <w:tc>
          <w:tcPr>
            <w:tcW w:w="20" w:type="dxa"/>
            <w:vAlign w:val="bottom"/>
            <w:shd w:val="clear" w:color="auto" w:fill="EBE6F0"/>
          </w:tcPr>
          <w:p>
            <w:pPr>
              <w:spacing w:after="0"/>
              <w:rPr>
                <w:sz w:val="19"/>
                <w:szCs w:val="19"/>
                <w:color w:val="auto"/>
              </w:rPr>
            </w:pPr>
          </w:p>
        </w:tc>
      </w:tr>
      <w:tr>
        <w:trPr>
          <w:trHeight w:val="261"/>
        </w:trPr>
        <w:tc>
          <w:tcPr>
            <w:tcW w:w="2830" w:type="dxa"/>
            <w:vAlign w:val="bottom"/>
            <w:shd w:val="clear" w:color="auto" w:fill="EBE6F0"/>
          </w:tcPr>
          <w:p>
            <w:pPr>
              <w:spacing w:after="0"/>
              <w:rPr>
                <w:sz w:val="22"/>
                <w:szCs w:val="22"/>
                <w:color w:val="auto"/>
              </w:rPr>
            </w:pPr>
          </w:p>
        </w:tc>
        <w:tc>
          <w:tcPr>
            <w:tcW w:w="8410" w:type="dxa"/>
            <w:vAlign w:val="bottom"/>
            <w:shd w:val="clear" w:color="auto" w:fill="EBE6F0"/>
          </w:tcPr>
          <w:p>
            <w:pPr>
              <w:ind w:left="230"/>
              <w:spacing w:after="0"/>
              <w:rPr>
                <w:sz w:val="20"/>
                <w:szCs w:val="20"/>
                <w:color w:val="auto"/>
              </w:rPr>
            </w:pPr>
            <w:r>
              <w:rPr>
                <w:rFonts w:ascii="Arial" w:cs="Arial" w:eastAsia="Arial" w:hAnsi="Arial"/>
                <w:sz w:val="20"/>
                <w:szCs w:val="20"/>
                <w:color w:val="auto"/>
              </w:rPr>
              <w:t>or control</w:t>
            </w:r>
          </w:p>
        </w:tc>
        <w:tc>
          <w:tcPr>
            <w:tcW w:w="20" w:type="dxa"/>
            <w:vAlign w:val="bottom"/>
            <w:shd w:val="clear" w:color="auto" w:fill="EBE6F0"/>
          </w:tcPr>
          <w:p>
            <w:pPr>
              <w:spacing w:after="0"/>
              <w:rPr>
                <w:sz w:val="22"/>
                <w:szCs w:val="22"/>
                <w:color w:val="auto"/>
              </w:rPr>
            </w:pPr>
          </w:p>
        </w:tc>
      </w:tr>
      <w:tr>
        <w:trPr>
          <w:trHeight w:val="292"/>
        </w:trPr>
        <w:tc>
          <w:tcPr>
            <w:tcW w:w="2830" w:type="dxa"/>
            <w:vAlign w:val="bottom"/>
            <w:tcBorders>
              <w:bottom w:val="single" w:sz="8" w:color="EBE6F0"/>
            </w:tcBorders>
            <w:shd w:val="clear" w:color="auto" w:fill="EBE6F0"/>
          </w:tcPr>
          <w:p>
            <w:pPr>
              <w:spacing w:after="0"/>
              <w:rPr>
                <w:sz w:val="24"/>
                <w:szCs w:val="24"/>
                <w:color w:val="auto"/>
              </w:rPr>
            </w:pPr>
          </w:p>
        </w:tc>
        <w:tc>
          <w:tcPr>
            <w:tcW w:w="8410" w:type="dxa"/>
            <w:vAlign w:val="bottom"/>
            <w:tcBorders>
              <w:bottom w:val="single" w:sz="8" w:color="EBE6F0"/>
            </w:tcBorders>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Excludes unexercised Mondelēz International stock options and unvested PSUs</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47"/>
        </w:trPr>
        <w:tc>
          <w:tcPr>
            <w:tcW w:w="2830" w:type="dxa"/>
            <w:vAlign w:val="bottom"/>
          </w:tcPr>
          <w:p>
            <w:pPr>
              <w:ind w:left="60"/>
              <w:spacing w:after="0"/>
              <w:rPr>
                <w:sz w:val="20"/>
                <w:szCs w:val="20"/>
                <w:color w:val="auto"/>
              </w:rPr>
            </w:pPr>
            <w:r>
              <w:rPr>
                <w:rFonts w:ascii="Arial" w:cs="Arial" w:eastAsia="Arial" w:hAnsi="Arial"/>
                <w:sz w:val="20"/>
                <w:szCs w:val="20"/>
                <w:b w:val="1"/>
                <w:bCs w:val="1"/>
                <w:color w:val="auto"/>
              </w:rPr>
              <w:t>Additional Holding</w:t>
            </w:r>
          </w:p>
        </w:tc>
        <w:tc>
          <w:tcPr>
            <w:tcW w:w="8410" w:type="dxa"/>
            <w:vAlign w:val="bottom"/>
          </w:tcPr>
          <w:p>
            <w:pPr>
              <w:ind w:left="5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Until a NEO satisfies our stock ownership requirements, the NEO must hold 100% of all</w:t>
            </w:r>
          </w:p>
        </w:tc>
        <w:tc>
          <w:tcPr>
            <w:tcW w:w="20" w:type="dxa"/>
            <w:vAlign w:val="bottom"/>
          </w:tcPr>
          <w:p>
            <w:pPr>
              <w:spacing w:after="0"/>
              <w:rPr>
                <w:sz w:val="21"/>
                <w:szCs w:val="21"/>
                <w:color w:val="auto"/>
              </w:rPr>
            </w:pPr>
          </w:p>
        </w:tc>
      </w:tr>
      <w:tr>
        <w:trPr>
          <w:trHeight w:val="223"/>
        </w:trPr>
        <w:tc>
          <w:tcPr>
            <w:tcW w:w="2830" w:type="dxa"/>
            <w:vAlign w:val="bottom"/>
          </w:tcPr>
          <w:p>
            <w:pPr>
              <w:ind w:left="60"/>
              <w:spacing w:after="0" w:line="224" w:lineRule="exact"/>
              <w:rPr>
                <w:sz w:val="20"/>
                <w:szCs w:val="20"/>
                <w:color w:val="auto"/>
              </w:rPr>
            </w:pPr>
            <w:r>
              <w:rPr>
                <w:rFonts w:ascii="Arial" w:cs="Arial" w:eastAsia="Arial" w:hAnsi="Arial"/>
                <w:sz w:val="20"/>
                <w:szCs w:val="20"/>
                <w:b w:val="1"/>
                <w:bCs w:val="1"/>
                <w:color w:val="auto"/>
              </w:rPr>
              <w:t>Requirements</w:t>
            </w:r>
          </w:p>
        </w:tc>
        <w:tc>
          <w:tcPr>
            <w:tcW w:w="8410" w:type="dxa"/>
            <w:vAlign w:val="bottom"/>
          </w:tcPr>
          <w:p>
            <w:pPr>
              <w:ind w:left="210"/>
              <w:spacing w:after="0" w:line="224" w:lineRule="exact"/>
              <w:rPr>
                <w:sz w:val="20"/>
                <w:szCs w:val="20"/>
                <w:color w:val="auto"/>
              </w:rPr>
            </w:pPr>
            <w:r>
              <w:rPr>
                <w:rFonts w:ascii="Arial" w:cs="Arial" w:eastAsia="Arial" w:hAnsi="Arial"/>
                <w:sz w:val="20"/>
                <w:szCs w:val="20"/>
                <w:color w:val="auto"/>
              </w:rPr>
              <w:t>shares acquired under our equity program (including stock after the restrictions have lapsed,</w:t>
            </w:r>
          </w:p>
        </w:tc>
        <w:tc>
          <w:tcPr>
            <w:tcW w:w="20" w:type="dxa"/>
            <w:vAlign w:val="bottom"/>
          </w:tcPr>
          <w:p>
            <w:pPr>
              <w:spacing w:after="0"/>
              <w:rPr>
                <w:sz w:val="19"/>
                <w:szCs w:val="19"/>
                <w:color w:val="auto"/>
              </w:rPr>
            </w:pPr>
          </w:p>
        </w:tc>
      </w:tr>
      <w:tr>
        <w:trPr>
          <w:trHeight w:val="223"/>
        </w:trPr>
        <w:tc>
          <w:tcPr>
            <w:tcW w:w="2830" w:type="dxa"/>
            <w:vAlign w:val="bottom"/>
          </w:tcPr>
          <w:p>
            <w:pPr>
              <w:spacing w:after="0"/>
              <w:rPr>
                <w:sz w:val="19"/>
                <w:szCs w:val="19"/>
                <w:color w:val="auto"/>
              </w:rPr>
            </w:pPr>
          </w:p>
        </w:tc>
        <w:tc>
          <w:tcPr>
            <w:tcW w:w="8410" w:type="dxa"/>
            <w:vAlign w:val="bottom"/>
          </w:tcPr>
          <w:p>
            <w:pPr>
              <w:ind w:left="210"/>
              <w:spacing w:after="0" w:line="224" w:lineRule="exact"/>
              <w:rPr>
                <w:sz w:val="20"/>
                <w:szCs w:val="20"/>
                <w:color w:val="auto"/>
              </w:rPr>
            </w:pPr>
            <w:r>
              <w:rPr>
                <w:rFonts w:ascii="Arial" w:cs="Arial" w:eastAsia="Arial" w:hAnsi="Arial"/>
                <w:sz w:val="20"/>
                <w:szCs w:val="20"/>
                <w:color w:val="auto"/>
              </w:rPr>
              <w:t>shares acquired upon exercise of a stock option and shares awarded for PSUs), net of</w:t>
            </w:r>
          </w:p>
        </w:tc>
        <w:tc>
          <w:tcPr>
            <w:tcW w:w="20" w:type="dxa"/>
            <w:vAlign w:val="bottom"/>
          </w:tcPr>
          <w:p>
            <w:pPr>
              <w:spacing w:after="0"/>
              <w:rPr>
                <w:sz w:val="19"/>
                <w:szCs w:val="19"/>
                <w:color w:val="auto"/>
              </w:rPr>
            </w:pPr>
          </w:p>
        </w:tc>
      </w:tr>
      <w:tr>
        <w:trPr>
          <w:trHeight w:val="261"/>
        </w:trPr>
        <w:tc>
          <w:tcPr>
            <w:tcW w:w="2830" w:type="dxa"/>
            <w:vAlign w:val="bottom"/>
          </w:tcPr>
          <w:p>
            <w:pPr>
              <w:spacing w:after="0"/>
              <w:rPr>
                <w:sz w:val="22"/>
                <w:szCs w:val="22"/>
                <w:color w:val="auto"/>
              </w:rPr>
            </w:pPr>
          </w:p>
        </w:tc>
        <w:tc>
          <w:tcPr>
            <w:tcW w:w="8410" w:type="dxa"/>
            <w:vAlign w:val="bottom"/>
          </w:tcPr>
          <w:p>
            <w:pPr>
              <w:ind w:left="210"/>
              <w:spacing w:after="0"/>
              <w:rPr>
                <w:sz w:val="20"/>
                <w:szCs w:val="20"/>
                <w:color w:val="auto"/>
              </w:rPr>
            </w:pPr>
            <w:r>
              <w:rPr>
                <w:rFonts w:ascii="Arial" w:cs="Arial" w:eastAsia="Arial" w:hAnsi="Arial"/>
                <w:sz w:val="20"/>
                <w:szCs w:val="20"/>
                <w:color w:val="auto"/>
              </w:rPr>
              <w:t>shares withheld for taxes or payment of exercise price</w:t>
            </w:r>
          </w:p>
        </w:tc>
        <w:tc>
          <w:tcPr>
            <w:tcW w:w="20" w:type="dxa"/>
            <w:vAlign w:val="bottom"/>
          </w:tcPr>
          <w:p>
            <w:pPr>
              <w:spacing w:after="0"/>
              <w:rPr>
                <w:sz w:val="22"/>
                <w:szCs w:val="22"/>
                <w:color w:val="auto"/>
              </w:rPr>
            </w:pPr>
          </w:p>
        </w:tc>
      </w:tr>
      <w:tr>
        <w:trPr>
          <w:trHeight w:val="223"/>
        </w:trPr>
        <w:tc>
          <w:tcPr>
            <w:tcW w:w="2830" w:type="dxa"/>
            <w:vAlign w:val="bottom"/>
          </w:tcPr>
          <w:p>
            <w:pPr>
              <w:spacing w:after="0"/>
              <w:rPr>
                <w:sz w:val="19"/>
                <w:szCs w:val="19"/>
                <w:color w:val="auto"/>
              </w:rPr>
            </w:pPr>
          </w:p>
        </w:tc>
        <w:tc>
          <w:tcPr>
            <w:tcW w:w="8410" w:type="dxa"/>
            <w:vAlign w:val="bottom"/>
          </w:tcPr>
          <w:p>
            <w:pPr>
              <w:ind w:left="5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Once a NEO satisfies our stock ownership requirements, the NEO</w:t>
            </w:r>
            <w:r>
              <w:rPr>
                <w:rFonts w:ascii="Arial" w:cs="Arial" w:eastAsia="Arial" w:hAnsi="Arial"/>
                <w:sz w:val="20"/>
                <w:szCs w:val="20"/>
                <w:color w:val="582C83"/>
              </w:rPr>
              <w:t xml:space="preserve"> </w:t>
            </w:r>
            <w:r>
              <w:rPr>
                <w:rFonts w:ascii="Arial" w:cs="Arial" w:eastAsia="Arial" w:hAnsi="Arial"/>
                <w:sz w:val="20"/>
                <w:szCs w:val="20"/>
                <w:b w:val="1"/>
                <w:bCs w:val="1"/>
                <w:color w:val="582C83"/>
              </w:rPr>
              <w:t>must hold 100% of new</w:t>
            </w:r>
          </w:p>
        </w:tc>
        <w:tc>
          <w:tcPr>
            <w:tcW w:w="20" w:type="dxa"/>
            <w:vAlign w:val="bottom"/>
          </w:tcPr>
          <w:p>
            <w:pPr>
              <w:spacing w:after="0"/>
              <w:rPr>
                <w:sz w:val="19"/>
                <w:szCs w:val="19"/>
                <w:color w:val="auto"/>
              </w:rPr>
            </w:pPr>
          </w:p>
        </w:tc>
      </w:tr>
      <w:tr>
        <w:trPr>
          <w:trHeight w:val="223"/>
        </w:trPr>
        <w:tc>
          <w:tcPr>
            <w:tcW w:w="2830" w:type="dxa"/>
            <w:vAlign w:val="bottom"/>
          </w:tcPr>
          <w:p>
            <w:pPr>
              <w:spacing w:after="0"/>
              <w:rPr>
                <w:sz w:val="19"/>
                <w:szCs w:val="19"/>
                <w:color w:val="auto"/>
              </w:rPr>
            </w:pPr>
          </w:p>
        </w:tc>
        <w:tc>
          <w:tcPr>
            <w:tcW w:w="8410" w:type="dxa"/>
            <w:vAlign w:val="bottom"/>
          </w:tcPr>
          <w:p>
            <w:pPr>
              <w:ind w:left="210"/>
              <w:spacing w:after="0" w:line="224" w:lineRule="exact"/>
              <w:rPr>
                <w:sz w:val="20"/>
                <w:szCs w:val="20"/>
                <w:color w:val="auto"/>
              </w:rPr>
            </w:pPr>
            <w:r>
              <w:rPr>
                <w:rFonts w:ascii="Arial" w:cs="Arial" w:eastAsia="Arial" w:hAnsi="Arial"/>
                <w:sz w:val="20"/>
                <w:szCs w:val="20"/>
                <w:b w:val="1"/>
                <w:bCs w:val="1"/>
                <w:color w:val="582C83"/>
              </w:rPr>
              <w:t xml:space="preserve">shares acquired </w:t>
            </w:r>
            <w:r>
              <w:rPr>
                <w:rFonts w:ascii="Arial" w:cs="Arial" w:eastAsia="Arial" w:hAnsi="Arial"/>
                <w:sz w:val="20"/>
                <w:szCs w:val="20"/>
                <w:color w:val="000000"/>
              </w:rPr>
              <w:t>under our equity program (including stock after the restrictions have</w:t>
            </w:r>
          </w:p>
        </w:tc>
        <w:tc>
          <w:tcPr>
            <w:tcW w:w="20" w:type="dxa"/>
            <w:vAlign w:val="bottom"/>
          </w:tcPr>
          <w:p>
            <w:pPr>
              <w:spacing w:after="0"/>
              <w:rPr>
                <w:sz w:val="19"/>
                <w:szCs w:val="19"/>
                <w:color w:val="auto"/>
              </w:rPr>
            </w:pPr>
          </w:p>
        </w:tc>
      </w:tr>
      <w:tr>
        <w:trPr>
          <w:trHeight w:val="223"/>
        </w:trPr>
        <w:tc>
          <w:tcPr>
            <w:tcW w:w="2830" w:type="dxa"/>
            <w:vAlign w:val="bottom"/>
          </w:tcPr>
          <w:p>
            <w:pPr>
              <w:spacing w:after="0"/>
              <w:rPr>
                <w:sz w:val="19"/>
                <w:szCs w:val="19"/>
                <w:color w:val="auto"/>
              </w:rPr>
            </w:pPr>
          </w:p>
        </w:tc>
        <w:tc>
          <w:tcPr>
            <w:tcW w:w="8410" w:type="dxa"/>
            <w:vAlign w:val="bottom"/>
          </w:tcPr>
          <w:p>
            <w:pPr>
              <w:ind w:left="210"/>
              <w:spacing w:after="0" w:line="224" w:lineRule="exact"/>
              <w:rPr>
                <w:sz w:val="20"/>
                <w:szCs w:val="20"/>
                <w:color w:val="auto"/>
              </w:rPr>
            </w:pPr>
            <w:r>
              <w:rPr>
                <w:rFonts w:ascii="Arial" w:cs="Arial" w:eastAsia="Arial" w:hAnsi="Arial"/>
                <w:sz w:val="20"/>
                <w:szCs w:val="20"/>
                <w:color w:val="auto"/>
              </w:rPr>
              <w:t>lapsed, shares awarded for vested deferred stock units, shares acquired upon exercise of a</w:t>
            </w:r>
          </w:p>
        </w:tc>
        <w:tc>
          <w:tcPr>
            <w:tcW w:w="20" w:type="dxa"/>
            <w:vAlign w:val="bottom"/>
          </w:tcPr>
          <w:p>
            <w:pPr>
              <w:spacing w:after="0"/>
              <w:rPr>
                <w:sz w:val="19"/>
                <w:szCs w:val="19"/>
                <w:color w:val="auto"/>
              </w:rPr>
            </w:pPr>
          </w:p>
        </w:tc>
      </w:tr>
      <w:tr>
        <w:trPr>
          <w:trHeight w:val="223"/>
        </w:trPr>
        <w:tc>
          <w:tcPr>
            <w:tcW w:w="2830" w:type="dxa"/>
            <w:vAlign w:val="bottom"/>
          </w:tcPr>
          <w:p>
            <w:pPr>
              <w:spacing w:after="0"/>
              <w:rPr>
                <w:sz w:val="19"/>
                <w:szCs w:val="19"/>
                <w:color w:val="auto"/>
              </w:rPr>
            </w:pPr>
          </w:p>
        </w:tc>
        <w:tc>
          <w:tcPr>
            <w:tcW w:w="8410" w:type="dxa"/>
            <w:vAlign w:val="bottom"/>
          </w:tcPr>
          <w:p>
            <w:pPr>
              <w:ind w:left="210"/>
              <w:spacing w:after="0" w:line="224" w:lineRule="exact"/>
              <w:rPr>
                <w:sz w:val="20"/>
                <w:szCs w:val="20"/>
                <w:color w:val="auto"/>
              </w:rPr>
            </w:pPr>
            <w:r>
              <w:rPr>
                <w:rFonts w:ascii="Arial" w:cs="Arial" w:eastAsia="Arial" w:hAnsi="Arial"/>
                <w:sz w:val="20"/>
                <w:szCs w:val="20"/>
                <w:color w:val="auto"/>
              </w:rPr>
              <w:t>stock option and shares awarded for PSUs), net of shares withheld for taxes or payment of</w:t>
            </w:r>
          </w:p>
        </w:tc>
        <w:tc>
          <w:tcPr>
            <w:tcW w:w="20" w:type="dxa"/>
            <w:vAlign w:val="bottom"/>
          </w:tcPr>
          <w:p>
            <w:pPr>
              <w:spacing w:after="0"/>
              <w:rPr>
                <w:sz w:val="19"/>
                <w:szCs w:val="19"/>
                <w:color w:val="auto"/>
              </w:rPr>
            </w:pPr>
          </w:p>
        </w:tc>
      </w:tr>
      <w:tr>
        <w:trPr>
          <w:trHeight w:val="274"/>
        </w:trPr>
        <w:tc>
          <w:tcPr>
            <w:tcW w:w="2830" w:type="dxa"/>
            <w:vAlign w:val="bottom"/>
          </w:tcPr>
          <w:p>
            <w:pPr>
              <w:spacing w:after="0"/>
              <w:rPr>
                <w:sz w:val="23"/>
                <w:szCs w:val="23"/>
                <w:color w:val="auto"/>
              </w:rPr>
            </w:pPr>
          </w:p>
        </w:tc>
        <w:tc>
          <w:tcPr>
            <w:tcW w:w="8410" w:type="dxa"/>
            <w:vAlign w:val="bottom"/>
          </w:tcPr>
          <w:p>
            <w:pPr>
              <w:ind w:left="210"/>
              <w:spacing w:after="0"/>
              <w:rPr>
                <w:sz w:val="20"/>
                <w:szCs w:val="20"/>
                <w:color w:val="auto"/>
              </w:rPr>
            </w:pPr>
            <w:r>
              <w:rPr>
                <w:rFonts w:ascii="Arial" w:cs="Arial" w:eastAsia="Arial" w:hAnsi="Arial"/>
                <w:sz w:val="20"/>
                <w:szCs w:val="20"/>
                <w:color w:val="auto"/>
              </w:rPr>
              <w:t xml:space="preserve">exercise price, </w:t>
            </w:r>
            <w:r>
              <w:rPr>
                <w:rFonts w:ascii="Arial" w:cs="Arial" w:eastAsia="Arial" w:hAnsi="Arial"/>
                <w:sz w:val="20"/>
                <w:szCs w:val="20"/>
                <w:b w:val="1"/>
                <w:bCs w:val="1"/>
                <w:color w:val="582C83"/>
              </w:rPr>
              <w:t>for at least one additional year</w:t>
            </w:r>
          </w:p>
        </w:tc>
        <w:tc>
          <w:tcPr>
            <w:tcW w:w="20" w:type="dxa"/>
            <w:vAlign w:val="bottom"/>
          </w:tcPr>
          <w:p>
            <w:pPr>
              <w:spacing w:after="0"/>
              <w:rPr>
                <w:sz w:val="23"/>
                <w:szCs w:val="23"/>
                <w:color w:val="auto"/>
              </w:rPr>
            </w:pPr>
          </w:p>
        </w:tc>
      </w:tr>
      <w:tr>
        <w:trPr>
          <w:trHeight w:val="25"/>
        </w:trPr>
        <w:tc>
          <w:tcPr>
            <w:tcW w:w="2830" w:type="dxa"/>
            <w:vAlign w:val="bottom"/>
            <w:tcBorders>
              <w:bottom w:val="single" w:sz="8" w:color="582C83"/>
            </w:tcBorders>
          </w:tcPr>
          <w:p>
            <w:pPr>
              <w:spacing w:after="0"/>
              <w:rPr>
                <w:sz w:val="2"/>
                <w:szCs w:val="2"/>
                <w:color w:val="auto"/>
              </w:rPr>
            </w:pPr>
          </w:p>
        </w:tc>
        <w:tc>
          <w:tcPr>
            <w:tcW w:w="8410" w:type="dxa"/>
            <w:vAlign w:val="bottom"/>
            <w:tcBorders>
              <w:bottom w:val="single" w:sz="8" w:color="582C8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148" w:lineRule="exact"/>
        <w:rPr>
          <w:sz w:val="20"/>
          <w:szCs w:val="20"/>
          <w:color w:val="auto"/>
        </w:rPr>
      </w:pPr>
    </w:p>
    <w:p>
      <w:pPr>
        <w:ind w:left="1" w:right="140"/>
        <w:spacing w:after="0" w:line="250" w:lineRule="auto"/>
        <w:rPr>
          <w:sz w:val="20"/>
          <w:szCs w:val="20"/>
          <w:color w:val="auto"/>
        </w:rPr>
      </w:pPr>
      <w:r>
        <w:rPr>
          <w:rFonts w:ascii="Arial" w:cs="Arial" w:eastAsia="Arial" w:hAnsi="Arial"/>
          <w:sz w:val="20"/>
          <w:szCs w:val="20"/>
          <w:color w:val="auto"/>
        </w:rPr>
        <w:t>The People and Compensation Committee monitors our executives’ compliance with these requirements. As of March 8, 2023, all NEOs have satisfied, exceeded or were on track to meet their stock ownership requirements and adhered to the holding requirements.</w:t>
      </w:r>
    </w:p>
    <w:p>
      <w:pPr>
        <w:spacing w:after="0" w:line="126" w:lineRule="exact"/>
        <w:rPr>
          <w:sz w:val="20"/>
          <w:szCs w:val="20"/>
          <w:color w:val="auto"/>
        </w:rPr>
      </w:pPr>
    </w:p>
    <w:p>
      <w:pPr>
        <w:ind w:left="1" w:right="940"/>
        <w:spacing w:after="0" w:line="288" w:lineRule="auto"/>
        <w:rPr>
          <w:sz w:val="20"/>
          <w:szCs w:val="20"/>
          <w:color w:val="auto"/>
        </w:rPr>
      </w:pPr>
      <w:r>
        <w:rPr>
          <w:rFonts w:ascii="Arial" w:cs="Arial" w:eastAsia="Arial" w:hAnsi="Arial"/>
          <w:sz w:val="22"/>
          <w:szCs w:val="22"/>
          <w:b w:val="1"/>
          <w:bCs w:val="1"/>
          <w:color w:val="582C83"/>
        </w:rPr>
        <w:t>GOVERNANCE FRAMEWORK AROUND THE USE OF EARNINGS PER SHARE IN OUR INCENTIVE PROGRAMS</w:t>
      </w:r>
    </w:p>
    <w:p>
      <w:pPr>
        <w:spacing w:after="0" w:line="1" w:lineRule="exact"/>
        <w:rPr>
          <w:sz w:val="20"/>
          <w:szCs w:val="20"/>
          <w:color w:val="auto"/>
        </w:rPr>
      </w:pPr>
    </w:p>
    <w:p>
      <w:pPr>
        <w:ind w:left="1" w:right="80"/>
        <w:spacing w:after="0" w:line="239" w:lineRule="auto"/>
        <w:rPr>
          <w:sz w:val="20"/>
          <w:szCs w:val="20"/>
          <w:color w:val="auto"/>
        </w:rPr>
      </w:pPr>
      <w:r>
        <w:rPr>
          <w:rFonts w:ascii="Arial" w:cs="Arial" w:eastAsia="Arial" w:hAnsi="Arial"/>
          <w:sz w:val="20"/>
          <w:szCs w:val="20"/>
          <w:color w:val="auto"/>
        </w:rPr>
        <w:t>The People and Compensation Committee believes it is appropriate to base executive compensation on performance metrics that align with our external reporting framework and the means by which shareholders and other stakeholders measure our performance. Accordingly, the EPS metric we use in our long-term incentive program, like our external targets, accounts for our capital allocation plans for the year, including expected share repurchases. The People and Compensation Committee recognizes there are differing views among investors regarding whether share repurchases should be factored into EPS targets in executive compensation programs but believes our robust governance and compensation practices mitigate the risk that an executive would act imprudently. Specifically,</w:t>
      </w:r>
    </w:p>
    <w:p>
      <w:pPr>
        <w:spacing w:after="0" w:line="61" w:lineRule="exact"/>
        <w:rPr>
          <w:sz w:val="20"/>
          <w:szCs w:val="20"/>
          <w:color w:val="auto"/>
        </w:rPr>
      </w:pPr>
    </w:p>
    <w:p>
      <w:pPr>
        <w:ind w:left="161" w:right="60" w:hanging="161"/>
        <w:spacing w:after="0" w:line="268" w:lineRule="auto"/>
        <w:tabs>
          <w:tab w:leader="none" w:pos="161" w:val="left"/>
        </w:tabs>
        <w:numPr>
          <w:ilvl w:val="0"/>
          <w:numId w:val="79"/>
        </w:numPr>
        <w:rPr>
          <w:rFonts w:ascii="Arial" w:cs="Arial" w:eastAsia="Arial" w:hAnsi="Arial"/>
          <w:sz w:val="20"/>
          <w:szCs w:val="20"/>
          <w:color w:val="582C83"/>
        </w:rPr>
      </w:pPr>
      <w:r>
        <w:rPr>
          <w:rFonts w:ascii="Arial" w:cs="Arial" w:eastAsia="Arial" w:hAnsi="Arial"/>
          <w:sz w:val="20"/>
          <w:szCs w:val="20"/>
          <w:color w:val="auto"/>
        </w:rPr>
        <w:t>The People and Compensation Committee establishes the performance metrics and targets for both the annual and long-term incentive programs;</w:t>
      </w:r>
    </w:p>
    <w:p>
      <w:pPr>
        <w:spacing w:after="0" w:line="32" w:lineRule="exact"/>
        <w:rPr>
          <w:rFonts w:ascii="Arial" w:cs="Arial" w:eastAsia="Arial" w:hAnsi="Arial"/>
          <w:sz w:val="20"/>
          <w:szCs w:val="20"/>
          <w:color w:val="582C83"/>
        </w:rPr>
      </w:pPr>
    </w:p>
    <w:p>
      <w:pPr>
        <w:jc w:val="both"/>
        <w:ind w:left="161" w:right="320" w:hanging="161"/>
        <w:spacing w:after="0" w:line="250" w:lineRule="auto"/>
        <w:tabs>
          <w:tab w:leader="none" w:pos="161" w:val="left"/>
        </w:tabs>
        <w:numPr>
          <w:ilvl w:val="0"/>
          <w:numId w:val="79"/>
        </w:numPr>
        <w:rPr>
          <w:rFonts w:ascii="Arial" w:cs="Arial" w:eastAsia="Arial" w:hAnsi="Arial"/>
          <w:sz w:val="20"/>
          <w:szCs w:val="20"/>
          <w:color w:val="582C83"/>
        </w:rPr>
      </w:pPr>
      <w:r>
        <w:rPr>
          <w:rFonts w:ascii="Arial" w:cs="Arial" w:eastAsia="Arial" w:hAnsi="Arial"/>
          <w:sz w:val="20"/>
          <w:szCs w:val="20"/>
          <w:color w:val="auto"/>
        </w:rPr>
        <w:t>The Board oversees our capital allocation process and reviews a budget each year for capital deployment, including share repurchases, with the goal of balancing investment in growth and returning cash to shareholders (as demonstrated through our historical investments in capital expenditures and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115"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06" w:lineRule="exact"/>
        <w:rPr>
          <w:sz w:val="20"/>
          <w:szCs w:val="20"/>
          <w:color w:val="auto"/>
        </w:rPr>
      </w:pPr>
    </w:p>
    <w:p>
      <w:pPr>
        <w:ind w:left="9061"/>
        <w:spacing w:after="0"/>
        <w:rPr>
          <w:sz w:val="20"/>
          <w:szCs w:val="20"/>
          <w:color w:val="auto"/>
        </w:rPr>
      </w:pPr>
      <w:r>
        <w:rPr>
          <w:rFonts w:ascii="Arial" w:cs="Arial" w:eastAsia="Arial" w:hAnsi="Arial"/>
          <w:sz w:val="15"/>
          <w:szCs w:val="15"/>
          <w:b w:val="1"/>
          <w:bCs w:val="1"/>
          <w:color w:val="58358F"/>
        </w:rPr>
        <w:t>2023 PROXY STATEMENT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1"/>
          </w:cols>
          <w:pgMar w:left="319" w:top="132" w:right="319" w:bottom="1440" w:gutter="0" w:footer="0" w:header="0"/>
        </w:sectPr>
      </w:pPr>
    </w:p>
    <w:bookmarkStart w:id="95" w:name="page96"/>
    <w:bookmarkEnd w:id="95"/>
    <w:p>
      <w:pPr>
        <w:ind w:left="1"/>
        <w:spacing w:after="0"/>
        <w:rPr>
          <w:sz w:val="20"/>
          <w:szCs w:val="20"/>
          <w:color w:val="auto"/>
        </w:rPr>
      </w:pPr>
      <w:r>
        <w:rPr>
          <w:rFonts w:ascii="Arial" w:cs="Arial" w:eastAsia="Arial" w:hAnsi="Arial"/>
          <w:sz w:val="13"/>
          <w:szCs w:val="13"/>
          <w:u w:val="single" w:color="auto"/>
          <w:color w:val="0000EE"/>
        </w:rPr>
        <w:t>Back to Contents</w:t>
      </w:r>
    </w:p>
    <w:p>
      <w:pPr>
        <w:spacing w:after="0" w:line="200" w:lineRule="exact"/>
        <w:rPr>
          <w:sz w:val="20"/>
          <w:szCs w:val="20"/>
          <w:color w:val="auto"/>
        </w:rPr>
      </w:pPr>
    </w:p>
    <w:p>
      <w:pPr>
        <w:spacing w:after="0" w:line="265" w:lineRule="exact"/>
        <w:rPr>
          <w:sz w:val="20"/>
          <w:szCs w:val="20"/>
          <w:color w:val="auto"/>
        </w:rPr>
      </w:pPr>
    </w:p>
    <w:p>
      <w:pPr>
        <w:ind w:left="161" w:right="140" w:hanging="161"/>
        <w:spacing w:after="0" w:line="250" w:lineRule="auto"/>
        <w:tabs>
          <w:tab w:leader="none" w:pos="161" w:val="left"/>
        </w:tabs>
        <w:numPr>
          <w:ilvl w:val="0"/>
          <w:numId w:val="80"/>
        </w:numPr>
        <w:rPr>
          <w:rFonts w:ascii="Arial" w:cs="Arial" w:eastAsia="Arial" w:hAnsi="Arial"/>
          <w:sz w:val="20"/>
          <w:szCs w:val="20"/>
          <w:color w:val="582C83"/>
        </w:rPr>
      </w:pPr>
      <w:r>
        <w:rPr>
          <w:rFonts w:ascii="Arial" w:cs="Arial" w:eastAsia="Arial" w:hAnsi="Arial"/>
          <w:sz w:val="20"/>
          <w:szCs w:val="20"/>
          <w:color w:val="auto"/>
        </w:rPr>
        <w:t>The People and Compensation Committee designs the long-term incentive program with a mix of performance metrics such that even if executives were able to deploy an excessive amount of cash towards share repurchases to maximize EPS, there would be offsetting impact on other performance metrics, with no clear visibility towards increasing payouts; and</w:t>
      </w:r>
    </w:p>
    <w:p>
      <w:pPr>
        <w:spacing w:after="0" w:line="51" w:lineRule="exact"/>
        <w:rPr>
          <w:rFonts w:ascii="Arial" w:cs="Arial" w:eastAsia="Arial" w:hAnsi="Arial"/>
          <w:sz w:val="20"/>
          <w:szCs w:val="20"/>
          <w:color w:val="582C83"/>
        </w:rPr>
      </w:pPr>
    </w:p>
    <w:p>
      <w:pPr>
        <w:ind w:left="161" w:hanging="161"/>
        <w:spacing w:after="0"/>
        <w:tabs>
          <w:tab w:leader="none" w:pos="161" w:val="left"/>
        </w:tabs>
        <w:numPr>
          <w:ilvl w:val="0"/>
          <w:numId w:val="80"/>
        </w:numPr>
        <w:rPr>
          <w:rFonts w:ascii="Arial" w:cs="Arial" w:eastAsia="Arial" w:hAnsi="Arial"/>
          <w:sz w:val="20"/>
          <w:szCs w:val="20"/>
          <w:color w:val="582C83"/>
        </w:rPr>
      </w:pPr>
      <w:r>
        <w:rPr>
          <w:rFonts w:ascii="Arial" w:cs="Arial" w:eastAsia="Arial" w:hAnsi="Arial"/>
          <w:sz w:val="20"/>
          <w:szCs w:val="20"/>
          <w:color w:val="auto"/>
        </w:rPr>
        <w:t>EPS is not the most heavily weighted metric in the LTIP.</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582C83"/>
        </w:rPr>
        <w:t>CLAWBACK POLICY</w:t>
      </w:r>
    </w:p>
    <w:p>
      <w:pPr>
        <w:spacing w:after="0" w:line="94" w:lineRule="exact"/>
        <w:rPr>
          <w:sz w:val="20"/>
          <w:szCs w:val="20"/>
          <w:color w:val="auto"/>
        </w:rPr>
      </w:pPr>
    </w:p>
    <w:p>
      <w:pPr>
        <w:ind w:left="1" w:right="60"/>
        <w:spacing w:after="0" w:line="242" w:lineRule="auto"/>
        <w:rPr>
          <w:sz w:val="20"/>
          <w:szCs w:val="20"/>
          <w:color w:val="auto"/>
        </w:rPr>
      </w:pPr>
      <w:r>
        <w:rPr>
          <w:rFonts w:ascii="Arial" w:cs="Arial" w:eastAsia="Arial" w:hAnsi="Arial"/>
          <w:sz w:val="20"/>
          <w:szCs w:val="20"/>
          <w:color w:val="auto"/>
        </w:rPr>
        <w:t>The Board or an appropriate committee of the Board may determine the extent to which the Company should recoup the incentive-based compensation of any executive officer whose act or omission necessitated a restatement or who participated in significant misconduct. The Board or committee, in its discretion, may then take the actions it deems necessary or appropriate to address the events that gave rise to the restatement or misconduct and to prevent a recurrence. Those actions may include, to the extent permitted by applicable law:</w:t>
      </w:r>
    </w:p>
    <w:p>
      <w:pPr>
        <w:spacing w:after="0" w:line="57" w:lineRule="exact"/>
        <w:rPr>
          <w:sz w:val="20"/>
          <w:szCs w:val="20"/>
          <w:color w:val="auto"/>
        </w:rPr>
      </w:pPr>
    </w:p>
    <w:p>
      <w:pPr>
        <w:ind w:left="161" w:right="200" w:hanging="161"/>
        <w:spacing w:after="0" w:line="268" w:lineRule="auto"/>
        <w:tabs>
          <w:tab w:leader="none" w:pos="161" w:val="left"/>
        </w:tabs>
        <w:numPr>
          <w:ilvl w:val="0"/>
          <w:numId w:val="81"/>
        </w:numPr>
        <w:rPr>
          <w:rFonts w:ascii="Arial" w:cs="Arial" w:eastAsia="Arial" w:hAnsi="Arial"/>
          <w:sz w:val="20"/>
          <w:szCs w:val="20"/>
          <w:color w:val="582C83"/>
        </w:rPr>
      </w:pPr>
      <w:r>
        <w:rPr>
          <w:rFonts w:ascii="Arial" w:cs="Arial" w:eastAsia="Arial" w:hAnsi="Arial"/>
          <w:sz w:val="20"/>
          <w:szCs w:val="20"/>
          <w:color w:val="auto"/>
        </w:rPr>
        <w:t>Requiring a covered executive or executive officer to repay some or all of the incentive compensation granted or paid during the last three years, including annual incentive bonus and long-term incentive grants;</w:t>
      </w:r>
    </w:p>
    <w:p>
      <w:pPr>
        <w:spacing w:after="0" w:line="32" w:lineRule="exact"/>
        <w:rPr>
          <w:rFonts w:ascii="Arial" w:cs="Arial" w:eastAsia="Arial" w:hAnsi="Arial"/>
          <w:sz w:val="20"/>
          <w:szCs w:val="20"/>
          <w:color w:val="582C83"/>
        </w:rPr>
      </w:pPr>
    </w:p>
    <w:p>
      <w:pPr>
        <w:ind w:left="161" w:right="580" w:hanging="161"/>
        <w:spacing w:after="0" w:line="268" w:lineRule="auto"/>
        <w:tabs>
          <w:tab w:leader="none" w:pos="161" w:val="left"/>
        </w:tabs>
        <w:numPr>
          <w:ilvl w:val="0"/>
          <w:numId w:val="81"/>
        </w:numPr>
        <w:rPr>
          <w:rFonts w:ascii="Arial" w:cs="Arial" w:eastAsia="Arial" w:hAnsi="Arial"/>
          <w:sz w:val="20"/>
          <w:szCs w:val="20"/>
          <w:color w:val="582C83"/>
        </w:rPr>
      </w:pPr>
      <w:r>
        <w:rPr>
          <w:rFonts w:ascii="Arial" w:cs="Arial" w:eastAsia="Arial" w:hAnsi="Arial"/>
          <w:sz w:val="20"/>
          <w:szCs w:val="20"/>
          <w:color w:val="auto"/>
        </w:rPr>
        <w:t>Requiring a covered executive or executive officer to repay any gains realized on the exercise of stock options or on the open-market sale of vested shares occurring in the previous three years;</w:t>
      </w:r>
    </w:p>
    <w:p>
      <w:pPr>
        <w:spacing w:after="0" w:line="32" w:lineRule="exact"/>
        <w:rPr>
          <w:rFonts w:ascii="Arial" w:cs="Arial" w:eastAsia="Arial" w:hAnsi="Arial"/>
          <w:sz w:val="20"/>
          <w:szCs w:val="20"/>
          <w:color w:val="582C83"/>
        </w:rPr>
      </w:pPr>
    </w:p>
    <w:p>
      <w:pPr>
        <w:ind w:left="161" w:right="220" w:hanging="161"/>
        <w:spacing w:after="0" w:line="268" w:lineRule="auto"/>
        <w:tabs>
          <w:tab w:leader="none" w:pos="161" w:val="left"/>
        </w:tabs>
        <w:numPr>
          <w:ilvl w:val="0"/>
          <w:numId w:val="81"/>
        </w:numPr>
        <w:rPr>
          <w:rFonts w:ascii="Arial" w:cs="Arial" w:eastAsia="Arial" w:hAnsi="Arial"/>
          <w:sz w:val="20"/>
          <w:szCs w:val="20"/>
          <w:color w:val="582C83"/>
        </w:rPr>
      </w:pPr>
      <w:r>
        <w:rPr>
          <w:rFonts w:ascii="Arial" w:cs="Arial" w:eastAsia="Arial" w:hAnsi="Arial"/>
          <w:sz w:val="20"/>
          <w:szCs w:val="20"/>
          <w:color w:val="auto"/>
        </w:rPr>
        <w:t>Canceling some, or all, of a covered executive or executive officer’s restricted stock or deferred stock unit grants, PSUs and outstanding stock options;</w:t>
      </w:r>
    </w:p>
    <w:p>
      <w:pPr>
        <w:spacing w:after="0" w:line="32" w:lineRule="exact"/>
        <w:rPr>
          <w:rFonts w:ascii="Arial" w:cs="Arial" w:eastAsia="Arial" w:hAnsi="Arial"/>
          <w:sz w:val="20"/>
          <w:szCs w:val="20"/>
          <w:color w:val="582C83"/>
        </w:rPr>
      </w:pPr>
    </w:p>
    <w:p>
      <w:pPr>
        <w:ind w:left="161" w:hanging="161"/>
        <w:spacing w:after="0"/>
        <w:tabs>
          <w:tab w:leader="none" w:pos="161" w:val="left"/>
        </w:tabs>
        <w:numPr>
          <w:ilvl w:val="0"/>
          <w:numId w:val="81"/>
        </w:numPr>
        <w:rPr>
          <w:rFonts w:ascii="Arial" w:cs="Arial" w:eastAsia="Arial" w:hAnsi="Arial"/>
          <w:sz w:val="20"/>
          <w:szCs w:val="20"/>
          <w:color w:val="582C83"/>
        </w:rPr>
      </w:pPr>
      <w:r>
        <w:rPr>
          <w:rFonts w:ascii="Arial" w:cs="Arial" w:eastAsia="Arial" w:hAnsi="Arial"/>
          <w:sz w:val="20"/>
          <w:szCs w:val="20"/>
          <w:color w:val="auto"/>
        </w:rPr>
        <w:t>Adjusting a covered executive or executive officer’s future compensation;</w:t>
      </w:r>
    </w:p>
    <w:p>
      <w:pPr>
        <w:spacing w:after="0" w:line="92" w:lineRule="exact"/>
        <w:rPr>
          <w:rFonts w:ascii="Arial" w:cs="Arial" w:eastAsia="Arial" w:hAnsi="Arial"/>
          <w:sz w:val="20"/>
          <w:szCs w:val="20"/>
          <w:color w:val="582C83"/>
        </w:rPr>
      </w:pPr>
    </w:p>
    <w:p>
      <w:pPr>
        <w:ind w:left="161" w:hanging="161"/>
        <w:spacing w:after="0"/>
        <w:tabs>
          <w:tab w:leader="none" w:pos="161" w:val="left"/>
        </w:tabs>
        <w:numPr>
          <w:ilvl w:val="0"/>
          <w:numId w:val="81"/>
        </w:numPr>
        <w:rPr>
          <w:rFonts w:ascii="Arial" w:cs="Arial" w:eastAsia="Arial" w:hAnsi="Arial"/>
          <w:sz w:val="20"/>
          <w:szCs w:val="20"/>
          <w:color w:val="582C83"/>
        </w:rPr>
      </w:pPr>
      <w:r>
        <w:rPr>
          <w:rFonts w:ascii="Arial" w:cs="Arial" w:eastAsia="Arial" w:hAnsi="Arial"/>
          <w:sz w:val="20"/>
          <w:szCs w:val="20"/>
          <w:color w:val="auto"/>
        </w:rPr>
        <w:t>Terminating a covered executive or executive officer; and/or</w:t>
      </w:r>
    </w:p>
    <w:p>
      <w:pPr>
        <w:spacing w:after="0" w:line="92" w:lineRule="exact"/>
        <w:rPr>
          <w:rFonts w:ascii="Arial" w:cs="Arial" w:eastAsia="Arial" w:hAnsi="Arial"/>
          <w:sz w:val="20"/>
          <w:szCs w:val="20"/>
          <w:color w:val="582C83"/>
        </w:rPr>
      </w:pPr>
    </w:p>
    <w:p>
      <w:pPr>
        <w:ind w:left="161" w:hanging="161"/>
        <w:spacing w:after="0"/>
        <w:tabs>
          <w:tab w:leader="none" w:pos="161" w:val="left"/>
        </w:tabs>
        <w:numPr>
          <w:ilvl w:val="0"/>
          <w:numId w:val="81"/>
        </w:numPr>
        <w:rPr>
          <w:rFonts w:ascii="Arial" w:cs="Arial" w:eastAsia="Arial" w:hAnsi="Arial"/>
          <w:sz w:val="20"/>
          <w:szCs w:val="20"/>
          <w:color w:val="582C83"/>
        </w:rPr>
      </w:pPr>
      <w:r>
        <w:rPr>
          <w:rFonts w:ascii="Arial" w:cs="Arial" w:eastAsia="Arial" w:hAnsi="Arial"/>
          <w:sz w:val="20"/>
          <w:szCs w:val="20"/>
          <w:color w:val="auto"/>
        </w:rPr>
        <w:t>Initiating legal action against a covered executive or executive officer.</w:t>
      </w:r>
    </w:p>
    <w:p>
      <w:pPr>
        <w:spacing w:after="0" w:line="167" w:lineRule="exact"/>
        <w:rPr>
          <w:sz w:val="20"/>
          <w:szCs w:val="20"/>
          <w:color w:val="auto"/>
        </w:rPr>
      </w:pPr>
    </w:p>
    <w:p>
      <w:pPr>
        <w:ind w:left="1"/>
        <w:spacing w:after="0" w:line="268" w:lineRule="auto"/>
        <w:rPr>
          <w:sz w:val="20"/>
          <w:szCs w:val="20"/>
          <w:color w:val="auto"/>
        </w:rPr>
      </w:pPr>
      <w:r>
        <w:rPr>
          <w:rFonts w:ascii="Arial" w:cs="Arial" w:eastAsia="Arial" w:hAnsi="Arial"/>
          <w:sz w:val="20"/>
          <w:szCs w:val="20"/>
          <w:color w:val="auto"/>
        </w:rPr>
        <w:t>We intend to timely update our policy as necessary to comply with Nasdaq’s final listing standards rules implementing the Dodd-Frank Wall Street Reform and Consumer Protection Act clawback requirements and related SEC rules, as appropriate.</w:t>
      </w:r>
    </w:p>
    <w:p>
      <w:pPr>
        <w:spacing w:after="0" w:line="10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582C83"/>
        </w:rPr>
        <w:t>TRADING RESTRICTIONS, ANTI-HEDGING AND ANTI-PLEDGING POLICY</w:t>
      </w:r>
    </w:p>
    <w:p>
      <w:pPr>
        <w:spacing w:after="0" w:line="94" w:lineRule="exact"/>
        <w:rPr>
          <w:sz w:val="20"/>
          <w:szCs w:val="20"/>
          <w:color w:val="auto"/>
        </w:rPr>
      </w:pPr>
    </w:p>
    <w:p>
      <w:pPr>
        <w:ind w:left="1" w:right="20"/>
        <w:spacing w:after="0" w:line="236" w:lineRule="auto"/>
        <w:rPr>
          <w:sz w:val="20"/>
          <w:szCs w:val="20"/>
          <w:color w:val="auto"/>
        </w:rPr>
      </w:pPr>
      <w:r>
        <w:rPr>
          <w:rFonts w:ascii="Arial" w:cs="Arial" w:eastAsia="Arial" w:hAnsi="Arial"/>
          <w:sz w:val="20"/>
          <w:szCs w:val="20"/>
          <w:color w:val="auto"/>
        </w:rPr>
        <w:t>Our Insider Trading Policy prohibits our employees, including our executive officers and our directors (together, “Mondelēz International Personnel”) from engaging in transactions involving Mondelēz International, Inc.-based or Mondelēz International, Inc. subsidiary-based derivative securities, short-selling or hedging transactions that create an actual or potential bet against Mondelēz International, Inc. or one of its subsidiaries. Derivative securities include options, warrants, convertible securities, stock appreciation rights or similar rights whose value is derived from the value of an equity security, such as Mondelēz International, Inc. stock. This prohibition includes, but is not limited to, trading in Mondelēz International, Inc.-based or Mondelēz International, Inc. subsidiary-based option contracts (for</w:t>
      </w:r>
      <w:r>
        <w:rPr>
          <w:rFonts w:ascii="Times New Roman" w:cs="Times New Roman" w:eastAsia="Times New Roman" w:hAnsi="Times New Roman"/>
          <w:sz w:val="20"/>
          <w:szCs w:val="20"/>
          <w:color w:val="auto"/>
        </w:rPr>
        <w:t> </w:t>
      </w:r>
      <w:r>
        <w:rPr>
          <w:rFonts w:ascii="Arial" w:cs="Arial" w:eastAsia="Arial" w:hAnsi="Arial"/>
          <w:sz w:val="20"/>
          <w:szCs w:val="20"/>
          <w:color w:val="auto"/>
        </w:rPr>
        <w:t>example, buying and/or writing puts and calls or transacting in straddles). This prohibition also applies to family members who reside with Mondelēz International Personnel, others who live in their households (except tenants or staff), any family members who do not live in their households but whose transactions in securities they direct or are subject to their influence or control, any corporations or other business entities controlled or managed by Mondelēz International Personnel and any trusts of which Mondelēz International Personnel are the trustee or over which they otherwise have investment control.</w:t>
      </w:r>
    </w:p>
    <w:p>
      <w:pPr>
        <w:spacing w:after="0" w:line="141" w:lineRule="exact"/>
        <w:rPr>
          <w:sz w:val="20"/>
          <w:szCs w:val="20"/>
          <w:color w:val="auto"/>
        </w:rPr>
      </w:pPr>
    </w:p>
    <w:p>
      <w:pPr>
        <w:ind w:left="1" w:right="300"/>
        <w:spacing w:after="0" w:line="244" w:lineRule="auto"/>
        <w:rPr>
          <w:sz w:val="20"/>
          <w:szCs w:val="20"/>
          <w:color w:val="auto"/>
        </w:rPr>
      </w:pPr>
      <w:r>
        <w:rPr>
          <w:rFonts w:ascii="Arial" w:cs="Arial" w:eastAsia="Arial" w:hAnsi="Arial"/>
          <w:sz w:val="20"/>
          <w:szCs w:val="20"/>
          <w:color w:val="auto"/>
        </w:rPr>
        <w:t>In addition, our insider trading policy allows Section 16 officers to trade Company securities only during open window periods and only after they have pre-cleared transactions with the Corporate Secretary and prohibits our directors, executive officers and certain additional executives from holding Mondelēz International securities in a margin account or pledging Mondelēz International securities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43115"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96" w:name="page97"/>
    <w:bookmarkEnd w:id="96"/>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TAX DEDUCTIBILITY</w:t>
      </w:r>
    </w:p>
    <w:p>
      <w:pPr>
        <w:spacing w:after="0" w:line="94" w:lineRule="exact"/>
        <w:rPr>
          <w:sz w:val="20"/>
          <w:szCs w:val="20"/>
          <w:color w:val="auto"/>
        </w:rPr>
      </w:pPr>
    </w:p>
    <w:p>
      <w:pPr>
        <w:ind w:right="140"/>
        <w:spacing w:after="0" w:line="242" w:lineRule="auto"/>
        <w:rPr>
          <w:sz w:val="20"/>
          <w:szCs w:val="20"/>
          <w:color w:val="auto"/>
        </w:rPr>
      </w:pPr>
      <w:r>
        <w:rPr>
          <w:rFonts w:ascii="Arial" w:cs="Arial" w:eastAsia="Arial" w:hAnsi="Arial"/>
          <w:sz w:val="20"/>
          <w:szCs w:val="20"/>
          <w:color w:val="auto"/>
        </w:rPr>
        <w:t>Section 162(m) of the Code generally places a limit of $1 million per year on the amount of compensation paid to certain “covered employees” (a term that includes our NEOs) that may be deducted. The People and Compensation Committee believes that shareholder interests are best served if it retains discretion and flexibility in awarding compensation. Even though some compensation awards may result in non-deductible compensation expenses, the People and Compensation Committee intends to maintain strong pay-for-performance alignment of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43115"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7" w:name="page98"/>
    <w:bookmarkEnd w:id="97"/>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320040</wp:posOffset>
            </wp:positionV>
            <wp:extent cx="6307455" cy="1545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0"/>
        <w:spacing w:after="0"/>
        <w:rPr>
          <w:sz w:val="20"/>
          <w:szCs w:val="20"/>
          <w:color w:val="auto"/>
        </w:rPr>
      </w:pPr>
      <w:r>
        <w:rPr>
          <w:rFonts w:ascii="Arial" w:cs="Arial" w:eastAsia="Arial" w:hAnsi="Arial"/>
          <w:sz w:val="43"/>
          <w:szCs w:val="43"/>
          <w:b w:val="1"/>
          <w:bCs w:val="1"/>
          <w:color w:val="582C83"/>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00"/>
        <w:spacing w:after="0"/>
        <w:rPr>
          <w:sz w:val="20"/>
          <w:szCs w:val="20"/>
          <w:color w:val="auto"/>
        </w:rPr>
      </w:pPr>
      <w:r>
        <w:rPr>
          <w:sz w:val="1"/>
          <w:szCs w:val="1"/>
          <w:color w:val="auto"/>
        </w:rPr>
        <w:drawing>
          <wp:inline distT="0" distB="0" distL="0" distR="0">
            <wp:extent cx="157480" cy="157480"/>
            <wp:effectExtent l="0" t="0" r="0" b="0"/>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2022 Summary Compensation Table</w:t>
      </w:r>
    </w:p>
    <w:p>
      <w:pPr>
        <w:spacing w:after="0" w:line="239" w:lineRule="exact"/>
        <w:rPr>
          <w:sz w:val="20"/>
          <w:szCs w:val="20"/>
          <w:color w:val="auto"/>
        </w:rPr>
      </w:pPr>
    </w:p>
    <w:p>
      <w:pPr>
        <w:jc w:val="right"/>
        <w:ind w:right="4020"/>
        <w:spacing w:after="0"/>
        <w:rPr>
          <w:sz w:val="20"/>
          <w:szCs w:val="20"/>
          <w:color w:val="auto"/>
        </w:rPr>
      </w:pPr>
      <w:r>
        <w:rPr>
          <w:rFonts w:ascii="Arial" w:cs="Arial" w:eastAsia="Arial" w:hAnsi="Arial"/>
          <w:sz w:val="15"/>
          <w:szCs w:val="15"/>
          <w:b w:val="1"/>
          <w:bCs w:val="1"/>
          <w:color w:val="auto"/>
        </w:rPr>
        <w:t>Non-Equity</w:t>
      </w:r>
    </w:p>
    <w:p>
      <w:pPr>
        <w:spacing w:after="0" w:line="15" w:lineRule="exact"/>
        <w:rPr>
          <w:sz w:val="20"/>
          <w:szCs w:val="20"/>
          <w:color w:val="auto"/>
        </w:rPr>
      </w:pPr>
    </w:p>
    <w:p>
      <w:pPr>
        <w:jc w:val="right"/>
        <w:ind w:right="4020"/>
        <w:spacing w:after="0"/>
        <w:rPr>
          <w:sz w:val="20"/>
          <w:szCs w:val="20"/>
          <w:color w:val="auto"/>
        </w:rPr>
      </w:pPr>
      <w:r>
        <w:rPr>
          <w:rFonts w:ascii="Arial" w:cs="Arial" w:eastAsia="Arial" w:hAnsi="Arial"/>
          <w:sz w:val="15"/>
          <w:szCs w:val="15"/>
          <w:b w:val="1"/>
          <w:bCs w:val="1"/>
          <w:color w:val="auto"/>
        </w:rPr>
        <w:t>Incentive Plan</w:t>
      </w:r>
    </w:p>
    <w:p>
      <w:pPr>
        <w:spacing w:after="0" w:line="25" w:lineRule="exact"/>
        <w:rPr>
          <w:sz w:val="20"/>
          <w:szCs w:val="20"/>
          <w:color w:val="auto"/>
        </w:rPr>
      </w:pPr>
    </w:p>
    <w:p>
      <w:pPr>
        <w:jc w:val="right"/>
        <w:ind w:right="4020"/>
        <w:spacing w:after="0"/>
        <w:rPr>
          <w:sz w:val="20"/>
          <w:szCs w:val="20"/>
          <w:color w:val="auto"/>
        </w:rPr>
      </w:pPr>
      <w:r>
        <w:rPr>
          <w:rFonts w:ascii="Arial" w:cs="Arial" w:eastAsia="Arial" w:hAnsi="Arial"/>
          <w:sz w:val="15"/>
          <w:szCs w:val="15"/>
          <w:b w:val="1"/>
          <w:bCs w:val="1"/>
          <w:color w:val="auto"/>
        </w:rPr>
        <w:t>Compensation</w:t>
      </w:r>
    </w:p>
    <w:p>
      <w:pPr>
        <w:spacing w:after="0" w:line="39" w:lineRule="exact"/>
        <w:rPr>
          <w:sz w:val="20"/>
          <w:szCs w:val="20"/>
          <w:color w:val="auto"/>
        </w:rPr>
      </w:pPr>
    </w:p>
    <w:tbl>
      <w:tblPr>
        <w:tblLayout w:type="fixed"/>
        <w:tblInd w:w="660" w:type="dxa"/>
        <w:tblCellMar>
          <w:top w:w="0" w:type="dxa"/>
          <w:left w:w="0" w:type="dxa"/>
          <w:bottom w:w="0" w:type="dxa"/>
          <w:right w:w="0" w:type="dxa"/>
        </w:tblCellMar>
      </w:tblPr>
      <w:tr>
        <w:trPr>
          <w:trHeight w:val="211"/>
        </w:trPr>
        <w:tc>
          <w:tcPr>
            <w:tcW w:w="2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5"/>
                <w:szCs w:val="15"/>
                <w:b w:val="1"/>
                <w:bCs w:val="1"/>
                <w:color w:val="auto"/>
              </w:rPr>
              <w:t>Annual</w:t>
            </w:r>
          </w:p>
        </w:tc>
        <w:tc>
          <w:tcPr>
            <w:tcW w:w="900" w:type="dxa"/>
            <w:vAlign w:val="bottom"/>
          </w:tcPr>
          <w:p>
            <w:pPr>
              <w:jc w:val="right"/>
              <w:ind w:right="21"/>
              <w:spacing w:after="0"/>
              <w:rPr>
                <w:sz w:val="20"/>
                <w:szCs w:val="20"/>
                <w:color w:val="auto"/>
              </w:rPr>
            </w:pPr>
            <w:r>
              <w:rPr>
                <w:rFonts w:ascii="Arial" w:cs="Arial" w:eastAsia="Arial" w:hAnsi="Arial"/>
                <w:sz w:val="15"/>
                <w:szCs w:val="15"/>
                <w:b w:val="1"/>
                <w:bCs w:val="1"/>
                <w:color w:val="auto"/>
              </w:rPr>
              <w:t>Change in</w:t>
            </w: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Stock</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Option</w:t>
            </w:r>
          </w:p>
        </w:tc>
        <w:tc>
          <w:tcPr>
            <w:tcW w:w="1200" w:type="dxa"/>
            <w:vAlign w:val="bottom"/>
          </w:tcPr>
          <w:p>
            <w:pPr>
              <w:jc w:val="right"/>
              <w:ind w:right="1"/>
              <w:spacing w:after="0"/>
              <w:rPr>
                <w:sz w:val="20"/>
                <w:szCs w:val="20"/>
                <w:color w:val="auto"/>
              </w:rPr>
            </w:pPr>
            <w:r>
              <w:rPr>
                <w:rFonts w:ascii="Arial" w:cs="Arial" w:eastAsia="Arial" w:hAnsi="Arial"/>
                <w:sz w:val="15"/>
                <w:szCs w:val="15"/>
                <w:b w:val="1"/>
                <w:bCs w:val="1"/>
                <w:color w:val="auto"/>
              </w:rPr>
              <w:t>Incentive</w:t>
            </w:r>
          </w:p>
        </w:tc>
        <w:tc>
          <w:tcPr>
            <w:tcW w:w="900" w:type="dxa"/>
            <w:vAlign w:val="bottom"/>
          </w:tcPr>
          <w:p>
            <w:pPr>
              <w:jc w:val="right"/>
              <w:ind w:right="21"/>
              <w:spacing w:after="0"/>
              <w:rPr>
                <w:sz w:val="20"/>
                <w:szCs w:val="20"/>
                <w:color w:val="auto"/>
              </w:rPr>
            </w:pPr>
            <w:r>
              <w:rPr>
                <w:rFonts w:ascii="Arial" w:cs="Arial" w:eastAsia="Arial" w:hAnsi="Arial"/>
                <w:sz w:val="15"/>
                <w:szCs w:val="15"/>
                <w:b w:val="1"/>
                <w:bCs w:val="1"/>
                <w:color w:val="auto"/>
              </w:rPr>
              <w:t>Pension</w:t>
            </w:r>
          </w:p>
        </w:tc>
        <w:tc>
          <w:tcPr>
            <w:tcW w:w="1280" w:type="dxa"/>
            <w:vAlign w:val="bottom"/>
          </w:tcPr>
          <w:p>
            <w:pPr>
              <w:jc w:val="right"/>
              <w:ind w:right="20"/>
              <w:spacing w:after="0"/>
              <w:rPr>
                <w:sz w:val="20"/>
                <w:szCs w:val="20"/>
                <w:color w:val="auto"/>
              </w:rPr>
            </w:pPr>
            <w:r>
              <w:rPr>
                <w:rFonts w:ascii="Arial" w:cs="Arial" w:eastAsia="Arial" w:hAnsi="Arial"/>
                <w:sz w:val="15"/>
                <w:szCs w:val="15"/>
                <w:b w:val="1"/>
                <w:bCs w:val="1"/>
                <w:color w:val="auto"/>
              </w:rPr>
              <w:t>All Other</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49"/>
        </w:trPr>
        <w:tc>
          <w:tcPr>
            <w:tcW w:w="2000" w:type="dxa"/>
            <w:vAlign w:val="bottom"/>
          </w:tcPr>
          <w:p>
            <w:pPr>
              <w:ind w:left="80"/>
              <w:spacing w:after="0"/>
              <w:rPr>
                <w:sz w:val="20"/>
                <w:szCs w:val="20"/>
                <w:color w:val="auto"/>
              </w:rPr>
            </w:pPr>
            <w:r>
              <w:rPr>
                <w:rFonts w:ascii="Arial" w:cs="Arial" w:eastAsia="Arial" w:hAnsi="Arial"/>
                <w:sz w:val="15"/>
                <w:szCs w:val="15"/>
                <w:b w:val="1"/>
                <w:bCs w:val="1"/>
                <w:color w:val="auto"/>
              </w:rPr>
              <w:t>Name and</w:t>
            </w:r>
          </w:p>
        </w:tc>
        <w:tc>
          <w:tcPr>
            <w:tcW w:w="600" w:type="dxa"/>
            <w:vAlign w:val="bottom"/>
          </w:tcPr>
          <w:p>
            <w:pPr>
              <w:spacing w:after="0"/>
              <w:rPr>
                <w:sz w:val="21"/>
                <w:szCs w:val="21"/>
                <w:color w:val="auto"/>
              </w:rPr>
            </w:pPr>
          </w:p>
        </w:tc>
        <w:tc>
          <w:tcPr>
            <w:tcW w:w="880" w:type="dxa"/>
            <w:vAlign w:val="bottom"/>
          </w:tcPr>
          <w:p>
            <w:pPr>
              <w:jc w:val="right"/>
              <w:spacing w:after="0" w:line="249" w:lineRule="exact"/>
              <w:rPr>
                <w:sz w:val="20"/>
                <w:szCs w:val="20"/>
                <w:color w:val="auto"/>
              </w:rPr>
            </w:pPr>
            <w:r>
              <w:rPr>
                <w:rFonts w:ascii="Arial" w:cs="Arial" w:eastAsia="Arial" w:hAnsi="Arial"/>
                <w:sz w:val="15"/>
                <w:szCs w:val="15"/>
                <w:b w:val="1"/>
                <w:bCs w:val="1"/>
                <w:color w:val="auto"/>
              </w:rPr>
              <w:t>Salary</w:t>
            </w:r>
            <w:r>
              <w:rPr>
                <w:rFonts w:ascii="Arial" w:cs="Arial" w:eastAsia="Arial" w:hAnsi="Arial"/>
                <w:sz w:val="24"/>
                <w:szCs w:val="24"/>
                <w:b w:val="1"/>
                <w:bCs w:val="1"/>
                <w:color w:val="auto"/>
                <w:vertAlign w:val="superscript"/>
              </w:rPr>
              <w:t>(1)</w:t>
            </w:r>
          </w:p>
        </w:tc>
        <w:tc>
          <w:tcPr>
            <w:tcW w:w="980" w:type="dxa"/>
            <w:vAlign w:val="bottom"/>
          </w:tcPr>
          <w:p>
            <w:pPr>
              <w:jc w:val="right"/>
              <w:spacing w:after="0" w:line="249"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4"/>
                <w:szCs w:val="24"/>
                <w:b w:val="1"/>
                <w:bCs w:val="1"/>
                <w:color w:val="auto"/>
                <w:vertAlign w:val="superscript"/>
              </w:rPr>
              <w:t>(2)</w:t>
            </w:r>
          </w:p>
        </w:tc>
        <w:tc>
          <w:tcPr>
            <w:tcW w:w="980" w:type="dxa"/>
            <w:vAlign w:val="bottom"/>
          </w:tcPr>
          <w:p>
            <w:pPr>
              <w:jc w:val="right"/>
              <w:spacing w:after="0" w:line="249"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4"/>
                <w:szCs w:val="24"/>
                <w:b w:val="1"/>
                <w:bCs w:val="1"/>
                <w:color w:val="auto"/>
                <w:vertAlign w:val="superscript"/>
              </w:rPr>
              <w:t>(3)</w:t>
            </w:r>
          </w:p>
        </w:tc>
        <w:tc>
          <w:tcPr>
            <w:tcW w:w="1200" w:type="dxa"/>
            <w:vAlign w:val="bottom"/>
          </w:tcPr>
          <w:p>
            <w:pPr>
              <w:jc w:val="right"/>
              <w:ind w:right="1"/>
              <w:spacing w:after="0" w:line="249"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4"/>
                <w:szCs w:val="24"/>
                <w:b w:val="1"/>
                <w:bCs w:val="1"/>
                <w:color w:val="auto"/>
                <w:vertAlign w:val="superscript"/>
              </w:rPr>
              <w:t>(4)</w:t>
            </w:r>
          </w:p>
        </w:tc>
        <w:tc>
          <w:tcPr>
            <w:tcW w:w="3300" w:type="dxa"/>
            <w:vAlign w:val="bottom"/>
            <w:gridSpan w:val="3"/>
          </w:tcPr>
          <w:p>
            <w:pPr>
              <w:jc w:val="right"/>
              <w:spacing w:after="0" w:line="249" w:lineRule="exact"/>
              <w:rPr>
                <w:sz w:val="20"/>
                <w:szCs w:val="20"/>
                <w:color w:val="auto"/>
              </w:rPr>
            </w:pPr>
            <w:r>
              <w:rPr>
                <w:rFonts w:ascii="Arial" w:cs="Arial" w:eastAsia="Arial" w:hAnsi="Arial"/>
                <w:sz w:val="15"/>
                <w:szCs w:val="15"/>
                <w:b w:val="1"/>
                <w:bCs w:val="1"/>
                <w:color w:val="auto"/>
              </w:rPr>
              <w:t>Value</w:t>
            </w:r>
            <w:r>
              <w:rPr>
                <w:rFonts w:ascii="Arial" w:cs="Arial" w:eastAsia="Arial" w:hAnsi="Arial"/>
                <w:sz w:val="24"/>
                <w:szCs w:val="24"/>
                <w:b w:val="1"/>
                <w:bCs w:val="1"/>
                <w:color w:val="auto"/>
                <w:vertAlign w:val="superscript"/>
              </w:rPr>
              <w:t>(5)</w:t>
            </w:r>
            <w:r>
              <w:rPr>
                <w:rFonts w:ascii="Arial" w:cs="Arial" w:eastAsia="Arial" w:hAnsi="Arial"/>
                <w:sz w:val="15"/>
                <w:szCs w:val="15"/>
                <w:b w:val="1"/>
                <w:bCs w:val="1"/>
                <w:color w:val="auto"/>
              </w:rPr>
              <w:t xml:space="preserve">  Compensation</w:t>
            </w:r>
            <w:r>
              <w:rPr>
                <w:rFonts w:ascii="Arial" w:cs="Arial" w:eastAsia="Arial" w:hAnsi="Arial"/>
                <w:sz w:val="24"/>
                <w:szCs w:val="24"/>
                <w:b w:val="1"/>
                <w:bCs w:val="1"/>
                <w:color w:val="auto"/>
                <w:vertAlign w:val="superscript"/>
              </w:rPr>
              <w:t>(6)</w:t>
            </w:r>
            <w:r>
              <w:rPr>
                <w:rFonts w:ascii="Arial" w:cs="Arial" w:eastAsia="Arial" w:hAnsi="Arial"/>
                <w:sz w:val="15"/>
                <w:szCs w:val="15"/>
                <w:b w:val="1"/>
                <w:bCs w:val="1"/>
                <w:color w:val="auto"/>
              </w:rPr>
              <w:t xml:space="preserve">  Compensation</w:t>
            </w:r>
          </w:p>
        </w:tc>
        <w:tc>
          <w:tcPr>
            <w:tcW w:w="0" w:type="dxa"/>
            <w:vAlign w:val="bottom"/>
          </w:tcPr>
          <w:p>
            <w:pPr>
              <w:spacing w:after="0"/>
              <w:rPr>
                <w:sz w:val="1"/>
                <w:szCs w:val="1"/>
                <w:color w:val="auto"/>
              </w:rPr>
            </w:pPr>
          </w:p>
        </w:tc>
      </w:tr>
      <w:tr>
        <w:trPr>
          <w:trHeight w:val="228"/>
        </w:trPr>
        <w:tc>
          <w:tcPr>
            <w:tcW w:w="2000" w:type="dxa"/>
            <w:vAlign w:val="bottom"/>
            <w:tcBorders>
              <w:bottom w:val="single" w:sz="8" w:color="582C83"/>
            </w:tcBorders>
          </w:tcPr>
          <w:p>
            <w:pPr>
              <w:ind w:left="80"/>
              <w:spacing w:after="0"/>
              <w:rPr>
                <w:sz w:val="20"/>
                <w:szCs w:val="20"/>
                <w:color w:val="auto"/>
              </w:rPr>
            </w:pPr>
            <w:r>
              <w:rPr>
                <w:rFonts w:ascii="Arial" w:cs="Arial" w:eastAsia="Arial" w:hAnsi="Arial"/>
                <w:sz w:val="15"/>
                <w:szCs w:val="15"/>
                <w:b w:val="1"/>
                <w:bCs w:val="1"/>
                <w:color w:val="auto"/>
              </w:rPr>
              <w:t>Principal Position</w:t>
            </w:r>
          </w:p>
        </w:tc>
        <w:tc>
          <w:tcPr>
            <w:tcW w:w="600" w:type="dxa"/>
            <w:vAlign w:val="bottom"/>
            <w:tcBorders>
              <w:bottom w:val="single" w:sz="8" w:color="582C83"/>
            </w:tcBorders>
          </w:tcPr>
          <w:p>
            <w:pPr>
              <w:jc w:val="right"/>
              <w:ind w:right="20"/>
              <w:spacing w:after="0"/>
              <w:rPr>
                <w:sz w:val="20"/>
                <w:szCs w:val="20"/>
                <w:color w:val="auto"/>
              </w:rPr>
            </w:pPr>
            <w:r>
              <w:rPr>
                <w:rFonts w:ascii="Arial" w:cs="Arial" w:eastAsia="Arial" w:hAnsi="Arial"/>
                <w:sz w:val="15"/>
                <w:szCs w:val="15"/>
                <w:b w:val="1"/>
                <w:bCs w:val="1"/>
                <w:color w:val="auto"/>
              </w:rPr>
              <w:t>Year</w:t>
            </w:r>
          </w:p>
        </w:tc>
        <w:tc>
          <w:tcPr>
            <w:tcW w:w="880" w:type="dxa"/>
            <w:vAlign w:val="bottom"/>
            <w:tcBorders>
              <w:bottom w:val="single" w:sz="8" w:color="582C83"/>
            </w:tcBorders>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582C83"/>
            </w:tcBorders>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582C83"/>
            </w:tcBorders>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582C83"/>
            </w:tcBorders>
          </w:tcPr>
          <w:p>
            <w:pPr>
              <w:jc w:val="right"/>
              <w:ind w:right="1"/>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582C83"/>
            </w:tcBorders>
          </w:tcPr>
          <w:p>
            <w:pPr>
              <w:jc w:val="right"/>
              <w:ind w:right="21"/>
              <w:spacing w:after="0"/>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582C83"/>
            </w:tcBorders>
          </w:tcPr>
          <w:p>
            <w:pPr>
              <w:jc w:val="right"/>
              <w:ind w:right="20"/>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582C83"/>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91"/>
        </w:trPr>
        <w:tc>
          <w:tcPr>
            <w:tcW w:w="2000" w:type="dxa"/>
            <w:vAlign w:val="bottom"/>
            <w:tcBorders>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Van de Put, Dirk</w:t>
            </w:r>
          </w:p>
        </w:tc>
        <w:tc>
          <w:tcPr>
            <w:tcW w:w="600" w:type="dxa"/>
            <w:vAlign w:val="bottom"/>
            <w:tcBorders>
              <w:bottom w:val="single" w:sz="8" w:color="EBE6F0"/>
              <w:right w:val="single" w:sz="8" w:color="EBE6F0"/>
            </w:tcBorders>
            <w:shd w:val="clear" w:color="auto" w:fill="EBE6F0"/>
          </w:tcPr>
          <w:p>
            <w:pPr>
              <w:jc w:val="right"/>
              <w:ind w:right="20"/>
              <w:spacing w:after="0"/>
              <w:rPr>
                <w:sz w:val="20"/>
                <w:szCs w:val="20"/>
                <w:color w:val="auto"/>
              </w:rPr>
            </w:pPr>
            <w:r>
              <w:rPr>
                <w:rFonts w:ascii="Arial" w:cs="Arial" w:eastAsia="Arial" w:hAnsi="Arial"/>
                <w:sz w:val="16"/>
                <w:szCs w:val="16"/>
                <w:color w:val="auto"/>
              </w:rPr>
              <w:t>2022</w:t>
            </w:r>
          </w:p>
        </w:tc>
        <w:tc>
          <w:tcPr>
            <w:tcW w:w="8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1,537,671</w:t>
            </w:r>
          </w:p>
        </w:tc>
        <w:tc>
          <w:tcPr>
            <w:tcW w:w="9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8,613,541</w:t>
            </w:r>
          </w:p>
        </w:tc>
        <w:tc>
          <w:tcPr>
            <w:tcW w:w="9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2,607,905</w:t>
            </w:r>
          </w:p>
        </w:tc>
        <w:tc>
          <w:tcPr>
            <w:tcW w:w="1200" w:type="dxa"/>
            <w:vAlign w:val="bottom"/>
            <w:tcBorders>
              <w:bottom w:val="single" w:sz="8" w:color="EBE6F0"/>
              <w:right w:val="single" w:sz="8" w:color="EBE6F0"/>
            </w:tcBorders>
            <w:shd w:val="clear" w:color="auto" w:fill="EBE6F0"/>
          </w:tcPr>
          <w:p>
            <w:pPr>
              <w:jc w:val="right"/>
              <w:ind w:right="1"/>
              <w:spacing w:after="0"/>
              <w:rPr>
                <w:sz w:val="20"/>
                <w:szCs w:val="20"/>
                <w:color w:val="auto"/>
              </w:rPr>
            </w:pPr>
            <w:r>
              <w:rPr>
                <w:rFonts w:ascii="Arial" w:cs="Arial" w:eastAsia="Arial" w:hAnsi="Arial"/>
                <w:sz w:val="16"/>
                <w:szCs w:val="16"/>
                <w:color w:val="auto"/>
              </w:rPr>
              <w:t>4,446,950</w:t>
            </w:r>
          </w:p>
        </w:tc>
        <w:tc>
          <w:tcPr>
            <w:tcW w:w="900" w:type="dxa"/>
            <w:vAlign w:val="bottom"/>
            <w:tcBorders>
              <w:bottom w:val="single" w:sz="8" w:color="EBE6F0"/>
              <w:right w:val="single" w:sz="8" w:color="EBE6F0"/>
            </w:tcBorders>
            <w:shd w:val="clear" w:color="auto" w:fill="EBE6F0"/>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BE6F0"/>
              <w:right w:val="single" w:sz="8" w:color="EBE6F0"/>
            </w:tcBorders>
            <w:shd w:val="clear" w:color="auto" w:fill="EBE6F0"/>
          </w:tcPr>
          <w:p>
            <w:pPr>
              <w:jc w:val="right"/>
              <w:ind w:right="20"/>
              <w:spacing w:after="0"/>
              <w:rPr>
                <w:sz w:val="20"/>
                <w:szCs w:val="20"/>
                <w:color w:val="auto"/>
              </w:rPr>
            </w:pPr>
            <w:r>
              <w:rPr>
                <w:rFonts w:ascii="Arial" w:cs="Arial" w:eastAsia="Arial" w:hAnsi="Arial"/>
                <w:sz w:val="16"/>
                <w:szCs w:val="16"/>
                <w:color w:val="auto"/>
              </w:rPr>
              <w:t>719,609</w:t>
            </w:r>
          </w:p>
        </w:tc>
        <w:tc>
          <w:tcPr>
            <w:tcW w:w="11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17,925,677</w:t>
            </w:r>
          </w:p>
        </w:tc>
        <w:tc>
          <w:tcPr>
            <w:tcW w:w="0" w:type="dxa"/>
            <w:vAlign w:val="bottom"/>
          </w:tcPr>
          <w:p>
            <w:pPr>
              <w:spacing w:after="0"/>
              <w:rPr>
                <w:sz w:val="1"/>
                <w:szCs w:val="1"/>
                <w:color w:val="auto"/>
              </w:rPr>
            </w:pPr>
          </w:p>
        </w:tc>
      </w:tr>
      <w:tr>
        <w:trPr>
          <w:trHeight w:val="141"/>
        </w:trPr>
        <w:tc>
          <w:tcPr>
            <w:tcW w:w="2000" w:type="dxa"/>
            <w:vAlign w:val="bottom"/>
            <w:tcBorders>
              <w:top w:val="single" w:sz="8" w:color="EBE6F0"/>
              <w:right w:val="single" w:sz="8" w:color="EBE6F0"/>
            </w:tcBorders>
            <w:shd w:val="clear" w:color="auto" w:fill="EBE6F0"/>
          </w:tcPr>
          <w:p>
            <w:pPr>
              <w:ind w:left="160"/>
              <w:spacing w:after="0" w:line="141" w:lineRule="exact"/>
              <w:rPr>
                <w:sz w:val="20"/>
                <w:szCs w:val="20"/>
                <w:color w:val="auto"/>
              </w:rPr>
            </w:pPr>
            <w:r>
              <w:rPr>
                <w:rFonts w:ascii="Arial" w:cs="Arial" w:eastAsia="Arial" w:hAnsi="Arial"/>
                <w:sz w:val="16"/>
                <w:szCs w:val="16"/>
                <w:color w:val="auto"/>
              </w:rPr>
              <w:t>Chairman and Chief</w:t>
            </w:r>
          </w:p>
        </w:tc>
        <w:tc>
          <w:tcPr>
            <w:tcW w:w="600" w:type="dxa"/>
            <w:vAlign w:val="bottom"/>
            <w:tcBorders>
              <w:top w:val="single" w:sz="8" w:color="582C83"/>
              <w:right w:val="single" w:sz="8" w:color="EBE6F0"/>
            </w:tcBorders>
            <w:vMerge w:val="restart"/>
            <w:shd w:val="clear" w:color="auto" w:fill="EBE6F0"/>
          </w:tcPr>
          <w:p>
            <w:pPr>
              <w:jc w:val="right"/>
              <w:ind w:right="20"/>
              <w:spacing w:after="0"/>
              <w:rPr>
                <w:sz w:val="20"/>
                <w:szCs w:val="20"/>
                <w:color w:val="auto"/>
              </w:rPr>
            </w:pPr>
            <w:r>
              <w:rPr>
                <w:rFonts w:ascii="Arial" w:cs="Arial" w:eastAsia="Arial" w:hAnsi="Arial"/>
                <w:sz w:val="16"/>
                <w:szCs w:val="16"/>
                <w:color w:val="auto"/>
              </w:rPr>
              <w:t>2021</w:t>
            </w:r>
          </w:p>
        </w:tc>
        <w:tc>
          <w:tcPr>
            <w:tcW w:w="880" w:type="dxa"/>
            <w:vAlign w:val="bottom"/>
            <w:tcBorders>
              <w:top w:val="single" w:sz="8" w:color="582C83"/>
            </w:tcBorders>
            <w:vMerge w:val="restart"/>
            <w:shd w:val="clear" w:color="auto" w:fill="EBE6F0"/>
          </w:tcPr>
          <w:p>
            <w:pPr>
              <w:jc w:val="right"/>
              <w:spacing w:after="0"/>
              <w:rPr>
                <w:sz w:val="20"/>
                <w:szCs w:val="20"/>
                <w:color w:val="auto"/>
              </w:rPr>
            </w:pPr>
            <w:r>
              <w:rPr>
                <w:rFonts w:ascii="Arial" w:cs="Arial" w:eastAsia="Arial" w:hAnsi="Arial"/>
                <w:sz w:val="16"/>
                <w:szCs w:val="16"/>
                <w:color w:val="auto"/>
              </w:rPr>
              <w:t>1,487,670</w:t>
            </w:r>
          </w:p>
        </w:tc>
        <w:tc>
          <w:tcPr>
            <w:tcW w:w="980" w:type="dxa"/>
            <w:vAlign w:val="bottom"/>
            <w:tcBorders>
              <w:top w:val="single" w:sz="8" w:color="582C83"/>
            </w:tcBorders>
            <w:vMerge w:val="restart"/>
            <w:shd w:val="clear" w:color="auto" w:fill="EBE6F0"/>
          </w:tcPr>
          <w:p>
            <w:pPr>
              <w:jc w:val="right"/>
              <w:spacing w:after="0"/>
              <w:rPr>
                <w:sz w:val="20"/>
                <w:szCs w:val="20"/>
                <w:color w:val="auto"/>
              </w:rPr>
            </w:pPr>
            <w:r>
              <w:rPr>
                <w:rFonts w:ascii="Arial" w:cs="Arial" w:eastAsia="Arial" w:hAnsi="Arial"/>
                <w:sz w:val="16"/>
                <w:szCs w:val="16"/>
                <w:color w:val="auto"/>
              </w:rPr>
              <w:t>9,120,315</w:t>
            </w:r>
          </w:p>
        </w:tc>
        <w:tc>
          <w:tcPr>
            <w:tcW w:w="980" w:type="dxa"/>
            <w:vAlign w:val="bottom"/>
            <w:tcBorders>
              <w:top w:val="single" w:sz="8" w:color="582C83"/>
            </w:tcBorders>
            <w:vMerge w:val="restart"/>
            <w:shd w:val="clear" w:color="auto" w:fill="EBE6F0"/>
          </w:tcPr>
          <w:p>
            <w:pPr>
              <w:jc w:val="right"/>
              <w:spacing w:after="0"/>
              <w:rPr>
                <w:sz w:val="20"/>
                <w:szCs w:val="20"/>
                <w:color w:val="auto"/>
              </w:rPr>
            </w:pPr>
            <w:r>
              <w:rPr>
                <w:rFonts w:ascii="Arial" w:cs="Arial" w:eastAsia="Arial" w:hAnsi="Arial"/>
                <w:sz w:val="16"/>
                <w:szCs w:val="16"/>
                <w:color w:val="auto"/>
              </w:rPr>
              <w:t>2,320,357</w:t>
            </w:r>
          </w:p>
        </w:tc>
        <w:tc>
          <w:tcPr>
            <w:tcW w:w="1200" w:type="dxa"/>
            <w:vAlign w:val="bottom"/>
            <w:tcBorders>
              <w:top w:val="single" w:sz="8" w:color="582C83"/>
              <w:right w:val="single" w:sz="8" w:color="EBE6F0"/>
            </w:tcBorders>
            <w:vMerge w:val="restart"/>
            <w:shd w:val="clear" w:color="auto" w:fill="EBE6F0"/>
          </w:tcPr>
          <w:p>
            <w:pPr>
              <w:jc w:val="right"/>
              <w:ind w:right="1"/>
              <w:spacing w:after="0"/>
              <w:rPr>
                <w:sz w:val="20"/>
                <w:szCs w:val="20"/>
                <w:color w:val="auto"/>
              </w:rPr>
            </w:pPr>
            <w:r>
              <w:rPr>
                <w:rFonts w:ascii="Arial" w:cs="Arial" w:eastAsia="Arial" w:hAnsi="Arial"/>
                <w:sz w:val="16"/>
                <w:szCs w:val="16"/>
                <w:color w:val="auto"/>
              </w:rPr>
              <w:t>2,525,250</w:t>
            </w:r>
          </w:p>
        </w:tc>
        <w:tc>
          <w:tcPr>
            <w:tcW w:w="900" w:type="dxa"/>
            <w:vAlign w:val="bottom"/>
            <w:tcBorders>
              <w:top w:val="single" w:sz="8" w:color="582C83"/>
              <w:right w:val="single" w:sz="8" w:color="EBE6F0"/>
            </w:tcBorders>
            <w:vMerge w:val="restart"/>
            <w:shd w:val="clear" w:color="auto" w:fill="EBE6F0"/>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582C83"/>
              <w:right w:val="single" w:sz="8" w:color="EBE6F0"/>
            </w:tcBorders>
            <w:vMerge w:val="restart"/>
            <w:shd w:val="clear" w:color="auto" w:fill="EBE6F0"/>
          </w:tcPr>
          <w:p>
            <w:pPr>
              <w:jc w:val="right"/>
              <w:ind w:right="20"/>
              <w:spacing w:after="0"/>
              <w:rPr>
                <w:sz w:val="20"/>
                <w:szCs w:val="20"/>
                <w:color w:val="auto"/>
              </w:rPr>
            </w:pPr>
            <w:r>
              <w:rPr>
                <w:rFonts w:ascii="Arial" w:cs="Arial" w:eastAsia="Arial" w:hAnsi="Arial"/>
                <w:sz w:val="16"/>
                <w:szCs w:val="16"/>
                <w:color w:val="auto"/>
              </w:rPr>
              <w:t>674,728</w:t>
            </w:r>
          </w:p>
        </w:tc>
        <w:tc>
          <w:tcPr>
            <w:tcW w:w="1120" w:type="dxa"/>
            <w:vAlign w:val="bottom"/>
            <w:tcBorders>
              <w:top w:val="single" w:sz="8" w:color="582C83"/>
            </w:tcBorders>
            <w:vMerge w:val="restart"/>
            <w:shd w:val="clear" w:color="auto" w:fill="EBE6F0"/>
          </w:tcPr>
          <w:p>
            <w:pPr>
              <w:jc w:val="right"/>
              <w:spacing w:after="0"/>
              <w:rPr>
                <w:sz w:val="20"/>
                <w:szCs w:val="20"/>
                <w:color w:val="auto"/>
              </w:rPr>
            </w:pPr>
            <w:r>
              <w:rPr>
                <w:rFonts w:ascii="Arial" w:cs="Arial" w:eastAsia="Arial" w:hAnsi="Arial"/>
                <w:sz w:val="16"/>
                <w:szCs w:val="16"/>
                <w:color w:val="auto"/>
              </w:rPr>
              <w:t>16,128,320</w:t>
            </w:r>
          </w:p>
        </w:tc>
        <w:tc>
          <w:tcPr>
            <w:tcW w:w="0" w:type="dxa"/>
            <w:vAlign w:val="bottom"/>
          </w:tcPr>
          <w:p>
            <w:pPr>
              <w:spacing w:after="0"/>
              <w:rPr>
                <w:sz w:val="1"/>
                <w:szCs w:val="1"/>
                <w:color w:val="auto"/>
              </w:rPr>
            </w:pPr>
          </w:p>
        </w:tc>
      </w:tr>
      <w:tr>
        <w:trPr>
          <w:trHeight w:val="137"/>
        </w:trPr>
        <w:tc>
          <w:tcPr>
            <w:tcW w:w="2000" w:type="dxa"/>
            <w:vAlign w:val="bottom"/>
            <w:tcBorders>
              <w:bottom w:val="single" w:sz="8" w:color="EBE6F0"/>
              <w:right w:val="single" w:sz="8" w:color="EBE6F0"/>
            </w:tcBorders>
            <w:vMerge w:val="restart"/>
            <w:shd w:val="clear" w:color="auto" w:fill="EBE6F0"/>
          </w:tcPr>
          <w:p>
            <w:pPr>
              <w:ind w:left="160"/>
              <w:spacing w:after="0"/>
              <w:rPr>
                <w:sz w:val="20"/>
                <w:szCs w:val="20"/>
                <w:color w:val="auto"/>
              </w:rPr>
            </w:pPr>
            <w:r>
              <w:rPr>
                <w:rFonts w:ascii="Arial" w:cs="Arial" w:eastAsia="Arial" w:hAnsi="Arial"/>
                <w:sz w:val="16"/>
                <w:szCs w:val="16"/>
                <w:color w:val="auto"/>
              </w:rPr>
              <w:t>Executive Officer</w:t>
            </w:r>
          </w:p>
        </w:tc>
        <w:tc>
          <w:tcPr>
            <w:tcW w:w="600" w:type="dxa"/>
            <w:vAlign w:val="bottom"/>
            <w:tcBorders>
              <w:bottom w:val="single" w:sz="8" w:color="EBE6F0"/>
              <w:right w:val="single" w:sz="8" w:color="EBE6F0"/>
            </w:tcBorders>
            <w:vMerge w:val="continue"/>
            <w:shd w:val="clear" w:color="auto" w:fill="EBE6F0"/>
          </w:tcPr>
          <w:p>
            <w:pPr>
              <w:spacing w:after="0"/>
              <w:rPr>
                <w:sz w:val="11"/>
                <w:szCs w:val="11"/>
                <w:color w:val="auto"/>
              </w:rPr>
            </w:pPr>
          </w:p>
        </w:tc>
        <w:tc>
          <w:tcPr>
            <w:tcW w:w="880" w:type="dxa"/>
            <w:vAlign w:val="bottom"/>
            <w:tcBorders>
              <w:bottom w:val="single" w:sz="8" w:color="EBE6F0"/>
            </w:tcBorders>
            <w:vMerge w:val="continue"/>
            <w:shd w:val="clear" w:color="auto" w:fill="EBE6F0"/>
          </w:tcPr>
          <w:p>
            <w:pPr>
              <w:spacing w:after="0"/>
              <w:rPr>
                <w:sz w:val="11"/>
                <w:szCs w:val="11"/>
                <w:color w:val="auto"/>
              </w:rPr>
            </w:pPr>
          </w:p>
        </w:tc>
        <w:tc>
          <w:tcPr>
            <w:tcW w:w="980" w:type="dxa"/>
            <w:vAlign w:val="bottom"/>
            <w:tcBorders>
              <w:bottom w:val="single" w:sz="8" w:color="EBE6F0"/>
            </w:tcBorders>
            <w:vMerge w:val="continue"/>
            <w:shd w:val="clear" w:color="auto" w:fill="EBE6F0"/>
          </w:tcPr>
          <w:p>
            <w:pPr>
              <w:spacing w:after="0"/>
              <w:rPr>
                <w:sz w:val="11"/>
                <w:szCs w:val="11"/>
                <w:color w:val="auto"/>
              </w:rPr>
            </w:pPr>
          </w:p>
        </w:tc>
        <w:tc>
          <w:tcPr>
            <w:tcW w:w="980" w:type="dxa"/>
            <w:vAlign w:val="bottom"/>
            <w:tcBorders>
              <w:bottom w:val="single" w:sz="8" w:color="EBE6F0"/>
            </w:tcBorders>
            <w:vMerge w:val="continue"/>
            <w:shd w:val="clear" w:color="auto" w:fill="EBE6F0"/>
          </w:tcPr>
          <w:p>
            <w:pPr>
              <w:spacing w:after="0"/>
              <w:rPr>
                <w:sz w:val="11"/>
                <w:szCs w:val="11"/>
                <w:color w:val="auto"/>
              </w:rPr>
            </w:pPr>
          </w:p>
        </w:tc>
        <w:tc>
          <w:tcPr>
            <w:tcW w:w="1200" w:type="dxa"/>
            <w:vAlign w:val="bottom"/>
            <w:tcBorders>
              <w:bottom w:val="single" w:sz="8" w:color="EBE6F0"/>
              <w:right w:val="single" w:sz="8" w:color="EBE6F0"/>
            </w:tcBorders>
            <w:vMerge w:val="continue"/>
            <w:shd w:val="clear" w:color="auto" w:fill="EBE6F0"/>
          </w:tcPr>
          <w:p>
            <w:pPr>
              <w:spacing w:after="0"/>
              <w:rPr>
                <w:sz w:val="11"/>
                <w:szCs w:val="11"/>
                <w:color w:val="auto"/>
              </w:rPr>
            </w:pPr>
          </w:p>
        </w:tc>
        <w:tc>
          <w:tcPr>
            <w:tcW w:w="900" w:type="dxa"/>
            <w:vAlign w:val="bottom"/>
            <w:tcBorders>
              <w:bottom w:val="single" w:sz="8" w:color="EBE6F0"/>
              <w:right w:val="single" w:sz="8" w:color="EBE6F0"/>
            </w:tcBorders>
            <w:vMerge w:val="continue"/>
            <w:shd w:val="clear" w:color="auto" w:fill="EBE6F0"/>
          </w:tcPr>
          <w:p>
            <w:pPr>
              <w:spacing w:after="0"/>
              <w:rPr>
                <w:sz w:val="11"/>
                <w:szCs w:val="11"/>
                <w:color w:val="auto"/>
              </w:rPr>
            </w:pPr>
          </w:p>
        </w:tc>
        <w:tc>
          <w:tcPr>
            <w:tcW w:w="1280" w:type="dxa"/>
            <w:vAlign w:val="bottom"/>
            <w:tcBorders>
              <w:bottom w:val="single" w:sz="8" w:color="EBE6F0"/>
              <w:right w:val="single" w:sz="8" w:color="EBE6F0"/>
            </w:tcBorders>
            <w:vMerge w:val="continue"/>
            <w:shd w:val="clear" w:color="auto" w:fill="EBE6F0"/>
          </w:tcPr>
          <w:p>
            <w:pPr>
              <w:spacing w:after="0"/>
              <w:rPr>
                <w:sz w:val="11"/>
                <w:szCs w:val="11"/>
                <w:color w:val="auto"/>
              </w:rPr>
            </w:pPr>
          </w:p>
        </w:tc>
        <w:tc>
          <w:tcPr>
            <w:tcW w:w="1120" w:type="dxa"/>
            <w:vAlign w:val="bottom"/>
            <w:tcBorders>
              <w:bottom w:val="single" w:sz="8" w:color="EBE6F0"/>
            </w:tcBorders>
            <w:vMerge w:val="continue"/>
            <w:shd w:val="clear" w:color="auto" w:fill="EBE6F0"/>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2000" w:type="dxa"/>
            <w:vAlign w:val="bottom"/>
            <w:tcBorders>
              <w:top w:val="single" w:sz="8" w:color="EBE6F0"/>
              <w:right w:val="single" w:sz="8" w:color="EBE6F0"/>
            </w:tcBorders>
            <w:vMerge w:val="continue"/>
            <w:shd w:val="clear" w:color="auto" w:fill="EBE6F0"/>
          </w:tcPr>
          <w:p>
            <w:pPr>
              <w:spacing w:after="0"/>
              <w:rPr>
                <w:sz w:val="4"/>
                <w:szCs w:val="4"/>
                <w:color w:val="auto"/>
              </w:rPr>
            </w:pPr>
          </w:p>
        </w:tc>
        <w:tc>
          <w:tcPr>
            <w:tcW w:w="600" w:type="dxa"/>
            <w:vAlign w:val="bottom"/>
            <w:tcBorders>
              <w:top w:val="single" w:sz="8" w:color="582C83"/>
              <w:right w:val="single" w:sz="8" w:color="EBE6F0"/>
            </w:tcBorders>
            <w:vMerge w:val="restart"/>
            <w:shd w:val="clear" w:color="auto" w:fill="EBE6F0"/>
          </w:tcPr>
          <w:p>
            <w:pPr>
              <w:jc w:val="right"/>
              <w:ind w:right="20"/>
              <w:spacing w:after="0"/>
              <w:rPr>
                <w:sz w:val="20"/>
                <w:szCs w:val="20"/>
                <w:color w:val="auto"/>
              </w:rPr>
            </w:pPr>
            <w:r>
              <w:rPr>
                <w:rFonts w:ascii="Arial" w:cs="Arial" w:eastAsia="Arial" w:hAnsi="Arial"/>
                <w:sz w:val="16"/>
                <w:szCs w:val="16"/>
                <w:color w:val="auto"/>
              </w:rPr>
              <w:t>2020</w:t>
            </w:r>
          </w:p>
        </w:tc>
        <w:tc>
          <w:tcPr>
            <w:tcW w:w="880" w:type="dxa"/>
            <w:vAlign w:val="bottom"/>
            <w:tcBorders>
              <w:top w:val="single" w:sz="8" w:color="582C83"/>
            </w:tcBorders>
            <w:vMerge w:val="restart"/>
            <w:shd w:val="clear" w:color="auto" w:fill="EBE6F0"/>
          </w:tcPr>
          <w:p>
            <w:pPr>
              <w:jc w:val="right"/>
              <w:spacing w:after="0"/>
              <w:rPr>
                <w:sz w:val="20"/>
                <w:szCs w:val="20"/>
                <w:color w:val="auto"/>
              </w:rPr>
            </w:pPr>
            <w:r>
              <w:rPr>
                <w:rFonts w:ascii="Arial" w:cs="Arial" w:eastAsia="Arial" w:hAnsi="Arial"/>
                <w:sz w:val="16"/>
                <w:szCs w:val="16"/>
                <w:color w:val="auto"/>
              </w:rPr>
              <w:t>1,450,000</w:t>
            </w:r>
          </w:p>
        </w:tc>
        <w:tc>
          <w:tcPr>
            <w:tcW w:w="980" w:type="dxa"/>
            <w:vAlign w:val="bottom"/>
            <w:tcBorders>
              <w:top w:val="single" w:sz="8" w:color="582C83"/>
            </w:tcBorders>
            <w:vMerge w:val="restart"/>
            <w:shd w:val="clear" w:color="auto" w:fill="EBE6F0"/>
          </w:tcPr>
          <w:p>
            <w:pPr>
              <w:jc w:val="right"/>
              <w:spacing w:after="0"/>
              <w:rPr>
                <w:sz w:val="20"/>
                <w:szCs w:val="20"/>
                <w:color w:val="auto"/>
              </w:rPr>
            </w:pPr>
            <w:r>
              <w:rPr>
                <w:rFonts w:ascii="Arial" w:cs="Arial" w:eastAsia="Arial" w:hAnsi="Arial"/>
                <w:sz w:val="16"/>
                <w:szCs w:val="16"/>
                <w:color w:val="auto"/>
              </w:rPr>
              <w:t>9,199,084</w:t>
            </w:r>
          </w:p>
        </w:tc>
        <w:tc>
          <w:tcPr>
            <w:tcW w:w="980" w:type="dxa"/>
            <w:vAlign w:val="bottom"/>
            <w:tcBorders>
              <w:top w:val="single" w:sz="8" w:color="582C83"/>
            </w:tcBorders>
            <w:vMerge w:val="restart"/>
            <w:shd w:val="clear" w:color="auto" w:fill="EBE6F0"/>
          </w:tcPr>
          <w:p>
            <w:pPr>
              <w:jc w:val="right"/>
              <w:spacing w:after="0"/>
              <w:rPr>
                <w:sz w:val="20"/>
                <w:szCs w:val="20"/>
                <w:color w:val="auto"/>
              </w:rPr>
            </w:pPr>
            <w:r>
              <w:rPr>
                <w:rFonts w:ascii="Arial" w:cs="Arial" w:eastAsia="Arial" w:hAnsi="Arial"/>
                <w:sz w:val="16"/>
                <w:szCs w:val="16"/>
                <w:color w:val="auto"/>
              </w:rPr>
              <w:t>2,021,572</w:t>
            </w:r>
          </w:p>
        </w:tc>
        <w:tc>
          <w:tcPr>
            <w:tcW w:w="1200" w:type="dxa"/>
            <w:vAlign w:val="bottom"/>
            <w:tcBorders>
              <w:top w:val="single" w:sz="8" w:color="582C83"/>
              <w:right w:val="single" w:sz="8" w:color="EBE6F0"/>
            </w:tcBorders>
            <w:vMerge w:val="restart"/>
            <w:shd w:val="clear" w:color="auto" w:fill="EBE6F0"/>
          </w:tcPr>
          <w:p>
            <w:pPr>
              <w:jc w:val="right"/>
              <w:ind w:right="1"/>
              <w:spacing w:after="0"/>
              <w:rPr>
                <w:sz w:val="20"/>
                <w:szCs w:val="20"/>
                <w:color w:val="auto"/>
              </w:rPr>
            </w:pPr>
            <w:r>
              <w:rPr>
                <w:rFonts w:ascii="Arial" w:cs="Arial" w:eastAsia="Arial" w:hAnsi="Arial"/>
                <w:sz w:val="16"/>
                <w:szCs w:val="16"/>
                <w:color w:val="auto"/>
              </w:rPr>
              <w:t>3,420,550</w:t>
            </w:r>
          </w:p>
        </w:tc>
        <w:tc>
          <w:tcPr>
            <w:tcW w:w="900" w:type="dxa"/>
            <w:vAlign w:val="bottom"/>
            <w:tcBorders>
              <w:top w:val="single" w:sz="8" w:color="582C83"/>
              <w:right w:val="single" w:sz="8" w:color="EBE6F0"/>
            </w:tcBorders>
            <w:vMerge w:val="restart"/>
            <w:shd w:val="clear" w:color="auto" w:fill="EBE6F0"/>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582C83"/>
              <w:right w:val="single" w:sz="8" w:color="EBE6F0"/>
            </w:tcBorders>
            <w:vMerge w:val="restart"/>
            <w:shd w:val="clear" w:color="auto" w:fill="EBE6F0"/>
          </w:tcPr>
          <w:p>
            <w:pPr>
              <w:jc w:val="right"/>
              <w:ind w:right="20"/>
              <w:spacing w:after="0"/>
              <w:rPr>
                <w:sz w:val="20"/>
                <w:szCs w:val="20"/>
                <w:color w:val="auto"/>
              </w:rPr>
            </w:pPr>
            <w:r>
              <w:rPr>
                <w:rFonts w:ascii="Arial" w:cs="Arial" w:eastAsia="Arial" w:hAnsi="Arial"/>
                <w:sz w:val="16"/>
                <w:szCs w:val="16"/>
                <w:color w:val="auto"/>
              </w:rPr>
              <w:t>751,487</w:t>
            </w:r>
          </w:p>
        </w:tc>
        <w:tc>
          <w:tcPr>
            <w:tcW w:w="1120" w:type="dxa"/>
            <w:vAlign w:val="bottom"/>
            <w:tcBorders>
              <w:top w:val="single" w:sz="8" w:color="582C83"/>
            </w:tcBorders>
            <w:vMerge w:val="restart"/>
            <w:shd w:val="clear" w:color="auto" w:fill="EBE6F0"/>
          </w:tcPr>
          <w:p>
            <w:pPr>
              <w:jc w:val="right"/>
              <w:spacing w:after="0"/>
              <w:rPr>
                <w:sz w:val="20"/>
                <w:szCs w:val="20"/>
                <w:color w:val="auto"/>
              </w:rPr>
            </w:pPr>
            <w:r>
              <w:rPr>
                <w:rFonts w:ascii="Arial" w:cs="Arial" w:eastAsia="Arial" w:hAnsi="Arial"/>
                <w:sz w:val="16"/>
                <w:szCs w:val="16"/>
                <w:color w:val="auto"/>
              </w:rPr>
              <w:t>16,842,693</w:t>
            </w:r>
          </w:p>
        </w:tc>
        <w:tc>
          <w:tcPr>
            <w:tcW w:w="0" w:type="dxa"/>
            <w:vAlign w:val="bottom"/>
          </w:tcPr>
          <w:p>
            <w:pPr>
              <w:spacing w:after="0"/>
              <w:rPr>
                <w:sz w:val="1"/>
                <w:szCs w:val="1"/>
                <w:color w:val="auto"/>
              </w:rPr>
            </w:pPr>
          </w:p>
        </w:tc>
      </w:tr>
      <w:tr>
        <w:trPr>
          <w:trHeight w:val="221"/>
        </w:trPr>
        <w:tc>
          <w:tcPr>
            <w:tcW w:w="2000" w:type="dxa"/>
            <w:vAlign w:val="bottom"/>
            <w:tcBorders>
              <w:bottom w:val="single" w:sz="8" w:color="EBE6F0"/>
              <w:right w:val="single" w:sz="8" w:color="EBE6F0"/>
            </w:tcBorders>
            <w:shd w:val="clear" w:color="auto" w:fill="EBE6F0"/>
          </w:tcPr>
          <w:p>
            <w:pPr>
              <w:spacing w:after="0"/>
              <w:rPr>
                <w:sz w:val="19"/>
                <w:szCs w:val="19"/>
                <w:color w:val="auto"/>
              </w:rPr>
            </w:pPr>
          </w:p>
        </w:tc>
        <w:tc>
          <w:tcPr>
            <w:tcW w:w="600" w:type="dxa"/>
            <w:vAlign w:val="bottom"/>
            <w:tcBorders>
              <w:bottom w:val="single" w:sz="8" w:color="EBE6F0"/>
              <w:right w:val="single" w:sz="8" w:color="EBE6F0"/>
            </w:tcBorders>
            <w:vMerge w:val="continue"/>
            <w:shd w:val="clear" w:color="auto" w:fill="EBE6F0"/>
          </w:tcPr>
          <w:p>
            <w:pPr>
              <w:spacing w:after="0"/>
              <w:rPr>
                <w:sz w:val="19"/>
                <w:szCs w:val="19"/>
                <w:color w:val="auto"/>
              </w:rPr>
            </w:pPr>
          </w:p>
        </w:tc>
        <w:tc>
          <w:tcPr>
            <w:tcW w:w="880" w:type="dxa"/>
            <w:vAlign w:val="bottom"/>
            <w:tcBorders>
              <w:bottom w:val="single" w:sz="8" w:color="EBE6F0"/>
            </w:tcBorders>
            <w:vMerge w:val="continue"/>
            <w:shd w:val="clear" w:color="auto" w:fill="EBE6F0"/>
          </w:tcPr>
          <w:p>
            <w:pPr>
              <w:spacing w:after="0"/>
              <w:rPr>
                <w:sz w:val="19"/>
                <w:szCs w:val="19"/>
                <w:color w:val="auto"/>
              </w:rPr>
            </w:pPr>
          </w:p>
        </w:tc>
        <w:tc>
          <w:tcPr>
            <w:tcW w:w="980" w:type="dxa"/>
            <w:vAlign w:val="bottom"/>
            <w:tcBorders>
              <w:bottom w:val="single" w:sz="8" w:color="EBE6F0"/>
            </w:tcBorders>
            <w:vMerge w:val="continue"/>
            <w:shd w:val="clear" w:color="auto" w:fill="EBE6F0"/>
          </w:tcPr>
          <w:p>
            <w:pPr>
              <w:spacing w:after="0"/>
              <w:rPr>
                <w:sz w:val="19"/>
                <w:szCs w:val="19"/>
                <w:color w:val="auto"/>
              </w:rPr>
            </w:pPr>
          </w:p>
        </w:tc>
        <w:tc>
          <w:tcPr>
            <w:tcW w:w="980" w:type="dxa"/>
            <w:vAlign w:val="bottom"/>
            <w:tcBorders>
              <w:bottom w:val="single" w:sz="8" w:color="EBE6F0"/>
            </w:tcBorders>
            <w:vMerge w:val="continue"/>
            <w:shd w:val="clear" w:color="auto" w:fill="EBE6F0"/>
          </w:tcPr>
          <w:p>
            <w:pPr>
              <w:spacing w:after="0"/>
              <w:rPr>
                <w:sz w:val="19"/>
                <w:szCs w:val="19"/>
                <w:color w:val="auto"/>
              </w:rPr>
            </w:pPr>
          </w:p>
        </w:tc>
        <w:tc>
          <w:tcPr>
            <w:tcW w:w="1200" w:type="dxa"/>
            <w:vAlign w:val="bottom"/>
            <w:tcBorders>
              <w:bottom w:val="single" w:sz="8" w:color="EBE6F0"/>
              <w:right w:val="single" w:sz="8" w:color="EBE6F0"/>
            </w:tcBorders>
            <w:vMerge w:val="continue"/>
            <w:shd w:val="clear" w:color="auto" w:fill="EBE6F0"/>
          </w:tcPr>
          <w:p>
            <w:pPr>
              <w:spacing w:after="0"/>
              <w:rPr>
                <w:sz w:val="19"/>
                <w:szCs w:val="19"/>
                <w:color w:val="auto"/>
              </w:rPr>
            </w:pPr>
          </w:p>
        </w:tc>
        <w:tc>
          <w:tcPr>
            <w:tcW w:w="900" w:type="dxa"/>
            <w:vAlign w:val="bottom"/>
            <w:tcBorders>
              <w:bottom w:val="single" w:sz="8" w:color="EBE6F0"/>
              <w:right w:val="single" w:sz="8" w:color="EBE6F0"/>
            </w:tcBorders>
            <w:vMerge w:val="continue"/>
            <w:shd w:val="clear" w:color="auto" w:fill="EBE6F0"/>
          </w:tcPr>
          <w:p>
            <w:pPr>
              <w:spacing w:after="0"/>
              <w:rPr>
                <w:sz w:val="19"/>
                <w:szCs w:val="19"/>
                <w:color w:val="auto"/>
              </w:rPr>
            </w:pPr>
          </w:p>
        </w:tc>
        <w:tc>
          <w:tcPr>
            <w:tcW w:w="1280" w:type="dxa"/>
            <w:vAlign w:val="bottom"/>
            <w:tcBorders>
              <w:bottom w:val="single" w:sz="8" w:color="EBE6F0"/>
              <w:right w:val="single" w:sz="8" w:color="EBE6F0"/>
            </w:tcBorders>
            <w:vMerge w:val="continue"/>
            <w:shd w:val="clear" w:color="auto" w:fill="EBE6F0"/>
          </w:tcPr>
          <w:p>
            <w:pPr>
              <w:spacing w:after="0"/>
              <w:rPr>
                <w:sz w:val="19"/>
                <w:szCs w:val="19"/>
                <w:color w:val="auto"/>
              </w:rPr>
            </w:pPr>
          </w:p>
        </w:tc>
        <w:tc>
          <w:tcPr>
            <w:tcW w:w="1120" w:type="dxa"/>
            <w:vAlign w:val="bottom"/>
            <w:tcBorders>
              <w:bottom w:val="single" w:sz="8" w:color="EBE6F0"/>
            </w:tcBorders>
            <w:vMerge w:val="continue"/>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00" w:type="dxa"/>
            <w:vAlign w:val="bottom"/>
            <w:tcBorders>
              <w:top w:val="single" w:sz="8" w:color="582C83"/>
            </w:tcBorders>
          </w:tcPr>
          <w:p>
            <w:pPr>
              <w:ind w:left="80"/>
              <w:spacing w:after="0"/>
              <w:rPr>
                <w:sz w:val="20"/>
                <w:szCs w:val="20"/>
                <w:color w:val="auto"/>
              </w:rPr>
            </w:pPr>
            <w:r>
              <w:rPr>
                <w:rFonts w:ascii="Arial" w:cs="Arial" w:eastAsia="Arial" w:hAnsi="Arial"/>
                <w:sz w:val="16"/>
                <w:szCs w:val="16"/>
                <w:b w:val="1"/>
                <w:bCs w:val="1"/>
                <w:color w:val="auto"/>
              </w:rPr>
              <w:t>Zaramella, Luca</w:t>
            </w:r>
          </w:p>
        </w:tc>
        <w:tc>
          <w:tcPr>
            <w:tcW w:w="600" w:type="dxa"/>
            <w:vAlign w:val="bottom"/>
            <w:tcBorders>
              <w:top w:val="single" w:sz="8" w:color="582C83"/>
            </w:tcBorders>
          </w:tcPr>
          <w:p>
            <w:pPr>
              <w:jc w:val="right"/>
              <w:ind w:right="20"/>
              <w:spacing w:after="0"/>
              <w:rPr>
                <w:sz w:val="20"/>
                <w:szCs w:val="20"/>
                <w:color w:val="auto"/>
              </w:rPr>
            </w:pPr>
            <w:r>
              <w:rPr>
                <w:rFonts w:ascii="Arial" w:cs="Arial" w:eastAsia="Arial" w:hAnsi="Arial"/>
                <w:sz w:val="16"/>
                <w:szCs w:val="16"/>
                <w:color w:val="auto"/>
              </w:rPr>
              <w:t>2022</w:t>
            </w:r>
          </w:p>
        </w:tc>
        <w:tc>
          <w:tcPr>
            <w:tcW w:w="8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872,603</w:t>
            </w:r>
          </w:p>
        </w:tc>
        <w:tc>
          <w:tcPr>
            <w:tcW w:w="9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2,871,387</w:t>
            </w:r>
          </w:p>
        </w:tc>
        <w:tc>
          <w:tcPr>
            <w:tcW w:w="9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869,302</w:t>
            </w:r>
          </w:p>
        </w:tc>
        <w:tc>
          <w:tcPr>
            <w:tcW w:w="1200" w:type="dxa"/>
            <w:vAlign w:val="bottom"/>
            <w:tcBorders>
              <w:top w:val="single" w:sz="8" w:color="582C83"/>
            </w:tcBorders>
          </w:tcPr>
          <w:p>
            <w:pPr>
              <w:jc w:val="right"/>
              <w:ind w:right="1"/>
              <w:spacing w:after="0"/>
              <w:rPr>
                <w:sz w:val="20"/>
                <w:szCs w:val="20"/>
                <w:color w:val="auto"/>
              </w:rPr>
            </w:pPr>
            <w:r>
              <w:rPr>
                <w:rFonts w:ascii="Arial" w:cs="Arial" w:eastAsia="Arial" w:hAnsi="Arial"/>
                <w:sz w:val="16"/>
                <w:szCs w:val="16"/>
                <w:color w:val="auto"/>
              </w:rPr>
              <w:t>1,461,680</w:t>
            </w:r>
          </w:p>
        </w:tc>
        <w:tc>
          <w:tcPr>
            <w:tcW w:w="900" w:type="dxa"/>
            <w:vAlign w:val="bottom"/>
            <w:tcBorders>
              <w:top w:val="single" w:sz="8" w:color="582C83"/>
            </w:tcBorders>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582C83"/>
            </w:tcBorders>
          </w:tcPr>
          <w:p>
            <w:pPr>
              <w:jc w:val="right"/>
              <w:ind w:right="20"/>
              <w:spacing w:after="0"/>
              <w:rPr>
                <w:sz w:val="20"/>
                <w:szCs w:val="20"/>
                <w:color w:val="auto"/>
              </w:rPr>
            </w:pPr>
            <w:r>
              <w:rPr>
                <w:rFonts w:ascii="Arial" w:cs="Arial" w:eastAsia="Arial" w:hAnsi="Arial"/>
                <w:sz w:val="16"/>
                <w:szCs w:val="16"/>
                <w:color w:val="auto"/>
              </w:rPr>
              <w:t>178,200</w:t>
            </w:r>
          </w:p>
        </w:tc>
        <w:tc>
          <w:tcPr>
            <w:tcW w:w="112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6,253,171</w:t>
            </w:r>
          </w:p>
        </w:tc>
        <w:tc>
          <w:tcPr>
            <w:tcW w:w="0" w:type="dxa"/>
            <w:vAlign w:val="bottom"/>
          </w:tcPr>
          <w:p>
            <w:pPr>
              <w:spacing w:after="0"/>
              <w:rPr>
                <w:sz w:val="1"/>
                <w:szCs w:val="1"/>
                <w:color w:val="auto"/>
              </w:rPr>
            </w:pPr>
          </w:p>
        </w:tc>
      </w:tr>
      <w:tr>
        <w:trPr>
          <w:trHeight w:val="27"/>
        </w:trPr>
        <w:tc>
          <w:tcPr>
            <w:tcW w:w="2000" w:type="dxa"/>
            <w:vAlign w:val="bottom"/>
            <w:vMerge w:val="restart"/>
          </w:tcPr>
          <w:p>
            <w:pPr>
              <w:ind w:left="140"/>
              <w:spacing w:after="0"/>
              <w:rPr>
                <w:sz w:val="20"/>
                <w:szCs w:val="20"/>
                <w:color w:val="auto"/>
              </w:rPr>
            </w:pPr>
            <w:r>
              <w:rPr>
                <w:rFonts w:ascii="Arial" w:cs="Arial" w:eastAsia="Arial" w:hAnsi="Arial"/>
                <w:sz w:val="16"/>
                <w:szCs w:val="16"/>
                <w:color w:val="auto"/>
              </w:rPr>
              <w:t>Executive Vice President</w:t>
            </w:r>
          </w:p>
        </w:tc>
        <w:tc>
          <w:tcPr>
            <w:tcW w:w="600" w:type="dxa"/>
            <w:vAlign w:val="bottom"/>
            <w:tcBorders>
              <w:bottom w:val="single" w:sz="8" w:color="582C83"/>
            </w:tcBorders>
          </w:tcPr>
          <w:p>
            <w:pPr>
              <w:spacing w:after="0"/>
              <w:rPr>
                <w:sz w:val="2"/>
                <w:szCs w:val="2"/>
                <w:color w:val="auto"/>
              </w:rPr>
            </w:pPr>
          </w:p>
        </w:tc>
        <w:tc>
          <w:tcPr>
            <w:tcW w:w="880" w:type="dxa"/>
            <w:vAlign w:val="bottom"/>
            <w:tcBorders>
              <w:bottom w:val="single" w:sz="8" w:color="582C83"/>
            </w:tcBorders>
          </w:tcPr>
          <w:p>
            <w:pPr>
              <w:spacing w:after="0"/>
              <w:rPr>
                <w:sz w:val="2"/>
                <w:szCs w:val="2"/>
                <w:color w:val="auto"/>
              </w:rPr>
            </w:pPr>
          </w:p>
        </w:tc>
        <w:tc>
          <w:tcPr>
            <w:tcW w:w="980" w:type="dxa"/>
            <w:vAlign w:val="bottom"/>
            <w:tcBorders>
              <w:bottom w:val="single" w:sz="8" w:color="582C83"/>
            </w:tcBorders>
          </w:tcPr>
          <w:p>
            <w:pPr>
              <w:spacing w:after="0"/>
              <w:rPr>
                <w:sz w:val="2"/>
                <w:szCs w:val="2"/>
                <w:color w:val="auto"/>
              </w:rPr>
            </w:pPr>
          </w:p>
        </w:tc>
        <w:tc>
          <w:tcPr>
            <w:tcW w:w="980" w:type="dxa"/>
            <w:vAlign w:val="bottom"/>
            <w:tcBorders>
              <w:bottom w:val="single" w:sz="8" w:color="582C83"/>
            </w:tcBorders>
          </w:tcPr>
          <w:p>
            <w:pPr>
              <w:spacing w:after="0"/>
              <w:rPr>
                <w:sz w:val="2"/>
                <w:szCs w:val="2"/>
                <w:color w:val="auto"/>
              </w:rPr>
            </w:pPr>
          </w:p>
        </w:tc>
        <w:tc>
          <w:tcPr>
            <w:tcW w:w="1200" w:type="dxa"/>
            <w:vAlign w:val="bottom"/>
            <w:tcBorders>
              <w:bottom w:val="single" w:sz="8" w:color="582C83"/>
            </w:tcBorders>
          </w:tcPr>
          <w:p>
            <w:pPr>
              <w:spacing w:after="0"/>
              <w:rPr>
                <w:sz w:val="2"/>
                <w:szCs w:val="2"/>
                <w:color w:val="auto"/>
              </w:rPr>
            </w:pPr>
          </w:p>
        </w:tc>
        <w:tc>
          <w:tcPr>
            <w:tcW w:w="900" w:type="dxa"/>
            <w:vAlign w:val="bottom"/>
            <w:tcBorders>
              <w:bottom w:val="single" w:sz="8" w:color="582C83"/>
            </w:tcBorders>
          </w:tcPr>
          <w:p>
            <w:pPr>
              <w:spacing w:after="0"/>
              <w:rPr>
                <w:sz w:val="2"/>
                <w:szCs w:val="2"/>
                <w:color w:val="auto"/>
              </w:rPr>
            </w:pPr>
          </w:p>
        </w:tc>
        <w:tc>
          <w:tcPr>
            <w:tcW w:w="1280" w:type="dxa"/>
            <w:vAlign w:val="bottom"/>
            <w:tcBorders>
              <w:bottom w:val="single" w:sz="8" w:color="582C83"/>
            </w:tcBorders>
          </w:tcPr>
          <w:p>
            <w:pPr>
              <w:spacing w:after="0"/>
              <w:rPr>
                <w:sz w:val="2"/>
                <w:szCs w:val="2"/>
                <w:color w:val="auto"/>
              </w:rPr>
            </w:pPr>
          </w:p>
        </w:tc>
        <w:tc>
          <w:tcPr>
            <w:tcW w:w="1120" w:type="dxa"/>
            <w:vAlign w:val="bottom"/>
            <w:tcBorders>
              <w:bottom w:val="single" w:sz="8" w:color="582C83"/>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000" w:type="dxa"/>
            <w:vAlign w:val="bottom"/>
            <w:vMerge w:val="continue"/>
          </w:tcPr>
          <w:p>
            <w:pPr>
              <w:spacing w:after="0"/>
              <w:rPr>
                <w:sz w:val="12"/>
                <w:szCs w:val="12"/>
                <w:color w:val="auto"/>
              </w:rPr>
            </w:pPr>
          </w:p>
        </w:tc>
        <w:tc>
          <w:tcPr>
            <w:tcW w:w="600" w:type="dxa"/>
            <w:vAlign w:val="bottom"/>
            <w:vMerge w:val="restart"/>
          </w:tcPr>
          <w:p>
            <w:pPr>
              <w:jc w:val="right"/>
              <w:ind w:right="20"/>
              <w:spacing w:after="0"/>
              <w:rPr>
                <w:sz w:val="20"/>
                <w:szCs w:val="20"/>
                <w:color w:val="auto"/>
              </w:rPr>
            </w:pPr>
            <w:r>
              <w:rPr>
                <w:rFonts w:ascii="Arial" w:cs="Arial" w:eastAsia="Arial" w:hAnsi="Arial"/>
                <w:sz w:val="16"/>
                <w:szCs w:val="16"/>
                <w:color w:val="auto"/>
              </w:rPr>
              <w:t>2021</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843,836</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2,617,335</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665,910</w:t>
            </w:r>
          </w:p>
        </w:tc>
        <w:tc>
          <w:tcPr>
            <w:tcW w:w="1200" w:type="dxa"/>
            <w:vAlign w:val="bottom"/>
            <w:vMerge w:val="restart"/>
          </w:tcPr>
          <w:p>
            <w:pPr>
              <w:jc w:val="right"/>
              <w:ind w:right="1"/>
              <w:spacing w:after="0"/>
              <w:rPr>
                <w:sz w:val="20"/>
                <w:szCs w:val="20"/>
                <w:color w:val="auto"/>
              </w:rPr>
            </w:pPr>
            <w:r>
              <w:rPr>
                <w:rFonts w:ascii="Arial" w:cs="Arial" w:eastAsia="Arial" w:hAnsi="Arial"/>
                <w:sz w:val="16"/>
                <w:szCs w:val="16"/>
                <w:color w:val="auto"/>
              </w:rPr>
              <w:t>773,500</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20"/>
              <w:spacing w:after="0"/>
              <w:rPr>
                <w:sz w:val="20"/>
                <w:szCs w:val="20"/>
                <w:color w:val="auto"/>
              </w:rPr>
            </w:pPr>
            <w:r>
              <w:rPr>
                <w:rFonts w:ascii="Arial" w:cs="Arial" w:eastAsia="Arial" w:hAnsi="Arial"/>
                <w:sz w:val="16"/>
                <w:szCs w:val="16"/>
                <w:color w:val="auto"/>
              </w:rPr>
              <w:t>384,330</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5,284,911</w:t>
            </w:r>
          </w:p>
        </w:tc>
        <w:tc>
          <w:tcPr>
            <w:tcW w:w="0" w:type="dxa"/>
            <w:vAlign w:val="bottom"/>
          </w:tcPr>
          <w:p>
            <w:pPr>
              <w:spacing w:after="0"/>
              <w:rPr>
                <w:sz w:val="1"/>
                <w:szCs w:val="1"/>
                <w:color w:val="auto"/>
              </w:rPr>
            </w:pPr>
          </w:p>
        </w:tc>
      </w:tr>
      <w:tr>
        <w:trPr>
          <w:trHeight w:val="102"/>
        </w:trPr>
        <w:tc>
          <w:tcPr>
            <w:tcW w:w="2000" w:type="dxa"/>
            <w:vAlign w:val="bottom"/>
            <w:vMerge w:val="restart"/>
          </w:tcPr>
          <w:p>
            <w:pPr>
              <w:ind w:left="140"/>
              <w:spacing w:after="0"/>
              <w:rPr>
                <w:sz w:val="20"/>
                <w:szCs w:val="20"/>
                <w:color w:val="auto"/>
              </w:rPr>
            </w:pPr>
            <w:r>
              <w:rPr>
                <w:rFonts w:ascii="Arial" w:cs="Arial" w:eastAsia="Arial" w:hAnsi="Arial"/>
                <w:sz w:val="16"/>
                <w:szCs w:val="16"/>
                <w:color w:val="auto"/>
              </w:rPr>
              <w:t>and Chief Financial</w:t>
            </w:r>
          </w:p>
        </w:tc>
        <w:tc>
          <w:tcPr>
            <w:tcW w:w="6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00" w:type="dxa"/>
            <w:vAlign w:val="bottom"/>
            <w:vMerge w:val="continue"/>
          </w:tcPr>
          <w:p>
            <w:pPr>
              <w:spacing w:after="0"/>
              <w:rPr>
                <w:sz w:val="3"/>
                <w:szCs w:val="3"/>
                <w:color w:val="auto"/>
              </w:rPr>
            </w:pPr>
          </w:p>
        </w:tc>
        <w:tc>
          <w:tcPr>
            <w:tcW w:w="6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900" w:type="dxa"/>
            <w:vAlign w:val="bottom"/>
            <w:tcBorders>
              <w:bottom w:val="single" w:sz="8" w:color="582C83"/>
            </w:tcBorders>
          </w:tcPr>
          <w:p>
            <w:pPr>
              <w:spacing w:after="0"/>
              <w:rPr>
                <w:sz w:val="3"/>
                <w:szCs w:val="3"/>
                <w:color w:val="auto"/>
              </w:rPr>
            </w:pPr>
          </w:p>
        </w:tc>
        <w:tc>
          <w:tcPr>
            <w:tcW w:w="128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20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00" w:type="dxa"/>
            <w:vAlign w:val="bottom"/>
          </w:tcPr>
          <w:p>
            <w:pPr>
              <w:ind w:left="140"/>
              <w:spacing w:after="0"/>
              <w:rPr>
                <w:sz w:val="20"/>
                <w:szCs w:val="20"/>
                <w:color w:val="auto"/>
              </w:rPr>
            </w:pPr>
            <w:r>
              <w:rPr>
                <w:rFonts w:ascii="Arial" w:cs="Arial" w:eastAsia="Arial" w:hAnsi="Arial"/>
                <w:sz w:val="16"/>
                <w:szCs w:val="16"/>
                <w:color w:val="auto"/>
              </w:rPr>
              <w:t>Officer</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2020</w:t>
            </w:r>
          </w:p>
        </w:tc>
        <w:tc>
          <w:tcPr>
            <w:tcW w:w="880" w:type="dxa"/>
            <w:vAlign w:val="bottom"/>
          </w:tcPr>
          <w:p>
            <w:pPr>
              <w:jc w:val="right"/>
              <w:spacing w:after="0"/>
              <w:rPr>
                <w:sz w:val="20"/>
                <w:szCs w:val="20"/>
                <w:color w:val="auto"/>
              </w:rPr>
            </w:pPr>
            <w:r>
              <w:rPr>
                <w:rFonts w:ascii="Arial" w:cs="Arial" w:eastAsia="Arial" w:hAnsi="Arial"/>
                <w:sz w:val="16"/>
                <w:szCs w:val="16"/>
                <w:color w:val="auto"/>
              </w:rPr>
              <w:t>806,352</w:t>
            </w:r>
          </w:p>
        </w:tc>
        <w:tc>
          <w:tcPr>
            <w:tcW w:w="980" w:type="dxa"/>
            <w:vAlign w:val="bottom"/>
          </w:tcPr>
          <w:p>
            <w:pPr>
              <w:jc w:val="right"/>
              <w:spacing w:after="0"/>
              <w:rPr>
                <w:sz w:val="20"/>
                <w:szCs w:val="20"/>
                <w:color w:val="auto"/>
              </w:rPr>
            </w:pPr>
            <w:r>
              <w:rPr>
                <w:rFonts w:ascii="Arial" w:cs="Arial" w:eastAsia="Arial" w:hAnsi="Arial"/>
                <w:sz w:val="16"/>
                <w:szCs w:val="16"/>
                <w:color w:val="auto"/>
              </w:rPr>
              <w:t>2,593,044</w:t>
            </w:r>
          </w:p>
        </w:tc>
        <w:tc>
          <w:tcPr>
            <w:tcW w:w="980" w:type="dxa"/>
            <w:vAlign w:val="bottom"/>
          </w:tcPr>
          <w:p>
            <w:pPr>
              <w:jc w:val="right"/>
              <w:spacing w:after="0"/>
              <w:rPr>
                <w:sz w:val="20"/>
                <w:szCs w:val="20"/>
                <w:color w:val="auto"/>
              </w:rPr>
            </w:pPr>
            <w:r>
              <w:rPr>
                <w:rFonts w:ascii="Arial" w:cs="Arial" w:eastAsia="Arial" w:hAnsi="Arial"/>
                <w:sz w:val="16"/>
                <w:szCs w:val="16"/>
                <w:color w:val="auto"/>
              </w:rPr>
              <w:t>569,755</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1,112,100</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2,281,910</w:t>
            </w:r>
          </w:p>
        </w:tc>
        <w:tc>
          <w:tcPr>
            <w:tcW w:w="1120" w:type="dxa"/>
            <w:vAlign w:val="bottom"/>
          </w:tcPr>
          <w:p>
            <w:pPr>
              <w:jc w:val="right"/>
              <w:spacing w:after="0"/>
              <w:rPr>
                <w:sz w:val="20"/>
                <w:szCs w:val="20"/>
                <w:color w:val="auto"/>
              </w:rPr>
            </w:pPr>
            <w:r>
              <w:rPr>
                <w:rFonts w:ascii="Arial" w:cs="Arial" w:eastAsia="Arial" w:hAnsi="Arial"/>
                <w:sz w:val="16"/>
                <w:szCs w:val="16"/>
                <w:color w:val="auto"/>
              </w:rPr>
              <w:t>7,363,161</w:t>
            </w:r>
          </w:p>
        </w:tc>
        <w:tc>
          <w:tcPr>
            <w:tcW w:w="0" w:type="dxa"/>
            <w:vAlign w:val="bottom"/>
          </w:tcPr>
          <w:p>
            <w:pPr>
              <w:spacing w:after="0"/>
              <w:rPr>
                <w:sz w:val="1"/>
                <w:szCs w:val="1"/>
                <w:color w:val="auto"/>
              </w:rPr>
            </w:pPr>
          </w:p>
        </w:tc>
      </w:tr>
      <w:tr>
        <w:trPr>
          <w:trHeight w:val="35"/>
        </w:trPr>
        <w:tc>
          <w:tcPr>
            <w:tcW w:w="2000" w:type="dxa"/>
            <w:vAlign w:val="bottom"/>
            <w:tcBorders>
              <w:bottom w:val="single" w:sz="8" w:color="582C83"/>
            </w:tcBorders>
          </w:tcPr>
          <w:p>
            <w:pPr>
              <w:spacing w:after="0"/>
              <w:rPr>
                <w:sz w:val="3"/>
                <w:szCs w:val="3"/>
                <w:color w:val="auto"/>
              </w:rPr>
            </w:pPr>
          </w:p>
        </w:tc>
        <w:tc>
          <w:tcPr>
            <w:tcW w:w="6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900" w:type="dxa"/>
            <w:vAlign w:val="bottom"/>
            <w:tcBorders>
              <w:bottom w:val="single" w:sz="8" w:color="582C83"/>
            </w:tcBorders>
          </w:tcPr>
          <w:p>
            <w:pPr>
              <w:spacing w:after="0"/>
              <w:rPr>
                <w:sz w:val="3"/>
                <w:szCs w:val="3"/>
                <w:color w:val="auto"/>
              </w:rPr>
            </w:pPr>
          </w:p>
        </w:tc>
        <w:tc>
          <w:tcPr>
            <w:tcW w:w="128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00" w:type="dxa"/>
            <w:vAlign w:val="bottom"/>
            <w:tcBorders>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Brusadelli, Maurizio</w:t>
            </w:r>
          </w:p>
        </w:tc>
        <w:tc>
          <w:tcPr>
            <w:tcW w:w="600" w:type="dxa"/>
            <w:vAlign w:val="bottom"/>
            <w:tcBorders>
              <w:bottom w:val="single" w:sz="8" w:color="EBE6F0"/>
              <w:right w:val="single" w:sz="8" w:color="EBE6F0"/>
            </w:tcBorders>
            <w:shd w:val="clear" w:color="auto" w:fill="EBE6F0"/>
          </w:tcPr>
          <w:p>
            <w:pPr>
              <w:jc w:val="right"/>
              <w:ind w:right="20"/>
              <w:spacing w:after="0"/>
              <w:rPr>
                <w:sz w:val="20"/>
                <w:szCs w:val="20"/>
                <w:color w:val="auto"/>
              </w:rPr>
            </w:pPr>
            <w:r>
              <w:rPr>
                <w:rFonts w:ascii="Arial" w:cs="Arial" w:eastAsia="Arial" w:hAnsi="Arial"/>
                <w:sz w:val="16"/>
                <w:szCs w:val="16"/>
                <w:color w:val="auto"/>
              </w:rPr>
              <w:t>2022</w:t>
            </w:r>
          </w:p>
        </w:tc>
        <w:tc>
          <w:tcPr>
            <w:tcW w:w="8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660,507</w:t>
            </w:r>
          </w:p>
        </w:tc>
        <w:tc>
          <w:tcPr>
            <w:tcW w:w="9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2,010,156</w:t>
            </w:r>
          </w:p>
        </w:tc>
        <w:tc>
          <w:tcPr>
            <w:tcW w:w="9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608,534</w:t>
            </w:r>
          </w:p>
        </w:tc>
        <w:tc>
          <w:tcPr>
            <w:tcW w:w="1200" w:type="dxa"/>
            <w:vAlign w:val="bottom"/>
            <w:tcBorders>
              <w:bottom w:val="single" w:sz="8" w:color="EBE6F0"/>
              <w:right w:val="single" w:sz="8" w:color="EBE6F0"/>
            </w:tcBorders>
            <w:shd w:val="clear" w:color="auto" w:fill="EBE6F0"/>
          </w:tcPr>
          <w:p>
            <w:pPr>
              <w:jc w:val="right"/>
              <w:ind w:right="1"/>
              <w:spacing w:after="0"/>
              <w:rPr>
                <w:sz w:val="20"/>
                <w:szCs w:val="20"/>
                <w:color w:val="auto"/>
              </w:rPr>
            </w:pPr>
            <w:r>
              <w:rPr>
                <w:rFonts w:ascii="Arial" w:cs="Arial" w:eastAsia="Arial" w:hAnsi="Arial"/>
                <w:sz w:val="16"/>
                <w:szCs w:val="16"/>
                <w:color w:val="auto"/>
              </w:rPr>
              <w:t>1,072,440</w:t>
            </w:r>
          </w:p>
        </w:tc>
        <w:tc>
          <w:tcPr>
            <w:tcW w:w="900" w:type="dxa"/>
            <w:vAlign w:val="bottom"/>
            <w:tcBorders>
              <w:bottom w:val="single" w:sz="8" w:color="EBE6F0"/>
              <w:right w:val="single" w:sz="8" w:color="EBE6F0"/>
            </w:tcBorders>
            <w:shd w:val="clear" w:color="auto" w:fill="EBE6F0"/>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BE6F0"/>
              <w:right w:val="single" w:sz="8" w:color="EBE6F0"/>
            </w:tcBorders>
            <w:shd w:val="clear" w:color="auto" w:fill="EBE6F0"/>
          </w:tcPr>
          <w:p>
            <w:pPr>
              <w:jc w:val="right"/>
              <w:ind w:right="20"/>
              <w:spacing w:after="0"/>
              <w:rPr>
                <w:sz w:val="20"/>
                <w:szCs w:val="20"/>
                <w:color w:val="auto"/>
              </w:rPr>
            </w:pPr>
            <w:r>
              <w:rPr>
                <w:rFonts w:ascii="Arial" w:cs="Arial" w:eastAsia="Arial" w:hAnsi="Arial"/>
                <w:sz w:val="16"/>
                <w:szCs w:val="16"/>
                <w:color w:val="auto"/>
              </w:rPr>
              <w:t>575,741</w:t>
            </w:r>
          </w:p>
        </w:tc>
        <w:tc>
          <w:tcPr>
            <w:tcW w:w="11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4,927,378</w:t>
            </w:r>
          </w:p>
        </w:tc>
        <w:tc>
          <w:tcPr>
            <w:tcW w:w="0" w:type="dxa"/>
            <w:vAlign w:val="bottom"/>
          </w:tcPr>
          <w:p>
            <w:pPr>
              <w:spacing w:after="0"/>
              <w:rPr>
                <w:sz w:val="1"/>
                <w:szCs w:val="1"/>
                <w:color w:val="auto"/>
              </w:rPr>
            </w:pPr>
          </w:p>
        </w:tc>
      </w:tr>
      <w:tr>
        <w:trPr>
          <w:trHeight w:val="141"/>
        </w:trPr>
        <w:tc>
          <w:tcPr>
            <w:tcW w:w="2000" w:type="dxa"/>
            <w:vAlign w:val="bottom"/>
            <w:tcBorders>
              <w:top w:val="single" w:sz="8" w:color="EBE6F0"/>
              <w:right w:val="single" w:sz="8" w:color="EBE6F0"/>
            </w:tcBorders>
            <w:shd w:val="clear" w:color="auto" w:fill="EBE6F0"/>
          </w:tcPr>
          <w:p>
            <w:pPr>
              <w:ind w:left="160"/>
              <w:spacing w:after="0" w:line="141" w:lineRule="exact"/>
              <w:rPr>
                <w:sz w:val="20"/>
                <w:szCs w:val="20"/>
                <w:color w:val="auto"/>
              </w:rPr>
            </w:pPr>
            <w:r>
              <w:rPr>
                <w:rFonts w:ascii="Arial" w:cs="Arial" w:eastAsia="Arial" w:hAnsi="Arial"/>
                <w:sz w:val="16"/>
                <w:szCs w:val="16"/>
                <w:color w:val="auto"/>
              </w:rPr>
              <w:t>Executive Vice President</w:t>
            </w:r>
          </w:p>
        </w:tc>
        <w:tc>
          <w:tcPr>
            <w:tcW w:w="600" w:type="dxa"/>
            <w:vAlign w:val="bottom"/>
            <w:tcBorders>
              <w:top w:val="single" w:sz="8" w:color="582C83"/>
              <w:right w:val="single" w:sz="8" w:color="EBE6F0"/>
            </w:tcBorders>
            <w:vMerge w:val="restart"/>
            <w:shd w:val="clear" w:color="auto" w:fill="EBE6F0"/>
          </w:tcPr>
          <w:p>
            <w:pPr>
              <w:jc w:val="right"/>
              <w:ind w:right="20"/>
              <w:spacing w:after="0"/>
              <w:rPr>
                <w:sz w:val="20"/>
                <w:szCs w:val="20"/>
                <w:color w:val="auto"/>
              </w:rPr>
            </w:pPr>
            <w:r>
              <w:rPr>
                <w:rFonts w:ascii="Arial" w:cs="Arial" w:eastAsia="Arial" w:hAnsi="Arial"/>
                <w:sz w:val="16"/>
                <w:szCs w:val="16"/>
                <w:color w:val="auto"/>
              </w:rPr>
              <w:t>2021</w:t>
            </w:r>
          </w:p>
        </w:tc>
        <w:tc>
          <w:tcPr>
            <w:tcW w:w="880" w:type="dxa"/>
            <w:vAlign w:val="bottom"/>
            <w:tcBorders>
              <w:top w:val="single" w:sz="8" w:color="582C83"/>
            </w:tcBorders>
            <w:vMerge w:val="restart"/>
            <w:shd w:val="clear" w:color="auto" w:fill="EBE6F0"/>
          </w:tcPr>
          <w:p>
            <w:pPr>
              <w:jc w:val="right"/>
              <w:spacing w:after="0"/>
              <w:rPr>
                <w:sz w:val="20"/>
                <w:szCs w:val="20"/>
                <w:color w:val="auto"/>
              </w:rPr>
            </w:pPr>
            <w:r>
              <w:rPr>
                <w:rFonts w:ascii="Arial" w:cs="Arial" w:eastAsia="Arial" w:hAnsi="Arial"/>
                <w:sz w:val="16"/>
                <w:szCs w:val="16"/>
                <w:color w:val="auto"/>
              </w:rPr>
              <w:t>682,498</w:t>
            </w:r>
          </w:p>
        </w:tc>
        <w:tc>
          <w:tcPr>
            <w:tcW w:w="980" w:type="dxa"/>
            <w:vAlign w:val="bottom"/>
            <w:tcBorders>
              <w:top w:val="single" w:sz="8" w:color="582C83"/>
            </w:tcBorders>
            <w:vMerge w:val="restart"/>
            <w:shd w:val="clear" w:color="auto" w:fill="EBE6F0"/>
          </w:tcPr>
          <w:p>
            <w:pPr>
              <w:jc w:val="right"/>
              <w:spacing w:after="0"/>
              <w:rPr>
                <w:sz w:val="20"/>
                <w:szCs w:val="20"/>
                <w:color w:val="auto"/>
              </w:rPr>
            </w:pPr>
            <w:r>
              <w:rPr>
                <w:rFonts w:ascii="Arial" w:cs="Arial" w:eastAsia="Arial" w:hAnsi="Arial"/>
                <w:sz w:val="16"/>
                <w:szCs w:val="16"/>
                <w:color w:val="auto"/>
              </w:rPr>
              <w:t>1,824,419</w:t>
            </w:r>
          </w:p>
        </w:tc>
        <w:tc>
          <w:tcPr>
            <w:tcW w:w="980" w:type="dxa"/>
            <w:vAlign w:val="bottom"/>
            <w:tcBorders>
              <w:top w:val="single" w:sz="8" w:color="582C83"/>
            </w:tcBorders>
            <w:vMerge w:val="restart"/>
            <w:shd w:val="clear" w:color="auto" w:fill="EBE6F0"/>
          </w:tcPr>
          <w:p>
            <w:pPr>
              <w:jc w:val="right"/>
              <w:spacing w:after="0"/>
              <w:rPr>
                <w:sz w:val="20"/>
                <w:szCs w:val="20"/>
                <w:color w:val="auto"/>
              </w:rPr>
            </w:pPr>
            <w:r>
              <w:rPr>
                <w:rFonts w:ascii="Arial" w:cs="Arial" w:eastAsia="Arial" w:hAnsi="Arial"/>
                <w:sz w:val="16"/>
                <w:szCs w:val="16"/>
                <w:color w:val="auto"/>
              </w:rPr>
              <w:t>464,144</w:t>
            </w:r>
          </w:p>
        </w:tc>
        <w:tc>
          <w:tcPr>
            <w:tcW w:w="1200" w:type="dxa"/>
            <w:vAlign w:val="bottom"/>
            <w:tcBorders>
              <w:top w:val="single" w:sz="8" w:color="582C83"/>
              <w:right w:val="single" w:sz="8" w:color="EBE6F0"/>
            </w:tcBorders>
            <w:vMerge w:val="restart"/>
            <w:shd w:val="clear" w:color="auto" w:fill="EBE6F0"/>
          </w:tcPr>
          <w:p>
            <w:pPr>
              <w:jc w:val="right"/>
              <w:ind w:right="1"/>
              <w:spacing w:after="0"/>
              <w:rPr>
                <w:sz w:val="20"/>
                <w:szCs w:val="20"/>
                <w:color w:val="auto"/>
              </w:rPr>
            </w:pPr>
            <w:r>
              <w:rPr>
                <w:rFonts w:ascii="Arial" w:cs="Arial" w:eastAsia="Arial" w:hAnsi="Arial"/>
                <w:sz w:val="16"/>
                <w:szCs w:val="16"/>
                <w:color w:val="auto"/>
              </w:rPr>
              <w:t>915,229</w:t>
            </w:r>
          </w:p>
        </w:tc>
        <w:tc>
          <w:tcPr>
            <w:tcW w:w="900" w:type="dxa"/>
            <w:vAlign w:val="bottom"/>
            <w:tcBorders>
              <w:top w:val="single" w:sz="8" w:color="582C83"/>
              <w:right w:val="single" w:sz="8" w:color="EBE6F0"/>
            </w:tcBorders>
            <w:vMerge w:val="restart"/>
            <w:shd w:val="clear" w:color="auto" w:fill="EBE6F0"/>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582C83"/>
              <w:right w:val="single" w:sz="8" w:color="EBE6F0"/>
            </w:tcBorders>
            <w:vMerge w:val="restart"/>
            <w:shd w:val="clear" w:color="auto" w:fill="EBE6F0"/>
          </w:tcPr>
          <w:p>
            <w:pPr>
              <w:jc w:val="right"/>
              <w:ind w:right="20"/>
              <w:spacing w:after="0"/>
              <w:rPr>
                <w:sz w:val="20"/>
                <w:szCs w:val="20"/>
                <w:color w:val="auto"/>
              </w:rPr>
            </w:pPr>
            <w:r>
              <w:rPr>
                <w:rFonts w:ascii="Arial" w:cs="Arial" w:eastAsia="Arial" w:hAnsi="Arial"/>
                <w:sz w:val="16"/>
                <w:szCs w:val="16"/>
                <w:color w:val="auto"/>
              </w:rPr>
              <w:t>846,063</w:t>
            </w:r>
          </w:p>
        </w:tc>
        <w:tc>
          <w:tcPr>
            <w:tcW w:w="1120" w:type="dxa"/>
            <w:vAlign w:val="bottom"/>
            <w:tcBorders>
              <w:top w:val="single" w:sz="8" w:color="582C83"/>
            </w:tcBorders>
            <w:vMerge w:val="restart"/>
            <w:shd w:val="clear" w:color="auto" w:fill="EBE6F0"/>
          </w:tcPr>
          <w:p>
            <w:pPr>
              <w:jc w:val="right"/>
              <w:spacing w:after="0"/>
              <w:rPr>
                <w:sz w:val="20"/>
                <w:szCs w:val="20"/>
                <w:color w:val="auto"/>
              </w:rPr>
            </w:pPr>
            <w:r>
              <w:rPr>
                <w:rFonts w:ascii="Arial" w:cs="Arial" w:eastAsia="Arial" w:hAnsi="Arial"/>
                <w:sz w:val="16"/>
                <w:szCs w:val="16"/>
                <w:color w:val="auto"/>
              </w:rPr>
              <w:t>4,732,353</w:t>
            </w:r>
          </w:p>
        </w:tc>
        <w:tc>
          <w:tcPr>
            <w:tcW w:w="0" w:type="dxa"/>
            <w:vAlign w:val="bottom"/>
          </w:tcPr>
          <w:p>
            <w:pPr>
              <w:spacing w:after="0"/>
              <w:rPr>
                <w:sz w:val="1"/>
                <w:szCs w:val="1"/>
                <w:color w:val="auto"/>
              </w:rPr>
            </w:pPr>
          </w:p>
        </w:tc>
      </w:tr>
      <w:tr>
        <w:trPr>
          <w:trHeight w:val="137"/>
        </w:trPr>
        <w:tc>
          <w:tcPr>
            <w:tcW w:w="2000" w:type="dxa"/>
            <w:vAlign w:val="bottom"/>
            <w:tcBorders>
              <w:bottom w:val="single" w:sz="8" w:color="EBE6F0"/>
              <w:right w:val="single" w:sz="8" w:color="EBE6F0"/>
            </w:tcBorders>
            <w:vMerge w:val="restart"/>
            <w:shd w:val="clear" w:color="auto" w:fill="EBE6F0"/>
          </w:tcPr>
          <w:p>
            <w:pPr>
              <w:ind w:left="160"/>
              <w:spacing w:after="0"/>
              <w:rPr>
                <w:sz w:val="20"/>
                <w:szCs w:val="20"/>
                <w:color w:val="auto"/>
              </w:rPr>
            </w:pPr>
            <w:r>
              <w:rPr>
                <w:rFonts w:ascii="Arial" w:cs="Arial" w:eastAsia="Arial" w:hAnsi="Arial"/>
                <w:sz w:val="16"/>
                <w:szCs w:val="16"/>
                <w:color w:val="auto"/>
              </w:rPr>
              <w:t>and President, AMEA</w:t>
            </w:r>
          </w:p>
        </w:tc>
        <w:tc>
          <w:tcPr>
            <w:tcW w:w="600" w:type="dxa"/>
            <w:vAlign w:val="bottom"/>
            <w:tcBorders>
              <w:bottom w:val="single" w:sz="8" w:color="EBE6F0"/>
              <w:right w:val="single" w:sz="8" w:color="EBE6F0"/>
            </w:tcBorders>
            <w:vMerge w:val="continue"/>
            <w:shd w:val="clear" w:color="auto" w:fill="EBE6F0"/>
          </w:tcPr>
          <w:p>
            <w:pPr>
              <w:spacing w:after="0"/>
              <w:rPr>
                <w:sz w:val="11"/>
                <w:szCs w:val="11"/>
                <w:color w:val="auto"/>
              </w:rPr>
            </w:pPr>
          </w:p>
        </w:tc>
        <w:tc>
          <w:tcPr>
            <w:tcW w:w="880" w:type="dxa"/>
            <w:vAlign w:val="bottom"/>
            <w:tcBorders>
              <w:bottom w:val="single" w:sz="8" w:color="EBE6F0"/>
            </w:tcBorders>
            <w:vMerge w:val="continue"/>
            <w:shd w:val="clear" w:color="auto" w:fill="EBE6F0"/>
          </w:tcPr>
          <w:p>
            <w:pPr>
              <w:spacing w:after="0"/>
              <w:rPr>
                <w:sz w:val="11"/>
                <w:szCs w:val="11"/>
                <w:color w:val="auto"/>
              </w:rPr>
            </w:pPr>
          </w:p>
        </w:tc>
        <w:tc>
          <w:tcPr>
            <w:tcW w:w="980" w:type="dxa"/>
            <w:vAlign w:val="bottom"/>
            <w:tcBorders>
              <w:bottom w:val="single" w:sz="8" w:color="EBE6F0"/>
            </w:tcBorders>
            <w:vMerge w:val="continue"/>
            <w:shd w:val="clear" w:color="auto" w:fill="EBE6F0"/>
          </w:tcPr>
          <w:p>
            <w:pPr>
              <w:spacing w:after="0"/>
              <w:rPr>
                <w:sz w:val="11"/>
                <w:szCs w:val="11"/>
                <w:color w:val="auto"/>
              </w:rPr>
            </w:pPr>
          </w:p>
        </w:tc>
        <w:tc>
          <w:tcPr>
            <w:tcW w:w="980" w:type="dxa"/>
            <w:vAlign w:val="bottom"/>
            <w:tcBorders>
              <w:bottom w:val="single" w:sz="8" w:color="EBE6F0"/>
            </w:tcBorders>
            <w:vMerge w:val="continue"/>
            <w:shd w:val="clear" w:color="auto" w:fill="EBE6F0"/>
          </w:tcPr>
          <w:p>
            <w:pPr>
              <w:spacing w:after="0"/>
              <w:rPr>
                <w:sz w:val="11"/>
                <w:szCs w:val="11"/>
                <w:color w:val="auto"/>
              </w:rPr>
            </w:pPr>
          </w:p>
        </w:tc>
        <w:tc>
          <w:tcPr>
            <w:tcW w:w="1200" w:type="dxa"/>
            <w:vAlign w:val="bottom"/>
            <w:tcBorders>
              <w:bottom w:val="single" w:sz="8" w:color="EBE6F0"/>
              <w:right w:val="single" w:sz="8" w:color="EBE6F0"/>
            </w:tcBorders>
            <w:vMerge w:val="continue"/>
            <w:shd w:val="clear" w:color="auto" w:fill="EBE6F0"/>
          </w:tcPr>
          <w:p>
            <w:pPr>
              <w:spacing w:after="0"/>
              <w:rPr>
                <w:sz w:val="11"/>
                <w:szCs w:val="11"/>
                <w:color w:val="auto"/>
              </w:rPr>
            </w:pPr>
          </w:p>
        </w:tc>
        <w:tc>
          <w:tcPr>
            <w:tcW w:w="900" w:type="dxa"/>
            <w:vAlign w:val="bottom"/>
            <w:tcBorders>
              <w:bottom w:val="single" w:sz="8" w:color="EBE6F0"/>
              <w:right w:val="single" w:sz="8" w:color="EBE6F0"/>
            </w:tcBorders>
            <w:vMerge w:val="continue"/>
            <w:shd w:val="clear" w:color="auto" w:fill="EBE6F0"/>
          </w:tcPr>
          <w:p>
            <w:pPr>
              <w:spacing w:after="0"/>
              <w:rPr>
                <w:sz w:val="11"/>
                <w:szCs w:val="11"/>
                <w:color w:val="auto"/>
              </w:rPr>
            </w:pPr>
          </w:p>
        </w:tc>
        <w:tc>
          <w:tcPr>
            <w:tcW w:w="1280" w:type="dxa"/>
            <w:vAlign w:val="bottom"/>
            <w:tcBorders>
              <w:bottom w:val="single" w:sz="8" w:color="EBE6F0"/>
              <w:right w:val="single" w:sz="8" w:color="EBE6F0"/>
            </w:tcBorders>
            <w:vMerge w:val="continue"/>
            <w:shd w:val="clear" w:color="auto" w:fill="EBE6F0"/>
          </w:tcPr>
          <w:p>
            <w:pPr>
              <w:spacing w:after="0"/>
              <w:rPr>
                <w:sz w:val="11"/>
                <w:szCs w:val="11"/>
                <w:color w:val="auto"/>
              </w:rPr>
            </w:pPr>
          </w:p>
        </w:tc>
        <w:tc>
          <w:tcPr>
            <w:tcW w:w="1120" w:type="dxa"/>
            <w:vAlign w:val="bottom"/>
            <w:tcBorders>
              <w:bottom w:val="single" w:sz="8" w:color="EBE6F0"/>
            </w:tcBorders>
            <w:vMerge w:val="continue"/>
            <w:shd w:val="clear" w:color="auto" w:fill="EBE6F0"/>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2000" w:type="dxa"/>
            <w:vAlign w:val="bottom"/>
            <w:tcBorders>
              <w:top w:val="single" w:sz="8" w:color="EBE6F0"/>
              <w:right w:val="single" w:sz="8" w:color="EBE6F0"/>
            </w:tcBorders>
            <w:vMerge w:val="continue"/>
            <w:shd w:val="clear" w:color="auto" w:fill="EBE6F0"/>
          </w:tcPr>
          <w:p>
            <w:pPr>
              <w:spacing w:after="0"/>
              <w:rPr>
                <w:sz w:val="4"/>
                <w:szCs w:val="4"/>
                <w:color w:val="auto"/>
              </w:rPr>
            </w:pPr>
          </w:p>
        </w:tc>
        <w:tc>
          <w:tcPr>
            <w:tcW w:w="600" w:type="dxa"/>
            <w:vAlign w:val="bottom"/>
            <w:tcBorders>
              <w:top w:val="single" w:sz="8" w:color="582C83"/>
              <w:right w:val="single" w:sz="8" w:color="EBE6F0"/>
            </w:tcBorders>
            <w:vMerge w:val="restart"/>
            <w:shd w:val="clear" w:color="auto" w:fill="EBE6F0"/>
          </w:tcPr>
          <w:p>
            <w:pPr>
              <w:jc w:val="right"/>
              <w:ind w:right="20"/>
              <w:spacing w:after="0"/>
              <w:rPr>
                <w:sz w:val="20"/>
                <w:szCs w:val="20"/>
                <w:color w:val="auto"/>
              </w:rPr>
            </w:pPr>
            <w:r>
              <w:rPr>
                <w:rFonts w:ascii="Arial" w:cs="Arial" w:eastAsia="Arial" w:hAnsi="Arial"/>
                <w:sz w:val="16"/>
                <w:szCs w:val="16"/>
                <w:color w:val="auto"/>
              </w:rPr>
              <w:t>2020</w:t>
            </w:r>
          </w:p>
        </w:tc>
        <w:tc>
          <w:tcPr>
            <w:tcW w:w="880" w:type="dxa"/>
            <w:vAlign w:val="bottom"/>
            <w:tcBorders>
              <w:top w:val="single" w:sz="8" w:color="582C83"/>
            </w:tcBorders>
            <w:vMerge w:val="restart"/>
            <w:shd w:val="clear" w:color="auto" w:fill="EBE6F0"/>
          </w:tcPr>
          <w:p>
            <w:pPr>
              <w:jc w:val="right"/>
              <w:spacing w:after="0"/>
              <w:rPr>
                <w:sz w:val="20"/>
                <w:szCs w:val="20"/>
                <w:color w:val="auto"/>
              </w:rPr>
            </w:pPr>
            <w:r>
              <w:rPr>
                <w:rFonts w:ascii="Arial" w:cs="Arial" w:eastAsia="Arial" w:hAnsi="Arial"/>
                <w:sz w:val="16"/>
                <w:szCs w:val="16"/>
                <w:color w:val="auto"/>
              </w:rPr>
              <w:t>734,452</w:t>
            </w:r>
          </w:p>
        </w:tc>
        <w:tc>
          <w:tcPr>
            <w:tcW w:w="980" w:type="dxa"/>
            <w:vAlign w:val="bottom"/>
            <w:tcBorders>
              <w:top w:val="single" w:sz="8" w:color="582C83"/>
            </w:tcBorders>
            <w:vMerge w:val="restart"/>
            <w:shd w:val="clear" w:color="auto" w:fill="EBE6F0"/>
          </w:tcPr>
          <w:p>
            <w:pPr>
              <w:jc w:val="right"/>
              <w:spacing w:after="0"/>
              <w:rPr>
                <w:sz w:val="20"/>
                <w:szCs w:val="20"/>
                <w:color w:val="auto"/>
              </w:rPr>
            </w:pPr>
            <w:r>
              <w:rPr>
                <w:rFonts w:ascii="Arial" w:cs="Arial" w:eastAsia="Arial" w:hAnsi="Arial"/>
                <w:sz w:val="16"/>
                <w:szCs w:val="16"/>
                <w:color w:val="auto"/>
              </w:rPr>
              <w:t>1,923,553</w:t>
            </w:r>
          </w:p>
        </w:tc>
        <w:tc>
          <w:tcPr>
            <w:tcW w:w="980" w:type="dxa"/>
            <w:vAlign w:val="bottom"/>
            <w:tcBorders>
              <w:top w:val="single" w:sz="8" w:color="582C83"/>
            </w:tcBorders>
            <w:vMerge w:val="restart"/>
            <w:shd w:val="clear" w:color="auto" w:fill="EBE6F0"/>
          </w:tcPr>
          <w:p>
            <w:pPr>
              <w:jc w:val="right"/>
              <w:spacing w:after="0"/>
              <w:rPr>
                <w:sz w:val="20"/>
                <w:szCs w:val="20"/>
                <w:color w:val="auto"/>
              </w:rPr>
            </w:pPr>
            <w:r>
              <w:rPr>
                <w:rFonts w:ascii="Arial" w:cs="Arial" w:eastAsia="Arial" w:hAnsi="Arial"/>
                <w:sz w:val="16"/>
                <w:szCs w:val="16"/>
                <w:color w:val="auto"/>
              </w:rPr>
              <w:t>422,716</w:t>
            </w:r>
          </w:p>
        </w:tc>
        <w:tc>
          <w:tcPr>
            <w:tcW w:w="1200" w:type="dxa"/>
            <w:vAlign w:val="bottom"/>
            <w:tcBorders>
              <w:top w:val="single" w:sz="8" w:color="582C83"/>
              <w:right w:val="single" w:sz="8" w:color="EBE6F0"/>
            </w:tcBorders>
            <w:vMerge w:val="restart"/>
            <w:shd w:val="clear" w:color="auto" w:fill="EBE6F0"/>
          </w:tcPr>
          <w:p>
            <w:pPr>
              <w:jc w:val="right"/>
              <w:ind w:right="1"/>
              <w:spacing w:after="0"/>
              <w:rPr>
                <w:sz w:val="20"/>
                <w:szCs w:val="20"/>
                <w:color w:val="auto"/>
              </w:rPr>
            </w:pPr>
            <w:r>
              <w:rPr>
                <w:rFonts w:ascii="Arial" w:cs="Arial" w:eastAsia="Arial" w:hAnsi="Arial"/>
                <w:sz w:val="16"/>
                <w:szCs w:val="16"/>
                <w:color w:val="auto"/>
              </w:rPr>
              <w:t>808,808</w:t>
            </w:r>
          </w:p>
        </w:tc>
        <w:tc>
          <w:tcPr>
            <w:tcW w:w="900" w:type="dxa"/>
            <w:vAlign w:val="bottom"/>
            <w:tcBorders>
              <w:top w:val="single" w:sz="8" w:color="582C83"/>
              <w:right w:val="single" w:sz="8" w:color="EBE6F0"/>
            </w:tcBorders>
            <w:vMerge w:val="restart"/>
            <w:shd w:val="clear" w:color="auto" w:fill="EBE6F0"/>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582C83"/>
              <w:right w:val="single" w:sz="8" w:color="EBE6F0"/>
            </w:tcBorders>
            <w:vMerge w:val="restart"/>
            <w:shd w:val="clear" w:color="auto" w:fill="EBE6F0"/>
          </w:tcPr>
          <w:p>
            <w:pPr>
              <w:jc w:val="right"/>
              <w:ind w:right="20"/>
              <w:spacing w:after="0"/>
              <w:rPr>
                <w:sz w:val="20"/>
                <w:szCs w:val="20"/>
                <w:color w:val="auto"/>
              </w:rPr>
            </w:pPr>
            <w:r>
              <w:rPr>
                <w:rFonts w:ascii="Arial" w:cs="Arial" w:eastAsia="Arial" w:hAnsi="Arial"/>
                <w:sz w:val="16"/>
                <w:szCs w:val="16"/>
                <w:color w:val="auto"/>
              </w:rPr>
              <w:t>800,715</w:t>
            </w:r>
          </w:p>
        </w:tc>
        <w:tc>
          <w:tcPr>
            <w:tcW w:w="1120" w:type="dxa"/>
            <w:vAlign w:val="bottom"/>
            <w:tcBorders>
              <w:top w:val="single" w:sz="8" w:color="582C83"/>
            </w:tcBorders>
            <w:vMerge w:val="restart"/>
            <w:shd w:val="clear" w:color="auto" w:fill="EBE6F0"/>
          </w:tcPr>
          <w:p>
            <w:pPr>
              <w:jc w:val="right"/>
              <w:spacing w:after="0"/>
              <w:rPr>
                <w:sz w:val="20"/>
                <w:szCs w:val="20"/>
                <w:color w:val="auto"/>
              </w:rPr>
            </w:pPr>
            <w:r>
              <w:rPr>
                <w:rFonts w:ascii="Arial" w:cs="Arial" w:eastAsia="Arial" w:hAnsi="Arial"/>
                <w:sz w:val="16"/>
                <w:szCs w:val="16"/>
                <w:color w:val="auto"/>
              </w:rPr>
              <w:t>4,690,244</w:t>
            </w:r>
          </w:p>
        </w:tc>
        <w:tc>
          <w:tcPr>
            <w:tcW w:w="0" w:type="dxa"/>
            <w:vAlign w:val="bottom"/>
          </w:tcPr>
          <w:p>
            <w:pPr>
              <w:spacing w:after="0"/>
              <w:rPr>
                <w:sz w:val="1"/>
                <w:szCs w:val="1"/>
                <w:color w:val="auto"/>
              </w:rPr>
            </w:pPr>
          </w:p>
        </w:tc>
      </w:tr>
      <w:tr>
        <w:trPr>
          <w:trHeight w:val="221"/>
        </w:trPr>
        <w:tc>
          <w:tcPr>
            <w:tcW w:w="2000" w:type="dxa"/>
            <w:vAlign w:val="bottom"/>
            <w:tcBorders>
              <w:bottom w:val="single" w:sz="8" w:color="EBE6F0"/>
              <w:right w:val="single" w:sz="8" w:color="EBE6F0"/>
            </w:tcBorders>
            <w:shd w:val="clear" w:color="auto" w:fill="EBE6F0"/>
          </w:tcPr>
          <w:p>
            <w:pPr>
              <w:spacing w:after="0"/>
              <w:rPr>
                <w:sz w:val="19"/>
                <w:szCs w:val="19"/>
                <w:color w:val="auto"/>
              </w:rPr>
            </w:pPr>
          </w:p>
        </w:tc>
        <w:tc>
          <w:tcPr>
            <w:tcW w:w="600" w:type="dxa"/>
            <w:vAlign w:val="bottom"/>
            <w:tcBorders>
              <w:bottom w:val="single" w:sz="8" w:color="EBE6F0"/>
              <w:right w:val="single" w:sz="8" w:color="EBE6F0"/>
            </w:tcBorders>
            <w:vMerge w:val="continue"/>
            <w:shd w:val="clear" w:color="auto" w:fill="EBE6F0"/>
          </w:tcPr>
          <w:p>
            <w:pPr>
              <w:spacing w:after="0"/>
              <w:rPr>
                <w:sz w:val="19"/>
                <w:szCs w:val="19"/>
                <w:color w:val="auto"/>
              </w:rPr>
            </w:pPr>
          </w:p>
        </w:tc>
        <w:tc>
          <w:tcPr>
            <w:tcW w:w="880" w:type="dxa"/>
            <w:vAlign w:val="bottom"/>
            <w:tcBorders>
              <w:bottom w:val="single" w:sz="8" w:color="EBE6F0"/>
            </w:tcBorders>
            <w:vMerge w:val="continue"/>
            <w:shd w:val="clear" w:color="auto" w:fill="EBE6F0"/>
          </w:tcPr>
          <w:p>
            <w:pPr>
              <w:spacing w:after="0"/>
              <w:rPr>
                <w:sz w:val="19"/>
                <w:szCs w:val="19"/>
                <w:color w:val="auto"/>
              </w:rPr>
            </w:pPr>
          </w:p>
        </w:tc>
        <w:tc>
          <w:tcPr>
            <w:tcW w:w="980" w:type="dxa"/>
            <w:vAlign w:val="bottom"/>
            <w:tcBorders>
              <w:bottom w:val="single" w:sz="8" w:color="EBE6F0"/>
            </w:tcBorders>
            <w:vMerge w:val="continue"/>
            <w:shd w:val="clear" w:color="auto" w:fill="EBE6F0"/>
          </w:tcPr>
          <w:p>
            <w:pPr>
              <w:spacing w:after="0"/>
              <w:rPr>
                <w:sz w:val="19"/>
                <w:szCs w:val="19"/>
                <w:color w:val="auto"/>
              </w:rPr>
            </w:pPr>
          </w:p>
        </w:tc>
        <w:tc>
          <w:tcPr>
            <w:tcW w:w="980" w:type="dxa"/>
            <w:vAlign w:val="bottom"/>
            <w:tcBorders>
              <w:bottom w:val="single" w:sz="8" w:color="EBE6F0"/>
            </w:tcBorders>
            <w:vMerge w:val="continue"/>
            <w:shd w:val="clear" w:color="auto" w:fill="EBE6F0"/>
          </w:tcPr>
          <w:p>
            <w:pPr>
              <w:spacing w:after="0"/>
              <w:rPr>
                <w:sz w:val="19"/>
                <w:szCs w:val="19"/>
                <w:color w:val="auto"/>
              </w:rPr>
            </w:pPr>
          </w:p>
        </w:tc>
        <w:tc>
          <w:tcPr>
            <w:tcW w:w="1200" w:type="dxa"/>
            <w:vAlign w:val="bottom"/>
            <w:tcBorders>
              <w:bottom w:val="single" w:sz="8" w:color="EBE6F0"/>
              <w:right w:val="single" w:sz="8" w:color="EBE6F0"/>
            </w:tcBorders>
            <w:vMerge w:val="continue"/>
            <w:shd w:val="clear" w:color="auto" w:fill="EBE6F0"/>
          </w:tcPr>
          <w:p>
            <w:pPr>
              <w:spacing w:after="0"/>
              <w:rPr>
                <w:sz w:val="19"/>
                <w:szCs w:val="19"/>
                <w:color w:val="auto"/>
              </w:rPr>
            </w:pPr>
          </w:p>
        </w:tc>
        <w:tc>
          <w:tcPr>
            <w:tcW w:w="900" w:type="dxa"/>
            <w:vAlign w:val="bottom"/>
            <w:tcBorders>
              <w:bottom w:val="single" w:sz="8" w:color="EBE6F0"/>
              <w:right w:val="single" w:sz="8" w:color="EBE6F0"/>
            </w:tcBorders>
            <w:vMerge w:val="continue"/>
            <w:shd w:val="clear" w:color="auto" w:fill="EBE6F0"/>
          </w:tcPr>
          <w:p>
            <w:pPr>
              <w:spacing w:after="0"/>
              <w:rPr>
                <w:sz w:val="19"/>
                <w:szCs w:val="19"/>
                <w:color w:val="auto"/>
              </w:rPr>
            </w:pPr>
          </w:p>
        </w:tc>
        <w:tc>
          <w:tcPr>
            <w:tcW w:w="1280" w:type="dxa"/>
            <w:vAlign w:val="bottom"/>
            <w:tcBorders>
              <w:bottom w:val="single" w:sz="8" w:color="EBE6F0"/>
              <w:right w:val="single" w:sz="8" w:color="EBE6F0"/>
            </w:tcBorders>
            <w:vMerge w:val="continue"/>
            <w:shd w:val="clear" w:color="auto" w:fill="EBE6F0"/>
          </w:tcPr>
          <w:p>
            <w:pPr>
              <w:spacing w:after="0"/>
              <w:rPr>
                <w:sz w:val="19"/>
                <w:szCs w:val="19"/>
                <w:color w:val="auto"/>
              </w:rPr>
            </w:pPr>
          </w:p>
        </w:tc>
        <w:tc>
          <w:tcPr>
            <w:tcW w:w="1120" w:type="dxa"/>
            <w:vAlign w:val="bottom"/>
            <w:tcBorders>
              <w:bottom w:val="single" w:sz="8" w:color="EBE6F0"/>
            </w:tcBorders>
            <w:vMerge w:val="continue"/>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00" w:type="dxa"/>
            <w:vAlign w:val="bottom"/>
            <w:tcBorders>
              <w:top w:val="single" w:sz="8" w:color="582C83"/>
            </w:tcBorders>
          </w:tcPr>
          <w:p>
            <w:pPr>
              <w:ind w:left="80"/>
              <w:spacing w:after="0"/>
              <w:rPr>
                <w:sz w:val="20"/>
                <w:szCs w:val="20"/>
                <w:color w:val="auto"/>
              </w:rPr>
            </w:pPr>
            <w:r>
              <w:rPr>
                <w:rFonts w:ascii="Arial" w:cs="Arial" w:eastAsia="Arial" w:hAnsi="Arial"/>
                <w:sz w:val="16"/>
                <w:szCs w:val="16"/>
                <w:b w:val="1"/>
                <w:bCs w:val="1"/>
                <w:color w:val="auto"/>
              </w:rPr>
              <w:t>Gruber, Vinzenz</w:t>
            </w:r>
          </w:p>
        </w:tc>
        <w:tc>
          <w:tcPr>
            <w:tcW w:w="600" w:type="dxa"/>
            <w:vAlign w:val="bottom"/>
            <w:tcBorders>
              <w:top w:val="single" w:sz="8" w:color="582C83"/>
            </w:tcBorders>
          </w:tcPr>
          <w:p>
            <w:pPr>
              <w:jc w:val="right"/>
              <w:ind w:right="20"/>
              <w:spacing w:after="0"/>
              <w:rPr>
                <w:sz w:val="20"/>
                <w:szCs w:val="20"/>
                <w:color w:val="auto"/>
              </w:rPr>
            </w:pPr>
            <w:r>
              <w:rPr>
                <w:rFonts w:ascii="Arial" w:cs="Arial" w:eastAsia="Arial" w:hAnsi="Arial"/>
                <w:sz w:val="16"/>
                <w:szCs w:val="16"/>
                <w:color w:val="auto"/>
              </w:rPr>
              <w:t>2022</w:t>
            </w:r>
          </w:p>
        </w:tc>
        <w:tc>
          <w:tcPr>
            <w:tcW w:w="8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790,555</w:t>
            </w:r>
          </w:p>
        </w:tc>
        <w:tc>
          <w:tcPr>
            <w:tcW w:w="9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2,010,156</w:t>
            </w:r>
          </w:p>
        </w:tc>
        <w:tc>
          <w:tcPr>
            <w:tcW w:w="9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608,534</w:t>
            </w:r>
          </w:p>
        </w:tc>
        <w:tc>
          <w:tcPr>
            <w:tcW w:w="1200" w:type="dxa"/>
            <w:vAlign w:val="bottom"/>
            <w:tcBorders>
              <w:top w:val="single" w:sz="8" w:color="582C83"/>
            </w:tcBorders>
          </w:tcPr>
          <w:p>
            <w:pPr>
              <w:jc w:val="right"/>
              <w:ind w:right="1"/>
              <w:spacing w:after="0"/>
              <w:rPr>
                <w:sz w:val="20"/>
                <w:szCs w:val="20"/>
                <w:color w:val="auto"/>
              </w:rPr>
            </w:pPr>
            <w:r>
              <w:rPr>
                <w:rFonts w:ascii="Arial" w:cs="Arial" w:eastAsia="Arial" w:hAnsi="Arial"/>
                <w:sz w:val="16"/>
                <w:szCs w:val="16"/>
                <w:color w:val="auto"/>
              </w:rPr>
              <w:t>478,449</w:t>
            </w:r>
          </w:p>
        </w:tc>
        <w:tc>
          <w:tcPr>
            <w:tcW w:w="900" w:type="dxa"/>
            <w:vAlign w:val="bottom"/>
            <w:tcBorders>
              <w:top w:val="single" w:sz="8" w:color="582C83"/>
            </w:tcBorders>
          </w:tcPr>
          <w:p>
            <w:pPr>
              <w:jc w:val="right"/>
              <w:ind w:right="21"/>
              <w:spacing w:after="0"/>
              <w:rPr>
                <w:sz w:val="20"/>
                <w:szCs w:val="20"/>
                <w:color w:val="auto"/>
              </w:rPr>
            </w:pPr>
            <w:r>
              <w:rPr>
                <w:rFonts w:ascii="Arial" w:cs="Arial" w:eastAsia="Arial" w:hAnsi="Arial"/>
                <w:sz w:val="16"/>
                <w:szCs w:val="16"/>
                <w:color w:val="auto"/>
              </w:rPr>
              <w:t>0</w:t>
            </w:r>
          </w:p>
        </w:tc>
        <w:tc>
          <w:tcPr>
            <w:tcW w:w="1280" w:type="dxa"/>
            <w:vAlign w:val="bottom"/>
            <w:tcBorders>
              <w:top w:val="single" w:sz="8" w:color="582C83"/>
            </w:tcBorders>
          </w:tcPr>
          <w:p>
            <w:pPr>
              <w:jc w:val="right"/>
              <w:ind w:right="20"/>
              <w:spacing w:after="0"/>
              <w:rPr>
                <w:sz w:val="20"/>
                <w:szCs w:val="20"/>
                <w:color w:val="auto"/>
              </w:rPr>
            </w:pPr>
            <w:r>
              <w:rPr>
                <w:rFonts w:ascii="Arial" w:cs="Arial" w:eastAsia="Arial" w:hAnsi="Arial"/>
                <w:sz w:val="16"/>
                <w:szCs w:val="16"/>
                <w:color w:val="auto"/>
              </w:rPr>
              <w:t>17,406</w:t>
            </w:r>
          </w:p>
        </w:tc>
        <w:tc>
          <w:tcPr>
            <w:tcW w:w="112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3,905,100</w:t>
            </w:r>
          </w:p>
        </w:tc>
        <w:tc>
          <w:tcPr>
            <w:tcW w:w="0" w:type="dxa"/>
            <w:vAlign w:val="bottom"/>
          </w:tcPr>
          <w:p>
            <w:pPr>
              <w:spacing w:after="0"/>
              <w:rPr>
                <w:sz w:val="1"/>
                <w:szCs w:val="1"/>
                <w:color w:val="auto"/>
              </w:rPr>
            </w:pPr>
          </w:p>
        </w:tc>
      </w:tr>
      <w:tr>
        <w:trPr>
          <w:trHeight w:val="27"/>
        </w:trPr>
        <w:tc>
          <w:tcPr>
            <w:tcW w:w="2000" w:type="dxa"/>
            <w:vAlign w:val="bottom"/>
            <w:vMerge w:val="restart"/>
          </w:tcPr>
          <w:p>
            <w:pPr>
              <w:ind w:left="140"/>
              <w:spacing w:after="0"/>
              <w:rPr>
                <w:sz w:val="20"/>
                <w:szCs w:val="20"/>
                <w:color w:val="auto"/>
              </w:rPr>
            </w:pPr>
            <w:r>
              <w:rPr>
                <w:rFonts w:ascii="Arial" w:cs="Arial" w:eastAsia="Arial" w:hAnsi="Arial"/>
                <w:sz w:val="16"/>
                <w:szCs w:val="16"/>
                <w:color w:val="auto"/>
              </w:rPr>
              <w:t>Executive Vice President</w:t>
            </w:r>
          </w:p>
        </w:tc>
        <w:tc>
          <w:tcPr>
            <w:tcW w:w="600" w:type="dxa"/>
            <w:vAlign w:val="bottom"/>
            <w:tcBorders>
              <w:bottom w:val="single" w:sz="8" w:color="582C83"/>
            </w:tcBorders>
          </w:tcPr>
          <w:p>
            <w:pPr>
              <w:spacing w:after="0"/>
              <w:rPr>
                <w:sz w:val="2"/>
                <w:szCs w:val="2"/>
                <w:color w:val="auto"/>
              </w:rPr>
            </w:pPr>
          </w:p>
        </w:tc>
        <w:tc>
          <w:tcPr>
            <w:tcW w:w="880" w:type="dxa"/>
            <w:vAlign w:val="bottom"/>
            <w:tcBorders>
              <w:bottom w:val="single" w:sz="8" w:color="582C83"/>
            </w:tcBorders>
          </w:tcPr>
          <w:p>
            <w:pPr>
              <w:spacing w:after="0"/>
              <w:rPr>
                <w:sz w:val="2"/>
                <w:szCs w:val="2"/>
                <w:color w:val="auto"/>
              </w:rPr>
            </w:pPr>
          </w:p>
        </w:tc>
        <w:tc>
          <w:tcPr>
            <w:tcW w:w="980" w:type="dxa"/>
            <w:vAlign w:val="bottom"/>
            <w:tcBorders>
              <w:bottom w:val="single" w:sz="8" w:color="582C83"/>
            </w:tcBorders>
          </w:tcPr>
          <w:p>
            <w:pPr>
              <w:spacing w:after="0"/>
              <w:rPr>
                <w:sz w:val="2"/>
                <w:szCs w:val="2"/>
                <w:color w:val="auto"/>
              </w:rPr>
            </w:pPr>
          </w:p>
        </w:tc>
        <w:tc>
          <w:tcPr>
            <w:tcW w:w="980" w:type="dxa"/>
            <w:vAlign w:val="bottom"/>
            <w:tcBorders>
              <w:bottom w:val="single" w:sz="8" w:color="582C83"/>
            </w:tcBorders>
          </w:tcPr>
          <w:p>
            <w:pPr>
              <w:spacing w:after="0"/>
              <w:rPr>
                <w:sz w:val="2"/>
                <w:szCs w:val="2"/>
                <w:color w:val="auto"/>
              </w:rPr>
            </w:pPr>
          </w:p>
        </w:tc>
        <w:tc>
          <w:tcPr>
            <w:tcW w:w="1200" w:type="dxa"/>
            <w:vAlign w:val="bottom"/>
            <w:tcBorders>
              <w:bottom w:val="single" w:sz="8" w:color="582C83"/>
            </w:tcBorders>
          </w:tcPr>
          <w:p>
            <w:pPr>
              <w:spacing w:after="0"/>
              <w:rPr>
                <w:sz w:val="2"/>
                <w:szCs w:val="2"/>
                <w:color w:val="auto"/>
              </w:rPr>
            </w:pPr>
          </w:p>
        </w:tc>
        <w:tc>
          <w:tcPr>
            <w:tcW w:w="900" w:type="dxa"/>
            <w:vAlign w:val="bottom"/>
            <w:tcBorders>
              <w:bottom w:val="single" w:sz="8" w:color="582C83"/>
            </w:tcBorders>
          </w:tcPr>
          <w:p>
            <w:pPr>
              <w:spacing w:after="0"/>
              <w:rPr>
                <w:sz w:val="2"/>
                <w:szCs w:val="2"/>
                <w:color w:val="auto"/>
              </w:rPr>
            </w:pPr>
          </w:p>
        </w:tc>
        <w:tc>
          <w:tcPr>
            <w:tcW w:w="1280" w:type="dxa"/>
            <w:vAlign w:val="bottom"/>
            <w:tcBorders>
              <w:bottom w:val="single" w:sz="8" w:color="582C83"/>
            </w:tcBorders>
          </w:tcPr>
          <w:p>
            <w:pPr>
              <w:spacing w:after="0"/>
              <w:rPr>
                <w:sz w:val="2"/>
                <w:szCs w:val="2"/>
                <w:color w:val="auto"/>
              </w:rPr>
            </w:pPr>
          </w:p>
        </w:tc>
        <w:tc>
          <w:tcPr>
            <w:tcW w:w="1120" w:type="dxa"/>
            <w:vAlign w:val="bottom"/>
            <w:tcBorders>
              <w:bottom w:val="single" w:sz="8" w:color="582C83"/>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000" w:type="dxa"/>
            <w:vAlign w:val="bottom"/>
            <w:vMerge w:val="continue"/>
          </w:tcPr>
          <w:p>
            <w:pPr>
              <w:spacing w:after="0"/>
              <w:rPr>
                <w:sz w:val="12"/>
                <w:szCs w:val="12"/>
                <w:color w:val="auto"/>
              </w:rPr>
            </w:pPr>
          </w:p>
        </w:tc>
        <w:tc>
          <w:tcPr>
            <w:tcW w:w="600" w:type="dxa"/>
            <w:vAlign w:val="bottom"/>
            <w:vMerge w:val="restart"/>
          </w:tcPr>
          <w:p>
            <w:pPr>
              <w:jc w:val="right"/>
              <w:ind w:right="20"/>
              <w:spacing w:after="0"/>
              <w:rPr>
                <w:sz w:val="20"/>
                <w:szCs w:val="20"/>
                <w:color w:val="auto"/>
              </w:rPr>
            </w:pPr>
            <w:r>
              <w:rPr>
                <w:rFonts w:ascii="Arial" w:cs="Arial" w:eastAsia="Arial" w:hAnsi="Arial"/>
                <w:sz w:val="16"/>
                <w:szCs w:val="16"/>
                <w:color w:val="auto"/>
              </w:rPr>
              <w:t>2021</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776,559</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1,903,355</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484,257</w:t>
            </w:r>
          </w:p>
        </w:tc>
        <w:tc>
          <w:tcPr>
            <w:tcW w:w="1200" w:type="dxa"/>
            <w:vAlign w:val="bottom"/>
            <w:vMerge w:val="restart"/>
          </w:tcPr>
          <w:p>
            <w:pPr>
              <w:jc w:val="right"/>
              <w:ind w:right="1"/>
              <w:spacing w:after="0"/>
              <w:rPr>
                <w:sz w:val="20"/>
                <w:szCs w:val="20"/>
                <w:color w:val="auto"/>
              </w:rPr>
            </w:pPr>
            <w:r>
              <w:rPr>
                <w:rFonts w:ascii="Arial" w:cs="Arial" w:eastAsia="Arial" w:hAnsi="Arial"/>
                <w:sz w:val="16"/>
                <w:szCs w:val="16"/>
                <w:color w:val="auto"/>
              </w:rPr>
              <w:t>691,914</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0</w:t>
            </w:r>
          </w:p>
        </w:tc>
        <w:tc>
          <w:tcPr>
            <w:tcW w:w="1280" w:type="dxa"/>
            <w:vAlign w:val="bottom"/>
            <w:vMerge w:val="restart"/>
          </w:tcPr>
          <w:p>
            <w:pPr>
              <w:jc w:val="right"/>
              <w:ind w:right="20"/>
              <w:spacing w:after="0"/>
              <w:rPr>
                <w:sz w:val="20"/>
                <w:szCs w:val="20"/>
                <w:color w:val="auto"/>
              </w:rPr>
            </w:pPr>
            <w:r>
              <w:rPr>
                <w:rFonts w:ascii="Arial" w:cs="Arial" w:eastAsia="Arial" w:hAnsi="Arial"/>
                <w:sz w:val="16"/>
                <w:szCs w:val="16"/>
                <w:color w:val="auto"/>
              </w:rPr>
              <w:t>17,564</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3,873,649</w:t>
            </w:r>
          </w:p>
        </w:tc>
        <w:tc>
          <w:tcPr>
            <w:tcW w:w="0" w:type="dxa"/>
            <w:vAlign w:val="bottom"/>
          </w:tcPr>
          <w:p>
            <w:pPr>
              <w:spacing w:after="0"/>
              <w:rPr>
                <w:sz w:val="1"/>
                <w:szCs w:val="1"/>
                <w:color w:val="auto"/>
              </w:rPr>
            </w:pPr>
          </w:p>
        </w:tc>
      </w:tr>
      <w:tr>
        <w:trPr>
          <w:trHeight w:val="102"/>
        </w:trPr>
        <w:tc>
          <w:tcPr>
            <w:tcW w:w="2000" w:type="dxa"/>
            <w:vAlign w:val="bottom"/>
            <w:vMerge w:val="restart"/>
          </w:tcPr>
          <w:p>
            <w:pPr>
              <w:ind w:left="140"/>
              <w:spacing w:after="0"/>
              <w:rPr>
                <w:sz w:val="20"/>
                <w:szCs w:val="20"/>
                <w:color w:val="auto"/>
              </w:rPr>
            </w:pPr>
            <w:r>
              <w:rPr>
                <w:rFonts w:ascii="Arial" w:cs="Arial" w:eastAsia="Arial" w:hAnsi="Arial"/>
                <w:sz w:val="16"/>
                <w:szCs w:val="16"/>
                <w:color w:val="auto"/>
              </w:rPr>
              <w:t>and President, Europe</w:t>
            </w:r>
          </w:p>
        </w:tc>
        <w:tc>
          <w:tcPr>
            <w:tcW w:w="6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00" w:type="dxa"/>
            <w:vAlign w:val="bottom"/>
            <w:vMerge w:val="continue"/>
          </w:tcPr>
          <w:p>
            <w:pPr>
              <w:spacing w:after="0"/>
              <w:rPr>
                <w:sz w:val="3"/>
                <w:szCs w:val="3"/>
                <w:color w:val="auto"/>
              </w:rPr>
            </w:pPr>
          </w:p>
        </w:tc>
        <w:tc>
          <w:tcPr>
            <w:tcW w:w="6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900" w:type="dxa"/>
            <w:vAlign w:val="bottom"/>
            <w:tcBorders>
              <w:bottom w:val="single" w:sz="8" w:color="582C83"/>
            </w:tcBorders>
          </w:tcPr>
          <w:p>
            <w:pPr>
              <w:spacing w:after="0"/>
              <w:rPr>
                <w:sz w:val="3"/>
                <w:szCs w:val="3"/>
                <w:color w:val="auto"/>
              </w:rPr>
            </w:pPr>
          </w:p>
        </w:tc>
        <w:tc>
          <w:tcPr>
            <w:tcW w:w="128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57"/>
        </w:trPr>
        <w:tc>
          <w:tcPr>
            <w:tcW w:w="2000" w:type="dxa"/>
            <w:vAlign w:val="bottom"/>
            <w:vMerge w:val="continue"/>
          </w:tcPr>
          <w:p>
            <w:pPr>
              <w:spacing w:after="0"/>
              <w:rPr>
                <w:sz w:val="4"/>
                <w:szCs w:val="4"/>
                <w:color w:val="auto"/>
              </w:rPr>
            </w:pPr>
          </w:p>
        </w:tc>
        <w:tc>
          <w:tcPr>
            <w:tcW w:w="600" w:type="dxa"/>
            <w:vAlign w:val="bottom"/>
            <w:vMerge w:val="restart"/>
          </w:tcPr>
          <w:p>
            <w:pPr>
              <w:jc w:val="right"/>
              <w:ind w:right="20"/>
              <w:spacing w:after="0"/>
              <w:rPr>
                <w:sz w:val="20"/>
                <w:szCs w:val="20"/>
                <w:color w:val="auto"/>
              </w:rPr>
            </w:pPr>
            <w:r>
              <w:rPr>
                <w:rFonts w:ascii="Arial" w:cs="Arial" w:eastAsia="Arial" w:hAnsi="Arial"/>
                <w:sz w:val="16"/>
                <w:szCs w:val="16"/>
                <w:color w:val="auto"/>
              </w:rPr>
              <w:t>2020</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794,879</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1,839,949</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404,314</w:t>
            </w:r>
          </w:p>
        </w:tc>
        <w:tc>
          <w:tcPr>
            <w:tcW w:w="1200" w:type="dxa"/>
            <w:vAlign w:val="bottom"/>
            <w:vMerge w:val="restart"/>
          </w:tcPr>
          <w:p>
            <w:pPr>
              <w:jc w:val="right"/>
              <w:ind w:right="1"/>
              <w:spacing w:after="0"/>
              <w:rPr>
                <w:sz w:val="20"/>
                <w:szCs w:val="20"/>
                <w:color w:val="auto"/>
              </w:rPr>
            </w:pPr>
            <w:r>
              <w:rPr>
                <w:rFonts w:ascii="Arial" w:cs="Arial" w:eastAsia="Arial" w:hAnsi="Arial"/>
                <w:sz w:val="16"/>
                <w:szCs w:val="16"/>
                <w:color w:val="auto"/>
              </w:rPr>
              <w:t>946,149</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1,687,667</w:t>
            </w:r>
          </w:p>
        </w:tc>
        <w:tc>
          <w:tcPr>
            <w:tcW w:w="1280" w:type="dxa"/>
            <w:vAlign w:val="bottom"/>
            <w:vMerge w:val="restart"/>
          </w:tcPr>
          <w:p>
            <w:pPr>
              <w:jc w:val="right"/>
              <w:ind w:right="20"/>
              <w:spacing w:after="0"/>
              <w:rPr>
                <w:sz w:val="20"/>
                <w:szCs w:val="20"/>
                <w:color w:val="auto"/>
              </w:rPr>
            </w:pPr>
            <w:r>
              <w:rPr>
                <w:rFonts w:ascii="Arial" w:cs="Arial" w:eastAsia="Arial" w:hAnsi="Arial"/>
                <w:sz w:val="16"/>
                <w:szCs w:val="16"/>
                <w:color w:val="auto"/>
              </w:rPr>
              <w:t>18,972</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5,691,930</w:t>
            </w: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00" w:type="dxa"/>
            <w:vAlign w:val="bottom"/>
            <w:tcBorders>
              <w:bottom w:val="single" w:sz="8" w:color="582C83"/>
            </w:tcBorders>
          </w:tcPr>
          <w:p>
            <w:pPr>
              <w:spacing w:after="0"/>
              <w:rPr>
                <w:sz w:val="3"/>
                <w:szCs w:val="3"/>
                <w:color w:val="auto"/>
              </w:rPr>
            </w:pPr>
          </w:p>
        </w:tc>
        <w:tc>
          <w:tcPr>
            <w:tcW w:w="6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900" w:type="dxa"/>
            <w:vAlign w:val="bottom"/>
            <w:tcBorders>
              <w:bottom w:val="single" w:sz="8" w:color="582C83"/>
            </w:tcBorders>
          </w:tcPr>
          <w:p>
            <w:pPr>
              <w:spacing w:after="0"/>
              <w:rPr>
                <w:sz w:val="3"/>
                <w:szCs w:val="3"/>
                <w:color w:val="auto"/>
              </w:rPr>
            </w:pPr>
          </w:p>
        </w:tc>
        <w:tc>
          <w:tcPr>
            <w:tcW w:w="128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00" w:type="dxa"/>
            <w:vAlign w:val="bottom"/>
            <w:tcBorders>
              <w:right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Valle, Gustavo</w:t>
            </w:r>
          </w:p>
        </w:tc>
        <w:tc>
          <w:tcPr>
            <w:tcW w:w="600" w:type="dxa"/>
            <w:vAlign w:val="bottom"/>
            <w:tcBorders>
              <w:right w:val="single" w:sz="8" w:color="EBE6F0"/>
            </w:tcBorders>
            <w:shd w:val="clear" w:color="auto" w:fill="EBE6F0"/>
          </w:tcPr>
          <w:p>
            <w:pPr>
              <w:jc w:val="right"/>
              <w:ind w:right="20"/>
              <w:spacing w:after="0"/>
              <w:rPr>
                <w:sz w:val="20"/>
                <w:szCs w:val="20"/>
                <w:color w:val="auto"/>
              </w:rPr>
            </w:pPr>
            <w:r>
              <w:rPr>
                <w:rFonts w:ascii="Arial" w:cs="Arial" w:eastAsia="Arial" w:hAnsi="Arial"/>
                <w:sz w:val="16"/>
                <w:szCs w:val="16"/>
                <w:color w:val="auto"/>
              </w:rPr>
              <w:t>2022</w:t>
            </w:r>
          </w:p>
        </w:tc>
        <w:tc>
          <w:tcPr>
            <w:tcW w:w="880" w:type="dxa"/>
            <w:vAlign w:val="bottom"/>
            <w:shd w:val="clear" w:color="auto" w:fill="EBE6F0"/>
          </w:tcPr>
          <w:p>
            <w:pPr>
              <w:jc w:val="right"/>
              <w:spacing w:after="0"/>
              <w:rPr>
                <w:sz w:val="20"/>
                <w:szCs w:val="20"/>
                <w:color w:val="auto"/>
              </w:rPr>
            </w:pPr>
            <w:r>
              <w:rPr>
                <w:rFonts w:ascii="Arial" w:cs="Arial" w:eastAsia="Arial" w:hAnsi="Arial"/>
                <w:sz w:val="16"/>
                <w:szCs w:val="16"/>
                <w:color w:val="auto"/>
              </w:rPr>
              <w:t>702,740</w:t>
            </w:r>
          </w:p>
        </w:tc>
        <w:tc>
          <w:tcPr>
            <w:tcW w:w="980" w:type="dxa"/>
            <w:vAlign w:val="bottom"/>
            <w:shd w:val="clear" w:color="auto" w:fill="EBE6F0"/>
          </w:tcPr>
          <w:p>
            <w:pPr>
              <w:jc w:val="right"/>
              <w:spacing w:after="0"/>
              <w:rPr>
                <w:sz w:val="20"/>
                <w:szCs w:val="20"/>
                <w:color w:val="auto"/>
              </w:rPr>
            </w:pPr>
            <w:r>
              <w:rPr>
                <w:rFonts w:ascii="Arial" w:cs="Arial" w:eastAsia="Arial" w:hAnsi="Arial"/>
                <w:sz w:val="16"/>
                <w:szCs w:val="16"/>
                <w:color w:val="auto"/>
              </w:rPr>
              <w:t>1,507,772</w:t>
            </w:r>
          </w:p>
        </w:tc>
        <w:tc>
          <w:tcPr>
            <w:tcW w:w="980" w:type="dxa"/>
            <w:vAlign w:val="bottom"/>
            <w:shd w:val="clear" w:color="auto" w:fill="EBE6F0"/>
          </w:tcPr>
          <w:p>
            <w:pPr>
              <w:jc w:val="right"/>
              <w:spacing w:after="0"/>
              <w:rPr>
                <w:sz w:val="20"/>
                <w:szCs w:val="20"/>
                <w:color w:val="auto"/>
              </w:rPr>
            </w:pPr>
            <w:r>
              <w:rPr>
                <w:rFonts w:ascii="Arial" w:cs="Arial" w:eastAsia="Arial" w:hAnsi="Arial"/>
                <w:sz w:val="16"/>
                <w:szCs w:val="16"/>
                <w:color w:val="auto"/>
              </w:rPr>
              <w:t>456,456</w:t>
            </w:r>
          </w:p>
        </w:tc>
        <w:tc>
          <w:tcPr>
            <w:tcW w:w="1200" w:type="dxa"/>
            <w:vAlign w:val="bottom"/>
            <w:tcBorders>
              <w:right w:val="single" w:sz="8" w:color="EBE6F0"/>
            </w:tcBorders>
            <w:shd w:val="clear" w:color="auto" w:fill="EBE6F0"/>
          </w:tcPr>
          <w:p>
            <w:pPr>
              <w:jc w:val="right"/>
              <w:ind w:right="1"/>
              <w:spacing w:after="0"/>
              <w:rPr>
                <w:sz w:val="20"/>
                <w:szCs w:val="20"/>
                <w:color w:val="auto"/>
              </w:rPr>
            </w:pPr>
            <w:r>
              <w:rPr>
                <w:rFonts w:ascii="Arial" w:cs="Arial" w:eastAsia="Arial" w:hAnsi="Arial"/>
                <w:sz w:val="16"/>
                <w:szCs w:val="16"/>
                <w:color w:val="auto"/>
              </w:rPr>
              <w:t>1,038,003</w:t>
            </w:r>
          </w:p>
        </w:tc>
        <w:tc>
          <w:tcPr>
            <w:tcW w:w="900" w:type="dxa"/>
            <w:vAlign w:val="bottom"/>
            <w:tcBorders>
              <w:right w:val="single" w:sz="8" w:color="EBE6F0"/>
            </w:tcBorders>
            <w:shd w:val="clear" w:color="auto" w:fill="EBE6F0"/>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EBE6F0"/>
            </w:tcBorders>
            <w:shd w:val="clear" w:color="auto" w:fill="EBE6F0"/>
          </w:tcPr>
          <w:p>
            <w:pPr>
              <w:jc w:val="right"/>
              <w:ind w:right="20"/>
              <w:spacing w:after="0"/>
              <w:rPr>
                <w:sz w:val="20"/>
                <w:szCs w:val="20"/>
                <w:color w:val="auto"/>
              </w:rPr>
            </w:pPr>
            <w:r>
              <w:rPr>
                <w:rFonts w:ascii="Arial" w:cs="Arial" w:eastAsia="Arial" w:hAnsi="Arial"/>
                <w:sz w:val="16"/>
                <w:szCs w:val="16"/>
                <w:color w:val="auto"/>
              </w:rPr>
              <w:t>164,272</w:t>
            </w:r>
          </w:p>
        </w:tc>
        <w:tc>
          <w:tcPr>
            <w:tcW w:w="1120" w:type="dxa"/>
            <w:vAlign w:val="bottom"/>
            <w:shd w:val="clear" w:color="auto" w:fill="EBE6F0"/>
          </w:tcPr>
          <w:p>
            <w:pPr>
              <w:jc w:val="right"/>
              <w:spacing w:after="0"/>
              <w:rPr>
                <w:sz w:val="20"/>
                <w:szCs w:val="20"/>
                <w:color w:val="auto"/>
              </w:rPr>
            </w:pPr>
            <w:r>
              <w:rPr>
                <w:rFonts w:ascii="Arial" w:cs="Arial" w:eastAsia="Arial" w:hAnsi="Arial"/>
                <w:sz w:val="16"/>
                <w:szCs w:val="16"/>
                <w:color w:val="auto"/>
              </w:rPr>
              <w:t>3,869,243</w:t>
            </w:r>
          </w:p>
        </w:tc>
        <w:tc>
          <w:tcPr>
            <w:tcW w:w="0" w:type="dxa"/>
            <w:vAlign w:val="bottom"/>
          </w:tcPr>
          <w:p>
            <w:pPr>
              <w:spacing w:after="0"/>
              <w:rPr>
                <w:sz w:val="1"/>
                <w:szCs w:val="1"/>
                <w:color w:val="auto"/>
              </w:rPr>
            </w:pPr>
          </w:p>
        </w:tc>
      </w:tr>
      <w:tr>
        <w:trPr>
          <w:trHeight w:val="188"/>
        </w:trPr>
        <w:tc>
          <w:tcPr>
            <w:tcW w:w="2000" w:type="dxa"/>
            <w:vAlign w:val="bottom"/>
            <w:tcBorders>
              <w:right w:val="single" w:sz="8" w:color="EBE6F0"/>
            </w:tcBorders>
            <w:shd w:val="clear" w:color="auto" w:fill="EBE6F0"/>
          </w:tcPr>
          <w:p>
            <w:pPr>
              <w:ind w:left="160"/>
              <w:spacing w:after="0"/>
              <w:rPr>
                <w:sz w:val="20"/>
                <w:szCs w:val="20"/>
                <w:color w:val="auto"/>
              </w:rPr>
            </w:pPr>
            <w:r>
              <w:rPr>
                <w:rFonts w:ascii="Arial" w:cs="Arial" w:eastAsia="Arial" w:hAnsi="Arial"/>
                <w:sz w:val="16"/>
                <w:szCs w:val="16"/>
                <w:color w:val="auto"/>
              </w:rPr>
              <w:t>Executive Vice President</w:t>
            </w:r>
          </w:p>
        </w:tc>
        <w:tc>
          <w:tcPr>
            <w:tcW w:w="600" w:type="dxa"/>
            <w:vAlign w:val="bottom"/>
            <w:tcBorders>
              <w:right w:val="single" w:sz="8" w:color="EBE6F0"/>
            </w:tcBorders>
            <w:shd w:val="clear" w:color="auto" w:fill="EBE6F0"/>
          </w:tcPr>
          <w:p>
            <w:pPr>
              <w:spacing w:after="0"/>
              <w:rPr>
                <w:sz w:val="16"/>
                <w:szCs w:val="16"/>
                <w:color w:val="auto"/>
              </w:rPr>
            </w:pPr>
          </w:p>
        </w:tc>
        <w:tc>
          <w:tcPr>
            <w:tcW w:w="880" w:type="dxa"/>
            <w:vAlign w:val="bottom"/>
            <w:shd w:val="clear" w:color="auto" w:fill="EBE6F0"/>
          </w:tcPr>
          <w:p>
            <w:pPr>
              <w:spacing w:after="0"/>
              <w:rPr>
                <w:sz w:val="16"/>
                <w:szCs w:val="16"/>
                <w:color w:val="auto"/>
              </w:rPr>
            </w:pPr>
          </w:p>
        </w:tc>
        <w:tc>
          <w:tcPr>
            <w:tcW w:w="980" w:type="dxa"/>
            <w:vAlign w:val="bottom"/>
            <w:shd w:val="clear" w:color="auto" w:fill="EBE6F0"/>
          </w:tcPr>
          <w:p>
            <w:pPr>
              <w:spacing w:after="0"/>
              <w:rPr>
                <w:sz w:val="16"/>
                <w:szCs w:val="16"/>
                <w:color w:val="auto"/>
              </w:rPr>
            </w:pPr>
          </w:p>
        </w:tc>
        <w:tc>
          <w:tcPr>
            <w:tcW w:w="980" w:type="dxa"/>
            <w:vAlign w:val="bottom"/>
            <w:shd w:val="clear" w:color="auto" w:fill="EBE6F0"/>
          </w:tcPr>
          <w:p>
            <w:pPr>
              <w:spacing w:after="0"/>
              <w:rPr>
                <w:sz w:val="16"/>
                <w:szCs w:val="16"/>
                <w:color w:val="auto"/>
              </w:rPr>
            </w:pPr>
          </w:p>
        </w:tc>
        <w:tc>
          <w:tcPr>
            <w:tcW w:w="1200" w:type="dxa"/>
            <w:vAlign w:val="bottom"/>
            <w:tcBorders>
              <w:right w:val="single" w:sz="8" w:color="EBE6F0"/>
            </w:tcBorders>
            <w:shd w:val="clear" w:color="auto" w:fill="EBE6F0"/>
          </w:tcPr>
          <w:p>
            <w:pPr>
              <w:spacing w:after="0"/>
              <w:rPr>
                <w:sz w:val="16"/>
                <w:szCs w:val="16"/>
                <w:color w:val="auto"/>
              </w:rPr>
            </w:pPr>
          </w:p>
        </w:tc>
        <w:tc>
          <w:tcPr>
            <w:tcW w:w="900" w:type="dxa"/>
            <w:vAlign w:val="bottom"/>
            <w:tcBorders>
              <w:right w:val="single" w:sz="8" w:color="EBE6F0"/>
            </w:tcBorders>
            <w:shd w:val="clear" w:color="auto" w:fill="EBE6F0"/>
          </w:tcPr>
          <w:p>
            <w:pPr>
              <w:spacing w:after="0"/>
              <w:rPr>
                <w:sz w:val="16"/>
                <w:szCs w:val="16"/>
                <w:color w:val="auto"/>
              </w:rPr>
            </w:pPr>
          </w:p>
        </w:tc>
        <w:tc>
          <w:tcPr>
            <w:tcW w:w="1280" w:type="dxa"/>
            <w:vAlign w:val="bottom"/>
            <w:tcBorders>
              <w:right w:val="single" w:sz="8" w:color="EBE6F0"/>
            </w:tcBorders>
            <w:shd w:val="clear" w:color="auto" w:fill="EBE6F0"/>
          </w:tcPr>
          <w:p>
            <w:pPr>
              <w:spacing w:after="0"/>
              <w:rPr>
                <w:sz w:val="16"/>
                <w:szCs w:val="16"/>
                <w:color w:val="auto"/>
              </w:rPr>
            </w:pPr>
          </w:p>
        </w:tc>
        <w:tc>
          <w:tcPr>
            <w:tcW w:w="1120" w:type="dxa"/>
            <w:vAlign w:val="bottom"/>
            <w:shd w:val="clear" w:color="auto" w:fill="EBE6F0"/>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00" w:type="dxa"/>
            <w:vAlign w:val="bottom"/>
            <w:tcBorders>
              <w:right w:val="single" w:sz="8" w:color="EBE6F0"/>
            </w:tcBorders>
            <w:shd w:val="clear" w:color="auto" w:fill="EBE6F0"/>
          </w:tcPr>
          <w:p>
            <w:pPr>
              <w:ind w:left="160"/>
              <w:spacing w:after="0"/>
              <w:rPr>
                <w:sz w:val="20"/>
                <w:szCs w:val="20"/>
                <w:color w:val="auto"/>
              </w:rPr>
            </w:pPr>
            <w:r>
              <w:rPr>
                <w:rFonts w:ascii="Arial" w:cs="Arial" w:eastAsia="Arial" w:hAnsi="Arial"/>
                <w:sz w:val="16"/>
                <w:szCs w:val="16"/>
                <w:color w:val="auto"/>
              </w:rPr>
              <w:t>and President, North</w:t>
            </w:r>
          </w:p>
        </w:tc>
        <w:tc>
          <w:tcPr>
            <w:tcW w:w="600" w:type="dxa"/>
            <w:vAlign w:val="bottom"/>
            <w:tcBorders>
              <w:right w:val="single" w:sz="8" w:color="EBE6F0"/>
            </w:tcBorders>
            <w:shd w:val="clear" w:color="auto" w:fill="EBE6F0"/>
          </w:tcPr>
          <w:p>
            <w:pPr>
              <w:spacing w:after="0"/>
              <w:rPr>
                <w:sz w:val="16"/>
                <w:szCs w:val="16"/>
                <w:color w:val="auto"/>
              </w:rPr>
            </w:pPr>
          </w:p>
        </w:tc>
        <w:tc>
          <w:tcPr>
            <w:tcW w:w="880" w:type="dxa"/>
            <w:vAlign w:val="bottom"/>
            <w:shd w:val="clear" w:color="auto" w:fill="EBE6F0"/>
          </w:tcPr>
          <w:p>
            <w:pPr>
              <w:spacing w:after="0"/>
              <w:rPr>
                <w:sz w:val="16"/>
                <w:szCs w:val="16"/>
                <w:color w:val="auto"/>
              </w:rPr>
            </w:pPr>
          </w:p>
        </w:tc>
        <w:tc>
          <w:tcPr>
            <w:tcW w:w="980" w:type="dxa"/>
            <w:vAlign w:val="bottom"/>
            <w:shd w:val="clear" w:color="auto" w:fill="EBE6F0"/>
          </w:tcPr>
          <w:p>
            <w:pPr>
              <w:spacing w:after="0"/>
              <w:rPr>
                <w:sz w:val="16"/>
                <w:szCs w:val="16"/>
                <w:color w:val="auto"/>
              </w:rPr>
            </w:pPr>
          </w:p>
        </w:tc>
        <w:tc>
          <w:tcPr>
            <w:tcW w:w="980" w:type="dxa"/>
            <w:vAlign w:val="bottom"/>
            <w:shd w:val="clear" w:color="auto" w:fill="EBE6F0"/>
          </w:tcPr>
          <w:p>
            <w:pPr>
              <w:spacing w:after="0"/>
              <w:rPr>
                <w:sz w:val="16"/>
                <w:szCs w:val="16"/>
                <w:color w:val="auto"/>
              </w:rPr>
            </w:pPr>
          </w:p>
        </w:tc>
        <w:tc>
          <w:tcPr>
            <w:tcW w:w="1200" w:type="dxa"/>
            <w:vAlign w:val="bottom"/>
            <w:tcBorders>
              <w:right w:val="single" w:sz="8" w:color="EBE6F0"/>
            </w:tcBorders>
            <w:shd w:val="clear" w:color="auto" w:fill="EBE6F0"/>
          </w:tcPr>
          <w:p>
            <w:pPr>
              <w:spacing w:after="0"/>
              <w:rPr>
                <w:sz w:val="16"/>
                <w:szCs w:val="16"/>
                <w:color w:val="auto"/>
              </w:rPr>
            </w:pPr>
          </w:p>
        </w:tc>
        <w:tc>
          <w:tcPr>
            <w:tcW w:w="900" w:type="dxa"/>
            <w:vAlign w:val="bottom"/>
            <w:tcBorders>
              <w:right w:val="single" w:sz="8" w:color="EBE6F0"/>
            </w:tcBorders>
            <w:shd w:val="clear" w:color="auto" w:fill="EBE6F0"/>
          </w:tcPr>
          <w:p>
            <w:pPr>
              <w:spacing w:after="0"/>
              <w:rPr>
                <w:sz w:val="16"/>
                <w:szCs w:val="16"/>
                <w:color w:val="auto"/>
              </w:rPr>
            </w:pPr>
          </w:p>
        </w:tc>
        <w:tc>
          <w:tcPr>
            <w:tcW w:w="1280" w:type="dxa"/>
            <w:vAlign w:val="bottom"/>
            <w:tcBorders>
              <w:right w:val="single" w:sz="8" w:color="EBE6F0"/>
            </w:tcBorders>
            <w:shd w:val="clear" w:color="auto" w:fill="EBE6F0"/>
          </w:tcPr>
          <w:p>
            <w:pPr>
              <w:spacing w:after="0"/>
              <w:rPr>
                <w:sz w:val="16"/>
                <w:szCs w:val="16"/>
                <w:color w:val="auto"/>
              </w:rPr>
            </w:pPr>
          </w:p>
        </w:tc>
        <w:tc>
          <w:tcPr>
            <w:tcW w:w="1120" w:type="dxa"/>
            <w:vAlign w:val="bottom"/>
            <w:shd w:val="clear" w:color="auto" w:fill="EBE6F0"/>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00" w:type="dxa"/>
            <w:vAlign w:val="bottom"/>
            <w:tcBorders>
              <w:bottom w:val="single" w:sz="8" w:color="EBE6F0"/>
              <w:right w:val="single" w:sz="8" w:color="EBE6F0"/>
            </w:tcBorders>
            <w:shd w:val="clear" w:color="auto" w:fill="EBE6F0"/>
          </w:tcPr>
          <w:p>
            <w:pPr>
              <w:ind w:left="160"/>
              <w:spacing w:after="0"/>
              <w:rPr>
                <w:sz w:val="20"/>
                <w:szCs w:val="20"/>
                <w:color w:val="auto"/>
              </w:rPr>
            </w:pPr>
            <w:r>
              <w:rPr>
                <w:rFonts w:ascii="Arial" w:cs="Arial" w:eastAsia="Arial" w:hAnsi="Arial"/>
                <w:sz w:val="16"/>
                <w:szCs w:val="16"/>
                <w:color w:val="auto"/>
              </w:rPr>
              <w:t>America</w:t>
            </w:r>
          </w:p>
        </w:tc>
        <w:tc>
          <w:tcPr>
            <w:tcW w:w="600" w:type="dxa"/>
            <w:vAlign w:val="bottom"/>
            <w:tcBorders>
              <w:bottom w:val="single" w:sz="8" w:color="EBE6F0"/>
              <w:right w:val="single" w:sz="8" w:color="EBE6F0"/>
            </w:tcBorders>
            <w:shd w:val="clear" w:color="auto" w:fill="EBE6F0"/>
          </w:tcPr>
          <w:p>
            <w:pPr>
              <w:spacing w:after="0"/>
              <w:rPr>
                <w:sz w:val="19"/>
                <w:szCs w:val="19"/>
                <w:color w:val="auto"/>
              </w:rPr>
            </w:pPr>
          </w:p>
        </w:tc>
        <w:tc>
          <w:tcPr>
            <w:tcW w:w="880" w:type="dxa"/>
            <w:vAlign w:val="bottom"/>
            <w:tcBorders>
              <w:bottom w:val="single" w:sz="8" w:color="EBE6F0"/>
            </w:tcBorders>
            <w:shd w:val="clear" w:color="auto" w:fill="EBE6F0"/>
          </w:tcPr>
          <w:p>
            <w:pPr>
              <w:spacing w:after="0"/>
              <w:rPr>
                <w:sz w:val="19"/>
                <w:szCs w:val="19"/>
                <w:color w:val="auto"/>
              </w:rPr>
            </w:pPr>
          </w:p>
        </w:tc>
        <w:tc>
          <w:tcPr>
            <w:tcW w:w="980" w:type="dxa"/>
            <w:vAlign w:val="bottom"/>
            <w:tcBorders>
              <w:bottom w:val="single" w:sz="8" w:color="EBE6F0"/>
            </w:tcBorders>
            <w:shd w:val="clear" w:color="auto" w:fill="EBE6F0"/>
          </w:tcPr>
          <w:p>
            <w:pPr>
              <w:spacing w:after="0"/>
              <w:rPr>
                <w:sz w:val="19"/>
                <w:szCs w:val="19"/>
                <w:color w:val="auto"/>
              </w:rPr>
            </w:pPr>
          </w:p>
        </w:tc>
        <w:tc>
          <w:tcPr>
            <w:tcW w:w="980" w:type="dxa"/>
            <w:vAlign w:val="bottom"/>
            <w:tcBorders>
              <w:bottom w:val="single" w:sz="8" w:color="EBE6F0"/>
            </w:tcBorders>
            <w:shd w:val="clear" w:color="auto" w:fill="EBE6F0"/>
          </w:tcPr>
          <w:p>
            <w:pPr>
              <w:spacing w:after="0"/>
              <w:rPr>
                <w:sz w:val="19"/>
                <w:szCs w:val="19"/>
                <w:color w:val="auto"/>
              </w:rPr>
            </w:pPr>
          </w:p>
        </w:tc>
        <w:tc>
          <w:tcPr>
            <w:tcW w:w="1200" w:type="dxa"/>
            <w:vAlign w:val="bottom"/>
            <w:tcBorders>
              <w:bottom w:val="single" w:sz="8" w:color="EBE6F0"/>
              <w:right w:val="single" w:sz="8" w:color="EBE6F0"/>
            </w:tcBorders>
            <w:shd w:val="clear" w:color="auto" w:fill="EBE6F0"/>
          </w:tcPr>
          <w:p>
            <w:pPr>
              <w:spacing w:after="0"/>
              <w:rPr>
                <w:sz w:val="19"/>
                <w:szCs w:val="19"/>
                <w:color w:val="auto"/>
              </w:rPr>
            </w:pPr>
          </w:p>
        </w:tc>
        <w:tc>
          <w:tcPr>
            <w:tcW w:w="900" w:type="dxa"/>
            <w:vAlign w:val="bottom"/>
            <w:tcBorders>
              <w:bottom w:val="single" w:sz="8" w:color="EBE6F0"/>
              <w:right w:val="single" w:sz="8" w:color="EBE6F0"/>
            </w:tcBorders>
            <w:shd w:val="clear" w:color="auto" w:fill="EBE6F0"/>
          </w:tcPr>
          <w:p>
            <w:pPr>
              <w:spacing w:after="0"/>
              <w:rPr>
                <w:sz w:val="19"/>
                <w:szCs w:val="19"/>
                <w:color w:val="auto"/>
              </w:rPr>
            </w:pPr>
          </w:p>
        </w:tc>
        <w:tc>
          <w:tcPr>
            <w:tcW w:w="1280" w:type="dxa"/>
            <w:vAlign w:val="bottom"/>
            <w:tcBorders>
              <w:bottom w:val="single" w:sz="8" w:color="EBE6F0"/>
              <w:right w:val="single" w:sz="8" w:color="EBE6F0"/>
            </w:tcBorders>
            <w:shd w:val="clear" w:color="auto" w:fill="EBE6F0"/>
          </w:tcPr>
          <w:p>
            <w:pPr>
              <w:spacing w:after="0"/>
              <w:rPr>
                <w:sz w:val="19"/>
                <w:szCs w:val="19"/>
                <w:color w:val="auto"/>
              </w:rPr>
            </w:pPr>
          </w:p>
        </w:tc>
        <w:tc>
          <w:tcPr>
            <w:tcW w:w="1120" w:type="dxa"/>
            <w:vAlign w:val="bottom"/>
            <w:tcBorders>
              <w:bottom w:val="single" w:sz="8" w:color="EBE6F0"/>
            </w:tcBorders>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Borders>
              <w:right w:val="single" w:sz="8" w:color="EBE6F0"/>
            </w:tcBorders>
            <w:shd w:val="clear" w:color="auto" w:fill="582C83"/>
          </w:tcPr>
          <w:p>
            <w:pPr>
              <w:spacing w:after="0" w:line="20" w:lineRule="exact"/>
              <w:rPr>
                <w:sz w:val="1"/>
                <w:szCs w:val="1"/>
                <w:color w:val="auto"/>
              </w:rPr>
            </w:pPr>
          </w:p>
        </w:tc>
        <w:tc>
          <w:tcPr>
            <w:tcW w:w="600" w:type="dxa"/>
            <w:vAlign w:val="bottom"/>
            <w:tcBorders>
              <w:right w:val="single" w:sz="8" w:color="EBE6F0"/>
            </w:tcBorders>
            <w:shd w:val="clear" w:color="auto" w:fill="582C83"/>
          </w:tcPr>
          <w:p>
            <w:pPr>
              <w:spacing w:after="0" w:line="20" w:lineRule="exact"/>
              <w:rPr>
                <w:sz w:val="1"/>
                <w:szCs w:val="1"/>
                <w:color w:val="auto"/>
              </w:rPr>
            </w:pPr>
          </w:p>
        </w:tc>
        <w:tc>
          <w:tcPr>
            <w:tcW w:w="880" w:type="dxa"/>
            <w:vAlign w:val="bottom"/>
            <w:shd w:val="clear" w:color="auto" w:fill="582C83"/>
          </w:tcPr>
          <w:p>
            <w:pPr>
              <w:spacing w:after="0" w:line="20" w:lineRule="exact"/>
              <w:rPr>
                <w:sz w:val="1"/>
                <w:szCs w:val="1"/>
                <w:color w:val="auto"/>
              </w:rPr>
            </w:pPr>
          </w:p>
        </w:tc>
        <w:tc>
          <w:tcPr>
            <w:tcW w:w="980" w:type="dxa"/>
            <w:vAlign w:val="bottom"/>
            <w:shd w:val="clear" w:color="auto" w:fill="582C83"/>
          </w:tcPr>
          <w:p>
            <w:pPr>
              <w:spacing w:after="0" w:line="20" w:lineRule="exact"/>
              <w:rPr>
                <w:sz w:val="1"/>
                <w:szCs w:val="1"/>
                <w:color w:val="auto"/>
              </w:rPr>
            </w:pPr>
          </w:p>
        </w:tc>
        <w:tc>
          <w:tcPr>
            <w:tcW w:w="980" w:type="dxa"/>
            <w:vAlign w:val="bottom"/>
            <w:shd w:val="clear" w:color="auto" w:fill="582C83"/>
          </w:tcPr>
          <w:p>
            <w:pPr>
              <w:spacing w:after="0" w:line="20" w:lineRule="exact"/>
              <w:rPr>
                <w:sz w:val="1"/>
                <w:szCs w:val="1"/>
                <w:color w:val="auto"/>
              </w:rPr>
            </w:pPr>
          </w:p>
        </w:tc>
        <w:tc>
          <w:tcPr>
            <w:tcW w:w="1200" w:type="dxa"/>
            <w:vAlign w:val="bottom"/>
            <w:tcBorders>
              <w:right w:val="single" w:sz="8" w:color="EBE6F0"/>
            </w:tcBorders>
            <w:shd w:val="clear" w:color="auto" w:fill="582C83"/>
          </w:tcPr>
          <w:p>
            <w:pPr>
              <w:spacing w:after="0" w:line="20" w:lineRule="exact"/>
              <w:rPr>
                <w:sz w:val="1"/>
                <w:szCs w:val="1"/>
                <w:color w:val="auto"/>
              </w:rPr>
            </w:pPr>
          </w:p>
        </w:tc>
        <w:tc>
          <w:tcPr>
            <w:tcW w:w="900" w:type="dxa"/>
            <w:vAlign w:val="bottom"/>
            <w:tcBorders>
              <w:right w:val="single" w:sz="8" w:color="EBE6F0"/>
            </w:tcBorders>
            <w:shd w:val="clear" w:color="auto" w:fill="582C83"/>
          </w:tcPr>
          <w:p>
            <w:pPr>
              <w:spacing w:after="0" w:line="20" w:lineRule="exact"/>
              <w:rPr>
                <w:sz w:val="1"/>
                <w:szCs w:val="1"/>
                <w:color w:val="auto"/>
              </w:rPr>
            </w:pPr>
          </w:p>
        </w:tc>
        <w:tc>
          <w:tcPr>
            <w:tcW w:w="1280" w:type="dxa"/>
            <w:vAlign w:val="bottom"/>
            <w:tcBorders>
              <w:right w:val="single" w:sz="8" w:color="EBE6F0"/>
            </w:tcBorders>
            <w:shd w:val="clear" w:color="auto" w:fill="582C83"/>
          </w:tcPr>
          <w:p>
            <w:pPr>
              <w:spacing w:after="0" w:line="20" w:lineRule="exact"/>
              <w:rPr>
                <w:sz w:val="1"/>
                <w:szCs w:val="1"/>
                <w:color w:val="auto"/>
              </w:rPr>
            </w:pPr>
          </w:p>
        </w:tc>
        <w:tc>
          <w:tcPr>
            <w:tcW w:w="1120" w:type="dxa"/>
            <w:vAlign w:val="bottom"/>
            <w:shd w:val="clear" w:color="auto" w:fill="582C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1060" w:right="760" w:hanging="328"/>
        <w:spacing w:after="0" w:line="250" w:lineRule="auto"/>
        <w:tabs>
          <w:tab w:leader="none" w:pos="10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Mr. Brusadelli is an employee of Mondelēz Italia Services and is currently on international assignment in Singapore. The amounts reported in this table that were paid in Euros and Singapore dollars have been converted to U.S. dollars using the applicable conversion rate on December 31 of the applicable year (each such conversion rate, the “Applicable Exchange Rate”). Mr. Gruber is a local employee of Mondelēz Europe GmbH. The amounts reported in this table that were paid in Swiss francs have been converted to U.S. dollars using the Applicable Exchange Rate.</w:t>
      </w:r>
    </w:p>
    <w:p>
      <w:pPr>
        <w:spacing w:after="0" w:line="8" w:lineRule="exact"/>
        <w:rPr>
          <w:rFonts w:ascii="Arial" w:cs="Arial" w:eastAsia="Arial" w:hAnsi="Arial"/>
          <w:sz w:val="15"/>
          <w:szCs w:val="15"/>
          <w:color w:val="auto"/>
        </w:rPr>
      </w:pPr>
    </w:p>
    <w:p>
      <w:pPr>
        <w:ind w:left="1060" w:right="920" w:hanging="328"/>
        <w:spacing w:after="0" w:line="250" w:lineRule="auto"/>
        <w:tabs>
          <w:tab w:leader="none" w:pos="10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Reflects grants of PSUs. The amounts shown represent the full grant date fair value of the stock grants made in each year as computed in accordance with FASB ASC Topic 718. Assumptions used in the calculation of these amounts are included in Note 12 to the consolidated financial statements contained in our 2022 Form 10-K. The amounts are based on the probable outcome of the performance conditions as of the grant date. Below is the breakout of the applicable 2022-2024, 2021-2023 and 2020-2022 PSU grants for each NEO assuming maximum performance.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jc w:val="right"/>
              <w:ind w:right="6"/>
              <w:spacing w:after="0"/>
              <w:rPr>
                <w:sz w:val="20"/>
                <w:szCs w:val="20"/>
                <w:color w:val="auto"/>
              </w:rPr>
            </w:pPr>
            <w:r>
              <w:rPr>
                <w:rFonts w:ascii="Arial" w:cs="Arial" w:eastAsia="Arial" w:hAnsi="Arial"/>
                <w:sz w:val="15"/>
                <w:szCs w:val="15"/>
                <w:b w:val="1"/>
                <w:bCs w:val="1"/>
                <w:color w:val="auto"/>
              </w:rPr>
              <w:t>Value at Maximum</w:t>
            </w:r>
          </w:p>
        </w:tc>
        <w:tc>
          <w:tcPr>
            <w:tcW w:w="720" w:type="dxa"/>
            <w:vAlign w:val="bottom"/>
          </w:tcPr>
          <w:p>
            <w:pPr>
              <w:spacing w:after="0"/>
              <w:rPr>
                <w:sz w:val="15"/>
                <w:szCs w:val="15"/>
                <w:color w:val="auto"/>
              </w:rPr>
            </w:pPr>
          </w:p>
        </w:tc>
      </w:tr>
      <w:tr>
        <w:trPr>
          <w:trHeight w:val="228"/>
        </w:trPr>
        <w:tc>
          <w:tcPr>
            <w:tcW w:w="740" w:type="dxa"/>
            <w:vAlign w:val="bottom"/>
          </w:tcPr>
          <w:p>
            <w:pPr>
              <w:spacing w:after="0"/>
              <w:rPr>
                <w:sz w:val="19"/>
                <w:szCs w:val="19"/>
                <w:color w:val="auto"/>
              </w:rPr>
            </w:pPr>
          </w:p>
        </w:tc>
        <w:tc>
          <w:tcPr>
            <w:tcW w:w="6460" w:type="dxa"/>
            <w:vAlign w:val="bottom"/>
            <w:tcBorders>
              <w:bottom w:val="single" w:sz="8" w:color="582C83"/>
            </w:tcBorders>
          </w:tcPr>
          <w:p>
            <w:pPr>
              <w:ind w:left="40"/>
              <w:spacing w:after="0"/>
              <w:rPr>
                <w:sz w:val="20"/>
                <w:szCs w:val="20"/>
                <w:color w:val="auto"/>
              </w:rPr>
            </w:pPr>
            <w:r>
              <w:rPr>
                <w:rFonts w:ascii="Arial" w:cs="Arial" w:eastAsia="Arial" w:hAnsi="Arial"/>
                <w:sz w:val="15"/>
                <w:szCs w:val="15"/>
                <w:b w:val="1"/>
                <w:bCs w:val="1"/>
                <w:color w:val="auto"/>
              </w:rPr>
              <w:t>Name</w:t>
            </w:r>
          </w:p>
        </w:tc>
        <w:tc>
          <w:tcPr>
            <w:tcW w:w="20" w:type="dxa"/>
            <w:vAlign w:val="bottom"/>
            <w:tcBorders>
              <w:bottom w:val="single" w:sz="8" w:color="582C83"/>
            </w:tcBorders>
          </w:tcPr>
          <w:p>
            <w:pPr>
              <w:spacing w:after="0"/>
              <w:rPr>
                <w:sz w:val="19"/>
                <w:szCs w:val="19"/>
                <w:color w:val="auto"/>
              </w:rPr>
            </w:pP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5"/>
                <w:szCs w:val="15"/>
                <w:b w:val="1"/>
                <w:bCs w:val="1"/>
                <w:color w:val="auto"/>
              </w:rPr>
              <w:t>Performance Cycle</w:t>
            </w:r>
          </w:p>
        </w:tc>
        <w:tc>
          <w:tcPr>
            <w:tcW w:w="20" w:type="dxa"/>
            <w:vAlign w:val="bottom"/>
            <w:tcBorders>
              <w:bottom w:val="single" w:sz="8" w:color="582C83"/>
            </w:tcBorders>
          </w:tcPr>
          <w:p>
            <w:pPr>
              <w:spacing w:after="0"/>
              <w:rPr>
                <w:sz w:val="19"/>
                <w:szCs w:val="19"/>
                <w:color w:val="auto"/>
              </w:rPr>
            </w:pPr>
          </w:p>
        </w:tc>
        <w:tc>
          <w:tcPr>
            <w:tcW w:w="164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b w:val="1"/>
                <w:bCs w:val="1"/>
                <w:color w:val="auto"/>
              </w:rPr>
              <w:t>Performance ($)</w:t>
            </w:r>
          </w:p>
        </w:tc>
        <w:tc>
          <w:tcPr>
            <w:tcW w:w="720" w:type="dxa"/>
            <w:vAlign w:val="bottom"/>
          </w:tcPr>
          <w:p>
            <w:pPr>
              <w:spacing w:after="0"/>
              <w:rPr>
                <w:sz w:val="19"/>
                <w:szCs w:val="19"/>
                <w:color w:val="auto"/>
              </w:rPr>
            </w:pPr>
          </w:p>
        </w:tc>
      </w:tr>
      <w:tr>
        <w:trPr>
          <w:trHeight w:val="278"/>
        </w:trPr>
        <w:tc>
          <w:tcPr>
            <w:tcW w:w="740" w:type="dxa"/>
            <w:vAlign w:val="bottom"/>
          </w:tcPr>
          <w:p>
            <w:pPr>
              <w:spacing w:after="0"/>
              <w:rPr>
                <w:sz w:val="23"/>
                <w:szCs w:val="23"/>
                <w:color w:val="auto"/>
              </w:rPr>
            </w:pPr>
          </w:p>
        </w:tc>
        <w:tc>
          <w:tcPr>
            <w:tcW w:w="646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5"/>
                <w:szCs w:val="15"/>
                <w:b w:val="1"/>
                <w:bCs w:val="1"/>
                <w:color w:val="auto"/>
              </w:rPr>
              <w:t>Van de Put, Dirk</w:t>
            </w:r>
          </w:p>
        </w:tc>
        <w:tc>
          <w:tcPr>
            <w:tcW w:w="20" w:type="dxa"/>
            <w:vAlign w:val="bottom"/>
            <w:tcBorders>
              <w:bottom w:val="single" w:sz="8" w:color="EBE6F0"/>
            </w:tcBorders>
            <w:shd w:val="clear" w:color="auto" w:fill="EBE6F0"/>
          </w:tcPr>
          <w:p>
            <w:pPr>
              <w:spacing w:after="0"/>
              <w:rPr>
                <w:sz w:val="23"/>
                <w:szCs w:val="23"/>
                <w:color w:val="auto"/>
              </w:rPr>
            </w:pPr>
          </w:p>
        </w:tc>
        <w:tc>
          <w:tcPr>
            <w:tcW w:w="16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5"/>
                <w:szCs w:val="15"/>
                <w:color w:val="auto"/>
              </w:rPr>
              <w:t>2022 - 2024</w:t>
            </w:r>
          </w:p>
        </w:tc>
        <w:tc>
          <w:tcPr>
            <w:tcW w:w="20" w:type="dxa"/>
            <w:vAlign w:val="bottom"/>
            <w:tcBorders>
              <w:bottom w:val="single" w:sz="8" w:color="EBE6F0"/>
            </w:tcBorders>
            <w:shd w:val="clear" w:color="auto" w:fill="EBE6F0"/>
          </w:tcPr>
          <w:p>
            <w:pPr>
              <w:spacing w:after="0"/>
              <w:rPr>
                <w:sz w:val="23"/>
                <w:szCs w:val="23"/>
                <w:color w:val="auto"/>
              </w:rPr>
            </w:pPr>
          </w:p>
        </w:tc>
        <w:tc>
          <w:tcPr>
            <w:tcW w:w="1640" w:type="dxa"/>
            <w:vAlign w:val="bottom"/>
            <w:tcBorders>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17,227,083</w:t>
            </w:r>
          </w:p>
        </w:tc>
        <w:tc>
          <w:tcPr>
            <w:tcW w:w="720" w:type="dxa"/>
            <w:vAlign w:val="bottom"/>
          </w:tcPr>
          <w:p>
            <w:pPr>
              <w:spacing w:after="0"/>
              <w:rPr>
                <w:sz w:val="23"/>
                <w:szCs w:val="23"/>
                <w:color w:val="auto"/>
              </w:rPr>
            </w:pPr>
          </w:p>
        </w:tc>
      </w:tr>
      <w:tr>
        <w:trPr>
          <w:trHeight w:val="271"/>
        </w:trPr>
        <w:tc>
          <w:tcPr>
            <w:tcW w:w="740" w:type="dxa"/>
            <w:vAlign w:val="bottom"/>
          </w:tcPr>
          <w:p>
            <w:pPr>
              <w:spacing w:after="0"/>
              <w:rPr>
                <w:sz w:val="23"/>
                <w:szCs w:val="23"/>
                <w:color w:val="auto"/>
              </w:rPr>
            </w:pPr>
          </w:p>
        </w:tc>
        <w:tc>
          <w:tcPr>
            <w:tcW w:w="6460" w:type="dxa"/>
            <w:vAlign w:val="bottom"/>
            <w:tcBorders>
              <w:top w:val="single" w:sz="8" w:color="EBE6F0"/>
              <w:bottom w:val="single" w:sz="8" w:color="EBE6F0"/>
            </w:tcBorders>
            <w:shd w:val="clear" w:color="auto" w:fill="EBE6F0"/>
          </w:tcPr>
          <w:p>
            <w:pPr>
              <w:spacing w:after="0"/>
              <w:rPr>
                <w:sz w:val="23"/>
                <w:szCs w:val="23"/>
                <w:color w:val="auto"/>
              </w:rPr>
            </w:pPr>
          </w:p>
        </w:tc>
        <w:tc>
          <w:tcPr>
            <w:tcW w:w="20" w:type="dxa"/>
            <w:vAlign w:val="bottom"/>
            <w:tcBorders>
              <w:top w:val="single" w:sz="8" w:color="EBE6F0"/>
              <w:bottom w:val="single" w:sz="8" w:color="EBE6F0"/>
            </w:tcBorders>
            <w:shd w:val="clear" w:color="auto" w:fill="EBE6F0"/>
          </w:tcPr>
          <w:p>
            <w:pPr>
              <w:spacing w:after="0"/>
              <w:rPr>
                <w:sz w:val="23"/>
                <w:szCs w:val="23"/>
                <w:color w:val="auto"/>
              </w:rPr>
            </w:pPr>
          </w:p>
        </w:tc>
        <w:tc>
          <w:tcPr>
            <w:tcW w:w="164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5"/>
                <w:szCs w:val="15"/>
                <w:color w:val="auto"/>
              </w:rPr>
              <w:t>2021 - 2023</w:t>
            </w:r>
          </w:p>
        </w:tc>
        <w:tc>
          <w:tcPr>
            <w:tcW w:w="20" w:type="dxa"/>
            <w:vAlign w:val="bottom"/>
            <w:tcBorders>
              <w:top w:val="single" w:sz="8" w:color="EBE6F0"/>
              <w:bottom w:val="single" w:sz="8" w:color="EBE6F0"/>
            </w:tcBorders>
            <w:shd w:val="clear" w:color="auto" w:fill="EBE6F0"/>
          </w:tcPr>
          <w:p>
            <w:pPr>
              <w:spacing w:after="0"/>
              <w:rPr>
                <w:sz w:val="23"/>
                <w:szCs w:val="23"/>
                <w:color w:val="auto"/>
              </w:rPr>
            </w:pPr>
          </w:p>
        </w:tc>
        <w:tc>
          <w:tcPr>
            <w:tcW w:w="1640" w:type="dxa"/>
            <w:vAlign w:val="bottom"/>
            <w:tcBorders>
              <w:top w:val="single" w:sz="8" w:color="582C83"/>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17,250,994</w:t>
            </w:r>
          </w:p>
        </w:tc>
        <w:tc>
          <w:tcPr>
            <w:tcW w:w="720" w:type="dxa"/>
            <w:vAlign w:val="bottom"/>
          </w:tcPr>
          <w:p>
            <w:pPr>
              <w:spacing w:after="0"/>
              <w:rPr>
                <w:sz w:val="23"/>
                <w:szCs w:val="23"/>
                <w:color w:val="auto"/>
              </w:rPr>
            </w:pPr>
          </w:p>
        </w:tc>
      </w:tr>
      <w:tr>
        <w:trPr>
          <w:trHeight w:val="271"/>
        </w:trPr>
        <w:tc>
          <w:tcPr>
            <w:tcW w:w="740" w:type="dxa"/>
            <w:vAlign w:val="bottom"/>
          </w:tcPr>
          <w:p>
            <w:pPr>
              <w:spacing w:after="0"/>
              <w:rPr>
                <w:sz w:val="23"/>
                <w:szCs w:val="23"/>
                <w:color w:val="auto"/>
              </w:rPr>
            </w:pPr>
          </w:p>
        </w:tc>
        <w:tc>
          <w:tcPr>
            <w:tcW w:w="6460" w:type="dxa"/>
            <w:vAlign w:val="bottom"/>
            <w:tcBorders>
              <w:top w:val="single" w:sz="8" w:color="EBE6F0"/>
              <w:bottom w:val="single" w:sz="8" w:color="EBE6F0"/>
            </w:tcBorders>
            <w:shd w:val="clear" w:color="auto" w:fill="EBE6F0"/>
          </w:tcPr>
          <w:p>
            <w:pPr>
              <w:spacing w:after="0"/>
              <w:rPr>
                <w:sz w:val="23"/>
                <w:szCs w:val="23"/>
                <w:color w:val="auto"/>
              </w:rPr>
            </w:pPr>
          </w:p>
        </w:tc>
        <w:tc>
          <w:tcPr>
            <w:tcW w:w="20" w:type="dxa"/>
            <w:vAlign w:val="bottom"/>
            <w:tcBorders>
              <w:top w:val="single" w:sz="8" w:color="EBE6F0"/>
              <w:bottom w:val="single" w:sz="8" w:color="EBE6F0"/>
            </w:tcBorders>
            <w:shd w:val="clear" w:color="auto" w:fill="EBE6F0"/>
          </w:tcPr>
          <w:p>
            <w:pPr>
              <w:spacing w:after="0"/>
              <w:rPr>
                <w:sz w:val="23"/>
                <w:szCs w:val="23"/>
                <w:color w:val="auto"/>
              </w:rPr>
            </w:pPr>
          </w:p>
        </w:tc>
        <w:tc>
          <w:tcPr>
            <w:tcW w:w="164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5"/>
                <w:szCs w:val="15"/>
                <w:color w:val="auto"/>
              </w:rPr>
              <w:t>2020 - 2022</w:t>
            </w:r>
          </w:p>
        </w:tc>
        <w:tc>
          <w:tcPr>
            <w:tcW w:w="20" w:type="dxa"/>
            <w:vAlign w:val="bottom"/>
            <w:tcBorders>
              <w:top w:val="single" w:sz="8" w:color="EBE6F0"/>
              <w:bottom w:val="single" w:sz="8" w:color="EBE6F0"/>
            </w:tcBorders>
            <w:shd w:val="clear" w:color="auto" w:fill="EBE6F0"/>
          </w:tcPr>
          <w:p>
            <w:pPr>
              <w:spacing w:after="0"/>
              <w:rPr>
                <w:sz w:val="23"/>
                <w:szCs w:val="23"/>
                <w:color w:val="auto"/>
              </w:rPr>
            </w:pPr>
          </w:p>
        </w:tc>
        <w:tc>
          <w:tcPr>
            <w:tcW w:w="1640" w:type="dxa"/>
            <w:vAlign w:val="bottom"/>
            <w:tcBorders>
              <w:top w:val="single" w:sz="8" w:color="582C83"/>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16,500,499</w:t>
            </w:r>
          </w:p>
        </w:tc>
        <w:tc>
          <w:tcPr>
            <w:tcW w:w="720" w:type="dxa"/>
            <w:vAlign w:val="bottom"/>
          </w:tcPr>
          <w:p>
            <w:pPr>
              <w:spacing w:after="0"/>
              <w:rPr>
                <w:sz w:val="23"/>
                <w:szCs w:val="23"/>
                <w:color w:val="auto"/>
              </w:rPr>
            </w:pPr>
          </w:p>
        </w:tc>
      </w:tr>
      <w:tr>
        <w:trPr>
          <w:trHeight w:val="233"/>
        </w:trPr>
        <w:tc>
          <w:tcPr>
            <w:tcW w:w="740" w:type="dxa"/>
            <w:vAlign w:val="bottom"/>
          </w:tcPr>
          <w:p>
            <w:pPr>
              <w:spacing w:after="0"/>
              <w:rPr>
                <w:sz w:val="20"/>
                <w:szCs w:val="20"/>
                <w:color w:val="auto"/>
              </w:rPr>
            </w:pPr>
          </w:p>
        </w:tc>
        <w:tc>
          <w:tcPr>
            <w:tcW w:w="6460" w:type="dxa"/>
            <w:vAlign w:val="bottom"/>
            <w:tcBorders>
              <w:top w:val="single" w:sz="8" w:color="582C83"/>
            </w:tcBorders>
          </w:tcPr>
          <w:p>
            <w:pPr>
              <w:ind w:left="40"/>
              <w:spacing w:after="0"/>
              <w:rPr>
                <w:sz w:val="20"/>
                <w:szCs w:val="20"/>
                <w:color w:val="auto"/>
              </w:rPr>
            </w:pPr>
            <w:r>
              <w:rPr>
                <w:rFonts w:ascii="Arial" w:cs="Arial" w:eastAsia="Arial" w:hAnsi="Arial"/>
                <w:sz w:val="15"/>
                <w:szCs w:val="15"/>
                <w:b w:val="1"/>
                <w:bCs w:val="1"/>
                <w:color w:val="auto"/>
              </w:rPr>
              <w:t>Zaramella, Luca</w:t>
            </w:r>
          </w:p>
        </w:tc>
        <w:tc>
          <w:tcPr>
            <w:tcW w:w="20" w:type="dxa"/>
            <w:vAlign w:val="bottom"/>
            <w:tcBorders>
              <w:top w:val="single" w:sz="8" w:color="EBE6F0"/>
            </w:tcBorders>
          </w:tcPr>
          <w:p>
            <w:pPr>
              <w:spacing w:after="0"/>
              <w:rPr>
                <w:sz w:val="20"/>
                <w:szCs w:val="20"/>
                <w:color w:val="auto"/>
              </w:rPr>
            </w:pPr>
          </w:p>
        </w:tc>
        <w:tc>
          <w:tcPr>
            <w:tcW w:w="1640" w:type="dxa"/>
            <w:vAlign w:val="bottom"/>
            <w:tcBorders>
              <w:top w:val="single" w:sz="8" w:color="582C83"/>
            </w:tcBorders>
          </w:tcPr>
          <w:p>
            <w:pPr>
              <w:jc w:val="right"/>
              <w:spacing w:after="0"/>
              <w:rPr>
                <w:sz w:val="20"/>
                <w:szCs w:val="20"/>
                <w:color w:val="auto"/>
              </w:rPr>
            </w:pPr>
            <w:r>
              <w:rPr>
                <w:rFonts w:ascii="Arial" w:cs="Arial" w:eastAsia="Arial" w:hAnsi="Arial"/>
                <w:sz w:val="15"/>
                <w:szCs w:val="15"/>
                <w:color w:val="auto"/>
              </w:rPr>
              <w:t>2022 - 2024</w:t>
            </w:r>
          </w:p>
        </w:tc>
        <w:tc>
          <w:tcPr>
            <w:tcW w:w="1660" w:type="dxa"/>
            <w:vAlign w:val="bottom"/>
            <w:tcBorders>
              <w:top w:val="single" w:sz="8" w:color="582C83"/>
            </w:tcBorders>
            <w:gridSpan w:val="2"/>
          </w:tcPr>
          <w:p>
            <w:pPr>
              <w:jc w:val="right"/>
              <w:ind w:right="6"/>
              <w:spacing w:after="0"/>
              <w:rPr>
                <w:sz w:val="20"/>
                <w:szCs w:val="20"/>
                <w:color w:val="auto"/>
              </w:rPr>
            </w:pPr>
            <w:r>
              <w:rPr>
                <w:rFonts w:ascii="Arial" w:cs="Arial" w:eastAsia="Arial" w:hAnsi="Arial"/>
                <w:sz w:val="15"/>
                <w:szCs w:val="15"/>
                <w:color w:val="auto"/>
              </w:rPr>
              <w:t>5,742,773</w:t>
            </w:r>
          </w:p>
        </w:tc>
        <w:tc>
          <w:tcPr>
            <w:tcW w:w="720" w:type="dxa"/>
            <w:vAlign w:val="bottom"/>
          </w:tcPr>
          <w:p>
            <w:pPr>
              <w:spacing w:after="0"/>
              <w:rPr>
                <w:sz w:val="20"/>
                <w:szCs w:val="20"/>
                <w:color w:val="auto"/>
              </w:rPr>
            </w:pPr>
          </w:p>
        </w:tc>
      </w:tr>
      <w:tr>
        <w:trPr>
          <w:trHeight w:val="33"/>
        </w:trPr>
        <w:tc>
          <w:tcPr>
            <w:tcW w:w="7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660" w:type="dxa"/>
            <w:vAlign w:val="bottom"/>
            <w:tcBorders>
              <w:bottom w:val="single" w:sz="8" w:color="582C83"/>
            </w:tcBorders>
            <w:gridSpan w:val="2"/>
          </w:tcPr>
          <w:p>
            <w:pPr>
              <w:spacing w:after="0"/>
              <w:rPr>
                <w:sz w:val="2"/>
                <w:szCs w:val="2"/>
                <w:color w:val="auto"/>
              </w:rPr>
            </w:pPr>
          </w:p>
        </w:tc>
        <w:tc>
          <w:tcPr>
            <w:tcW w:w="1660" w:type="dxa"/>
            <w:vAlign w:val="bottom"/>
            <w:tcBorders>
              <w:bottom w:val="single" w:sz="8" w:color="582C83"/>
            </w:tcBorders>
            <w:gridSpan w:val="2"/>
          </w:tcPr>
          <w:p>
            <w:pPr>
              <w:spacing w:after="0"/>
              <w:rPr>
                <w:sz w:val="2"/>
                <w:szCs w:val="2"/>
                <w:color w:val="auto"/>
              </w:rPr>
            </w:pPr>
          </w:p>
        </w:tc>
        <w:tc>
          <w:tcPr>
            <w:tcW w:w="720" w:type="dxa"/>
            <w:vAlign w:val="bottom"/>
          </w:tcPr>
          <w:p>
            <w:pPr>
              <w:spacing w:after="0"/>
              <w:rPr>
                <w:sz w:val="2"/>
                <w:szCs w:val="2"/>
                <w:color w:val="auto"/>
              </w:rPr>
            </w:pPr>
          </w:p>
        </w:tc>
      </w:tr>
      <w:tr>
        <w:trPr>
          <w:trHeight w:val="227"/>
        </w:trPr>
        <w:tc>
          <w:tcPr>
            <w:tcW w:w="74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2021 - 2023</w:t>
            </w:r>
          </w:p>
        </w:tc>
        <w:tc>
          <w:tcPr>
            <w:tcW w:w="1660" w:type="dxa"/>
            <w:vAlign w:val="bottom"/>
            <w:gridSpan w:val="2"/>
          </w:tcPr>
          <w:p>
            <w:pPr>
              <w:jc w:val="right"/>
              <w:ind w:right="6"/>
              <w:spacing w:after="0"/>
              <w:rPr>
                <w:sz w:val="20"/>
                <w:szCs w:val="20"/>
                <w:color w:val="auto"/>
              </w:rPr>
            </w:pPr>
            <w:r>
              <w:rPr>
                <w:rFonts w:ascii="Arial" w:cs="Arial" w:eastAsia="Arial" w:hAnsi="Arial"/>
                <w:sz w:val="15"/>
                <w:szCs w:val="15"/>
                <w:color w:val="auto"/>
              </w:rPr>
              <w:t>4,950,666</w:t>
            </w:r>
          </w:p>
        </w:tc>
        <w:tc>
          <w:tcPr>
            <w:tcW w:w="720" w:type="dxa"/>
            <w:vAlign w:val="bottom"/>
          </w:tcPr>
          <w:p>
            <w:pPr>
              <w:spacing w:after="0"/>
              <w:rPr>
                <w:sz w:val="19"/>
                <w:szCs w:val="19"/>
                <w:color w:val="auto"/>
              </w:rPr>
            </w:pPr>
          </w:p>
        </w:tc>
      </w:tr>
      <w:tr>
        <w:trPr>
          <w:trHeight w:val="39"/>
        </w:trPr>
        <w:tc>
          <w:tcPr>
            <w:tcW w:w="740" w:type="dxa"/>
            <w:vAlign w:val="bottom"/>
          </w:tcPr>
          <w:p>
            <w:pPr>
              <w:spacing w:after="0"/>
              <w:rPr>
                <w:sz w:val="3"/>
                <w:szCs w:val="3"/>
                <w:color w:val="auto"/>
              </w:rPr>
            </w:pPr>
          </w:p>
        </w:tc>
        <w:tc>
          <w:tcPr>
            <w:tcW w:w="6460" w:type="dxa"/>
            <w:vAlign w:val="bottom"/>
          </w:tcPr>
          <w:p>
            <w:pPr>
              <w:spacing w:after="0"/>
              <w:rPr>
                <w:sz w:val="3"/>
                <w:szCs w:val="3"/>
                <w:color w:val="auto"/>
              </w:rPr>
            </w:pPr>
          </w:p>
        </w:tc>
        <w:tc>
          <w:tcPr>
            <w:tcW w:w="1660" w:type="dxa"/>
            <w:vAlign w:val="bottom"/>
            <w:tcBorders>
              <w:bottom w:val="single" w:sz="8" w:color="582C83"/>
            </w:tcBorders>
            <w:gridSpan w:val="2"/>
          </w:tcPr>
          <w:p>
            <w:pPr>
              <w:spacing w:after="0"/>
              <w:rPr>
                <w:sz w:val="3"/>
                <w:szCs w:val="3"/>
                <w:color w:val="auto"/>
              </w:rPr>
            </w:pPr>
          </w:p>
        </w:tc>
        <w:tc>
          <w:tcPr>
            <w:tcW w:w="1660" w:type="dxa"/>
            <w:vAlign w:val="bottom"/>
            <w:tcBorders>
              <w:bottom w:val="single" w:sz="8" w:color="582C83"/>
            </w:tcBorders>
            <w:gridSpan w:val="2"/>
          </w:tcPr>
          <w:p>
            <w:pPr>
              <w:spacing w:after="0"/>
              <w:rPr>
                <w:sz w:val="3"/>
                <w:szCs w:val="3"/>
                <w:color w:val="auto"/>
              </w:rPr>
            </w:pPr>
          </w:p>
        </w:tc>
        <w:tc>
          <w:tcPr>
            <w:tcW w:w="720" w:type="dxa"/>
            <w:vAlign w:val="bottom"/>
          </w:tcPr>
          <w:p>
            <w:pPr>
              <w:spacing w:after="0"/>
              <w:rPr>
                <w:sz w:val="3"/>
                <w:szCs w:val="3"/>
                <w:color w:val="auto"/>
              </w:rPr>
            </w:pPr>
          </w:p>
        </w:tc>
      </w:tr>
      <w:tr>
        <w:trPr>
          <w:trHeight w:val="227"/>
        </w:trPr>
        <w:tc>
          <w:tcPr>
            <w:tcW w:w="74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2020 - 2022</w:t>
            </w:r>
          </w:p>
        </w:tc>
        <w:tc>
          <w:tcPr>
            <w:tcW w:w="1660" w:type="dxa"/>
            <w:vAlign w:val="bottom"/>
            <w:gridSpan w:val="2"/>
          </w:tcPr>
          <w:p>
            <w:pPr>
              <w:jc w:val="right"/>
              <w:ind w:right="6"/>
              <w:spacing w:after="0"/>
              <w:rPr>
                <w:sz w:val="20"/>
                <w:szCs w:val="20"/>
                <w:color w:val="auto"/>
              </w:rPr>
            </w:pPr>
            <w:r>
              <w:rPr>
                <w:rFonts w:ascii="Arial" w:cs="Arial" w:eastAsia="Arial" w:hAnsi="Arial"/>
                <w:sz w:val="15"/>
                <w:szCs w:val="15"/>
                <w:color w:val="auto"/>
              </w:rPr>
              <w:t>4,651,171</w:t>
            </w:r>
          </w:p>
        </w:tc>
        <w:tc>
          <w:tcPr>
            <w:tcW w:w="720" w:type="dxa"/>
            <w:vAlign w:val="bottom"/>
          </w:tcPr>
          <w:p>
            <w:pPr>
              <w:spacing w:after="0"/>
              <w:rPr>
                <w:sz w:val="19"/>
                <w:szCs w:val="19"/>
                <w:color w:val="auto"/>
              </w:rPr>
            </w:pPr>
          </w:p>
        </w:tc>
      </w:tr>
      <w:tr>
        <w:trPr>
          <w:trHeight w:val="39"/>
        </w:trPr>
        <w:tc>
          <w:tcPr>
            <w:tcW w:w="740" w:type="dxa"/>
            <w:vAlign w:val="bottom"/>
          </w:tcPr>
          <w:p>
            <w:pPr>
              <w:spacing w:after="0"/>
              <w:rPr>
                <w:sz w:val="3"/>
                <w:szCs w:val="3"/>
                <w:color w:val="auto"/>
              </w:rPr>
            </w:pPr>
          </w:p>
        </w:tc>
        <w:tc>
          <w:tcPr>
            <w:tcW w:w="646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64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640" w:type="dxa"/>
            <w:vAlign w:val="bottom"/>
            <w:tcBorders>
              <w:bottom w:val="single" w:sz="8" w:color="582C83"/>
            </w:tcBorders>
          </w:tcPr>
          <w:p>
            <w:pPr>
              <w:spacing w:after="0"/>
              <w:rPr>
                <w:sz w:val="3"/>
                <w:szCs w:val="3"/>
                <w:color w:val="auto"/>
              </w:rPr>
            </w:pPr>
          </w:p>
        </w:tc>
        <w:tc>
          <w:tcPr>
            <w:tcW w:w="720" w:type="dxa"/>
            <w:vAlign w:val="bottom"/>
          </w:tcPr>
          <w:p>
            <w:pPr>
              <w:spacing w:after="0"/>
              <w:rPr>
                <w:sz w:val="3"/>
                <w:szCs w:val="3"/>
                <w:color w:val="auto"/>
              </w:rPr>
            </w:pPr>
          </w:p>
        </w:tc>
      </w:tr>
      <w:tr>
        <w:trPr>
          <w:trHeight w:val="271"/>
        </w:trPr>
        <w:tc>
          <w:tcPr>
            <w:tcW w:w="740" w:type="dxa"/>
            <w:vAlign w:val="bottom"/>
          </w:tcPr>
          <w:p>
            <w:pPr>
              <w:spacing w:after="0"/>
              <w:rPr>
                <w:sz w:val="23"/>
                <w:szCs w:val="23"/>
                <w:color w:val="auto"/>
              </w:rPr>
            </w:pPr>
          </w:p>
        </w:tc>
        <w:tc>
          <w:tcPr>
            <w:tcW w:w="646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5"/>
                <w:szCs w:val="15"/>
                <w:b w:val="1"/>
                <w:bCs w:val="1"/>
                <w:color w:val="auto"/>
              </w:rPr>
              <w:t>Brusadelli, Maurizio</w:t>
            </w:r>
          </w:p>
        </w:tc>
        <w:tc>
          <w:tcPr>
            <w:tcW w:w="20" w:type="dxa"/>
            <w:vAlign w:val="bottom"/>
            <w:tcBorders>
              <w:bottom w:val="single" w:sz="8" w:color="EBE6F0"/>
            </w:tcBorders>
            <w:shd w:val="clear" w:color="auto" w:fill="EBE6F0"/>
          </w:tcPr>
          <w:p>
            <w:pPr>
              <w:spacing w:after="0"/>
              <w:rPr>
                <w:sz w:val="23"/>
                <w:szCs w:val="23"/>
                <w:color w:val="auto"/>
              </w:rPr>
            </w:pPr>
          </w:p>
        </w:tc>
        <w:tc>
          <w:tcPr>
            <w:tcW w:w="16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5"/>
                <w:szCs w:val="15"/>
                <w:color w:val="auto"/>
              </w:rPr>
              <w:t>2022 - 2024</w:t>
            </w:r>
          </w:p>
        </w:tc>
        <w:tc>
          <w:tcPr>
            <w:tcW w:w="20" w:type="dxa"/>
            <w:vAlign w:val="bottom"/>
            <w:tcBorders>
              <w:bottom w:val="single" w:sz="8" w:color="EBE6F0"/>
            </w:tcBorders>
            <w:shd w:val="clear" w:color="auto" w:fill="EBE6F0"/>
          </w:tcPr>
          <w:p>
            <w:pPr>
              <w:spacing w:after="0"/>
              <w:rPr>
                <w:sz w:val="23"/>
                <w:szCs w:val="23"/>
                <w:color w:val="auto"/>
              </w:rPr>
            </w:pPr>
          </w:p>
        </w:tc>
        <w:tc>
          <w:tcPr>
            <w:tcW w:w="1640" w:type="dxa"/>
            <w:vAlign w:val="bottom"/>
            <w:tcBorders>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4,020,313</w:t>
            </w:r>
          </w:p>
        </w:tc>
        <w:tc>
          <w:tcPr>
            <w:tcW w:w="720" w:type="dxa"/>
            <w:vAlign w:val="bottom"/>
          </w:tcPr>
          <w:p>
            <w:pPr>
              <w:spacing w:after="0"/>
              <w:rPr>
                <w:sz w:val="23"/>
                <w:szCs w:val="23"/>
                <w:color w:val="auto"/>
              </w:rPr>
            </w:pPr>
          </w:p>
        </w:tc>
      </w:tr>
      <w:tr>
        <w:trPr>
          <w:trHeight w:val="271"/>
        </w:trPr>
        <w:tc>
          <w:tcPr>
            <w:tcW w:w="740" w:type="dxa"/>
            <w:vAlign w:val="bottom"/>
          </w:tcPr>
          <w:p>
            <w:pPr>
              <w:spacing w:after="0"/>
              <w:rPr>
                <w:sz w:val="23"/>
                <w:szCs w:val="23"/>
                <w:color w:val="auto"/>
              </w:rPr>
            </w:pPr>
          </w:p>
        </w:tc>
        <w:tc>
          <w:tcPr>
            <w:tcW w:w="6460" w:type="dxa"/>
            <w:vAlign w:val="bottom"/>
            <w:tcBorders>
              <w:top w:val="single" w:sz="8" w:color="EBE6F0"/>
              <w:bottom w:val="single" w:sz="8" w:color="EBE6F0"/>
            </w:tcBorders>
            <w:shd w:val="clear" w:color="auto" w:fill="EBE6F0"/>
          </w:tcPr>
          <w:p>
            <w:pPr>
              <w:spacing w:after="0"/>
              <w:rPr>
                <w:sz w:val="23"/>
                <w:szCs w:val="23"/>
                <w:color w:val="auto"/>
              </w:rPr>
            </w:pPr>
          </w:p>
        </w:tc>
        <w:tc>
          <w:tcPr>
            <w:tcW w:w="20" w:type="dxa"/>
            <w:vAlign w:val="bottom"/>
            <w:tcBorders>
              <w:top w:val="single" w:sz="8" w:color="EBE6F0"/>
              <w:bottom w:val="single" w:sz="8" w:color="EBE6F0"/>
            </w:tcBorders>
            <w:shd w:val="clear" w:color="auto" w:fill="EBE6F0"/>
          </w:tcPr>
          <w:p>
            <w:pPr>
              <w:spacing w:after="0"/>
              <w:rPr>
                <w:sz w:val="23"/>
                <w:szCs w:val="23"/>
                <w:color w:val="auto"/>
              </w:rPr>
            </w:pPr>
          </w:p>
        </w:tc>
        <w:tc>
          <w:tcPr>
            <w:tcW w:w="164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5"/>
                <w:szCs w:val="15"/>
                <w:color w:val="auto"/>
              </w:rPr>
              <w:t>2021 - 2023</w:t>
            </w:r>
          </w:p>
        </w:tc>
        <w:tc>
          <w:tcPr>
            <w:tcW w:w="20" w:type="dxa"/>
            <w:vAlign w:val="bottom"/>
            <w:tcBorders>
              <w:top w:val="single" w:sz="8" w:color="EBE6F0"/>
              <w:bottom w:val="single" w:sz="8" w:color="EBE6F0"/>
            </w:tcBorders>
            <w:shd w:val="clear" w:color="auto" w:fill="EBE6F0"/>
          </w:tcPr>
          <w:p>
            <w:pPr>
              <w:spacing w:after="0"/>
              <w:rPr>
                <w:sz w:val="23"/>
                <w:szCs w:val="23"/>
                <w:color w:val="auto"/>
              </w:rPr>
            </w:pPr>
          </w:p>
        </w:tc>
        <w:tc>
          <w:tcPr>
            <w:tcW w:w="1640" w:type="dxa"/>
            <w:vAlign w:val="bottom"/>
            <w:tcBorders>
              <w:top w:val="single" w:sz="8" w:color="582C83"/>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3,450,872</w:t>
            </w:r>
          </w:p>
        </w:tc>
        <w:tc>
          <w:tcPr>
            <w:tcW w:w="720" w:type="dxa"/>
            <w:vAlign w:val="bottom"/>
          </w:tcPr>
          <w:p>
            <w:pPr>
              <w:spacing w:after="0"/>
              <w:rPr>
                <w:sz w:val="23"/>
                <w:szCs w:val="23"/>
                <w:color w:val="auto"/>
              </w:rPr>
            </w:pPr>
          </w:p>
        </w:tc>
      </w:tr>
      <w:tr>
        <w:trPr>
          <w:trHeight w:val="271"/>
        </w:trPr>
        <w:tc>
          <w:tcPr>
            <w:tcW w:w="740" w:type="dxa"/>
            <w:vAlign w:val="bottom"/>
          </w:tcPr>
          <w:p>
            <w:pPr>
              <w:spacing w:after="0"/>
              <w:rPr>
                <w:sz w:val="23"/>
                <w:szCs w:val="23"/>
                <w:color w:val="auto"/>
              </w:rPr>
            </w:pPr>
          </w:p>
        </w:tc>
        <w:tc>
          <w:tcPr>
            <w:tcW w:w="6460" w:type="dxa"/>
            <w:vAlign w:val="bottom"/>
            <w:tcBorders>
              <w:top w:val="single" w:sz="8" w:color="EBE6F0"/>
              <w:bottom w:val="single" w:sz="8" w:color="EBE6F0"/>
            </w:tcBorders>
            <w:shd w:val="clear" w:color="auto" w:fill="EBE6F0"/>
          </w:tcPr>
          <w:p>
            <w:pPr>
              <w:spacing w:after="0"/>
              <w:rPr>
                <w:sz w:val="23"/>
                <w:szCs w:val="23"/>
                <w:color w:val="auto"/>
              </w:rPr>
            </w:pPr>
          </w:p>
        </w:tc>
        <w:tc>
          <w:tcPr>
            <w:tcW w:w="20" w:type="dxa"/>
            <w:vAlign w:val="bottom"/>
            <w:tcBorders>
              <w:top w:val="single" w:sz="8" w:color="EBE6F0"/>
              <w:bottom w:val="single" w:sz="8" w:color="EBE6F0"/>
            </w:tcBorders>
            <w:shd w:val="clear" w:color="auto" w:fill="EBE6F0"/>
          </w:tcPr>
          <w:p>
            <w:pPr>
              <w:spacing w:after="0"/>
              <w:rPr>
                <w:sz w:val="23"/>
                <w:szCs w:val="23"/>
                <w:color w:val="auto"/>
              </w:rPr>
            </w:pPr>
          </w:p>
        </w:tc>
        <w:tc>
          <w:tcPr>
            <w:tcW w:w="164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5"/>
                <w:szCs w:val="15"/>
                <w:color w:val="auto"/>
              </w:rPr>
              <w:t>2020 - 2022</w:t>
            </w:r>
          </w:p>
        </w:tc>
        <w:tc>
          <w:tcPr>
            <w:tcW w:w="20" w:type="dxa"/>
            <w:vAlign w:val="bottom"/>
            <w:tcBorders>
              <w:top w:val="single" w:sz="8" w:color="EBE6F0"/>
              <w:bottom w:val="single" w:sz="8" w:color="EBE6F0"/>
            </w:tcBorders>
            <w:shd w:val="clear" w:color="auto" w:fill="EBE6F0"/>
          </w:tcPr>
          <w:p>
            <w:pPr>
              <w:spacing w:after="0"/>
              <w:rPr>
                <w:sz w:val="23"/>
                <w:szCs w:val="23"/>
                <w:color w:val="auto"/>
              </w:rPr>
            </w:pPr>
          </w:p>
        </w:tc>
        <w:tc>
          <w:tcPr>
            <w:tcW w:w="1640" w:type="dxa"/>
            <w:vAlign w:val="bottom"/>
            <w:tcBorders>
              <w:top w:val="single" w:sz="8" w:color="582C83"/>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3,450,298</w:t>
            </w:r>
          </w:p>
        </w:tc>
        <w:tc>
          <w:tcPr>
            <w:tcW w:w="720" w:type="dxa"/>
            <w:vAlign w:val="bottom"/>
          </w:tcPr>
          <w:p>
            <w:pPr>
              <w:spacing w:after="0"/>
              <w:rPr>
                <w:sz w:val="23"/>
                <w:szCs w:val="23"/>
                <w:color w:val="auto"/>
              </w:rPr>
            </w:pPr>
          </w:p>
        </w:tc>
      </w:tr>
      <w:tr>
        <w:trPr>
          <w:trHeight w:val="233"/>
        </w:trPr>
        <w:tc>
          <w:tcPr>
            <w:tcW w:w="740" w:type="dxa"/>
            <w:vAlign w:val="bottom"/>
          </w:tcPr>
          <w:p>
            <w:pPr>
              <w:spacing w:after="0"/>
              <w:rPr>
                <w:sz w:val="20"/>
                <w:szCs w:val="20"/>
                <w:color w:val="auto"/>
              </w:rPr>
            </w:pPr>
          </w:p>
        </w:tc>
        <w:tc>
          <w:tcPr>
            <w:tcW w:w="6460" w:type="dxa"/>
            <w:vAlign w:val="bottom"/>
            <w:tcBorders>
              <w:top w:val="single" w:sz="8" w:color="582C83"/>
            </w:tcBorders>
          </w:tcPr>
          <w:p>
            <w:pPr>
              <w:ind w:left="40"/>
              <w:spacing w:after="0"/>
              <w:rPr>
                <w:sz w:val="20"/>
                <w:szCs w:val="20"/>
                <w:color w:val="auto"/>
              </w:rPr>
            </w:pPr>
            <w:r>
              <w:rPr>
                <w:rFonts w:ascii="Arial" w:cs="Arial" w:eastAsia="Arial" w:hAnsi="Arial"/>
                <w:sz w:val="15"/>
                <w:szCs w:val="15"/>
                <w:b w:val="1"/>
                <w:bCs w:val="1"/>
                <w:color w:val="auto"/>
              </w:rPr>
              <w:t>Gruber, Vinzenz</w:t>
            </w:r>
          </w:p>
        </w:tc>
        <w:tc>
          <w:tcPr>
            <w:tcW w:w="20" w:type="dxa"/>
            <w:vAlign w:val="bottom"/>
            <w:tcBorders>
              <w:top w:val="single" w:sz="8" w:color="EBE6F0"/>
            </w:tcBorders>
          </w:tcPr>
          <w:p>
            <w:pPr>
              <w:spacing w:after="0"/>
              <w:rPr>
                <w:sz w:val="20"/>
                <w:szCs w:val="20"/>
                <w:color w:val="auto"/>
              </w:rPr>
            </w:pPr>
          </w:p>
        </w:tc>
        <w:tc>
          <w:tcPr>
            <w:tcW w:w="1640" w:type="dxa"/>
            <w:vAlign w:val="bottom"/>
            <w:tcBorders>
              <w:top w:val="single" w:sz="8" w:color="582C83"/>
            </w:tcBorders>
          </w:tcPr>
          <w:p>
            <w:pPr>
              <w:jc w:val="right"/>
              <w:spacing w:after="0"/>
              <w:rPr>
                <w:sz w:val="20"/>
                <w:szCs w:val="20"/>
                <w:color w:val="auto"/>
              </w:rPr>
            </w:pPr>
            <w:r>
              <w:rPr>
                <w:rFonts w:ascii="Arial" w:cs="Arial" w:eastAsia="Arial" w:hAnsi="Arial"/>
                <w:sz w:val="15"/>
                <w:szCs w:val="15"/>
                <w:color w:val="auto"/>
              </w:rPr>
              <w:t>2022 - 2024</w:t>
            </w:r>
          </w:p>
        </w:tc>
        <w:tc>
          <w:tcPr>
            <w:tcW w:w="1660" w:type="dxa"/>
            <w:vAlign w:val="bottom"/>
            <w:tcBorders>
              <w:top w:val="single" w:sz="8" w:color="582C83"/>
            </w:tcBorders>
            <w:gridSpan w:val="2"/>
          </w:tcPr>
          <w:p>
            <w:pPr>
              <w:jc w:val="right"/>
              <w:ind w:right="6"/>
              <w:spacing w:after="0"/>
              <w:rPr>
                <w:sz w:val="20"/>
                <w:szCs w:val="20"/>
                <w:color w:val="auto"/>
              </w:rPr>
            </w:pPr>
            <w:r>
              <w:rPr>
                <w:rFonts w:ascii="Arial" w:cs="Arial" w:eastAsia="Arial" w:hAnsi="Arial"/>
                <w:sz w:val="15"/>
                <w:szCs w:val="15"/>
                <w:color w:val="auto"/>
              </w:rPr>
              <w:t>4,020,313</w:t>
            </w:r>
          </w:p>
        </w:tc>
        <w:tc>
          <w:tcPr>
            <w:tcW w:w="720" w:type="dxa"/>
            <w:vAlign w:val="bottom"/>
          </w:tcPr>
          <w:p>
            <w:pPr>
              <w:spacing w:after="0"/>
              <w:rPr>
                <w:sz w:val="20"/>
                <w:szCs w:val="20"/>
                <w:color w:val="auto"/>
              </w:rPr>
            </w:pPr>
          </w:p>
        </w:tc>
      </w:tr>
      <w:tr>
        <w:trPr>
          <w:trHeight w:val="33"/>
        </w:trPr>
        <w:tc>
          <w:tcPr>
            <w:tcW w:w="7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0" w:type="dxa"/>
            <w:vAlign w:val="bottom"/>
            <w:tcBorders>
              <w:bottom w:val="single" w:sz="8" w:color="582C83"/>
            </w:tcBorders>
          </w:tcPr>
          <w:p>
            <w:pPr>
              <w:spacing w:after="0"/>
              <w:rPr>
                <w:sz w:val="2"/>
                <w:szCs w:val="2"/>
                <w:color w:val="auto"/>
              </w:rPr>
            </w:pPr>
          </w:p>
        </w:tc>
        <w:tc>
          <w:tcPr>
            <w:tcW w:w="1640" w:type="dxa"/>
            <w:vAlign w:val="bottom"/>
            <w:tcBorders>
              <w:bottom w:val="single" w:sz="8" w:color="582C83"/>
            </w:tcBorders>
          </w:tcPr>
          <w:p>
            <w:pPr>
              <w:spacing w:after="0"/>
              <w:rPr>
                <w:sz w:val="2"/>
                <w:szCs w:val="2"/>
                <w:color w:val="auto"/>
              </w:rPr>
            </w:pPr>
          </w:p>
        </w:tc>
        <w:tc>
          <w:tcPr>
            <w:tcW w:w="1660" w:type="dxa"/>
            <w:vAlign w:val="bottom"/>
            <w:tcBorders>
              <w:bottom w:val="single" w:sz="8" w:color="582C83"/>
            </w:tcBorders>
            <w:gridSpan w:val="2"/>
          </w:tcPr>
          <w:p>
            <w:pPr>
              <w:spacing w:after="0"/>
              <w:rPr>
                <w:sz w:val="2"/>
                <w:szCs w:val="2"/>
                <w:color w:val="auto"/>
              </w:rPr>
            </w:pPr>
          </w:p>
        </w:tc>
        <w:tc>
          <w:tcPr>
            <w:tcW w:w="720" w:type="dxa"/>
            <w:vAlign w:val="bottom"/>
          </w:tcPr>
          <w:p>
            <w:pPr>
              <w:spacing w:after="0"/>
              <w:rPr>
                <w:sz w:val="2"/>
                <w:szCs w:val="2"/>
                <w:color w:val="auto"/>
              </w:rPr>
            </w:pPr>
          </w:p>
        </w:tc>
      </w:tr>
      <w:tr>
        <w:trPr>
          <w:trHeight w:val="227"/>
        </w:trPr>
        <w:tc>
          <w:tcPr>
            <w:tcW w:w="74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2021 - 2023</w:t>
            </w:r>
          </w:p>
        </w:tc>
        <w:tc>
          <w:tcPr>
            <w:tcW w:w="1660" w:type="dxa"/>
            <w:vAlign w:val="bottom"/>
            <w:gridSpan w:val="2"/>
          </w:tcPr>
          <w:p>
            <w:pPr>
              <w:jc w:val="right"/>
              <w:ind w:right="6"/>
              <w:spacing w:after="0"/>
              <w:rPr>
                <w:sz w:val="20"/>
                <w:szCs w:val="20"/>
                <w:color w:val="auto"/>
              </w:rPr>
            </w:pPr>
            <w:r>
              <w:rPr>
                <w:rFonts w:ascii="Arial" w:cs="Arial" w:eastAsia="Arial" w:hAnsi="Arial"/>
                <w:sz w:val="15"/>
                <w:szCs w:val="15"/>
                <w:color w:val="auto"/>
              </w:rPr>
              <w:t>3,600,178</w:t>
            </w:r>
          </w:p>
        </w:tc>
        <w:tc>
          <w:tcPr>
            <w:tcW w:w="720" w:type="dxa"/>
            <w:vAlign w:val="bottom"/>
          </w:tcPr>
          <w:p>
            <w:pPr>
              <w:spacing w:after="0"/>
              <w:rPr>
                <w:sz w:val="19"/>
                <w:szCs w:val="19"/>
                <w:color w:val="auto"/>
              </w:rPr>
            </w:pPr>
          </w:p>
        </w:tc>
      </w:tr>
      <w:tr>
        <w:trPr>
          <w:trHeight w:val="39"/>
        </w:trPr>
        <w:tc>
          <w:tcPr>
            <w:tcW w:w="740" w:type="dxa"/>
            <w:vAlign w:val="bottom"/>
          </w:tcPr>
          <w:p>
            <w:pPr>
              <w:spacing w:after="0"/>
              <w:rPr>
                <w:sz w:val="3"/>
                <w:szCs w:val="3"/>
                <w:color w:val="auto"/>
              </w:rPr>
            </w:pPr>
          </w:p>
        </w:tc>
        <w:tc>
          <w:tcPr>
            <w:tcW w:w="6460" w:type="dxa"/>
            <w:vAlign w:val="bottom"/>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640" w:type="dxa"/>
            <w:vAlign w:val="bottom"/>
            <w:tcBorders>
              <w:bottom w:val="single" w:sz="8" w:color="582C83"/>
            </w:tcBorders>
          </w:tcPr>
          <w:p>
            <w:pPr>
              <w:spacing w:after="0"/>
              <w:rPr>
                <w:sz w:val="3"/>
                <w:szCs w:val="3"/>
                <w:color w:val="auto"/>
              </w:rPr>
            </w:pPr>
          </w:p>
        </w:tc>
        <w:tc>
          <w:tcPr>
            <w:tcW w:w="1660" w:type="dxa"/>
            <w:vAlign w:val="bottom"/>
            <w:tcBorders>
              <w:bottom w:val="single" w:sz="8" w:color="582C83"/>
            </w:tcBorders>
            <w:gridSpan w:val="2"/>
          </w:tcPr>
          <w:p>
            <w:pPr>
              <w:spacing w:after="0"/>
              <w:rPr>
                <w:sz w:val="3"/>
                <w:szCs w:val="3"/>
                <w:color w:val="auto"/>
              </w:rPr>
            </w:pPr>
          </w:p>
        </w:tc>
        <w:tc>
          <w:tcPr>
            <w:tcW w:w="720" w:type="dxa"/>
            <w:vAlign w:val="bottom"/>
          </w:tcPr>
          <w:p>
            <w:pPr>
              <w:spacing w:after="0"/>
              <w:rPr>
                <w:sz w:val="3"/>
                <w:szCs w:val="3"/>
                <w:color w:val="auto"/>
              </w:rPr>
            </w:pPr>
          </w:p>
        </w:tc>
      </w:tr>
      <w:tr>
        <w:trPr>
          <w:trHeight w:val="227"/>
        </w:trPr>
        <w:tc>
          <w:tcPr>
            <w:tcW w:w="74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2020 - 2022</w:t>
            </w:r>
          </w:p>
        </w:tc>
        <w:tc>
          <w:tcPr>
            <w:tcW w:w="1660" w:type="dxa"/>
            <w:vAlign w:val="bottom"/>
            <w:gridSpan w:val="2"/>
          </w:tcPr>
          <w:p>
            <w:pPr>
              <w:jc w:val="right"/>
              <w:ind w:right="6"/>
              <w:spacing w:after="0"/>
              <w:rPr>
                <w:sz w:val="20"/>
                <w:szCs w:val="20"/>
                <w:color w:val="auto"/>
              </w:rPr>
            </w:pPr>
            <w:r>
              <w:rPr>
                <w:rFonts w:ascii="Arial" w:cs="Arial" w:eastAsia="Arial" w:hAnsi="Arial"/>
                <w:sz w:val="15"/>
                <w:szCs w:val="15"/>
                <w:color w:val="auto"/>
              </w:rPr>
              <w:t>3,300,336</w:t>
            </w:r>
          </w:p>
        </w:tc>
        <w:tc>
          <w:tcPr>
            <w:tcW w:w="720" w:type="dxa"/>
            <w:vAlign w:val="bottom"/>
          </w:tcPr>
          <w:p>
            <w:pPr>
              <w:spacing w:after="0"/>
              <w:rPr>
                <w:sz w:val="19"/>
                <w:szCs w:val="19"/>
                <w:color w:val="auto"/>
              </w:rPr>
            </w:pPr>
          </w:p>
        </w:tc>
      </w:tr>
      <w:tr>
        <w:trPr>
          <w:trHeight w:val="39"/>
        </w:trPr>
        <w:tc>
          <w:tcPr>
            <w:tcW w:w="740" w:type="dxa"/>
            <w:vAlign w:val="bottom"/>
          </w:tcPr>
          <w:p>
            <w:pPr>
              <w:spacing w:after="0"/>
              <w:rPr>
                <w:sz w:val="3"/>
                <w:szCs w:val="3"/>
                <w:color w:val="auto"/>
              </w:rPr>
            </w:pPr>
          </w:p>
        </w:tc>
        <w:tc>
          <w:tcPr>
            <w:tcW w:w="646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64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640" w:type="dxa"/>
            <w:vAlign w:val="bottom"/>
            <w:tcBorders>
              <w:bottom w:val="single" w:sz="8" w:color="582C83"/>
            </w:tcBorders>
          </w:tcPr>
          <w:p>
            <w:pPr>
              <w:spacing w:after="0"/>
              <w:rPr>
                <w:sz w:val="3"/>
                <w:szCs w:val="3"/>
                <w:color w:val="auto"/>
              </w:rPr>
            </w:pPr>
          </w:p>
        </w:tc>
        <w:tc>
          <w:tcPr>
            <w:tcW w:w="720" w:type="dxa"/>
            <w:vAlign w:val="bottom"/>
          </w:tcPr>
          <w:p>
            <w:pPr>
              <w:spacing w:after="0"/>
              <w:rPr>
                <w:sz w:val="3"/>
                <w:szCs w:val="3"/>
                <w:color w:val="auto"/>
              </w:rPr>
            </w:pPr>
          </w:p>
        </w:tc>
      </w:tr>
      <w:tr>
        <w:trPr>
          <w:trHeight w:val="271"/>
        </w:trPr>
        <w:tc>
          <w:tcPr>
            <w:tcW w:w="740" w:type="dxa"/>
            <w:vAlign w:val="bottom"/>
          </w:tcPr>
          <w:p>
            <w:pPr>
              <w:spacing w:after="0"/>
              <w:rPr>
                <w:sz w:val="23"/>
                <w:szCs w:val="23"/>
                <w:color w:val="auto"/>
              </w:rPr>
            </w:pPr>
          </w:p>
        </w:tc>
        <w:tc>
          <w:tcPr>
            <w:tcW w:w="646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5"/>
                <w:szCs w:val="15"/>
                <w:b w:val="1"/>
                <w:bCs w:val="1"/>
                <w:color w:val="auto"/>
              </w:rPr>
              <w:t>Valle, Gustavo</w:t>
            </w:r>
          </w:p>
        </w:tc>
        <w:tc>
          <w:tcPr>
            <w:tcW w:w="20" w:type="dxa"/>
            <w:vAlign w:val="bottom"/>
            <w:tcBorders>
              <w:bottom w:val="single" w:sz="8" w:color="EBE6F0"/>
            </w:tcBorders>
            <w:shd w:val="clear" w:color="auto" w:fill="EBE6F0"/>
          </w:tcPr>
          <w:p>
            <w:pPr>
              <w:spacing w:after="0"/>
              <w:rPr>
                <w:sz w:val="23"/>
                <w:szCs w:val="23"/>
                <w:color w:val="auto"/>
              </w:rPr>
            </w:pPr>
          </w:p>
        </w:tc>
        <w:tc>
          <w:tcPr>
            <w:tcW w:w="16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5"/>
                <w:szCs w:val="15"/>
                <w:color w:val="auto"/>
              </w:rPr>
              <w:t>2022 - 2024</w:t>
            </w:r>
          </w:p>
        </w:tc>
        <w:tc>
          <w:tcPr>
            <w:tcW w:w="20" w:type="dxa"/>
            <w:vAlign w:val="bottom"/>
            <w:tcBorders>
              <w:bottom w:val="single" w:sz="8" w:color="EBE6F0"/>
            </w:tcBorders>
            <w:shd w:val="clear" w:color="auto" w:fill="EBE6F0"/>
          </w:tcPr>
          <w:p>
            <w:pPr>
              <w:spacing w:after="0"/>
              <w:rPr>
                <w:sz w:val="23"/>
                <w:szCs w:val="23"/>
                <w:color w:val="auto"/>
              </w:rPr>
            </w:pPr>
          </w:p>
        </w:tc>
        <w:tc>
          <w:tcPr>
            <w:tcW w:w="1640" w:type="dxa"/>
            <w:vAlign w:val="bottom"/>
            <w:tcBorders>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3,015,544</w:t>
            </w:r>
          </w:p>
        </w:tc>
        <w:tc>
          <w:tcPr>
            <w:tcW w:w="720" w:type="dxa"/>
            <w:vAlign w:val="bottom"/>
          </w:tcPr>
          <w:p>
            <w:pPr>
              <w:spacing w:after="0"/>
              <w:rPr>
                <w:sz w:val="23"/>
                <w:szCs w:val="23"/>
                <w:color w:val="auto"/>
              </w:rPr>
            </w:pPr>
          </w:p>
        </w:tc>
      </w:tr>
      <w:tr>
        <w:trPr>
          <w:trHeight w:val="179"/>
        </w:trPr>
        <w:tc>
          <w:tcPr>
            <w:tcW w:w="740" w:type="dxa"/>
            <w:vAlign w:val="bottom"/>
            <w:tcBorders>
              <w:bottom w:val="single" w:sz="8" w:color="58358F"/>
            </w:tcBorders>
          </w:tcPr>
          <w:p>
            <w:pPr>
              <w:spacing w:after="0"/>
              <w:rPr>
                <w:sz w:val="15"/>
                <w:szCs w:val="15"/>
                <w:color w:val="auto"/>
              </w:rPr>
            </w:pPr>
          </w:p>
        </w:tc>
        <w:tc>
          <w:tcPr>
            <w:tcW w:w="6460" w:type="dxa"/>
            <w:vAlign w:val="bottom"/>
            <w:tcBorders>
              <w:top w:val="single" w:sz="8" w:color="582C83"/>
              <w:bottom w:val="single" w:sz="8" w:color="58358F"/>
            </w:tcBorders>
          </w:tcPr>
          <w:p>
            <w:pPr>
              <w:spacing w:after="0"/>
              <w:rPr>
                <w:sz w:val="15"/>
                <w:szCs w:val="15"/>
                <w:color w:val="auto"/>
              </w:rPr>
            </w:pPr>
          </w:p>
        </w:tc>
        <w:tc>
          <w:tcPr>
            <w:tcW w:w="20" w:type="dxa"/>
            <w:vAlign w:val="bottom"/>
            <w:tcBorders>
              <w:top w:val="single" w:sz="8" w:color="EBE6F0"/>
              <w:bottom w:val="single" w:sz="8" w:color="58358F"/>
            </w:tcBorders>
          </w:tcPr>
          <w:p>
            <w:pPr>
              <w:spacing w:after="0"/>
              <w:rPr>
                <w:sz w:val="15"/>
                <w:szCs w:val="15"/>
                <w:color w:val="auto"/>
              </w:rPr>
            </w:pPr>
          </w:p>
        </w:tc>
        <w:tc>
          <w:tcPr>
            <w:tcW w:w="1640" w:type="dxa"/>
            <w:vAlign w:val="bottom"/>
            <w:tcBorders>
              <w:top w:val="single" w:sz="8" w:color="582C83"/>
              <w:bottom w:val="single" w:sz="8" w:color="58358F"/>
            </w:tcBorders>
          </w:tcPr>
          <w:p>
            <w:pPr>
              <w:spacing w:after="0"/>
              <w:rPr>
                <w:sz w:val="15"/>
                <w:szCs w:val="15"/>
                <w:color w:val="auto"/>
              </w:rPr>
            </w:pPr>
          </w:p>
        </w:tc>
        <w:tc>
          <w:tcPr>
            <w:tcW w:w="20" w:type="dxa"/>
            <w:vAlign w:val="bottom"/>
            <w:tcBorders>
              <w:top w:val="single" w:sz="8" w:color="EBE6F0"/>
              <w:bottom w:val="single" w:sz="8" w:color="58358F"/>
            </w:tcBorders>
          </w:tcPr>
          <w:p>
            <w:pPr>
              <w:spacing w:after="0"/>
              <w:rPr>
                <w:sz w:val="15"/>
                <w:szCs w:val="15"/>
                <w:color w:val="auto"/>
              </w:rPr>
            </w:pPr>
          </w:p>
        </w:tc>
        <w:tc>
          <w:tcPr>
            <w:tcW w:w="1640" w:type="dxa"/>
            <w:vAlign w:val="bottom"/>
            <w:tcBorders>
              <w:top w:val="single" w:sz="8" w:color="582C83"/>
              <w:bottom w:val="single" w:sz="8" w:color="58358F"/>
            </w:tcBorders>
          </w:tcPr>
          <w:p>
            <w:pPr>
              <w:spacing w:after="0"/>
              <w:rPr>
                <w:sz w:val="15"/>
                <w:szCs w:val="15"/>
                <w:color w:val="auto"/>
              </w:rPr>
            </w:pPr>
          </w:p>
        </w:tc>
        <w:tc>
          <w:tcPr>
            <w:tcW w:w="720" w:type="dxa"/>
            <w:vAlign w:val="bottom"/>
            <w:tcBorders>
              <w:bottom w:val="single" w:sz="8" w:color="58358F"/>
            </w:tcBorders>
          </w:tcPr>
          <w:p>
            <w:pPr>
              <w:spacing w:after="0"/>
              <w:rPr>
                <w:sz w:val="15"/>
                <w:szCs w:val="15"/>
                <w:color w:val="auto"/>
              </w:rPr>
            </w:pPr>
          </w:p>
        </w:tc>
      </w:tr>
    </w:tbl>
    <w:p>
      <w:pPr>
        <w:sectPr>
          <w:pgSz w:w="11900" w:h="16838" w:orient="portrait"/>
          <w:cols w:equalWidth="0" w:num="1">
            <w:col w:w="11240"/>
          </w:cols>
          <w:pgMar w:left="320" w:top="132" w:right="339" w:bottom="0" w:gutter="0" w:footer="0" w:header="0"/>
        </w:sectPr>
      </w:pPr>
    </w:p>
    <w:bookmarkStart w:id="98" w:name="page99"/>
    <w:bookmarkEnd w:id="98"/>
    <w:p>
      <w:pPr>
        <w:ind w:left="7940"/>
        <w:spacing w:after="0"/>
        <w:rPr>
          <w:sz w:val="20"/>
          <w:szCs w:val="20"/>
          <w:color w:val="auto"/>
        </w:rPr>
      </w:pPr>
      <w:r>
        <w:rPr>
          <w:rFonts w:ascii="Arial" w:cs="Arial" w:eastAsia="Arial" w:hAnsi="Arial"/>
          <w:sz w:val="15"/>
          <w:szCs w:val="15"/>
          <w:b w:val="1"/>
          <w:bCs w:val="1"/>
          <w:color w:val="58358F"/>
        </w:rPr>
        <w:t>2023 PROXY STATEMENT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182245</wp:posOffset>
            </wp:positionV>
            <wp:extent cx="7143115" cy="1587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-100965</wp:posOffset>
            </wp:positionV>
            <wp:extent cx="906780" cy="22098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0120"/>
          </w:cols>
          <w:pgMar w:left="1440" w:top="127" w:right="339" w:bottom="1440" w:gutter="0" w:footer="0" w:header="0"/>
        </w:sectPr>
      </w:pPr>
    </w:p>
    <w:bookmarkStart w:id="99" w:name="page100"/>
    <w:bookmarkEnd w:id="99"/>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both"/>
        <w:ind w:left="321" w:right="200" w:hanging="321"/>
        <w:spacing w:after="0" w:line="258" w:lineRule="auto"/>
        <w:tabs>
          <w:tab w:leader="none" w:pos="321" w:val="left"/>
        </w:tabs>
        <w:numPr>
          <w:ilvl w:val="0"/>
          <w:numId w:val="83"/>
        </w:numPr>
        <w:rPr>
          <w:rFonts w:ascii="Arial" w:cs="Arial" w:eastAsia="Arial" w:hAnsi="Arial"/>
          <w:sz w:val="15"/>
          <w:szCs w:val="15"/>
          <w:color w:val="auto"/>
        </w:rPr>
      </w:pPr>
      <w:r>
        <w:rPr>
          <w:rFonts w:ascii="Arial" w:cs="Arial" w:eastAsia="Arial" w:hAnsi="Arial"/>
          <w:sz w:val="15"/>
          <w:szCs w:val="15"/>
          <w:color w:val="auto"/>
        </w:rPr>
        <w:t>Reflects stock option grants. The amounts shown represent the full grant date fair value of the options granted in each year as computed in accordance with FASB ASC Topic 718. Assumptions used in the calculation of these amounts are included in Note 12 to the consolidated financial statements contained in our 2022 Form 10-K.</w:t>
      </w:r>
    </w:p>
    <w:p>
      <w:pPr>
        <w:spacing w:after="0" w:line="2" w:lineRule="exact"/>
        <w:rPr>
          <w:rFonts w:ascii="Arial" w:cs="Arial" w:eastAsia="Arial" w:hAnsi="Arial"/>
          <w:sz w:val="15"/>
          <w:szCs w:val="15"/>
          <w:color w:val="auto"/>
        </w:rPr>
      </w:pPr>
    </w:p>
    <w:p>
      <w:pPr>
        <w:ind w:left="321" w:hanging="321"/>
        <w:spacing w:after="0"/>
        <w:tabs>
          <w:tab w:leader="none" w:pos="321" w:val="left"/>
        </w:tabs>
        <w:numPr>
          <w:ilvl w:val="0"/>
          <w:numId w:val="83"/>
        </w:numPr>
        <w:rPr>
          <w:rFonts w:ascii="Arial" w:cs="Arial" w:eastAsia="Arial" w:hAnsi="Arial"/>
          <w:sz w:val="15"/>
          <w:szCs w:val="15"/>
          <w:color w:val="auto"/>
        </w:rPr>
      </w:pPr>
      <w:r>
        <w:rPr>
          <w:rFonts w:ascii="Arial" w:cs="Arial" w:eastAsia="Arial" w:hAnsi="Arial"/>
          <w:sz w:val="15"/>
          <w:szCs w:val="15"/>
          <w:color w:val="auto"/>
        </w:rPr>
        <w:t>Reflects awards made under our 2022 AIP which were paid in March 2023.</w:t>
      </w:r>
    </w:p>
    <w:p>
      <w:pPr>
        <w:spacing w:after="0" w:line="38" w:lineRule="exact"/>
        <w:rPr>
          <w:rFonts w:ascii="Arial" w:cs="Arial" w:eastAsia="Arial" w:hAnsi="Arial"/>
          <w:sz w:val="15"/>
          <w:szCs w:val="15"/>
          <w:color w:val="auto"/>
        </w:rPr>
      </w:pPr>
    </w:p>
    <w:p>
      <w:pPr>
        <w:ind w:left="321" w:right="100" w:hanging="321"/>
        <w:spacing w:after="0" w:line="258" w:lineRule="auto"/>
        <w:tabs>
          <w:tab w:leader="none" w:pos="321" w:val="left"/>
        </w:tabs>
        <w:numPr>
          <w:ilvl w:val="0"/>
          <w:numId w:val="83"/>
        </w:numPr>
        <w:rPr>
          <w:rFonts w:ascii="Arial" w:cs="Arial" w:eastAsia="Arial" w:hAnsi="Arial"/>
          <w:sz w:val="15"/>
          <w:szCs w:val="15"/>
          <w:color w:val="auto"/>
        </w:rPr>
      </w:pPr>
      <w:r>
        <w:rPr>
          <w:rFonts w:ascii="Arial" w:cs="Arial" w:eastAsia="Arial" w:hAnsi="Arial"/>
          <w:sz w:val="15"/>
          <w:szCs w:val="15"/>
          <w:color w:val="auto"/>
        </w:rPr>
        <w:t>Reflects the aggregate change in the actuarial present value of the benefits under the Pension Fund Mondelēz Switzerland for Mr. Gruber. For 2022, there was a decrease in such pension value equal to $687,773 (which is reported as $0 above in accordance with SEC rules) due to increased discount rate and the decrease in exchange rate. Mr. Van de Put, Mr. Zaramella, Mr. Brusadelli and Mr. Valle are not eligible to participate in a defined benefit retirement plan.</w:t>
      </w:r>
    </w:p>
    <w:p>
      <w:pPr>
        <w:spacing w:after="0" w:line="2" w:lineRule="exact"/>
        <w:rPr>
          <w:rFonts w:ascii="Arial" w:cs="Arial" w:eastAsia="Arial" w:hAnsi="Arial"/>
          <w:sz w:val="15"/>
          <w:szCs w:val="15"/>
          <w:color w:val="auto"/>
        </w:rPr>
      </w:pPr>
    </w:p>
    <w:p>
      <w:pPr>
        <w:ind w:left="321" w:hanging="321"/>
        <w:spacing w:after="0"/>
        <w:tabs>
          <w:tab w:leader="none" w:pos="321"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amounts shown in the “All Other Compensation” column for 2022 reflect the following:</w:t>
      </w:r>
    </w:p>
    <w:p>
      <w:pPr>
        <w:spacing w:after="0" w:line="88" w:lineRule="exact"/>
        <w:rPr>
          <w:sz w:val="20"/>
          <w:szCs w:val="20"/>
          <w:color w:val="auto"/>
        </w:rPr>
      </w:pPr>
    </w:p>
    <w:tbl>
      <w:tblPr>
        <w:tblLayout w:type="fixed"/>
        <w:tblInd w:w="321"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D. Van de Put</w:t>
            </w:r>
          </w:p>
        </w:tc>
        <w:tc>
          <w:tcPr>
            <w:tcW w:w="20" w:type="dxa"/>
            <w:vAlign w:val="bottom"/>
          </w:tcPr>
          <w:p>
            <w:pPr>
              <w:spacing w:after="0"/>
              <w:rPr>
                <w:sz w:val="17"/>
                <w:szCs w:val="17"/>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b w:val="1"/>
                <w:bCs w:val="1"/>
                <w:color w:val="auto"/>
              </w:rPr>
              <w:t>L. Zaramella</w:t>
            </w:r>
          </w:p>
        </w:tc>
        <w:tc>
          <w:tcPr>
            <w:tcW w:w="1300" w:type="dxa"/>
            <w:vAlign w:val="bottom"/>
          </w:tcPr>
          <w:p>
            <w:pPr>
              <w:jc w:val="right"/>
              <w:ind w:right="6"/>
              <w:spacing w:after="0"/>
              <w:rPr>
                <w:sz w:val="20"/>
                <w:szCs w:val="20"/>
                <w:color w:val="auto"/>
              </w:rPr>
            </w:pPr>
            <w:r>
              <w:rPr>
                <w:rFonts w:ascii="Arial" w:cs="Arial" w:eastAsia="Arial" w:hAnsi="Arial"/>
                <w:sz w:val="15"/>
                <w:szCs w:val="15"/>
                <w:b w:val="1"/>
                <w:bCs w:val="1"/>
                <w:color w:val="auto"/>
              </w:rPr>
              <w:t>M. Brusadelli</w:t>
            </w:r>
          </w:p>
        </w:tc>
        <w:tc>
          <w:tcPr>
            <w:tcW w:w="1300" w:type="dxa"/>
            <w:vAlign w:val="bottom"/>
          </w:tcPr>
          <w:p>
            <w:pPr>
              <w:jc w:val="right"/>
              <w:ind w:right="6"/>
              <w:spacing w:after="0"/>
              <w:rPr>
                <w:sz w:val="20"/>
                <w:szCs w:val="20"/>
                <w:color w:val="auto"/>
              </w:rPr>
            </w:pPr>
            <w:r>
              <w:rPr>
                <w:rFonts w:ascii="Arial" w:cs="Arial" w:eastAsia="Arial" w:hAnsi="Arial"/>
                <w:sz w:val="15"/>
                <w:szCs w:val="15"/>
                <w:b w:val="1"/>
                <w:bCs w:val="1"/>
                <w:color w:val="auto"/>
              </w:rPr>
              <w:t>V. Gruber</w:t>
            </w:r>
          </w:p>
        </w:tc>
        <w:tc>
          <w:tcPr>
            <w:tcW w:w="20" w:type="dxa"/>
            <w:vAlign w:val="bottom"/>
          </w:tcPr>
          <w:p>
            <w:pPr>
              <w:spacing w:after="0"/>
              <w:rPr>
                <w:sz w:val="17"/>
                <w:szCs w:val="17"/>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b w:val="1"/>
                <w:bCs w:val="1"/>
                <w:color w:val="auto"/>
              </w:rPr>
              <w:t>G. Valle</w:t>
            </w:r>
          </w:p>
        </w:tc>
        <w:tc>
          <w:tcPr>
            <w:tcW w:w="20" w:type="dxa"/>
            <w:vAlign w:val="bottom"/>
          </w:tcPr>
          <w:p>
            <w:pPr>
              <w:spacing w:after="0"/>
              <w:rPr>
                <w:sz w:val="17"/>
                <w:szCs w:val="17"/>
                <w:color w:val="auto"/>
              </w:rPr>
            </w:pPr>
          </w:p>
        </w:tc>
      </w:tr>
      <w:tr>
        <w:trPr>
          <w:trHeight w:val="236"/>
        </w:trPr>
        <w:tc>
          <w:tcPr>
            <w:tcW w:w="20" w:type="dxa"/>
            <w:vAlign w:val="bottom"/>
            <w:tcBorders>
              <w:bottom w:val="single" w:sz="8" w:color="582C83"/>
            </w:tcBorders>
          </w:tcPr>
          <w:p>
            <w:pPr>
              <w:spacing w:after="0"/>
              <w:rPr>
                <w:sz w:val="20"/>
                <w:szCs w:val="20"/>
                <w:color w:val="auto"/>
              </w:rPr>
            </w:pPr>
          </w:p>
        </w:tc>
        <w:tc>
          <w:tcPr>
            <w:tcW w:w="4360" w:type="dxa"/>
            <w:vAlign w:val="bottom"/>
            <w:tcBorders>
              <w:bottom w:val="single" w:sz="8" w:color="582C83"/>
            </w:tcBorders>
          </w:tcPr>
          <w:p>
            <w:pPr>
              <w:spacing w:after="0"/>
              <w:rPr>
                <w:sz w:val="20"/>
                <w:szCs w:val="20"/>
                <w:color w:val="auto"/>
              </w:rPr>
            </w:pPr>
          </w:p>
        </w:tc>
        <w:tc>
          <w:tcPr>
            <w:tcW w:w="1300" w:type="dxa"/>
            <w:vAlign w:val="bottom"/>
            <w:tcBorders>
              <w:bottom w:val="single" w:sz="8" w:color="582C83"/>
            </w:tcBorders>
          </w:tcPr>
          <w:p>
            <w:pPr>
              <w:jc w:val="right"/>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582C83"/>
            </w:tcBorders>
            <w:gridSpan w:val="2"/>
          </w:tcPr>
          <w:p>
            <w:pPr>
              <w:jc w:val="right"/>
              <w:ind w:right="6"/>
              <w:spacing w:after="0"/>
              <w:rPr>
                <w:sz w:val="20"/>
                <w:szCs w:val="20"/>
                <w:color w:val="auto"/>
              </w:rPr>
            </w:pPr>
            <w:r>
              <w:rPr>
                <w:rFonts w:ascii="Arial" w:cs="Arial" w:eastAsia="Arial" w:hAnsi="Arial"/>
                <w:sz w:val="15"/>
                <w:szCs w:val="15"/>
                <w:b w:val="1"/>
                <w:bCs w:val="1"/>
                <w:color w:val="auto"/>
              </w:rPr>
              <w:t>($)</w:t>
            </w:r>
          </w:p>
        </w:tc>
        <w:tc>
          <w:tcPr>
            <w:tcW w:w="130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130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1300" w:type="dxa"/>
            <w:vAlign w:val="bottom"/>
            <w:tcBorders>
              <w:bottom w:val="single" w:sz="8" w:color="582C83"/>
            </w:tcBorders>
            <w:gridSpan w:val="2"/>
          </w:tcPr>
          <w:p>
            <w:pPr>
              <w:jc w:val="right"/>
              <w:ind w:right="6"/>
              <w:spacing w:after="0"/>
              <w:rPr>
                <w:sz w:val="20"/>
                <w:szCs w:val="20"/>
                <w:color w:val="auto"/>
              </w:rPr>
            </w:pPr>
            <w:r>
              <w:rPr>
                <w:rFonts w:ascii="Arial" w:cs="Arial" w:eastAsia="Arial" w:hAnsi="Arial"/>
                <w:sz w:val="15"/>
                <w:szCs w:val="15"/>
                <w:b w:val="1"/>
                <w:bCs w:val="1"/>
                <w:color w:val="auto"/>
              </w:rPr>
              <w:t>($)</w:t>
            </w:r>
          </w:p>
        </w:tc>
        <w:tc>
          <w:tcPr>
            <w:tcW w:w="20" w:type="dxa"/>
            <w:vAlign w:val="bottom"/>
            <w:tcBorders>
              <w:bottom w:val="single" w:sz="8" w:color="582C83"/>
            </w:tcBorders>
          </w:tcPr>
          <w:p>
            <w:pPr>
              <w:spacing w:after="0"/>
              <w:rPr>
                <w:sz w:val="20"/>
                <w:szCs w:val="20"/>
                <w:color w:val="auto"/>
              </w:rPr>
            </w:pPr>
          </w:p>
        </w:tc>
      </w:tr>
      <w:tr>
        <w:trPr>
          <w:trHeight w:val="310"/>
        </w:trPr>
        <w:tc>
          <w:tcPr>
            <w:tcW w:w="20" w:type="dxa"/>
            <w:vAlign w:val="bottom"/>
            <w:tcBorders>
              <w:bottom w:val="single" w:sz="8" w:color="EBE6F0"/>
            </w:tcBorders>
            <w:shd w:val="clear" w:color="auto" w:fill="EBE6F0"/>
          </w:tcPr>
          <w:p>
            <w:pPr>
              <w:spacing w:after="0"/>
              <w:rPr>
                <w:sz w:val="24"/>
                <w:szCs w:val="24"/>
                <w:color w:val="auto"/>
              </w:rPr>
            </w:pPr>
          </w:p>
        </w:tc>
        <w:tc>
          <w:tcPr>
            <w:tcW w:w="4360" w:type="dxa"/>
            <w:vAlign w:val="bottom"/>
            <w:tcBorders>
              <w:bottom w:val="single" w:sz="8" w:color="582C83"/>
            </w:tcBorders>
            <w:shd w:val="clear" w:color="auto" w:fill="EBE6F0"/>
          </w:tcPr>
          <w:p>
            <w:pPr>
              <w:ind w:left="40"/>
              <w:spacing w:after="0"/>
              <w:rPr>
                <w:sz w:val="20"/>
                <w:szCs w:val="20"/>
                <w:color w:val="auto"/>
              </w:rPr>
            </w:pPr>
            <w:r>
              <w:rPr>
                <w:rFonts w:ascii="Arial" w:cs="Arial" w:eastAsia="Arial" w:hAnsi="Arial"/>
                <w:sz w:val="15"/>
                <w:szCs w:val="15"/>
                <w:color w:val="auto"/>
              </w:rPr>
              <w:t>Personal use of company aircraft</w:t>
            </w:r>
            <w:r>
              <w:rPr>
                <w:rFonts w:ascii="Arial" w:cs="Arial" w:eastAsia="Arial" w:hAnsi="Arial"/>
                <w:sz w:val="24"/>
                <w:szCs w:val="24"/>
                <w:color w:val="auto"/>
                <w:vertAlign w:val="superscript"/>
              </w:rPr>
              <w:t>(a)</w:t>
            </w:r>
          </w:p>
        </w:tc>
        <w:tc>
          <w:tcPr>
            <w:tcW w:w="130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5"/>
                <w:szCs w:val="15"/>
                <w:color w:val="auto"/>
              </w:rPr>
              <w:t>308,469</w:t>
            </w:r>
          </w:p>
        </w:tc>
        <w:tc>
          <w:tcPr>
            <w:tcW w:w="20" w:type="dxa"/>
            <w:vAlign w:val="bottom"/>
            <w:tcBorders>
              <w:bottom w:val="single" w:sz="8" w:color="EBE6F0"/>
            </w:tcBorders>
            <w:shd w:val="clear" w:color="auto" w:fill="EBE6F0"/>
          </w:tcPr>
          <w:p>
            <w:pPr>
              <w:spacing w:after="0"/>
              <w:rPr>
                <w:sz w:val="24"/>
                <w:szCs w:val="24"/>
                <w:color w:val="auto"/>
              </w:rPr>
            </w:pPr>
          </w:p>
        </w:tc>
        <w:tc>
          <w:tcPr>
            <w:tcW w:w="1300" w:type="dxa"/>
            <w:vAlign w:val="bottom"/>
            <w:tcBorders>
              <w:bottom w:val="single" w:sz="8" w:color="582C83"/>
            </w:tcBorders>
            <w:shd w:val="clear" w:color="auto" w:fill="EBE6F0"/>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582C83"/>
            </w:tcBorders>
            <w:shd w:val="clear" w:color="auto" w:fill="EBE6F0"/>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582C83"/>
            </w:tcBorders>
            <w:shd w:val="clear" w:color="auto" w:fill="EBE6F0"/>
          </w:tcPr>
          <w:p>
            <w:pPr>
              <w:jc w:val="right"/>
              <w:ind w:right="6"/>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BE6F0"/>
            </w:tcBorders>
            <w:shd w:val="clear" w:color="auto" w:fill="EBE6F0"/>
          </w:tcPr>
          <w:p>
            <w:pPr>
              <w:spacing w:after="0"/>
              <w:rPr>
                <w:sz w:val="24"/>
                <w:szCs w:val="24"/>
                <w:color w:val="auto"/>
              </w:rPr>
            </w:pPr>
          </w:p>
        </w:tc>
        <w:tc>
          <w:tcPr>
            <w:tcW w:w="1280" w:type="dxa"/>
            <w:vAlign w:val="bottom"/>
            <w:tcBorders>
              <w:bottom w:val="single" w:sz="8" w:color="582C83"/>
            </w:tcBorders>
            <w:shd w:val="clear" w:color="auto" w:fill="EBE6F0"/>
          </w:tcPr>
          <w:p>
            <w:pPr>
              <w:jc w:val="right"/>
              <w:ind w:right="6"/>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4360" w:type="dxa"/>
            <w:vAlign w:val="bottom"/>
          </w:tcPr>
          <w:p>
            <w:pPr>
              <w:ind w:left="40"/>
              <w:spacing w:after="0"/>
              <w:rPr>
                <w:sz w:val="20"/>
                <w:szCs w:val="20"/>
                <w:color w:val="auto"/>
              </w:rPr>
            </w:pPr>
            <w:r>
              <w:rPr>
                <w:rFonts w:ascii="Arial" w:cs="Arial" w:eastAsia="Arial" w:hAnsi="Arial"/>
                <w:sz w:val="15"/>
                <w:szCs w:val="15"/>
                <w:color w:val="auto"/>
              </w:rPr>
              <w:t>Car allowance</w:t>
            </w:r>
          </w:p>
        </w:tc>
        <w:tc>
          <w:tcPr>
            <w:tcW w:w="1300" w:type="dxa"/>
            <w:vAlign w:val="bottom"/>
          </w:tcPr>
          <w:p>
            <w:pPr>
              <w:jc w:val="right"/>
              <w:spacing w:after="0"/>
              <w:rPr>
                <w:sz w:val="20"/>
                <w:szCs w:val="20"/>
                <w:color w:val="auto"/>
              </w:rPr>
            </w:pPr>
            <w:r>
              <w:rPr>
                <w:rFonts w:ascii="Arial" w:cs="Arial" w:eastAsia="Arial" w:hAnsi="Arial"/>
                <w:sz w:val="15"/>
                <w:szCs w:val="15"/>
                <w:color w:val="auto"/>
              </w:rPr>
              <w:t>23,333</w:t>
            </w:r>
          </w:p>
        </w:tc>
        <w:tc>
          <w:tcPr>
            <w:tcW w:w="1320" w:type="dxa"/>
            <w:vAlign w:val="bottom"/>
            <w:gridSpan w:val="2"/>
          </w:tcPr>
          <w:p>
            <w:pPr>
              <w:jc w:val="right"/>
              <w:ind w:right="6"/>
              <w:spacing w:after="0"/>
              <w:rPr>
                <w:sz w:val="20"/>
                <w:szCs w:val="20"/>
                <w:color w:val="auto"/>
              </w:rPr>
            </w:pPr>
            <w:r>
              <w:rPr>
                <w:rFonts w:ascii="Arial" w:cs="Arial" w:eastAsia="Arial" w:hAnsi="Arial"/>
                <w:sz w:val="15"/>
                <w:szCs w:val="15"/>
                <w:color w:val="auto"/>
              </w:rPr>
              <w:t>15,000</w:t>
            </w: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52,497</w:t>
            </w: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17,406</w:t>
            </w:r>
          </w:p>
        </w:tc>
        <w:tc>
          <w:tcPr>
            <w:tcW w:w="1300" w:type="dxa"/>
            <w:vAlign w:val="bottom"/>
            <w:gridSpan w:val="2"/>
          </w:tcPr>
          <w:p>
            <w:pPr>
              <w:jc w:val="right"/>
              <w:ind w:right="6"/>
              <w:spacing w:after="0"/>
              <w:rPr>
                <w:sz w:val="20"/>
                <w:szCs w:val="20"/>
                <w:color w:val="auto"/>
              </w:rPr>
            </w:pPr>
            <w:r>
              <w:rPr>
                <w:rFonts w:ascii="Arial" w:cs="Arial" w:eastAsia="Arial" w:hAnsi="Arial"/>
                <w:sz w:val="15"/>
                <w:szCs w:val="15"/>
                <w:color w:val="auto"/>
              </w:rPr>
              <w:t>15,000</w:t>
            </w:r>
          </w:p>
        </w:tc>
        <w:tc>
          <w:tcPr>
            <w:tcW w:w="20" w:type="dxa"/>
            <w:vAlign w:val="bottom"/>
          </w:tcPr>
          <w:p>
            <w:pPr>
              <w:spacing w:after="0"/>
              <w:rPr>
                <w:sz w:val="19"/>
                <w:szCs w:val="19"/>
                <w:color w:val="auto"/>
              </w:rPr>
            </w:pPr>
          </w:p>
        </w:tc>
      </w:tr>
      <w:tr>
        <w:trPr>
          <w:trHeight w:val="39"/>
        </w:trPr>
        <w:tc>
          <w:tcPr>
            <w:tcW w:w="20" w:type="dxa"/>
            <w:vAlign w:val="bottom"/>
            <w:tcBorders>
              <w:bottom w:val="single" w:sz="8" w:color="582C83"/>
            </w:tcBorders>
          </w:tcPr>
          <w:p>
            <w:pPr>
              <w:spacing w:after="0"/>
              <w:rPr>
                <w:sz w:val="3"/>
                <w:szCs w:val="3"/>
                <w:color w:val="auto"/>
              </w:rPr>
            </w:pPr>
          </w:p>
        </w:tc>
        <w:tc>
          <w:tcPr>
            <w:tcW w:w="436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303"/>
        </w:trPr>
        <w:tc>
          <w:tcPr>
            <w:tcW w:w="20" w:type="dxa"/>
            <w:vAlign w:val="bottom"/>
            <w:tcBorders>
              <w:bottom w:val="single" w:sz="8" w:color="EBE6F0"/>
            </w:tcBorders>
            <w:shd w:val="clear" w:color="auto" w:fill="EBE6F0"/>
          </w:tcPr>
          <w:p>
            <w:pPr>
              <w:spacing w:after="0"/>
              <w:rPr>
                <w:sz w:val="24"/>
                <w:szCs w:val="24"/>
                <w:color w:val="auto"/>
              </w:rPr>
            </w:pPr>
          </w:p>
        </w:tc>
        <w:tc>
          <w:tcPr>
            <w:tcW w:w="4360" w:type="dxa"/>
            <w:vAlign w:val="bottom"/>
            <w:tcBorders>
              <w:bottom w:val="single" w:sz="8" w:color="582C83"/>
            </w:tcBorders>
            <w:shd w:val="clear" w:color="auto" w:fill="EBE6F0"/>
          </w:tcPr>
          <w:p>
            <w:pPr>
              <w:ind w:left="40"/>
              <w:spacing w:after="0"/>
              <w:rPr>
                <w:sz w:val="20"/>
                <w:szCs w:val="20"/>
                <w:color w:val="auto"/>
              </w:rPr>
            </w:pPr>
            <w:r>
              <w:rPr>
                <w:rFonts w:ascii="Arial" w:cs="Arial" w:eastAsia="Arial" w:hAnsi="Arial"/>
                <w:sz w:val="15"/>
                <w:szCs w:val="15"/>
                <w:color w:val="auto"/>
              </w:rPr>
              <w:t>Financial counseling allowance</w:t>
            </w:r>
            <w:r>
              <w:rPr>
                <w:rFonts w:ascii="Arial" w:cs="Arial" w:eastAsia="Arial" w:hAnsi="Arial"/>
                <w:sz w:val="24"/>
                <w:szCs w:val="24"/>
                <w:color w:val="auto"/>
                <w:vertAlign w:val="superscript"/>
              </w:rPr>
              <w:t>(b)</w:t>
            </w:r>
          </w:p>
        </w:tc>
        <w:tc>
          <w:tcPr>
            <w:tcW w:w="130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5"/>
                <w:szCs w:val="15"/>
                <w:color w:val="auto"/>
              </w:rPr>
              <w:t>10,000</w:t>
            </w:r>
          </w:p>
        </w:tc>
        <w:tc>
          <w:tcPr>
            <w:tcW w:w="20" w:type="dxa"/>
            <w:vAlign w:val="bottom"/>
            <w:tcBorders>
              <w:bottom w:val="single" w:sz="8" w:color="EBE6F0"/>
            </w:tcBorders>
            <w:shd w:val="clear" w:color="auto" w:fill="EBE6F0"/>
          </w:tcPr>
          <w:p>
            <w:pPr>
              <w:spacing w:after="0"/>
              <w:rPr>
                <w:sz w:val="24"/>
                <w:szCs w:val="24"/>
                <w:color w:val="auto"/>
              </w:rPr>
            </w:pPr>
          </w:p>
        </w:tc>
        <w:tc>
          <w:tcPr>
            <w:tcW w:w="1300" w:type="dxa"/>
            <w:vAlign w:val="bottom"/>
            <w:tcBorders>
              <w:bottom w:val="single" w:sz="8" w:color="582C83"/>
            </w:tcBorders>
            <w:shd w:val="clear" w:color="auto" w:fill="EBE6F0"/>
          </w:tcPr>
          <w:p>
            <w:pPr>
              <w:jc w:val="right"/>
              <w:ind w:right="6"/>
              <w:spacing w:after="0"/>
              <w:rPr>
                <w:sz w:val="20"/>
                <w:szCs w:val="20"/>
                <w:color w:val="auto"/>
              </w:rPr>
            </w:pPr>
            <w:r>
              <w:rPr>
                <w:rFonts w:ascii="Arial" w:cs="Arial" w:eastAsia="Arial" w:hAnsi="Arial"/>
                <w:sz w:val="15"/>
                <w:szCs w:val="15"/>
                <w:color w:val="auto"/>
              </w:rPr>
              <w:t>7,500</w:t>
            </w:r>
          </w:p>
        </w:tc>
        <w:tc>
          <w:tcPr>
            <w:tcW w:w="1300" w:type="dxa"/>
            <w:vAlign w:val="bottom"/>
            <w:tcBorders>
              <w:bottom w:val="single" w:sz="8" w:color="582C83"/>
            </w:tcBorders>
            <w:shd w:val="clear" w:color="auto" w:fill="EBE6F0"/>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582C83"/>
            </w:tcBorders>
            <w:shd w:val="clear" w:color="auto" w:fill="EBE6F0"/>
          </w:tcPr>
          <w:p>
            <w:pPr>
              <w:jc w:val="right"/>
              <w:ind w:right="6"/>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BE6F0"/>
            </w:tcBorders>
            <w:shd w:val="clear" w:color="auto" w:fill="EBE6F0"/>
          </w:tcPr>
          <w:p>
            <w:pPr>
              <w:spacing w:after="0"/>
              <w:rPr>
                <w:sz w:val="24"/>
                <w:szCs w:val="24"/>
                <w:color w:val="auto"/>
              </w:rPr>
            </w:pPr>
          </w:p>
        </w:tc>
        <w:tc>
          <w:tcPr>
            <w:tcW w:w="1280" w:type="dxa"/>
            <w:vAlign w:val="bottom"/>
            <w:tcBorders>
              <w:bottom w:val="single" w:sz="8" w:color="582C83"/>
            </w:tcBorders>
            <w:shd w:val="clear" w:color="auto" w:fill="EBE6F0"/>
          </w:tcPr>
          <w:p>
            <w:pPr>
              <w:jc w:val="right"/>
              <w:ind w:right="6"/>
              <w:spacing w:after="0"/>
              <w:rPr>
                <w:sz w:val="20"/>
                <w:szCs w:val="20"/>
                <w:color w:val="auto"/>
              </w:rPr>
            </w:pPr>
            <w:r>
              <w:rPr>
                <w:rFonts w:ascii="Arial" w:cs="Arial" w:eastAsia="Arial" w:hAnsi="Arial"/>
                <w:sz w:val="15"/>
                <w:szCs w:val="15"/>
                <w:color w:val="auto"/>
              </w:rPr>
              <w:t>4,700</w:t>
            </w:r>
          </w:p>
        </w:tc>
        <w:tc>
          <w:tcPr>
            <w:tcW w:w="20" w:type="dxa"/>
            <w:vAlign w:val="bottom"/>
            <w:tcBorders>
              <w:bottom w:val="single" w:sz="8" w:color="EBE6F0"/>
            </w:tcBorders>
            <w:shd w:val="clear" w:color="auto" w:fill="EBE6F0"/>
          </w:tcPr>
          <w:p>
            <w:pPr>
              <w:spacing w:after="0"/>
              <w:rPr>
                <w:sz w:val="24"/>
                <w:szCs w:val="24"/>
                <w:color w:val="auto"/>
              </w:rPr>
            </w:pPr>
          </w:p>
        </w:tc>
      </w:tr>
      <w:tr>
        <w:trPr>
          <w:trHeight w:val="303"/>
        </w:trPr>
        <w:tc>
          <w:tcPr>
            <w:tcW w:w="20" w:type="dxa"/>
            <w:vAlign w:val="bottom"/>
            <w:tcBorders>
              <w:bottom w:val="single" w:sz="8" w:color="582C83"/>
            </w:tcBorders>
          </w:tcPr>
          <w:p>
            <w:pPr>
              <w:spacing w:after="0"/>
              <w:rPr>
                <w:sz w:val="24"/>
                <w:szCs w:val="24"/>
                <w:color w:val="auto"/>
              </w:rPr>
            </w:pPr>
          </w:p>
        </w:tc>
        <w:tc>
          <w:tcPr>
            <w:tcW w:w="4360" w:type="dxa"/>
            <w:vAlign w:val="bottom"/>
            <w:tcBorders>
              <w:bottom w:val="single" w:sz="8" w:color="582C83"/>
            </w:tcBorders>
          </w:tcPr>
          <w:p>
            <w:pPr>
              <w:ind w:left="40"/>
              <w:spacing w:after="0"/>
              <w:rPr>
                <w:sz w:val="20"/>
                <w:szCs w:val="20"/>
                <w:color w:val="auto"/>
              </w:rPr>
            </w:pPr>
            <w:r>
              <w:rPr>
                <w:rFonts w:ascii="Arial" w:cs="Arial" w:eastAsia="Arial" w:hAnsi="Arial"/>
                <w:sz w:val="15"/>
                <w:szCs w:val="15"/>
                <w:color w:val="auto"/>
              </w:rPr>
              <w:t>Employer contributions on defined contribution plans</w:t>
            </w:r>
            <w:r>
              <w:rPr>
                <w:rFonts w:ascii="Arial" w:cs="Arial" w:eastAsia="Arial" w:hAnsi="Arial"/>
                <w:sz w:val="24"/>
                <w:szCs w:val="24"/>
                <w:color w:val="auto"/>
                <w:vertAlign w:val="superscript"/>
              </w:rPr>
              <w:t>(c)</w:t>
            </w:r>
          </w:p>
        </w:tc>
        <w:tc>
          <w:tcPr>
            <w:tcW w:w="1300" w:type="dxa"/>
            <w:vAlign w:val="bottom"/>
            <w:tcBorders>
              <w:bottom w:val="single" w:sz="8" w:color="582C83"/>
            </w:tcBorders>
          </w:tcPr>
          <w:p>
            <w:pPr>
              <w:jc w:val="right"/>
              <w:spacing w:after="0"/>
              <w:rPr>
                <w:sz w:val="20"/>
                <w:szCs w:val="20"/>
                <w:color w:val="auto"/>
              </w:rPr>
            </w:pPr>
            <w:r>
              <w:rPr>
                <w:rFonts w:ascii="Arial" w:cs="Arial" w:eastAsia="Arial" w:hAnsi="Arial"/>
                <w:sz w:val="15"/>
                <w:szCs w:val="15"/>
                <w:color w:val="auto"/>
              </w:rPr>
              <w:t>365,665</w:t>
            </w:r>
          </w:p>
        </w:tc>
        <w:tc>
          <w:tcPr>
            <w:tcW w:w="1320" w:type="dxa"/>
            <w:vAlign w:val="bottom"/>
            <w:tcBorders>
              <w:bottom w:val="single" w:sz="8" w:color="582C83"/>
            </w:tcBorders>
            <w:gridSpan w:val="2"/>
          </w:tcPr>
          <w:p>
            <w:pPr>
              <w:jc w:val="right"/>
              <w:ind w:right="6"/>
              <w:spacing w:after="0"/>
              <w:rPr>
                <w:sz w:val="20"/>
                <w:szCs w:val="20"/>
                <w:color w:val="auto"/>
              </w:rPr>
            </w:pPr>
            <w:r>
              <w:rPr>
                <w:rFonts w:ascii="Arial" w:cs="Arial" w:eastAsia="Arial" w:hAnsi="Arial"/>
                <w:sz w:val="15"/>
                <w:szCs w:val="15"/>
                <w:color w:val="auto"/>
              </w:rPr>
              <w:t>148,151</w:t>
            </w:r>
          </w:p>
        </w:tc>
        <w:tc>
          <w:tcPr>
            <w:tcW w:w="130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color w:val="auto"/>
              </w:rPr>
              <w:t>138,486</w:t>
            </w:r>
          </w:p>
        </w:tc>
        <w:tc>
          <w:tcPr>
            <w:tcW w:w="130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582C83"/>
            </w:tcBorders>
            <w:gridSpan w:val="2"/>
          </w:tcPr>
          <w:p>
            <w:pPr>
              <w:jc w:val="right"/>
              <w:ind w:right="6"/>
              <w:spacing w:after="0"/>
              <w:rPr>
                <w:sz w:val="20"/>
                <w:szCs w:val="20"/>
                <w:color w:val="auto"/>
              </w:rPr>
            </w:pPr>
            <w:r>
              <w:rPr>
                <w:rFonts w:ascii="Arial" w:cs="Arial" w:eastAsia="Arial" w:hAnsi="Arial"/>
                <w:sz w:val="15"/>
                <w:szCs w:val="15"/>
                <w:color w:val="auto"/>
              </w:rPr>
              <w:t>137,677</w:t>
            </w:r>
          </w:p>
        </w:tc>
        <w:tc>
          <w:tcPr>
            <w:tcW w:w="20" w:type="dxa"/>
            <w:vAlign w:val="bottom"/>
          </w:tcPr>
          <w:p>
            <w:pPr>
              <w:spacing w:after="0"/>
              <w:rPr>
                <w:sz w:val="24"/>
                <w:szCs w:val="24"/>
                <w:color w:val="auto"/>
              </w:rPr>
            </w:pPr>
          </w:p>
        </w:tc>
      </w:tr>
      <w:tr>
        <w:trPr>
          <w:trHeight w:val="303"/>
        </w:trPr>
        <w:tc>
          <w:tcPr>
            <w:tcW w:w="20" w:type="dxa"/>
            <w:vAlign w:val="bottom"/>
            <w:tcBorders>
              <w:bottom w:val="single" w:sz="8" w:color="582C83"/>
            </w:tcBorders>
          </w:tcPr>
          <w:p>
            <w:pPr>
              <w:spacing w:after="0"/>
              <w:rPr>
                <w:sz w:val="24"/>
                <w:szCs w:val="24"/>
                <w:color w:val="auto"/>
              </w:rPr>
            </w:pPr>
          </w:p>
        </w:tc>
        <w:tc>
          <w:tcPr>
            <w:tcW w:w="4360" w:type="dxa"/>
            <w:vAlign w:val="bottom"/>
            <w:tcBorders>
              <w:bottom w:val="single" w:sz="8" w:color="582C83"/>
            </w:tcBorders>
          </w:tcPr>
          <w:p>
            <w:pPr>
              <w:ind w:left="40"/>
              <w:spacing w:after="0"/>
              <w:rPr>
                <w:sz w:val="20"/>
                <w:szCs w:val="20"/>
                <w:color w:val="auto"/>
              </w:rPr>
            </w:pPr>
            <w:r>
              <w:rPr>
                <w:rFonts w:ascii="Arial" w:cs="Arial" w:eastAsia="Arial" w:hAnsi="Arial"/>
                <w:sz w:val="15"/>
                <w:szCs w:val="15"/>
                <w:color w:val="auto"/>
              </w:rPr>
              <w:t>Tax equalization payment</w:t>
            </w:r>
            <w:r>
              <w:rPr>
                <w:rFonts w:ascii="Arial" w:cs="Arial" w:eastAsia="Arial" w:hAnsi="Arial"/>
                <w:sz w:val="24"/>
                <w:szCs w:val="24"/>
                <w:color w:val="auto"/>
                <w:vertAlign w:val="superscript"/>
              </w:rPr>
              <w:t>(d)</w:t>
            </w:r>
          </w:p>
        </w:tc>
        <w:tc>
          <w:tcPr>
            <w:tcW w:w="1300" w:type="dxa"/>
            <w:vAlign w:val="bottom"/>
            <w:tcBorders>
              <w:bottom w:val="single" w:sz="8" w:color="582C83"/>
            </w:tcBorders>
          </w:tcPr>
          <w:p>
            <w:pPr>
              <w:jc w:val="right"/>
              <w:spacing w:after="0"/>
              <w:rPr>
                <w:sz w:val="20"/>
                <w:szCs w:val="20"/>
                <w:color w:val="auto"/>
              </w:rPr>
            </w:pPr>
            <w:r>
              <w:rPr>
                <w:rFonts w:ascii="Arial" w:cs="Arial" w:eastAsia="Arial" w:hAnsi="Arial"/>
                <w:sz w:val="15"/>
                <w:szCs w:val="15"/>
                <w:color w:val="auto"/>
              </w:rPr>
              <w:t>10,215</w:t>
            </w:r>
          </w:p>
        </w:tc>
        <w:tc>
          <w:tcPr>
            <w:tcW w:w="1320" w:type="dxa"/>
            <w:vAlign w:val="bottom"/>
            <w:tcBorders>
              <w:bottom w:val="single" w:sz="8" w:color="582C83"/>
            </w:tcBorders>
            <w:gridSpan w:val="2"/>
          </w:tcPr>
          <w:p>
            <w:pPr>
              <w:jc w:val="right"/>
              <w:ind w:right="6"/>
              <w:spacing w:after="0"/>
              <w:rPr>
                <w:sz w:val="20"/>
                <w:szCs w:val="20"/>
                <w:color w:val="auto"/>
              </w:rPr>
            </w:pPr>
            <w:r>
              <w:rPr>
                <w:rFonts w:ascii="Arial" w:cs="Arial" w:eastAsia="Arial" w:hAnsi="Arial"/>
                <w:sz w:val="15"/>
                <w:szCs w:val="15"/>
                <w:color w:val="auto"/>
              </w:rPr>
              <w:t>5,494</w:t>
            </w:r>
          </w:p>
        </w:tc>
        <w:tc>
          <w:tcPr>
            <w:tcW w:w="130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color w:val="auto"/>
              </w:rPr>
              <w:t>_</w:t>
            </w:r>
          </w:p>
        </w:tc>
        <w:tc>
          <w:tcPr>
            <w:tcW w:w="130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582C83"/>
            </w:tcBorders>
            <w:gridSpan w:val="2"/>
          </w:tcPr>
          <w:p>
            <w:pPr>
              <w:jc w:val="right"/>
              <w:ind w:right="6"/>
              <w:spacing w:after="0"/>
              <w:rPr>
                <w:sz w:val="20"/>
                <w:szCs w:val="20"/>
                <w:color w:val="auto"/>
              </w:rPr>
            </w:pPr>
            <w:r>
              <w:rPr>
                <w:rFonts w:ascii="Arial" w:cs="Arial" w:eastAsia="Arial" w:hAnsi="Arial"/>
                <w:sz w:val="15"/>
                <w:szCs w:val="15"/>
                <w:color w:val="auto"/>
              </w:rPr>
              <w:t>6,895</w:t>
            </w:r>
          </w:p>
        </w:tc>
        <w:tc>
          <w:tcPr>
            <w:tcW w:w="20" w:type="dxa"/>
            <w:vAlign w:val="bottom"/>
            <w:tcBorders>
              <w:bottom w:val="single" w:sz="8" w:color="582C83"/>
            </w:tcBorders>
          </w:tcPr>
          <w:p>
            <w:pPr>
              <w:spacing w:after="0"/>
              <w:rPr>
                <w:sz w:val="24"/>
                <w:szCs w:val="24"/>
                <w:color w:val="auto"/>
              </w:rPr>
            </w:pPr>
          </w:p>
        </w:tc>
      </w:tr>
      <w:tr>
        <w:trPr>
          <w:trHeight w:val="303"/>
        </w:trPr>
        <w:tc>
          <w:tcPr>
            <w:tcW w:w="20" w:type="dxa"/>
            <w:vAlign w:val="bottom"/>
            <w:tcBorders>
              <w:bottom w:val="single" w:sz="8" w:color="EBE6F0"/>
            </w:tcBorders>
            <w:shd w:val="clear" w:color="auto" w:fill="EBE6F0"/>
          </w:tcPr>
          <w:p>
            <w:pPr>
              <w:spacing w:after="0"/>
              <w:rPr>
                <w:sz w:val="24"/>
                <w:szCs w:val="24"/>
                <w:color w:val="auto"/>
              </w:rPr>
            </w:pPr>
          </w:p>
        </w:tc>
        <w:tc>
          <w:tcPr>
            <w:tcW w:w="4360" w:type="dxa"/>
            <w:vAlign w:val="bottom"/>
            <w:tcBorders>
              <w:bottom w:val="single" w:sz="8" w:color="582C83"/>
            </w:tcBorders>
            <w:shd w:val="clear" w:color="auto" w:fill="EBE6F0"/>
          </w:tcPr>
          <w:p>
            <w:pPr>
              <w:ind w:left="40"/>
              <w:spacing w:after="0"/>
              <w:rPr>
                <w:sz w:val="20"/>
                <w:szCs w:val="20"/>
                <w:color w:val="auto"/>
              </w:rPr>
            </w:pPr>
            <w:r>
              <w:rPr>
                <w:rFonts w:ascii="Arial" w:cs="Arial" w:eastAsia="Arial" w:hAnsi="Arial"/>
                <w:sz w:val="15"/>
                <w:szCs w:val="15"/>
                <w:color w:val="auto"/>
              </w:rPr>
              <w:t>Payments related to expatriate assignment</w:t>
            </w:r>
            <w:r>
              <w:rPr>
                <w:rFonts w:ascii="Arial" w:cs="Arial" w:eastAsia="Arial" w:hAnsi="Arial"/>
                <w:sz w:val="24"/>
                <w:szCs w:val="24"/>
                <w:color w:val="auto"/>
                <w:vertAlign w:val="superscript"/>
              </w:rPr>
              <w:t>(e)</w:t>
            </w:r>
          </w:p>
        </w:tc>
        <w:tc>
          <w:tcPr>
            <w:tcW w:w="130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BE6F0"/>
            </w:tcBorders>
            <w:shd w:val="clear" w:color="auto" w:fill="EBE6F0"/>
          </w:tcPr>
          <w:p>
            <w:pPr>
              <w:spacing w:after="0"/>
              <w:rPr>
                <w:sz w:val="24"/>
                <w:szCs w:val="24"/>
                <w:color w:val="auto"/>
              </w:rPr>
            </w:pPr>
          </w:p>
        </w:tc>
        <w:tc>
          <w:tcPr>
            <w:tcW w:w="1300" w:type="dxa"/>
            <w:vAlign w:val="bottom"/>
            <w:tcBorders>
              <w:bottom w:val="single" w:sz="8" w:color="582C83"/>
            </w:tcBorders>
            <w:shd w:val="clear" w:color="auto" w:fill="EBE6F0"/>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582C83"/>
            </w:tcBorders>
            <w:shd w:val="clear" w:color="auto" w:fill="EBE6F0"/>
          </w:tcPr>
          <w:p>
            <w:pPr>
              <w:jc w:val="right"/>
              <w:ind w:right="6"/>
              <w:spacing w:after="0"/>
              <w:rPr>
                <w:sz w:val="20"/>
                <w:szCs w:val="20"/>
                <w:color w:val="auto"/>
              </w:rPr>
            </w:pPr>
            <w:r>
              <w:rPr>
                <w:rFonts w:ascii="Arial" w:cs="Arial" w:eastAsia="Arial" w:hAnsi="Arial"/>
                <w:sz w:val="15"/>
                <w:szCs w:val="15"/>
                <w:color w:val="auto"/>
              </w:rPr>
              <w:t>384,757</w:t>
            </w:r>
          </w:p>
        </w:tc>
        <w:tc>
          <w:tcPr>
            <w:tcW w:w="1300" w:type="dxa"/>
            <w:vAlign w:val="bottom"/>
            <w:tcBorders>
              <w:bottom w:val="single" w:sz="8" w:color="582C83"/>
            </w:tcBorders>
            <w:shd w:val="clear" w:color="auto" w:fill="EBE6F0"/>
          </w:tcPr>
          <w:p>
            <w:pPr>
              <w:jc w:val="right"/>
              <w:ind w:right="6"/>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BE6F0"/>
            </w:tcBorders>
            <w:shd w:val="clear" w:color="auto" w:fill="EBE6F0"/>
          </w:tcPr>
          <w:p>
            <w:pPr>
              <w:spacing w:after="0"/>
              <w:rPr>
                <w:sz w:val="24"/>
                <w:szCs w:val="24"/>
                <w:color w:val="auto"/>
              </w:rPr>
            </w:pPr>
          </w:p>
        </w:tc>
        <w:tc>
          <w:tcPr>
            <w:tcW w:w="1280" w:type="dxa"/>
            <w:vAlign w:val="bottom"/>
            <w:tcBorders>
              <w:bottom w:val="single" w:sz="8" w:color="582C83"/>
            </w:tcBorders>
            <w:shd w:val="clear" w:color="auto" w:fill="EBE6F0"/>
          </w:tcPr>
          <w:p>
            <w:pPr>
              <w:jc w:val="right"/>
              <w:ind w:right="6"/>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BE6F0"/>
            </w:tcBorders>
            <w:shd w:val="clear" w:color="auto" w:fill="EBE6F0"/>
          </w:tcPr>
          <w:p>
            <w:pPr>
              <w:spacing w:after="0"/>
              <w:rPr>
                <w:sz w:val="24"/>
                <w:szCs w:val="24"/>
                <w:color w:val="auto"/>
              </w:rPr>
            </w:pPr>
          </w:p>
        </w:tc>
      </w:tr>
      <w:tr>
        <w:trPr>
          <w:trHeight w:val="303"/>
        </w:trPr>
        <w:tc>
          <w:tcPr>
            <w:tcW w:w="20" w:type="dxa"/>
            <w:vAlign w:val="bottom"/>
            <w:tcBorders>
              <w:bottom w:val="single" w:sz="8" w:color="582C83"/>
            </w:tcBorders>
          </w:tcPr>
          <w:p>
            <w:pPr>
              <w:spacing w:after="0"/>
              <w:rPr>
                <w:sz w:val="24"/>
                <w:szCs w:val="24"/>
                <w:color w:val="auto"/>
              </w:rPr>
            </w:pPr>
          </w:p>
        </w:tc>
        <w:tc>
          <w:tcPr>
            <w:tcW w:w="4360" w:type="dxa"/>
            <w:vAlign w:val="bottom"/>
            <w:tcBorders>
              <w:bottom w:val="single" w:sz="8" w:color="582C83"/>
            </w:tcBorders>
          </w:tcPr>
          <w:p>
            <w:pPr>
              <w:ind w:left="40"/>
              <w:spacing w:after="0"/>
              <w:rPr>
                <w:sz w:val="20"/>
                <w:szCs w:val="20"/>
                <w:color w:val="auto"/>
              </w:rPr>
            </w:pPr>
            <w:r>
              <w:rPr>
                <w:rFonts w:ascii="Arial" w:cs="Arial" w:eastAsia="Arial" w:hAnsi="Arial"/>
                <w:sz w:val="15"/>
                <w:szCs w:val="15"/>
                <w:color w:val="auto"/>
              </w:rPr>
              <w:t>Tax preparation expenses</w:t>
            </w:r>
            <w:r>
              <w:rPr>
                <w:rFonts w:ascii="Arial" w:cs="Arial" w:eastAsia="Arial" w:hAnsi="Arial"/>
                <w:sz w:val="24"/>
                <w:szCs w:val="24"/>
                <w:color w:val="auto"/>
                <w:vertAlign w:val="superscript"/>
              </w:rPr>
              <w:t>(f)</w:t>
            </w:r>
          </w:p>
        </w:tc>
        <w:tc>
          <w:tcPr>
            <w:tcW w:w="1300" w:type="dxa"/>
            <w:vAlign w:val="bottom"/>
            <w:tcBorders>
              <w:bottom w:val="single" w:sz="8" w:color="582C83"/>
            </w:tcBorders>
          </w:tcPr>
          <w:p>
            <w:pPr>
              <w:jc w:val="right"/>
              <w:spacing w:after="0"/>
              <w:rPr>
                <w:sz w:val="20"/>
                <w:szCs w:val="20"/>
                <w:color w:val="auto"/>
              </w:rPr>
            </w:pPr>
            <w:r>
              <w:rPr>
                <w:rFonts w:ascii="Arial" w:cs="Arial" w:eastAsia="Arial" w:hAnsi="Arial"/>
                <w:sz w:val="15"/>
                <w:szCs w:val="15"/>
                <w:color w:val="auto"/>
              </w:rPr>
              <w:t>1,927</w:t>
            </w:r>
          </w:p>
        </w:tc>
        <w:tc>
          <w:tcPr>
            <w:tcW w:w="1320" w:type="dxa"/>
            <w:vAlign w:val="bottom"/>
            <w:tcBorders>
              <w:bottom w:val="single" w:sz="8" w:color="582C83"/>
            </w:tcBorders>
            <w:gridSpan w:val="2"/>
          </w:tcPr>
          <w:p>
            <w:pPr>
              <w:jc w:val="right"/>
              <w:ind w:right="6"/>
              <w:spacing w:after="0"/>
              <w:rPr>
                <w:sz w:val="20"/>
                <w:szCs w:val="20"/>
                <w:color w:val="auto"/>
              </w:rPr>
            </w:pPr>
            <w:r>
              <w:rPr>
                <w:rFonts w:ascii="Arial" w:cs="Arial" w:eastAsia="Arial" w:hAnsi="Arial"/>
                <w:sz w:val="15"/>
                <w:szCs w:val="15"/>
                <w:color w:val="auto"/>
              </w:rPr>
              <w:t>2,055</w:t>
            </w:r>
          </w:p>
        </w:tc>
        <w:tc>
          <w:tcPr>
            <w:tcW w:w="130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582C83"/>
            </w:tcBorders>
          </w:tcPr>
          <w:p>
            <w:pPr>
              <w:spacing w:after="0"/>
              <w:rPr>
                <w:sz w:val="24"/>
                <w:szCs w:val="24"/>
                <w:color w:val="auto"/>
              </w:rPr>
            </w:pPr>
          </w:p>
        </w:tc>
        <w:tc>
          <w:tcPr>
            <w:tcW w:w="128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r>
      <w:tr>
        <w:trPr>
          <w:trHeight w:val="233"/>
        </w:trPr>
        <w:tc>
          <w:tcPr>
            <w:tcW w:w="20" w:type="dxa"/>
            <w:vAlign w:val="bottom"/>
          </w:tcPr>
          <w:p>
            <w:pPr>
              <w:spacing w:after="0"/>
              <w:rPr>
                <w:sz w:val="20"/>
                <w:szCs w:val="20"/>
                <w:color w:val="auto"/>
              </w:rPr>
            </w:pPr>
          </w:p>
        </w:tc>
        <w:tc>
          <w:tcPr>
            <w:tcW w:w="4360" w:type="dxa"/>
            <w:vAlign w:val="bottom"/>
          </w:tcPr>
          <w:p>
            <w:pPr>
              <w:ind w:left="40"/>
              <w:spacing w:after="0"/>
              <w:rPr>
                <w:sz w:val="20"/>
                <w:szCs w:val="20"/>
                <w:color w:val="auto"/>
              </w:rPr>
            </w:pPr>
            <w:r>
              <w:rPr>
                <w:rFonts w:ascii="Arial" w:cs="Arial" w:eastAsia="Arial" w:hAnsi="Arial"/>
                <w:sz w:val="15"/>
                <w:szCs w:val="15"/>
                <w:b w:val="1"/>
                <w:bCs w:val="1"/>
                <w:color w:val="auto"/>
              </w:rPr>
              <w:t>Total All Other Compensation</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719,609</w:t>
            </w:r>
          </w:p>
        </w:tc>
        <w:tc>
          <w:tcPr>
            <w:tcW w:w="1320" w:type="dxa"/>
            <w:vAlign w:val="bottom"/>
            <w:gridSpan w:val="2"/>
          </w:tcPr>
          <w:p>
            <w:pPr>
              <w:jc w:val="right"/>
              <w:ind w:right="6"/>
              <w:spacing w:after="0"/>
              <w:rPr>
                <w:sz w:val="20"/>
                <w:szCs w:val="20"/>
                <w:color w:val="auto"/>
              </w:rPr>
            </w:pPr>
            <w:r>
              <w:rPr>
                <w:rFonts w:ascii="Arial" w:cs="Arial" w:eastAsia="Arial" w:hAnsi="Arial"/>
                <w:sz w:val="15"/>
                <w:szCs w:val="15"/>
                <w:b w:val="1"/>
                <w:bCs w:val="1"/>
                <w:color w:val="auto"/>
              </w:rPr>
              <w:t>178,200</w:t>
            </w:r>
          </w:p>
        </w:tc>
        <w:tc>
          <w:tcPr>
            <w:tcW w:w="1300" w:type="dxa"/>
            <w:vAlign w:val="bottom"/>
          </w:tcPr>
          <w:p>
            <w:pPr>
              <w:jc w:val="right"/>
              <w:ind w:right="6"/>
              <w:spacing w:after="0"/>
              <w:rPr>
                <w:sz w:val="20"/>
                <w:szCs w:val="20"/>
                <w:color w:val="auto"/>
              </w:rPr>
            </w:pPr>
            <w:r>
              <w:rPr>
                <w:rFonts w:ascii="Arial" w:cs="Arial" w:eastAsia="Arial" w:hAnsi="Arial"/>
                <w:sz w:val="15"/>
                <w:szCs w:val="15"/>
                <w:b w:val="1"/>
                <w:bCs w:val="1"/>
                <w:color w:val="auto"/>
              </w:rPr>
              <w:t>575,741</w:t>
            </w:r>
          </w:p>
        </w:tc>
        <w:tc>
          <w:tcPr>
            <w:tcW w:w="1300" w:type="dxa"/>
            <w:vAlign w:val="bottom"/>
          </w:tcPr>
          <w:p>
            <w:pPr>
              <w:jc w:val="right"/>
              <w:ind w:right="6"/>
              <w:spacing w:after="0"/>
              <w:rPr>
                <w:sz w:val="20"/>
                <w:szCs w:val="20"/>
                <w:color w:val="auto"/>
              </w:rPr>
            </w:pPr>
            <w:r>
              <w:rPr>
                <w:rFonts w:ascii="Arial" w:cs="Arial" w:eastAsia="Arial" w:hAnsi="Arial"/>
                <w:sz w:val="15"/>
                <w:szCs w:val="15"/>
                <w:b w:val="1"/>
                <w:bCs w:val="1"/>
                <w:color w:val="auto"/>
              </w:rPr>
              <w:t>17,406</w:t>
            </w:r>
          </w:p>
        </w:tc>
        <w:tc>
          <w:tcPr>
            <w:tcW w:w="1300" w:type="dxa"/>
            <w:vAlign w:val="bottom"/>
            <w:gridSpan w:val="2"/>
          </w:tcPr>
          <w:p>
            <w:pPr>
              <w:jc w:val="right"/>
              <w:ind w:right="6"/>
              <w:spacing w:after="0"/>
              <w:rPr>
                <w:sz w:val="20"/>
                <w:szCs w:val="20"/>
                <w:color w:val="auto"/>
              </w:rPr>
            </w:pPr>
            <w:r>
              <w:rPr>
                <w:rFonts w:ascii="Arial" w:cs="Arial" w:eastAsia="Arial" w:hAnsi="Arial"/>
                <w:sz w:val="15"/>
                <w:szCs w:val="15"/>
                <w:b w:val="1"/>
                <w:bCs w:val="1"/>
                <w:color w:val="auto"/>
              </w:rPr>
              <w:t>164,272</w:t>
            </w:r>
          </w:p>
        </w:tc>
        <w:tc>
          <w:tcPr>
            <w:tcW w:w="20" w:type="dxa"/>
            <w:vAlign w:val="bottom"/>
          </w:tcPr>
          <w:p>
            <w:pPr>
              <w:spacing w:after="0"/>
              <w:rPr>
                <w:sz w:val="20"/>
                <w:szCs w:val="20"/>
                <w:color w:val="auto"/>
              </w:rPr>
            </w:pPr>
          </w:p>
        </w:tc>
      </w:tr>
      <w:tr>
        <w:trPr>
          <w:trHeight w:val="33"/>
        </w:trPr>
        <w:tc>
          <w:tcPr>
            <w:tcW w:w="20" w:type="dxa"/>
            <w:vAlign w:val="bottom"/>
            <w:tcBorders>
              <w:bottom w:val="single" w:sz="8" w:color="582C83"/>
            </w:tcBorders>
          </w:tcPr>
          <w:p>
            <w:pPr>
              <w:spacing w:after="0"/>
              <w:rPr>
                <w:sz w:val="2"/>
                <w:szCs w:val="2"/>
                <w:color w:val="auto"/>
              </w:rPr>
            </w:pPr>
          </w:p>
        </w:tc>
        <w:tc>
          <w:tcPr>
            <w:tcW w:w="4360" w:type="dxa"/>
            <w:vAlign w:val="bottom"/>
            <w:tcBorders>
              <w:bottom w:val="single" w:sz="8" w:color="582C83"/>
            </w:tcBorders>
          </w:tcPr>
          <w:p>
            <w:pPr>
              <w:spacing w:after="0"/>
              <w:rPr>
                <w:sz w:val="2"/>
                <w:szCs w:val="2"/>
                <w:color w:val="auto"/>
              </w:rPr>
            </w:pPr>
          </w:p>
        </w:tc>
        <w:tc>
          <w:tcPr>
            <w:tcW w:w="1300" w:type="dxa"/>
            <w:vAlign w:val="bottom"/>
            <w:tcBorders>
              <w:bottom w:val="single" w:sz="8" w:color="582C83"/>
            </w:tcBorders>
          </w:tcPr>
          <w:p>
            <w:pPr>
              <w:spacing w:after="0"/>
              <w:rPr>
                <w:sz w:val="2"/>
                <w:szCs w:val="2"/>
                <w:color w:val="auto"/>
              </w:rPr>
            </w:pPr>
          </w:p>
        </w:tc>
        <w:tc>
          <w:tcPr>
            <w:tcW w:w="20" w:type="dxa"/>
            <w:vAlign w:val="bottom"/>
            <w:tcBorders>
              <w:bottom w:val="single" w:sz="8" w:color="582C83"/>
            </w:tcBorders>
          </w:tcPr>
          <w:p>
            <w:pPr>
              <w:spacing w:after="0"/>
              <w:rPr>
                <w:sz w:val="2"/>
                <w:szCs w:val="2"/>
                <w:color w:val="auto"/>
              </w:rPr>
            </w:pPr>
          </w:p>
        </w:tc>
        <w:tc>
          <w:tcPr>
            <w:tcW w:w="1300" w:type="dxa"/>
            <w:vAlign w:val="bottom"/>
            <w:tcBorders>
              <w:bottom w:val="single" w:sz="8" w:color="582C83"/>
            </w:tcBorders>
          </w:tcPr>
          <w:p>
            <w:pPr>
              <w:spacing w:after="0"/>
              <w:rPr>
                <w:sz w:val="2"/>
                <w:szCs w:val="2"/>
                <w:color w:val="auto"/>
              </w:rPr>
            </w:pPr>
          </w:p>
        </w:tc>
        <w:tc>
          <w:tcPr>
            <w:tcW w:w="1300" w:type="dxa"/>
            <w:vAlign w:val="bottom"/>
            <w:tcBorders>
              <w:bottom w:val="single" w:sz="8" w:color="582C83"/>
            </w:tcBorders>
          </w:tcPr>
          <w:p>
            <w:pPr>
              <w:spacing w:after="0"/>
              <w:rPr>
                <w:sz w:val="2"/>
                <w:szCs w:val="2"/>
                <w:color w:val="auto"/>
              </w:rPr>
            </w:pPr>
          </w:p>
        </w:tc>
        <w:tc>
          <w:tcPr>
            <w:tcW w:w="1300" w:type="dxa"/>
            <w:vAlign w:val="bottom"/>
            <w:tcBorders>
              <w:bottom w:val="single" w:sz="8" w:color="582C83"/>
            </w:tcBorders>
          </w:tcPr>
          <w:p>
            <w:pPr>
              <w:spacing w:after="0"/>
              <w:rPr>
                <w:sz w:val="2"/>
                <w:szCs w:val="2"/>
                <w:color w:val="auto"/>
              </w:rPr>
            </w:pPr>
          </w:p>
        </w:tc>
        <w:tc>
          <w:tcPr>
            <w:tcW w:w="20" w:type="dxa"/>
            <w:vAlign w:val="bottom"/>
            <w:tcBorders>
              <w:bottom w:val="single" w:sz="8" w:color="582C83"/>
            </w:tcBorders>
          </w:tcPr>
          <w:p>
            <w:pPr>
              <w:spacing w:after="0"/>
              <w:rPr>
                <w:sz w:val="2"/>
                <w:szCs w:val="2"/>
                <w:color w:val="auto"/>
              </w:rPr>
            </w:pPr>
          </w:p>
        </w:tc>
        <w:tc>
          <w:tcPr>
            <w:tcW w:w="1280" w:type="dxa"/>
            <w:vAlign w:val="bottom"/>
            <w:tcBorders>
              <w:bottom w:val="single" w:sz="8" w:color="582C8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87" w:lineRule="exact"/>
        <w:rPr>
          <w:sz w:val="20"/>
          <w:szCs w:val="20"/>
          <w:color w:val="auto"/>
        </w:rPr>
      </w:pPr>
    </w:p>
    <w:p>
      <w:pPr>
        <w:ind w:left="381" w:right="460" w:hanging="319"/>
        <w:spacing w:after="0" w:line="277" w:lineRule="auto"/>
        <w:tabs>
          <w:tab w:leader="none" w:pos="381"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Consistent with the findings of an independent, third-party security study, for security and personal safety, we require Mr. Van de Put to use a private (non-commercial) Company-leased aircraft for all travel. The incremental cost of personal use of the Company-leased aircraft, as reflected in the table, is the actual invoice to the Company. Mr. Van de Put is responsible for taxes in connection with his personal aircraft use and we do not reimburse him for those taxes.</w:t>
      </w:r>
    </w:p>
    <w:p>
      <w:pPr>
        <w:spacing w:after="0" w:line="1" w:lineRule="exact"/>
        <w:rPr>
          <w:rFonts w:ascii="Arial" w:cs="Arial" w:eastAsia="Arial" w:hAnsi="Arial"/>
          <w:sz w:val="14"/>
          <w:szCs w:val="14"/>
          <w:color w:val="auto"/>
        </w:rPr>
      </w:pPr>
    </w:p>
    <w:p>
      <w:pPr>
        <w:ind w:left="381" w:hanging="319"/>
        <w:spacing w:after="0"/>
        <w:tabs>
          <w:tab w:leader="none" w:pos="381" w:val="left"/>
        </w:tabs>
        <w:numPr>
          <w:ilvl w:val="0"/>
          <w:numId w:val="84"/>
        </w:numPr>
        <w:rPr>
          <w:rFonts w:ascii="Arial" w:cs="Arial" w:eastAsia="Arial" w:hAnsi="Arial"/>
          <w:sz w:val="15"/>
          <w:szCs w:val="15"/>
          <w:color w:val="auto"/>
        </w:rPr>
      </w:pPr>
      <w:r>
        <w:rPr>
          <w:rFonts w:ascii="Arial" w:cs="Arial" w:eastAsia="Arial" w:hAnsi="Arial"/>
          <w:sz w:val="15"/>
          <w:szCs w:val="15"/>
          <w:color w:val="auto"/>
        </w:rPr>
        <w:t>All U.S. executive officers are eligible for an annual financial counseling allowance up to $7,500 and, in the case of Mr. Van de Put, up to $10,000.</w:t>
      </w:r>
    </w:p>
    <w:p>
      <w:pPr>
        <w:spacing w:after="0" w:line="38" w:lineRule="exact"/>
        <w:rPr>
          <w:rFonts w:ascii="Arial" w:cs="Arial" w:eastAsia="Arial" w:hAnsi="Arial"/>
          <w:sz w:val="15"/>
          <w:szCs w:val="15"/>
          <w:color w:val="auto"/>
        </w:rPr>
      </w:pPr>
    </w:p>
    <w:p>
      <w:pPr>
        <w:ind w:left="381" w:right="100" w:hanging="319"/>
        <w:spacing w:after="0" w:line="247" w:lineRule="auto"/>
        <w:tabs>
          <w:tab w:leader="none" w:pos="381" w:val="left"/>
        </w:tabs>
        <w:numPr>
          <w:ilvl w:val="0"/>
          <w:numId w:val="84"/>
        </w:numPr>
        <w:rPr>
          <w:rFonts w:ascii="Arial" w:cs="Arial" w:eastAsia="Arial" w:hAnsi="Arial"/>
          <w:sz w:val="15"/>
          <w:szCs w:val="15"/>
          <w:color w:val="auto"/>
        </w:rPr>
      </w:pPr>
      <w:r>
        <w:rPr>
          <w:rFonts w:ascii="Arial" w:cs="Arial" w:eastAsia="Arial" w:hAnsi="Arial"/>
          <w:sz w:val="15"/>
          <w:szCs w:val="15"/>
          <w:color w:val="auto"/>
        </w:rPr>
        <w:t>All eligible U.S. employees, including our NEOs, receive matching Company contributions for contributions made to the Thrift Plan and the Supplemental Plan, if applicable. Similarly, all eligible U.S. employees hired or localized to the United States after 2008 who are not otherwise eligible to participate in the Mondelēz Global LLC Retirement Plan, including Mr. Van de Put, Mr. Zaramella and Mr. Valle, receive an additional non-elective Company contribution to the Thrift Plan and the Supplemental Plan, if applicable, equal to 4.5% of eligible compensation. The amount for Mr. Brusadelli is related to the Company-sponsored II Mio Domani plan in Italy. All eligible Italian employees at the senior manager level and above, including Mr. Brusadelli, receive matching Company contributions for contributions made to the II Mio Domani Plan. The percentage of the Company contribution made to the plan is based on the member’s base pay plus AIP. Mr. Gruber does not participate in a defined contribution plan.</w:t>
      </w:r>
    </w:p>
    <w:p>
      <w:pPr>
        <w:spacing w:after="0" w:line="11" w:lineRule="exact"/>
        <w:rPr>
          <w:rFonts w:ascii="Arial" w:cs="Arial" w:eastAsia="Arial" w:hAnsi="Arial"/>
          <w:sz w:val="15"/>
          <w:szCs w:val="15"/>
          <w:color w:val="auto"/>
        </w:rPr>
      </w:pPr>
    </w:p>
    <w:p>
      <w:pPr>
        <w:ind w:left="381" w:right="260" w:hanging="319"/>
        <w:spacing w:after="0" w:line="286" w:lineRule="auto"/>
        <w:tabs>
          <w:tab w:leader="none" w:pos="381" w:val="left"/>
        </w:tabs>
        <w:numPr>
          <w:ilvl w:val="0"/>
          <w:numId w:val="84"/>
        </w:numPr>
        <w:rPr>
          <w:rFonts w:ascii="Arial" w:cs="Arial" w:eastAsia="Arial" w:hAnsi="Arial"/>
          <w:sz w:val="14"/>
          <w:szCs w:val="14"/>
          <w:color w:val="auto"/>
        </w:rPr>
      </w:pPr>
      <w:r>
        <w:rPr>
          <w:rFonts w:ascii="Arial" w:cs="Arial" w:eastAsia="Arial" w:hAnsi="Arial"/>
          <w:sz w:val="14"/>
          <w:szCs w:val="14"/>
          <w:color w:val="auto"/>
        </w:rPr>
        <w:t>Tax expenses for Mr. Van de Put, Mr. Zaramella and Mr. Valle related to travel to Canada, paid in accordance with our tax equalization (“TEQ”) policy. Tax equalization payments are made pursuant to our TEQ policy and are designed to ensure there is no undue tax burden or benefit when traveling for the Company.</w:t>
      </w:r>
    </w:p>
    <w:p>
      <w:pPr>
        <w:spacing w:after="0" w:line="1" w:lineRule="exact"/>
        <w:rPr>
          <w:rFonts w:ascii="Arial" w:cs="Arial" w:eastAsia="Arial" w:hAnsi="Arial"/>
          <w:sz w:val="14"/>
          <w:szCs w:val="14"/>
          <w:color w:val="auto"/>
        </w:rPr>
      </w:pPr>
    </w:p>
    <w:p>
      <w:pPr>
        <w:ind w:left="381" w:right="100" w:hanging="319"/>
        <w:spacing w:after="0" w:line="250" w:lineRule="auto"/>
        <w:tabs>
          <w:tab w:leader="none" w:pos="381" w:val="left"/>
        </w:tabs>
        <w:numPr>
          <w:ilvl w:val="0"/>
          <w:numId w:val="84"/>
        </w:numPr>
        <w:rPr>
          <w:rFonts w:ascii="Arial" w:cs="Arial" w:eastAsia="Arial" w:hAnsi="Arial"/>
          <w:sz w:val="15"/>
          <w:szCs w:val="15"/>
          <w:color w:val="auto"/>
        </w:rPr>
      </w:pPr>
      <w:r>
        <w:rPr>
          <w:rFonts w:ascii="Arial" w:cs="Arial" w:eastAsia="Arial" w:hAnsi="Arial"/>
          <w:sz w:val="15"/>
          <w:szCs w:val="15"/>
          <w:color w:val="auto"/>
        </w:rPr>
        <w:t>Mr. Brusadelli, currently an Italian expatriate on international assignment in Singapore received payments in conjunction with his assignment. These payments are similar to the types of payments generally made to other employees on international assignment with the Company. Payments are designed to mitigate the inconvenience of an international assignment by covering expenses in excess of what the expatriate would have incurred if he or she had remained in his or her home country. These payments include housing allowance of $207,957, cost of living adjustments, travel expenses and other assignment related expenses such as dependent education of $60,580. Expenses incurred in Singapore dollars for Mr. Brusadelli are converted to U.S. dollars using the Applicable Exchange Rate.</w:t>
      </w:r>
    </w:p>
    <w:p>
      <w:pPr>
        <w:spacing w:after="0" w:line="8" w:lineRule="exact"/>
        <w:rPr>
          <w:rFonts w:ascii="Arial" w:cs="Arial" w:eastAsia="Arial" w:hAnsi="Arial"/>
          <w:sz w:val="15"/>
          <w:szCs w:val="15"/>
          <w:color w:val="auto"/>
        </w:rPr>
      </w:pPr>
    </w:p>
    <w:p>
      <w:pPr>
        <w:ind w:left="381" w:hanging="319"/>
        <w:spacing w:after="0"/>
        <w:tabs>
          <w:tab w:leader="none" w:pos="381" w:val="left"/>
        </w:tabs>
        <w:numPr>
          <w:ilvl w:val="0"/>
          <w:numId w:val="84"/>
        </w:numPr>
        <w:rPr>
          <w:rFonts w:ascii="Arial" w:cs="Arial" w:eastAsia="Arial" w:hAnsi="Arial"/>
          <w:sz w:val="15"/>
          <w:szCs w:val="15"/>
          <w:color w:val="auto"/>
        </w:rPr>
      </w:pPr>
      <w:r>
        <w:rPr>
          <w:rFonts w:ascii="Arial" w:cs="Arial" w:eastAsia="Arial" w:hAnsi="Arial"/>
          <w:sz w:val="15"/>
          <w:szCs w:val="15"/>
          <w:color w:val="auto"/>
        </w:rPr>
        <w:t>Mr. Van de Put and Mr. Zaramella also received tax preparation services from the Company-selected tax services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43115"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2022 Grants of Plan-Based Awards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78"/>
              <w:spacing w:after="0"/>
              <w:rPr>
                <w:sz w:val="20"/>
                <w:szCs w:val="20"/>
                <w:color w:val="auto"/>
              </w:rPr>
            </w:pPr>
            <w:r>
              <w:rPr>
                <w:rFonts w:ascii="Arial" w:cs="Arial" w:eastAsia="Arial" w:hAnsi="Arial"/>
                <w:sz w:val="12"/>
                <w:szCs w:val="12"/>
                <w:b w:val="1"/>
                <w:bCs w:val="1"/>
                <w:color w:val="auto"/>
              </w:rPr>
              <w:t>All Other</w:t>
            </w:r>
          </w:p>
        </w:tc>
        <w:tc>
          <w:tcPr>
            <w:tcW w:w="940" w:type="dxa"/>
            <w:vAlign w:val="bottom"/>
          </w:tcPr>
          <w:p>
            <w:pPr>
              <w:jc w:val="right"/>
              <w:ind w:right="138"/>
              <w:spacing w:after="0"/>
              <w:rPr>
                <w:sz w:val="20"/>
                <w:szCs w:val="20"/>
                <w:color w:val="auto"/>
              </w:rPr>
            </w:pPr>
            <w:r>
              <w:rPr>
                <w:rFonts w:ascii="Arial" w:cs="Arial" w:eastAsia="Arial" w:hAnsi="Arial"/>
                <w:sz w:val="12"/>
                <w:szCs w:val="12"/>
                <w:b w:val="1"/>
                <w:bCs w:val="1"/>
                <w:color w:val="auto"/>
              </w:rPr>
              <w:t>All Other</w:t>
            </w:r>
          </w:p>
        </w:tc>
        <w:tc>
          <w:tcPr>
            <w:tcW w:w="840" w:type="dxa"/>
            <w:vAlign w:val="bottom"/>
          </w:tcPr>
          <w:p>
            <w:pPr>
              <w:spacing w:after="0"/>
              <w:rPr>
                <w:sz w:val="12"/>
                <w:szCs w:val="12"/>
                <w:color w:val="auto"/>
              </w:rPr>
            </w:pPr>
          </w:p>
        </w:tc>
        <w:tc>
          <w:tcPr>
            <w:tcW w:w="78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auto"/>
              </w:rPr>
              <w:t>Grant</w:t>
            </w:r>
          </w:p>
        </w:tc>
        <w:tc>
          <w:tcPr>
            <w:tcW w:w="0" w:type="dxa"/>
            <w:vAlign w:val="bottom"/>
          </w:tcPr>
          <w:p>
            <w:pPr>
              <w:spacing w:after="0"/>
              <w:rPr>
                <w:sz w:val="1"/>
                <w:szCs w:val="1"/>
                <w:color w:val="auto"/>
              </w:rPr>
            </w:pPr>
          </w:p>
        </w:tc>
      </w:tr>
      <w:tr>
        <w:trPr>
          <w:trHeight w:val="124"/>
        </w:trPr>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80" w:type="dxa"/>
            <w:vAlign w:val="bottom"/>
            <w:gridSpan w:val="4"/>
            <w:vMerge w:val="restart"/>
          </w:tcPr>
          <w:p>
            <w:pPr>
              <w:jc w:val="center"/>
              <w:ind w:right="200"/>
              <w:spacing w:after="0"/>
              <w:rPr>
                <w:sz w:val="20"/>
                <w:szCs w:val="20"/>
                <w:color w:val="auto"/>
              </w:rPr>
            </w:pPr>
            <w:r>
              <w:rPr>
                <w:rFonts w:ascii="Arial" w:cs="Arial" w:eastAsia="Arial" w:hAnsi="Arial"/>
                <w:sz w:val="12"/>
                <w:szCs w:val="12"/>
                <w:b w:val="1"/>
                <w:bCs w:val="1"/>
                <w:color w:val="auto"/>
              </w:rPr>
              <w:t>Estimated Future Payouts Under</w:t>
            </w:r>
          </w:p>
        </w:tc>
        <w:tc>
          <w:tcPr>
            <w:tcW w:w="880" w:type="dxa"/>
            <w:vAlign w:val="bottom"/>
          </w:tcPr>
          <w:p>
            <w:pPr>
              <w:jc w:val="right"/>
              <w:ind w:right="78"/>
              <w:spacing w:after="0" w:line="125" w:lineRule="exact"/>
              <w:rPr>
                <w:sz w:val="20"/>
                <w:szCs w:val="20"/>
                <w:color w:val="auto"/>
              </w:rPr>
            </w:pPr>
            <w:r>
              <w:rPr>
                <w:rFonts w:ascii="Arial" w:cs="Arial" w:eastAsia="Arial" w:hAnsi="Arial"/>
                <w:sz w:val="12"/>
                <w:szCs w:val="12"/>
                <w:b w:val="1"/>
                <w:bCs w:val="1"/>
                <w:color w:val="auto"/>
              </w:rPr>
              <w:t>Stock</w:t>
            </w:r>
          </w:p>
        </w:tc>
        <w:tc>
          <w:tcPr>
            <w:tcW w:w="940" w:type="dxa"/>
            <w:vAlign w:val="bottom"/>
          </w:tcPr>
          <w:p>
            <w:pPr>
              <w:jc w:val="right"/>
              <w:ind w:right="138"/>
              <w:spacing w:after="0" w:line="125" w:lineRule="exact"/>
              <w:rPr>
                <w:sz w:val="20"/>
                <w:szCs w:val="20"/>
                <w:color w:val="auto"/>
              </w:rPr>
            </w:pPr>
            <w:r>
              <w:rPr>
                <w:rFonts w:ascii="Arial" w:cs="Arial" w:eastAsia="Arial" w:hAnsi="Arial"/>
                <w:sz w:val="12"/>
                <w:szCs w:val="12"/>
                <w:b w:val="1"/>
                <w:bCs w:val="1"/>
                <w:color w:val="auto"/>
              </w:rPr>
              <w:t>Option</w:t>
            </w:r>
          </w:p>
        </w:tc>
        <w:tc>
          <w:tcPr>
            <w:tcW w:w="8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80" w:type="dxa"/>
            <w:vAlign w:val="bottom"/>
            <w:gridSpan w:val="4"/>
            <w:vMerge w:val="continue"/>
          </w:tcPr>
          <w:p>
            <w:pPr>
              <w:spacing w:after="0"/>
              <w:rPr>
                <w:sz w:val="11"/>
                <w:szCs w:val="11"/>
                <w:color w:val="auto"/>
              </w:rPr>
            </w:pPr>
          </w:p>
        </w:tc>
        <w:tc>
          <w:tcPr>
            <w:tcW w:w="8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Awards:</w:t>
            </w:r>
          </w:p>
        </w:tc>
        <w:tc>
          <w:tcPr>
            <w:tcW w:w="940" w:type="dxa"/>
            <w:vAlign w:val="bottom"/>
          </w:tcPr>
          <w:p>
            <w:pPr>
              <w:jc w:val="right"/>
              <w:ind w:right="138"/>
              <w:spacing w:after="0" w:line="137" w:lineRule="exact"/>
              <w:rPr>
                <w:sz w:val="20"/>
                <w:szCs w:val="20"/>
                <w:color w:val="auto"/>
              </w:rPr>
            </w:pPr>
            <w:r>
              <w:rPr>
                <w:rFonts w:ascii="Arial" w:cs="Arial" w:eastAsia="Arial" w:hAnsi="Arial"/>
                <w:sz w:val="12"/>
                <w:szCs w:val="12"/>
                <w:b w:val="1"/>
                <w:bCs w:val="1"/>
                <w:color w:val="auto"/>
              </w:rPr>
              <w:t>Awards:</w:t>
            </w:r>
          </w:p>
        </w:tc>
        <w:tc>
          <w:tcPr>
            <w:tcW w:w="840" w:type="dxa"/>
            <w:vAlign w:val="bottom"/>
          </w:tcPr>
          <w:p>
            <w:pPr>
              <w:spacing w:after="0"/>
              <w:rPr>
                <w:sz w:val="11"/>
                <w:szCs w:val="11"/>
                <w:color w:val="auto"/>
              </w:rPr>
            </w:pPr>
          </w:p>
        </w:tc>
        <w:tc>
          <w:tcPr>
            <w:tcW w:w="780" w:type="dxa"/>
            <w:vAlign w:val="bottom"/>
          </w:tcPr>
          <w:p>
            <w:pPr>
              <w:jc w:val="right"/>
              <w:ind w:right="18"/>
              <w:spacing w:after="0" w:line="137" w:lineRule="exact"/>
              <w:rPr>
                <w:sz w:val="20"/>
                <w:szCs w:val="20"/>
                <w:color w:val="auto"/>
              </w:rPr>
            </w:pPr>
            <w:r>
              <w:rPr>
                <w:rFonts w:ascii="Arial" w:cs="Arial" w:eastAsia="Arial" w:hAnsi="Arial"/>
                <w:sz w:val="12"/>
                <w:szCs w:val="12"/>
                <w:b w:val="1"/>
                <w:bCs w:val="1"/>
                <w:color w:val="auto"/>
              </w:rPr>
              <w:t>Date Fair</w:t>
            </w: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gridSpan w:val="3"/>
          </w:tcPr>
          <w:p>
            <w:pPr>
              <w:jc w:val="right"/>
              <w:ind w:right="398"/>
              <w:spacing w:after="0" w:line="137" w:lineRule="exact"/>
              <w:rPr>
                <w:sz w:val="20"/>
                <w:szCs w:val="20"/>
                <w:color w:val="auto"/>
              </w:rPr>
            </w:pPr>
            <w:r>
              <w:rPr>
                <w:rFonts w:ascii="Arial" w:cs="Arial" w:eastAsia="Arial" w:hAnsi="Arial"/>
                <w:sz w:val="12"/>
                <w:szCs w:val="12"/>
                <w:b w:val="1"/>
                <w:bCs w:val="1"/>
                <w:color w:val="auto"/>
              </w:rPr>
              <w:t>Estimated Future Payouts Under</w:t>
            </w:r>
          </w:p>
        </w:tc>
        <w:tc>
          <w:tcPr>
            <w:tcW w:w="1540" w:type="dxa"/>
            <w:vAlign w:val="bottom"/>
            <w:gridSpan w:val="2"/>
          </w:tcPr>
          <w:p>
            <w:pPr>
              <w:jc w:val="center"/>
              <w:ind w:left="439"/>
              <w:spacing w:after="0" w:line="137" w:lineRule="exact"/>
              <w:rPr>
                <w:sz w:val="20"/>
                <w:szCs w:val="20"/>
                <w:color w:val="auto"/>
              </w:rPr>
            </w:pPr>
            <w:r>
              <w:rPr>
                <w:rFonts w:ascii="Arial" w:cs="Arial" w:eastAsia="Arial" w:hAnsi="Arial"/>
                <w:sz w:val="12"/>
                <w:szCs w:val="12"/>
                <w:b w:val="1"/>
                <w:bCs w:val="1"/>
                <w:color w:val="auto"/>
              </w:rPr>
              <w:t>Equity Incentive</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Number of</w:t>
            </w:r>
          </w:p>
        </w:tc>
        <w:tc>
          <w:tcPr>
            <w:tcW w:w="940" w:type="dxa"/>
            <w:vAlign w:val="bottom"/>
          </w:tcPr>
          <w:p>
            <w:pPr>
              <w:jc w:val="right"/>
              <w:ind w:right="138"/>
              <w:spacing w:after="0" w:line="137" w:lineRule="exact"/>
              <w:rPr>
                <w:sz w:val="20"/>
                <w:szCs w:val="20"/>
                <w:color w:val="auto"/>
              </w:rPr>
            </w:pPr>
            <w:r>
              <w:rPr>
                <w:rFonts w:ascii="Arial" w:cs="Arial" w:eastAsia="Arial" w:hAnsi="Arial"/>
                <w:sz w:val="12"/>
                <w:szCs w:val="12"/>
                <w:b w:val="1"/>
                <w:bCs w:val="1"/>
                <w:color w:val="auto"/>
              </w:rPr>
              <w:t>Number of</w:t>
            </w:r>
          </w:p>
        </w:tc>
        <w:tc>
          <w:tcPr>
            <w:tcW w:w="84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Exercise</w:t>
            </w:r>
          </w:p>
        </w:tc>
        <w:tc>
          <w:tcPr>
            <w:tcW w:w="780" w:type="dxa"/>
            <w:vAlign w:val="bottom"/>
          </w:tcPr>
          <w:p>
            <w:pPr>
              <w:jc w:val="right"/>
              <w:ind w:right="18"/>
              <w:spacing w:after="0" w:line="137" w:lineRule="exact"/>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24"/>
        </w:trPr>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Borders>
              <w:bottom w:val="single" w:sz="8" w:color="572C83"/>
            </w:tcBorders>
          </w:tcPr>
          <w:p>
            <w:pPr>
              <w:spacing w:after="0"/>
              <w:rPr>
                <w:sz w:val="10"/>
                <w:szCs w:val="10"/>
                <w:color w:val="auto"/>
              </w:rPr>
            </w:pPr>
          </w:p>
        </w:tc>
        <w:tc>
          <w:tcPr>
            <w:tcW w:w="2600" w:type="dxa"/>
            <w:vAlign w:val="bottom"/>
            <w:tcBorders>
              <w:bottom w:val="single" w:sz="8" w:color="572C83"/>
            </w:tcBorders>
            <w:gridSpan w:val="3"/>
          </w:tcPr>
          <w:p>
            <w:pPr>
              <w:jc w:val="right"/>
              <w:ind w:right="278"/>
              <w:spacing w:after="0" w:line="105" w:lineRule="exact"/>
              <w:rPr>
                <w:sz w:val="20"/>
                <w:szCs w:val="20"/>
                <w:color w:val="auto"/>
              </w:rPr>
            </w:pPr>
            <w:r>
              <w:rPr>
                <w:rFonts w:ascii="Arial" w:cs="Arial" w:eastAsia="Arial" w:hAnsi="Arial"/>
                <w:sz w:val="8"/>
                <w:szCs w:val="8"/>
                <w:b w:val="1"/>
                <w:bCs w:val="1"/>
                <w:color w:val="auto"/>
              </w:rPr>
              <w:t>Non-Equity Incentive Plan Awards</w:t>
            </w:r>
            <w:r>
              <w:rPr>
                <w:rFonts w:ascii="Arial" w:cs="Arial" w:eastAsia="Arial" w:hAnsi="Arial"/>
                <w:sz w:val="12"/>
                <w:szCs w:val="12"/>
                <w:b w:val="1"/>
                <w:bCs w:val="1"/>
                <w:color w:val="auto"/>
                <w:vertAlign w:val="superscript"/>
              </w:rPr>
              <w:t>(1)</w:t>
            </w:r>
          </w:p>
        </w:tc>
        <w:tc>
          <w:tcPr>
            <w:tcW w:w="1540" w:type="dxa"/>
            <w:vAlign w:val="bottom"/>
            <w:tcBorders>
              <w:bottom w:val="single" w:sz="8" w:color="572C83"/>
            </w:tcBorders>
            <w:gridSpan w:val="2"/>
          </w:tcPr>
          <w:p>
            <w:pPr>
              <w:jc w:val="center"/>
              <w:ind w:left="479"/>
              <w:spacing w:after="0" w:line="105" w:lineRule="exact"/>
              <w:rPr>
                <w:sz w:val="20"/>
                <w:szCs w:val="20"/>
                <w:color w:val="auto"/>
              </w:rPr>
            </w:pPr>
            <w:r>
              <w:rPr>
                <w:rFonts w:ascii="Arial" w:cs="Arial" w:eastAsia="Arial" w:hAnsi="Arial"/>
                <w:sz w:val="8"/>
                <w:szCs w:val="8"/>
                <w:b w:val="1"/>
                <w:bCs w:val="1"/>
                <w:color w:val="auto"/>
              </w:rPr>
              <w:t>Plan Awards</w:t>
            </w:r>
            <w:r>
              <w:rPr>
                <w:rFonts w:ascii="Arial" w:cs="Arial" w:eastAsia="Arial" w:hAnsi="Arial"/>
                <w:sz w:val="12"/>
                <w:szCs w:val="12"/>
                <w:b w:val="1"/>
                <w:bCs w:val="1"/>
                <w:color w:val="auto"/>
                <w:vertAlign w:val="superscript"/>
              </w:rPr>
              <w:t>(2)</w:t>
            </w:r>
          </w:p>
        </w:tc>
        <w:tc>
          <w:tcPr>
            <w:tcW w:w="620" w:type="dxa"/>
            <w:vAlign w:val="bottom"/>
            <w:tcBorders>
              <w:bottom w:val="single" w:sz="8" w:color="572C83"/>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78"/>
              <w:spacing w:after="0" w:line="117" w:lineRule="exact"/>
              <w:rPr>
                <w:sz w:val="20"/>
                <w:szCs w:val="20"/>
                <w:color w:val="auto"/>
              </w:rPr>
            </w:pPr>
            <w:r>
              <w:rPr>
                <w:rFonts w:ascii="Arial" w:cs="Arial" w:eastAsia="Arial" w:hAnsi="Arial"/>
                <w:sz w:val="12"/>
                <w:szCs w:val="12"/>
                <w:b w:val="1"/>
                <w:bCs w:val="1"/>
                <w:color w:val="auto"/>
              </w:rPr>
              <w:t>Shares of</w:t>
            </w:r>
          </w:p>
        </w:tc>
        <w:tc>
          <w:tcPr>
            <w:tcW w:w="940" w:type="dxa"/>
            <w:vAlign w:val="bottom"/>
          </w:tcPr>
          <w:p>
            <w:pPr>
              <w:jc w:val="right"/>
              <w:ind w:right="138"/>
              <w:spacing w:after="0" w:line="117"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jc w:val="right"/>
              <w:ind w:right="78"/>
              <w:spacing w:after="0" w:line="117"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jc w:val="right"/>
              <w:ind w:right="18"/>
              <w:spacing w:after="0" w:line="117" w:lineRule="exact"/>
              <w:rPr>
                <w:sz w:val="20"/>
                <w:szCs w:val="20"/>
                <w:color w:val="auto"/>
              </w:rPr>
            </w:pPr>
            <w:r>
              <w:rPr>
                <w:rFonts w:ascii="Arial" w:cs="Arial" w:eastAsia="Arial" w:hAnsi="Arial"/>
                <w:sz w:val="12"/>
                <w:szCs w:val="12"/>
                <w:b w:val="1"/>
                <w:bCs w:val="1"/>
                <w:color w:val="auto"/>
              </w:rPr>
              <w:t>Stock and</w:t>
            </w: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78"/>
              <w:spacing w:after="0" w:line="129" w:lineRule="exact"/>
              <w:rPr>
                <w:sz w:val="20"/>
                <w:szCs w:val="20"/>
                <w:color w:val="auto"/>
              </w:rPr>
            </w:pPr>
            <w:r>
              <w:rPr>
                <w:rFonts w:ascii="Arial" w:cs="Arial" w:eastAsia="Arial" w:hAnsi="Arial"/>
                <w:sz w:val="12"/>
                <w:szCs w:val="12"/>
                <w:b w:val="1"/>
                <w:bCs w:val="1"/>
                <w:color w:val="auto"/>
              </w:rPr>
              <w:t>Stock or</w:t>
            </w:r>
          </w:p>
        </w:tc>
        <w:tc>
          <w:tcPr>
            <w:tcW w:w="940" w:type="dxa"/>
            <w:vAlign w:val="bottom"/>
          </w:tcPr>
          <w:p>
            <w:pPr>
              <w:jc w:val="right"/>
              <w:ind w:right="98"/>
              <w:spacing w:after="0" w:line="129" w:lineRule="exact"/>
              <w:rPr>
                <w:sz w:val="20"/>
                <w:szCs w:val="20"/>
                <w:color w:val="auto"/>
              </w:rPr>
            </w:pPr>
            <w:r>
              <w:rPr>
                <w:rFonts w:ascii="Arial" w:cs="Arial" w:eastAsia="Arial" w:hAnsi="Arial"/>
                <w:sz w:val="12"/>
                <w:szCs w:val="12"/>
                <w:b w:val="1"/>
                <w:bCs w:val="1"/>
                <w:color w:val="auto"/>
              </w:rPr>
              <w:t>Underlying</w:t>
            </w:r>
          </w:p>
        </w:tc>
        <w:tc>
          <w:tcPr>
            <w:tcW w:w="840" w:type="dxa"/>
            <w:vAlign w:val="bottom"/>
          </w:tcPr>
          <w:p>
            <w:pPr>
              <w:jc w:val="right"/>
              <w:ind w:right="38"/>
              <w:spacing w:after="0" w:line="129" w:lineRule="exact"/>
              <w:rPr>
                <w:sz w:val="20"/>
                <w:szCs w:val="20"/>
                <w:color w:val="auto"/>
              </w:rPr>
            </w:pPr>
            <w:r>
              <w:rPr>
                <w:rFonts w:ascii="Arial" w:cs="Arial" w:eastAsia="Arial" w:hAnsi="Arial"/>
                <w:sz w:val="12"/>
                <w:szCs w:val="12"/>
                <w:b w:val="1"/>
                <w:bCs w:val="1"/>
                <w:color w:val="auto"/>
              </w:rPr>
              <w:t>Option</w:t>
            </w:r>
          </w:p>
        </w:tc>
        <w:tc>
          <w:tcPr>
            <w:tcW w:w="78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99"/>
              <w:spacing w:after="0"/>
              <w:rPr>
                <w:sz w:val="20"/>
                <w:szCs w:val="20"/>
                <w:color w:val="auto"/>
              </w:rPr>
            </w:pPr>
            <w:r>
              <w:rPr>
                <w:rFonts w:ascii="Arial" w:cs="Arial" w:eastAsia="Arial" w:hAnsi="Arial"/>
                <w:sz w:val="12"/>
                <w:szCs w:val="12"/>
                <w:b w:val="1"/>
                <w:bCs w:val="1"/>
                <w:color w:val="auto"/>
              </w:rPr>
              <w:t>Threshold</w:t>
            </w:r>
          </w:p>
        </w:tc>
        <w:tc>
          <w:tcPr>
            <w:tcW w:w="880" w:type="dxa"/>
            <w:vAlign w:val="bottom"/>
          </w:tcPr>
          <w:p>
            <w:pPr>
              <w:jc w:val="right"/>
              <w:ind w:right="98"/>
              <w:spacing w:after="0"/>
              <w:rPr>
                <w:sz w:val="20"/>
                <w:szCs w:val="20"/>
                <w:color w:val="auto"/>
              </w:rPr>
            </w:pPr>
            <w:r>
              <w:rPr>
                <w:rFonts w:ascii="Arial" w:cs="Arial" w:eastAsia="Arial" w:hAnsi="Arial"/>
                <w:sz w:val="12"/>
                <w:szCs w:val="12"/>
                <w:b w:val="1"/>
                <w:bCs w:val="1"/>
                <w:color w:val="auto"/>
              </w:rPr>
              <w:t>Target</w:t>
            </w:r>
          </w:p>
        </w:tc>
        <w:tc>
          <w:tcPr>
            <w:tcW w:w="820" w:type="dxa"/>
            <w:vAlign w:val="bottom"/>
          </w:tcPr>
          <w:p>
            <w:pPr>
              <w:jc w:val="right"/>
              <w:ind w:right="18"/>
              <w:spacing w:after="0"/>
              <w:rPr>
                <w:sz w:val="20"/>
                <w:szCs w:val="20"/>
                <w:color w:val="auto"/>
              </w:rPr>
            </w:pPr>
            <w:r>
              <w:rPr>
                <w:rFonts w:ascii="Arial" w:cs="Arial" w:eastAsia="Arial" w:hAnsi="Arial"/>
                <w:sz w:val="12"/>
                <w:szCs w:val="12"/>
                <w:b w:val="1"/>
                <w:bCs w:val="1"/>
                <w:color w:val="auto"/>
              </w:rPr>
              <w:t>Maximum</w:t>
            </w:r>
          </w:p>
        </w:tc>
        <w:tc>
          <w:tcPr>
            <w:tcW w:w="820" w:type="dxa"/>
            <w:vAlign w:val="bottom"/>
          </w:tcPr>
          <w:p>
            <w:pPr>
              <w:jc w:val="right"/>
              <w:ind w:right="59"/>
              <w:spacing w:after="0"/>
              <w:rPr>
                <w:sz w:val="20"/>
                <w:szCs w:val="20"/>
                <w:color w:val="auto"/>
              </w:rPr>
            </w:pPr>
            <w:r>
              <w:rPr>
                <w:rFonts w:ascii="Arial" w:cs="Arial" w:eastAsia="Arial" w:hAnsi="Arial"/>
                <w:sz w:val="12"/>
                <w:szCs w:val="12"/>
                <w:b w:val="1"/>
                <w:bCs w:val="1"/>
                <w:color w:val="auto"/>
              </w:rPr>
              <w:t>Threshold</w:t>
            </w:r>
          </w:p>
        </w:tc>
        <w:tc>
          <w:tcPr>
            <w:tcW w:w="720" w:type="dxa"/>
            <w:vAlign w:val="bottom"/>
          </w:tcPr>
          <w:p>
            <w:pPr>
              <w:jc w:val="right"/>
              <w:ind w:right="98"/>
              <w:spacing w:after="0"/>
              <w:rPr>
                <w:sz w:val="20"/>
                <w:szCs w:val="20"/>
                <w:color w:val="auto"/>
              </w:rPr>
            </w:pPr>
            <w:r>
              <w:rPr>
                <w:rFonts w:ascii="Arial" w:cs="Arial" w:eastAsia="Arial" w:hAnsi="Arial"/>
                <w:sz w:val="12"/>
                <w:szCs w:val="12"/>
                <w:b w:val="1"/>
                <w:bCs w:val="1"/>
                <w:color w:val="auto"/>
              </w:rPr>
              <w:t>Target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Maximum</w:t>
            </w:r>
          </w:p>
        </w:tc>
        <w:tc>
          <w:tcPr>
            <w:tcW w:w="880" w:type="dxa"/>
            <w:vAlign w:val="bottom"/>
          </w:tcPr>
          <w:p>
            <w:pPr>
              <w:jc w:val="right"/>
              <w:ind w:right="58"/>
              <w:spacing w:after="0"/>
              <w:rPr>
                <w:sz w:val="20"/>
                <w:szCs w:val="20"/>
                <w:color w:val="auto"/>
              </w:rPr>
            </w:pPr>
            <w:r>
              <w:rPr>
                <w:rFonts w:ascii="Arial" w:cs="Arial" w:eastAsia="Arial" w:hAnsi="Arial"/>
                <w:sz w:val="12"/>
                <w:szCs w:val="12"/>
                <w:b w:val="1"/>
                <w:bCs w:val="1"/>
                <w:color w:val="auto"/>
              </w:rPr>
              <w:t>Units</w:t>
            </w:r>
          </w:p>
        </w:tc>
        <w:tc>
          <w:tcPr>
            <w:tcW w:w="940" w:type="dxa"/>
            <w:vAlign w:val="bottom"/>
          </w:tcPr>
          <w:p>
            <w:pPr>
              <w:jc w:val="right"/>
              <w:ind w:right="98"/>
              <w:spacing w:after="0"/>
              <w:rPr>
                <w:sz w:val="20"/>
                <w:szCs w:val="20"/>
                <w:color w:val="auto"/>
              </w:rPr>
            </w:pPr>
            <w:r>
              <w:rPr>
                <w:rFonts w:ascii="Arial" w:cs="Arial" w:eastAsia="Arial" w:hAnsi="Arial"/>
                <w:sz w:val="12"/>
                <w:szCs w:val="12"/>
                <w:b w:val="1"/>
                <w:bCs w:val="1"/>
                <w:color w:val="auto"/>
              </w:rPr>
              <w:t>Options</w:t>
            </w:r>
          </w:p>
        </w:tc>
        <w:tc>
          <w:tcPr>
            <w:tcW w:w="840" w:type="dxa"/>
            <w:vAlign w:val="bottom"/>
          </w:tcPr>
          <w:p>
            <w:pPr>
              <w:jc w:val="right"/>
              <w:ind w:right="38"/>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(3)</w:t>
            </w:r>
          </w:p>
        </w:tc>
        <w:tc>
          <w:tcPr>
            <w:tcW w:w="780" w:type="dxa"/>
            <w:vAlign w:val="bottom"/>
          </w:tcPr>
          <w:p>
            <w:pPr>
              <w:jc w:val="right"/>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(4)</w:t>
            </w:r>
          </w:p>
        </w:tc>
        <w:tc>
          <w:tcPr>
            <w:tcW w:w="0" w:type="dxa"/>
            <w:vAlign w:val="bottom"/>
          </w:tcPr>
          <w:p>
            <w:pPr>
              <w:spacing w:after="0"/>
              <w:rPr>
                <w:sz w:val="1"/>
                <w:szCs w:val="1"/>
                <w:color w:val="auto"/>
              </w:rPr>
            </w:pPr>
          </w:p>
        </w:tc>
      </w:tr>
      <w:tr>
        <w:trPr>
          <w:trHeight w:val="166"/>
        </w:trPr>
        <w:tc>
          <w:tcPr>
            <w:tcW w:w="1200" w:type="dxa"/>
            <w:vAlign w:val="bottom"/>
            <w:tcBorders>
              <w:bottom w:val="single" w:sz="8" w:color="572C83"/>
            </w:tcBorders>
          </w:tcPr>
          <w:p>
            <w:pPr>
              <w:ind w:left="60"/>
              <w:spacing w:after="0"/>
              <w:rPr>
                <w:sz w:val="20"/>
                <w:szCs w:val="20"/>
                <w:color w:val="auto"/>
              </w:rPr>
            </w:pPr>
            <w:r>
              <w:rPr>
                <w:rFonts w:ascii="Arial" w:cs="Arial" w:eastAsia="Arial" w:hAnsi="Arial"/>
                <w:sz w:val="12"/>
                <w:szCs w:val="12"/>
                <w:b w:val="1"/>
                <w:bCs w:val="1"/>
                <w:color w:val="auto"/>
              </w:rPr>
              <w:t>Name</w:t>
            </w:r>
          </w:p>
        </w:tc>
        <w:tc>
          <w:tcPr>
            <w:tcW w:w="680" w:type="dxa"/>
            <w:vAlign w:val="bottom"/>
            <w:tcBorders>
              <w:bottom w:val="single" w:sz="8" w:color="572C83"/>
            </w:tcBorders>
          </w:tcPr>
          <w:p>
            <w:pPr>
              <w:jc w:val="right"/>
              <w:spacing w:after="0"/>
              <w:rPr>
                <w:sz w:val="20"/>
                <w:szCs w:val="20"/>
                <w:color w:val="auto"/>
              </w:rPr>
            </w:pPr>
            <w:r>
              <w:rPr>
                <w:rFonts w:ascii="Arial" w:cs="Arial" w:eastAsia="Arial" w:hAnsi="Arial"/>
                <w:sz w:val="12"/>
                <w:szCs w:val="12"/>
                <w:b w:val="1"/>
                <w:bCs w:val="1"/>
                <w:color w:val="auto"/>
              </w:rPr>
              <w:t>Grant Date</w:t>
            </w:r>
          </w:p>
        </w:tc>
        <w:tc>
          <w:tcPr>
            <w:tcW w:w="1040" w:type="dxa"/>
            <w:vAlign w:val="bottom"/>
            <w:tcBorders>
              <w:bottom w:val="single" w:sz="8" w:color="572C83"/>
            </w:tcBorders>
            <w:gridSpan w:val="2"/>
          </w:tcPr>
          <w:p>
            <w:pPr>
              <w:jc w:val="right"/>
              <w:ind w:right="140"/>
              <w:spacing w:after="0"/>
              <w:rPr>
                <w:sz w:val="20"/>
                <w:szCs w:val="20"/>
                <w:color w:val="auto"/>
              </w:rPr>
            </w:pPr>
            <w:r>
              <w:rPr>
                <w:rFonts w:ascii="Arial" w:cs="Arial" w:eastAsia="Arial" w:hAnsi="Arial"/>
                <w:sz w:val="12"/>
                <w:szCs w:val="12"/>
                <w:b w:val="1"/>
                <w:bCs w:val="1"/>
                <w:color w:val="auto"/>
              </w:rPr>
              <w:t>Grant Type</w:t>
            </w:r>
          </w:p>
        </w:tc>
        <w:tc>
          <w:tcPr>
            <w:tcW w:w="900" w:type="dxa"/>
            <w:vAlign w:val="bottom"/>
            <w:tcBorders>
              <w:bottom w:val="single" w:sz="8" w:color="572C83"/>
            </w:tcBorders>
          </w:tcPr>
          <w:p>
            <w:pPr>
              <w:jc w:val="right"/>
              <w:ind w:right="99"/>
              <w:spacing w:after="0"/>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572C83"/>
            </w:tcBorders>
          </w:tcPr>
          <w:p>
            <w:pPr>
              <w:jc w:val="right"/>
              <w:ind w:right="98"/>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572C83"/>
            </w:tcBorders>
          </w:tcPr>
          <w:p>
            <w:pPr>
              <w:jc w:val="right"/>
              <w:ind w:right="18"/>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572C83"/>
            </w:tcBorders>
          </w:tcPr>
          <w:p>
            <w:pPr>
              <w:jc w:val="right"/>
              <w:ind w:right="59"/>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572C83"/>
            </w:tcBorders>
          </w:tcPr>
          <w:p>
            <w:pPr>
              <w:jc w:val="right"/>
              <w:ind w:right="98"/>
              <w:spacing w:after="0"/>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572C83"/>
            </w:tcBorders>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572C83"/>
            </w:tcBorders>
          </w:tcPr>
          <w:p>
            <w:pPr>
              <w:jc w:val="right"/>
              <w:ind w:right="58"/>
              <w:spacing w:after="0"/>
              <w:rPr>
                <w:sz w:val="20"/>
                <w:szCs w:val="20"/>
                <w:color w:val="auto"/>
              </w:rPr>
            </w:pPr>
            <w:r>
              <w:rPr>
                <w:rFonts w:ascii="Arial" w:cs="Arial" w:eastAsia="Arial" w:hAnsi="Arial"/>
                <w:sz w:val="12"/>
                <w:szCs w:val="12"/>
                <w:b w:val="1"/>
                <w:bCs w:val="1"/>
                <w:color w:val="auto"/>
              </w:rPr>
              <w:t>(#)</w:t>
            </w:r>
          </w:p>
        </w:tc>
        <w:tc>
          <w:tcPr>
            <w:tcW w:w="940" w:type="dxa"/>
            <w:vAlign w:val="bottom"/>
            <w:tcBorders>
              <w:bottom w:val="single" w:sz="8" w:color="572C83"/>
            </w:tcBorders>
          </w:tcPr>
          <w:p>
            <w:pPr>
              <w:jc w:val="right"/>
              <w:ind w:right="98"/>
              <w:spacing w:after="0"/>
              <w:rPr>
                <w:sz w:val="20"/>
                <w:szCs w:val="20"/>
                <w:color w:val="auto"/>
              </w:rPr>
            </w:pPr>
            <w:r>
              <w:rPr>
                <w:rFonts w:ascii="Arial" w:cs="Arial" w:eastAsia="Arial" w:hAnsi="Arial"/>
                <w:sz w:val="12"/>
                <w:szCs w:val="12"/>
                <w:b w:val="1"/>
                <w:bCs w:val="1"/>
                <w:color w:val="auto"/>
              </w:rPr>
              <w:t>(#)</w:t>
            </w:r>
          </w:p>
        </w:tc>
        <w:tc>
          <w:tcPr>
            <w:tcW w:w="840" w:type="dxa"/>
            <w:vAlign w:val="bottom"/>
            <w:tcBorders>
              <w:bottom w:val="single" w:sz="8" w:color="572C83"/>
            </w:tcBorders>
          </w:tcPr>
          <w:p>
            <w:pPr>
              <w:jc w:val="right"/>
              <w:ind w:right="38"/>
              <w:spacing w:after="0"/>
              <w:rPr>
                <w:sz w:val="20"/>
                <w:szCs w:val="20"/>
                <w:color w:val="auto"/>
              </w:rPr>
            </w:pPr>
            <w:r>
              <w:rPr>
                <w:rFonts w:ascii="Arial" w:cs="Arial" w:eastAsia="Arial" w:hAnsi="Arial"/>
                <w:sz w:val="12"/>
                <w:szCs w:val="12"/>
                <w:b w:val="1"/>
                <w:bCs w:val="1"/>
                <w:color w:val="auto"/>
              </w:rPr>
              <w:t>($/Share)</w:t>
            </w:r>
          </w:p>
        </w:tc>
        <w:tc>
          <w:tcPr>
            <w:tcW w:w="780" w:type="dxa"/>
            <w:vAlign w:val="bottom"/>
            <w:tcBorders>
              <w:bottom w:val="single" w:sz="8" w:color="572C83"/>
            </w:tcBorders>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3"/>
        </w:trPr>
        <w:tc>
          <w:tcPr>
            <w:tcW w:w="120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2"/>
                <w:szCs w:val="12"/>
                <w:b w:val="1"/>
                <w:bCs w:val="1"/>
                <w:color w:val="auto"/>
              </w:rPr>
              <w:t>Van de Put, Dirk</w:t>
            </w:r>
          </w:p>
        </w:tc>
        <w:tc>
          <w:tcPr>
            <w:tcW w:w="680" w:type="dxa"/>
            <w:vAlign w:val="bottom"/>
            <w:tcBorders>
              <w:bottom w:val="single" w:sz="8" w:color="572C83"/>
            </w:tcBorders>
            <w:shd w:val="clear" w:color="auto" w:fill="EBE6F0"/>
          </w:tcPr>
          <w:p>
            <w:pPr>
              <w:spacing w:after="0"/>
              <w:rPr>
                <w:sz w:val="17"/>
                <w:szCs w:val="17"/>
                <w:color w:val="auto"/>
              </w:rPr>
            </w:pPr>
          </w:p>
        </w:tc>
        <w:tc>
          <w:tcPr>
            <w:tcW w:w="1040" w:type="dxa"/>
            <w:vAlign w:val="bottom"/>
            <w:tcBorders>
              <w:bottom w:val="single" w:sz="8" w:color="572C83"/>
            </w:tcBorders>
            <w:gridSpan w:val="2"/>
            <w:shd w:val="clear" w:color="auto" w:fill="EBE6F0"/>
          </w:tcPr>
          <w:p>
            <w:pPr>
              <w:jc w:val="right"/>
              <w:ind w:right="140"/>
              <w:spacing w:after="0"/>
              <w:rPr>
                <w:sz w:val="20"/>
                <w:szCs w:val="20"/>
                <w:color w:val="auto"/>
              </w:rPr>
            </w:pPr>
            <w:r>
              <w:rPr>
                <w:rFonts w:ascii="Arial" w:cs="Arial" w:eastAsia="Arial" w:hAnsi="Arial"/>
                <w:sz w:val="12"/>
                <w:szCs w:val="12"/>
                <w:color w:val="auto"/>
              </w:rPr>
              <w:t>AIP</w:t>
            </w:r>
          </w:p>
        </w:tc>
        <w:tc>
          <w:tcPr>
            <w:tcW w:w="900" w:type="dxa"/>
            <w:vAlign w:val="bottom"/>
            <w:tcBorders>
              <w:bottom w:val="single" w:sz="8" w:color="572C83"/>
            </w:tcBorders>
            <w:shd w:val="clear" w:color="auto" w:fill="EBE6F0"/>
          </w:tcPr>
          <w:p>
            <w:pPr>
              <w:jc w:val="right"/>
              <w:ind w:right="99"/>
              <w:spacing w:after="0"/>
              <w:rPr>
                <w:sz w:val="20"/>
                <w:szCs w:val="20"/>
                <w:color w:val="auto"/>
              </w:rPr>
            </w:pPr>
            <w:r>
              <w:rPr>
                <w:rFonts w:ascii="Arial" w:cs="Arial" w:eastAsia="Arial" w:hAnsi="Arial"/>
                <w:sz w:val="12"/>
                <w:szCs w:val="12"/>
                <w:color w:val="auto"/>
              </w:rPr>
              <w:t>1,472,500</w:t>
            </w:r>
          </w:p>
        </w:tc>
        <w:tc>
          <w:tcPr>
            <w:tcW w:w="880" w:type="dxa"/>
            <w:vAlign w:val="bottom"/>
            <w:tcBorders>
              <w:bottom w:val="single" w:sz="8" w:color="572C83"/>
            </w:tcBorders>
            <w:shd w:val="clear" w:color="auto" w:fill="EBE6F0"/>
          </w:tcPr>
          <w:p>
            <w:pPr>
              <w:jc w:val="right"/>
              <w:ind w:right="98"/>
              <w:spacing w:after="0"/>
              <w:rPr>
                <w:sz w:val="20"/>
                <w:szCs w:val="20"/>
                <w:color w:val="auto"/>
              </w:rPr>
            </w:pPr>
            <w:r>
              <w:rPr>
                <w:rFonts w:ascii="Arial" w:cs="Arial" w:eastAsia="Arial" w:hAnsi="Arial"/>
                <w:sz w:val="12"/>
                <w:szCs w:val="12"/>
                <w:color w:val="auto"/>
              </w:rPr>
              <w:t>2,945,000</w:t>
            </w:r>
          </w:p>
        </w:tc>
        <w:tc>
          <w:tcPr>
            <w:tcW w:w="820" w:type="dxa"/>
            <w:vAlign w:val="bottom"/>
            <w:tcBorders>
              <w:bottom w:val="single" w:sz="8" w:color="572C83"/>
            </w:tcBorders>
            <w:shd w:val="clear" w:color="auto" w:fill="EBE6F0"/>
          </w:tcPr>
          <w:p>
            <w:pPr>
              <w:jc w:val="right"/>
              <w:ind w:right="18"/>
              <w:spacing w:after="0"/>
              <w:rPr>
                <w:sz w:val="20"/>
                <w:szCs w:val="20"/>
                <w:color w:val="auto"/>
              </w:rPr>
            </w:pPr>
            <w:r>
              <w:rPr>
                <w:rFonts w:ascii="Arial" w:cs="Arial" w:eastAsia="Arial" w:hAnsi="Arial"/>
                <w:sz w:val="12"/>
                <w:szCs w:val="12"/>
                <w:color w:val="auto"/>
              </w:rPr>
              <w:t>5,890,000</w:t>
            </w:r>
          </w:p>
        </w:tc>
        <w:tc>
          <w:tcPr>
            <w:tcW w:w="820" w:type="dxa"/>
            <w:vAlign w:val="bottom"/>
            <w:tcBorders>
              <w:bottom w:val="single" w:sz="8" w:color="572C83"/>
            </w:tcBorders>
            <w:shd w:val="clear" w:color="auto" w:fill="EBE6F0"/>
          </w:tcPr>
          <w:p>
            <w:pPr>
              <w:jc w:val="right"/>
              <w:ind w:right="5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572C83"/>
            </w:tcBorders>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572C83"/>
            </w:tcBorders>
            <w:gridSpan w:val="2"/>
            <w:shd w:val="clear" w:color="auto" w:fill="EBE6F0"/>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572C83"/>
            </w:tcBorders>
            <w:shd w:val="clear" w:color="auto" w:fill="EBE6F0"/>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572C83"/>
            </w:tcBorders>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572C83"/>
            </w:tcBorders>
            <w:shd w:val="clear" w:color="auto" w:fill="EBE6F0"/>
          </w:tcPr>
          <w:p>
            <w:pPr>
              <w:jc w:val="right"/>
              <w:ind w:right="38"/>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1200" w:type="dxa"/>
            <w:vAlign w:val="bottom"/>
            <w:shd w:val="clear" w:color="auto" w:fill="EBE6F0"/>
          </w:tcPr>
          <w:p>
            <w:pPr>
              <w:spacing w:after="0"/>
              <w:rPr>
                <w:sz w:val="14"/>
                <w:szCs w:val="14"/>
                <w:color w:val="auto"/>
              </w:rPr>
            </w:pPr>
          </w:p>
        </w:tc>
        <w:tc>
          <w:tcPr>
            <w:tcW w:w="680" w:type="dxa"/>
            <w:vAlign w:val="bottom"/>
            <w:shd w:val="clear" w:color="auto" w:fill="EBE6F0"/>
          </w:tcPr>
          <w:p>
            <w:pPr>
              <w:jc w:val="right"/>
              <w:spacing w:after="0"/>
              <w:rPr>
                <w:sz w:val="20"/>
                <w:szCs w:val="20"/>
                <w:color w:val="auto"/>
              </w:rPr>
            </w:pPr>
            <w:r>
              <w:rPr>
                <w:rFonts w:ascii="Arial" w:cs="Arial" w:eastAsia="Arial" w:hAnsi="Arial"/>
                <w:sz w:val="12"/>
                <w:szCs w:val="12"/>
                <w:color w:val="auto"/>
              </w:rPr>
              <w:t>02/24/2022</w:t>
            </w:r>
          </w:p>
        </w:tc>
        <w:tc>
          <w:tcPr>
            <w:tcW w:w="900" w:type="dxa"/>
            <w:vAlign w:val="bottom"/>
            <w:shd w:val="clear" w:color="auto" w:fill="EBE6F0"/>
          </w:tcPr>
          <w:p>
            <w:pPr>
              <w:jc w:val="right"/>
              <w:spacing w:after="0"/>
              <w:rPr>
                <w:sz w:val="20"/>
                <w:szCs w:val="20"/>
                <w:color w:val="auto"/>
              </w:rPr>
            </w:pPr>
            <w:r>
              <w:rPr>
                <w:rFonts w:ascii="Arial" w:cs="Arial" w:eastAsia="Arial" w:hAnsi="Arial"/>
                <w:sz w:val="12"/>
                <w:szCs w:val="12"/>
                <w:color w:val="auto"/>
              </w:rPr>
              <w:t>Performance</w:t>
            </w:r>
          </w:p>
        </w:tc>
        <w:tc>
          <w:tcPr>
            <w:tcW w:w="140" w:type="dxa"/>
            <w:vAlign w:val="bottom"/>
            <w:shd w:val="clear" w:color="auto" w:fill="EBE6F0"/>
          </w:tcPr>
          <w:p>
            <w:pPr>
              <w:spacing w:after="0"/>
              <w:rPr>
                <w:sz w:val="14"/>
                <w:szCs w:val="14"/>
                <w:color w:val="auto"/>
              </w:rPr>
            </w:pPr>
          </w:p>
        </w:tc>
        <w:tc>
          <w:tcPr>
            <w:tcW w:w="900" w:type="dxa"/>
            <w:vAlign w:val="bottom"/>
            <w:shd w:val="clear" w:color="auto" w:fill="EBE6F0"/>
          </w:tcPr>
          <w:p>
            <w:pPr>
              <w:jc w:val="right"/>
              <w:ind w:right="99"/>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6F0"/>
          </w:tcPr>
          <w:p>
            <w:pPr>
              <w:jc w:val="right"/>
              <w:ind w:right="18"/>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6F0"/>
          </w:tcPr>
          <w:p>
            <w:pPr>
              <w:jc w:val="right"/>
              <w:ind w:right="59"/>
              <w:spacing w:after="0"/>
              <w:rPr>
                <w:sz w:val="20"/>
                <w:szCs w:val="20"/>
                <w:color w:val="auto"/>
              </w:rPr>
            </w:pPr>
            <w:r>
              <w:rPr>
                <w:rFonts w:ascii="Arial" w:cs="Arial" w:eastAsia="Arial" w:hAnsi="Arial"/>
                <w:sz w:val="12"/>
                <w:szCs w:val="12"/>
                <w:color w:val="auto"/>
              </w:rPr>
              <w:t>69,610</w:t>
            </w:r>
          </w:p>
        </w:tc>
        <w:tc>
          <w:tcPr>
            <w:tcW w:w="720" w:type="dxa"/>
            <w:vAlign w:val="bottom"/>
            <w:shd w:val="clear" w:color="auto" w:fill="EBE6F0"/>
          </w:tcPr>
          <w:p>
            <w:pPr>
              <w:jc w:val="right"/>
              <w:ind w:right="98"/>
              <w:spacing w:after="0"/>
              <w:rPr>
                <w:sz w:val="20"/>
                <w:szCs w:val="20"/>
                <w:color w:val="auto"/>
              </w:rPr>
            </w:pPr>
            <w:r>
              <w:rPr>
                <w:rFonts w:ascii="Arial" w:cs="Arial" w:eastAsia="Arial" w:hAnsi="Arial"/>
                <w:sz w:val="12"/>
                <w:szCs w:val="12"/>
                <w:color w:val="auto"/>
              </w:rPr>
              <w:t>139,220</w:t>
            </w:r>
          </w:p>
        </w:tc>
        <w:tc>
          <w:tcPr>
            <w:tcW w:w="740" w:type="dxa"/>
            <w:vAlign w:val="bottom"/>
            <w:gridSpan w:val="2"/>
            <w:shd w:val="clear" w:color="auto" w:fill="EBE6F0"/>
          </w:tcPr>
          <w:p>
            <w:pPr>
              <w:jc w:val="right"/>
              <w:ind w:right="120"/>
              <w:spacing w:after="0"/>
              <w:rPr>
                <w:sz w:val="20"/>
                <w:szCs w:val="20"/>
                <w:color w:val="auto"/>
              </w:rPr>
            </w:pPr>
            <w:r>
              <w:rPr>
                <w:rFonts w:ascii="Arial" w:cs="Arial" w:eastAsia="Arial" w:hAnsi="Arial"/>
                <w:sz w:val="12"/>
                <w:szCs w:val="12"/>
                <w:color w:val="auto"/>
              </w:rPr>
              <w:t>278,440</w:t>
            </w:r>
          </w:p>
        </w:tc>
        <w:tc>
          <w:tcPr>
            <w:tcW w:w="880" w:type="dxa"/>
            <w:vAlign w:val="bottom"/>
            <w:shd w:val="clear" w:color="auto" w:fill="EBE6F0"/>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840" w:type="dxa"/>
            <w:vAlign w:val="bottom"/>
            <w:shd w:val="clear" w:color="auto" w:fill="EBE6F0"/>
          </w:tcPr>
          <w:p>
            <w:pPr>
              <w:jc w:val="right"/>
              <w:ind w:right="38"/>
              <w:spacing w:after="0"/>
              <w:rPr>
                <w:sz w:val="20"/>
                <w:szCs w:val="20"/>
                <w:color w:val="auto"/>
              </w:rPr>
            </w:pPr>
            <w:r>
              <w:rPr>
                <w:rFonts w:ascii="Arial" w:cs="Arial" w:eastAsia="Arial" w:hAnsi="Arial"/>
                <w:sz w:val="12"/>
                <w:szCs w:val="12"/>
                <w:color w:val="auto"/>
              </w:rPr>
              <w:t>–</w:t>
            </w:r>
          </w:p>
        </w:tc>
        <w:tc>
          <w:tcPr>
            <w:tcW w:w="780" w:type="dxa"/>
            <w:vAlign w:val="bottom"/>
            <w:shd w:val="clear" w:color="auto" w:fill="EBE6F0"/>
          </w:tcPr>
          <w:p>
            <w:pPr>
              <w:jc w:val="right"/>
              <w:spacing w:after="0"/>
              <w:rPr>
                <w:sz w:val="20"/>
                <w:szCs w:val="20"/>
                <w:color w:val="auto"/>
              </w:rPr>
            </w:pPr>
            <w:r>
              <w:rPr>
                <w:rFonts w:ascii="Arial" w:cs="Arial" w:eastAsia="Arial" w:hAnsi="Arial"/>
                <w:sz w:val="12"/>
                <w:szCs w:val="12"/>
                <w:color w:val="auto"/>
              </w:rPr>
              <w:t>8,613,541</w:t>
            </w:r>
          </w:p>
        </w:tc>
        <w:tc>
          <w:tcPr>
            <w:tcW w:w="0" w:type="dxa"/>
            <w:vAlign w:val="bottom"/>
          </w:tcPr>
          <w:p>
            <w:pPr>
              <w:spacing w:after="0"/>
              <w:rPr>
                <w:sz w:val="1"/>
                <w:szCs w:val="1"/>
                <w:color w:val="auto"/>
              </w:rPr>
            </w:pPr>
          </w:p>
        </w:tc>
      </w:tr>
      <w:tr>
        <w:trPr>
          <w:trHeight w:val="191"/>
        </w:trPr>
        <w:tc>
          <w:tcPr>
            <w:tcW w:w="1200" w:type="dxa"/>
            <w:vAlign w:val="bottom"/>
            <w:tcBorders>
              <w:bottom w:val="single" w:sz="8" w:color="EBE6F0"/>
            </w:tcBorders>
            <w:shd w:val="clear" w:color="auto" w:fill="EBE6F0"/>
          </w:tcPr>
          <w:p>
            <w:pPr>
              <w:spacing w:after="0"/>
              <w:rPr>
                <w:sz w:val="16"/>
                <w:szCs w:val="16"/>
                <w:color w:val="auto"/>
              </w:rPr>
            </w:pPr>
          </w:p>
        </w:tc>
        <w:tc>
          <w:tcPr>
            <w:tcW w:w="680" w:type="dxa"/>
            <w:vAlign w:val="bottom"/>
            <w:tcBorders>
              <w:bottom w:val="single" w:sz="8" w:color="EBE6F0"/>
            </w:tcBorders>
            <w:shd w:val="clear" w:color="auto" w:fill="EBE6F0"/>
          </w:tcPr>
          <w:p>
            <w:pPr>
              <w:spacing w:after="0"/>
              <w:rPr>
                <w:sz w:val="16"/>
                <w:szCs w:val="16"/>
                <w:color w:val="auto"/>
              </w:rPr>
            </w:pPr>
          </w:p>
        </w:tc>
        <w:tc>
          <w:tcPr>
            <w:tcW w:w="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2"/>
                <w:szCs w:val="12"/>
                <w:color w:val="auto"/>
              </w:rPr>
              <w:t>Share Units</w:t>
            </w:r>
          </w:p>
        </w:tc>
        <w:tc>
          <w:tcPr>
            <w:tcW w:w="140" w:type="dxa"/>
            <w:vAlign w:val="bottom"/>
            <w:tcBorders>
              <w:bottom w:val="single" w:sz="8" w:color="EBE6F0"/>
            </w:tcBorders>
            <w:shd w:val="clear" w:color="auto" w:fill="EBE6F0"/>
          </w:tcPr>
          <w:p>
            <w:pPr>
              <w:spacing w:after="0"/>
              <w:rPr>
                <w:sz w:val="16"/>
                <w:szCs w:val="16"/>
                <w:color w:val="auto"/>
              </w:rPr>
            </w:pPr>
          </w:p>
        </w:tc>
        <w:tc>
          <w:tcPr>
            <w:tcW w:w="900" w:type="dxa"/>
            <w:vAlign w:val="bottom"/>
            <w:tcBorders>
              <w:bottom w:val="single" w:sz="8" w:color="EBE6F0"/>
            </w:tcBorders>
            <w:shd w:val="clear" w:color="auto" w:fill="EBE6F0"/>
          </w:tcPr>
          <w:p>
            <w:pPr>
              <w:spacing w:after="0"/>
              <w:rPr>
                <w:sz w:val="16"/>
                <w:szCs w:val="16"/>
                <w:color w:val="auto"/>
              </w:rPr>
            </w:pPr>
          </w:p>
        </w:tc>
        <w:tc>
          <w:tcPr>
            <w:tcW w:w="880" w:type="dxa"/>
            <w:vAlign w:val="bottom"/>
            <w:tcBorders>
              <w:bottom w:val="single" w:sz="8" w:color="EBE6F0"/>
            </w:tcBorders>
            <w:shd w:val="clear" w:color="auto" w:fill="EBE6F0"/>
          </w:tcPr>
          <w:p>
            <w:pPr>
              <w:spacing w:after="0"/>
              <w:rPr>
                <w:sz w:val="16"/>
                <w:szCs w:val="16"/>
                <w:color w:val="auto"/>
              </w:rPr>
            </w:pPr>
          </w:p>
        </w:tc>
        <w:tc>
          <w:tcPr>
            <w:tcW w:w="820" w:type="dxa"/>
            <w:vAlign w:val="bottom"/>
            <w:tcBorders>
              <w:bottom w:val="single" w:sz="8" w:color="EBE6F0"/>
            </w:tcBorders>
            <w:shd w:val="clear" w:color="auto" w:fill="EBE6F0"/>
          </w:tcPr>
          <w:p>
            <w:pPr>
              <w:spacing w:after="0"/>
              <w:rPr>
                <w:sz w:val="16"/>
                <w:szCs w:val="16"/>
                <w:color w:val="auto"/>
              </w:rPr>
            </w:pPr>
          </w:p>
        </w:tc>
        <w:tc>
          <w:tcPr>
            <w:tcW w:w="820" w:type="dxa"/>
            <w:vAlign w:val="bottom"/>
            <w:tcBorders>
              <w:bottom w:val="single" w:sz="8" w:color="EBE6F0"/>
            </w:tcBorders>
            <w:shd w:val="clear" w:color="auto" w:fill="EBE6F0"/>
          </w:tcPr>
          <w:p>
            <w:pPr>
              <w:spacing w:after="0"/>
              <w:rPr>
                <w:sz w:val="16"/>
                <w:szCs w:val="16"/>
                <w:color w:val="auto"/>
              </w:rPr>
            </w:pPr>
          </w:p>
        </w:tc>
        <w:tc>
          <w:tcPr>
            <w:tcW w:w="720" w:type="dxa"/>
            <w:vAlign w:val="bottom"/>
            <w:tcBorders>
              <w:bottom w:val="single" w:sz="8" w:color="EBE6F0"/>
            </w:tcBorders>
            <w:shd w:val="clear" w:color="auto" w:fill="EBE6F0"/>
          </w:tcPr>
          <w:p>
            <w:pPr>
              <w:spacing w:after="0"/>
              <w:rPr>
                <w:sz w:val="16"/>
                <w:szCs w:val="16"/>
                <w:color w:val="auto"/>
              </w:rPr>
            </w:pPr>
          </w:p>
        </w:tc>
        <w:tc>
          <w:tcPr>
            <w:tcW w:w="620" w:type="dxa"/>
            <w:vAlign w:val="bottom"/>
            <w:tcBorders>
              <w:bottom w:val="single" w:sz="8" w:color="EBE6F0"/>
            </w:tcBorders>
            <w:shd w:val="clear" w:color="auto" w:fill="EBE6F0"/>
          </w:tcPr>
          <w:p>
            <w:pPr>
              <w:spacing w:after="0"/>
              <w:rPr>
                <w:sz w:val="16"/>
                <w:szCs w:val="16"/>
                <w:color w:val="auto"/>
              </w:rPr>
            </w:pPr>
          </w:p>
        </w:tc>
        <w:tc>
          <w:tcPr>
            <w:tcW w:w="120" w:type="dxa"/>
            <w:vAlign w:val="bottom"/>
            <w:tcBorders>
              <w:bottom w:val="single" w:sz="8" w:color="EBE6F0"/>
            </w:tcBorders>
            <w:shd w:val="clear" w:color="auto" w:fill="EBE6F0"/>
          </w:tcPr>
          <w:p>
            <w:pPr>
              <w:spacing w:after="0"/>
              <w:rPr>
                <w:sz w:val="16"/>
                <w:szCs w:val="16"/>
                <w:color w:val="auto"/>
              </w:rPr>
            </w:pPr>
          </w:p>
        </w:tc>
        <w:tc>
          <w:tcPr>
            <w:tcW w:w="880" w:type="dxa"/>
            <w:vAlign w:val="bottom"/>
            <w:tcBorders>
              <w:bottom w:val="single" w:sz="8" w:color="EBE6F0"/>
            </w:tcBorders>
            <w:shd w:val="clear" w:color="auto" w:fill="EBE6F0"/>
          </w:tcPr>
          <w:p>
            <w:pPr>
              <w:spacing w:after="0"/>
              <w:rPr>
                <w:sz w:val="16"/>
                <w:szCs w:val="16"/>
                <w:color w:val="auto"/>
              </w:rPr>
            </w:pPr>
          </w:p>
        </w:tc>
        <w:tc>
          <w:tcPr>
            <w:tcW w:w="940" w:type="dxa"/>
            <w:vAlign w:val="bottom"/>
            <w:tcBorders>
              <w:bottom w:val="single" w:sz="8" w:color="EBE6F0"/>
            </w:tcBorders>
            <w:shd w:val="clear" w:color="auto" w:fill="EBE6F0"/>
          </w:tcPr>
          <w:p>
            <w:pPr>
              <w:spacing w:after="0"/>
              <w:rPr>
                <w:sz w:val="16"/>
                <w:szCs w:val="16"/>
                <w:color w:val="auto"/>
              </w:rPr>
            </w:pPr>
          </w:p>
        </w:tc>
        <w:tc>
          <w:tcPr>
            <w:tcW w:w="840" w:type="dxa"/>
            <w:vAlign w:val="bottom"/>
            <w:tcBorders>
              <w:bottom w:val="single" w:sz="8" w:color="EBE6F0"/>
            </w:tcBorders>
            <w:shd w:val="clear" w:color="auto" w:fill="EBE6F0"/>
          </w:tcPr>
          <w:p>
            <w:pPr>
              <w:spacing w:after="0"/>
              <w:rPr>
                <w:sz w:val="16"/>
                <w:szCs w:val="16"/>
                <w:color w:val="auto"/>
              </w:rPr>
            </w:pPr>
          </w:p>
        </w:tc>
        <w:tc>
          <w:tcPr>
            <w:tcW w:w="780" w:type="dxa"/>
            <w:vAlign w:val="bottom"/>
            <w:tcBorders>
              <w:bottom w:val="single" w:sz="8" w:color="EBE6F0"/>
            </w:tcBorders>
            <w:shd w:val="clear" w:color="auto" w:fill="EBE6F0"/>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200" w:type="dxa"/>
            <w:vAlign w:val="bottom"/>
            <w:tcBorders>
              <w:top w:val="single" w:sz="8" w:color="EBE6F0"/>
              <w:bottom w:val="single" w:sz="8" w:color="EBE6F0"/>
            </w:tcBorders>
            <w:shd w:val="clear" w:color="auto" w:fill="EBE6F0"/>
          </w:tcPr>
          <w:p>
            <w:pPr>
              <w:spacing w:after="0"/>
              <w:rPr>
                <w:sz w:val="17"/>
                <w:szCs w:val="17"/>
                <w:color w:val="auto"/>
              </w:rPr>
            </w:pPr>
          </w:p>
        </w:tc>
        <w:tc>
          <w:tcPr>
            <w:tcW w:w="6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2"/>
                <w:szCs w:val="12"/>
                <w:color w:val="auto"/>
              </w:rPr>
              <w:t>02/24/2022</w:t>
            </w:r>
          </w:p>
        </w:tc>
        <w:tc>
          <w:tcPr>
            <w:tcW w:w="9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2"/>
                <w:szCs w:val="12"/>
                <w:color w:val="auto"/>
              </w:rPr>
              <w:t>Stock Options</w:t>
            </w:r>
          </w:p>
        </w:tc>
        <w:tc>
          <w:tcPr>
            <w:tcW w:w="140" w:type="dxa"/>
            <w:vAlign w:val="bottom"/>
            <w:tcBorders>
              <w:top w:val="single" w:sz="8" w:color="572C83"/>
              <w:bottom w:val="single" w:sz="8" w:color="EBE6F0"/>
            </w:tcBorders>
            <w:shd w:val="clear" w:color="auto" w:fill="EBE6F0"/>
          </w:tcPr>
          <w:p>
            <w:pPr>
              <w:spacing w:after="0"/>
              <w:rPr>
                <w:sz w:val="17"/>
                <w:szCs w:val="17"/>
                <w:color w:val="auto"/>
              </w:rPr>
            </w:pPr>
          </w:p>
        </w:tc>
        <w:tc>
          <w:tcPr>
            <w:tcW w:w="900" w:type="dxa"/>
            <w:vAlign w:val="bottom"/>
            <w:tcBorders>
              <w:top w:val="single" w:sz="8" w:color="572C83"/>
              <w:bottom w:val="single" w:sz="8" w:color="EBE6F0"/>
            </w:tcBorders>
            <w:shd w:val="clear" w:color="auto" w:fill="EBE6F0"/>
          </w:tcPr>
          <w:p>
            <w:pPr>
              <w:jc w:val="right"/>
              <w:ind w:right="99"/>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572C83"/>
              <w:bottom w:val="single" w:sz="8" w:color="EBE6F0"/>
            </w:tcBorders>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572C83"/>
              <w:bottom w:val="single" w:sz="8" w:color="EBE6F0"/>
            </w:tcBorders>
            <w:shd w:val="clear" w:color="auto" w:fill="EBE6F0"/>
          </w:tcPr>
          <w:p>
            <w:pPr>
              <w:jc w:val="right"/>
              <w:ind w:right="18"/>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572C83"/>
              <w:bottom w:val="single" w:sz="8" w:color="EBE6F0"/>
            </w:tcBorders>
            <w:shd w:val="clear" w:color="auto" w:fill="EBE6F0"/>
          </w:tcPr>
          <w:p>
            <w:pPr>
              <w:jc w:val="right"/>
              <w:ind w:right="59"/>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572C83"/>
              <w:bottom w:val="single" w:sz="8" w:color="EBE6F0"/>
            </w:tcBorders>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572C83"/>
              <w:bottom w:val="single" w:sz="8" w:color="EBE6F0"/>
            </w:tcBorders>
            <w:gridSpan w:val="2"/>
            <w:shd w:val="clear" w:color="auto" w:fill="EBE6F0"/>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572C83"/>
              <w:bottom w:val="single" w:sz="8" w:color="EBE6F0"/>
            </w:tcBorders>
            <w:shd w:val="clear" w:color="auto" w:fill="EBE6F0"/>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572C83"/>
              <w:bottom w:val="single" w:sz="8" w:color="EBE6F0"/>
            </w:tcBorders>
            <w:shd w:val="clear" w:color="auto" w:fill="EBE6F0"/>
          </w:tcPr>
          <w:p>
            <w:pPr>
              <w:jc w:val="right"/>
              <w:ind w:right="98"/>
              <w:spacing w:after="0"/>
              <w:rPr>
                <w:sz w:val="20"/>
                <w:szCs w:val="20"/>
                <w:color w:val="auto"/>
              </w:rPr>
            </w:pPr>
            <w:r>
              <w:rPr>
                <w:rFonts w:ascii="Arial" w:cs="Arial" w:eastAsia="Arial" w:hAnsi="Arial"/>
                <w:sz w:val="12"/>
                <w:szCs w:val="12"/>
                <w:color w:val="auto"/>
              </w:rPr>
              <w:t>232,020</w:t>
            </w:r>
          </w:p>
        </w:tc>
        <w:tc>
          <w:tcPr>
            <w:tcW w:w="840" w:type="dxa"/>
            <w:vAlign w:val="bottom"/>
            <w:tcBorders>
              <w:top w:val="single" w:sz="8" w:color="572C83"/>
              <w:bottom w:val="single" w:sz="8" w:color="EBE6F0"/>
            </w:tcBorders>
            <w:shd w:val="clear" w:color="auto" w:fill="EBE6F0"/>
          </w:tcPr>
          <w:p>
            <w:pPr>
              <w:jc w:val="right"/>
              <w:ind w:right="38"/>
              <w:spacing w:after="0"/>
              <w:rPr>
                <w:sz w:val="20"/>
                <w:szCs w:val="20"/>
                <w:color w:val="auto"/>
              </w:rPr>
            </w:pPr>
            <w:r>
              <w:rPr>
                <w:rFonts w:ascii="Arial" w:cs="Arial" w:eastAsia="Arial" w:hAnsi="Arial"/>
                <w:sz w:val="12"/>
                <w:szCs w:val="12"/>
                <w:color w:val="auto"/>
              </w:rPr>
              <w:t>64.65</w:t>
            </w:r>
          </w:p>
        </w:tc>
        <w:tc>
          <w:tcPr>
            <w:tcW w:w="7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2"/>
                <w:szCs w:val="12"/>
                <w:color w:val="auto"/>
              </w:rPr>
              <w:t>2,607,905</w:t>
            </w:r>
          </w:p>
        </w:tc>
        <w:tc>
          <w:tcPr>
            <w:tcW w:w="0" w:type="dxa"/>
            <w:vAlign w:val="bottom"/>
          </w:tcPr>
          <w:p>
            <w:pPr>
              <w:spacing w:after="0"/>
              <w:rPr>
                <w:sz w:val="1"/>
                <w:szCs w:val="1"/>
                <w:color w:val="auto"/>
              </w:rPr>
            </w:pPr>
          </w:p>
        </w:tc>
      </w:tr>
      <w:tr>
        <w:trPr>
          <w:trHeight w:val="196"/>
        </w:trPr>
        <w:tc>
          <w:tcPr>
            <w:tcW w:w="1200" w:type="dxa"/>
            <w:vAlign w:val="bottom"/>
            <w:tcBorders>
              <w:top w:val="single" w:sz="8" w:color="572C83"/>
            </w:tcBorders>
          </w:tcPr>
          <w:p>
            <w:pPr>
              <w:ind w:left="60"/>
              <w:spacing w:after="0"/>
              <w:rPr>
                <w:sz w:val="20"/>
                <w:szCs w:val="20"/>
                <w:color w:val="auto"/>
              </w:rPr>
            </w:pPr>
            <w:r>
              <w:rPr>
                <w:rFonts w:ascii="Arial" w:cs="Arial" w:eastAsia="Arial" w:hAnsi="Arial"/>
                <w:sz w:val="12"/>
                <w:szCs w:val="12"/>
                <w:b w:val="1"/>
                <w:bCs w:val="1"/>
                <w:color w:val="auto"/>
              </w:rPr>
              <w:t>Zaramella, Luca</w:t>
            </w:r>
          </w:p>
        </w:tc>
        <w:tc>
          <w:tcPr>
            <w:tcW w:w="680" w:type="dxa"/>
            <w:vAlign w:val="bottom"/>
            <w:tcBorders>
              <w:top w:val="single" w:sz="8" w:color="572C83"/>
              <w:bottom w:val="single" w:sz="8" w:color="572C83"/>
            </w:tcBorders>
          </w:tcPr>
          <w:p>
            <w:pPr>
              <w:spacing w:after="0"/>
              <w:rPr>
                <w:sz w:val="17"/>
                <w:szCs w:val="17"/>
                <w:color w:val="auto"/>
              </w:rPr>
            </w:pPr>
          </w:p>
        </w:tc>
        <w:tc>
          <w:tcPr>
            <w:tcW w:w="1040" w:type="dxa"/>
            <w:vAlign w:val="bottom"/>
            <w:tcBorders>
              <w:top w:val="single" w:sz="8" w:color="572C83"/>
              <w:bottom w:val="single" w:sz="8" w:color="572C83"/>
            </w:tcBorders>
            <w:gridSpan w:val="2"/>
          </w:tcPr>
          <w:p>
            <w:pPr>
              <w:jc w:val="right"/>
              <w:ind w:right="140"/>
              <w:spacing w:after="0"/>
              <w:rPr>
                <w:sz w:val="20"/>
                <w:szCs w:val="20"/>
                <w:color w:val="auto"/>
              </w:rPr>
            </w:pPr>
            <w:r>
              <w:rPr>
                <w:rFonts w:ascii="Arial" w:cs="Arial" w:eastAsia="Arial" w:hAnsi="Arial"/>
                <w:sz w:val="12"/>
                <w:szCs w:val="12"/>
                <w:color w:val="auto"/>
              </w:rPr>
              <w:t>AIP</w:t>
            </w:r>
          </w:p>
        </w:tc>
        <w:tc>
          <w:tcPr>
            <w:tcW w:w="900" w:type="dxa"/>
            <w:vAlign w:val="bottom"/>
            <w:tcBorders>
              <w:top w:val="single" w:sz="8" w:color="572C83"/>
              <w:bottom w:val="single" w:sz="8" w:color="572C83"/>
            </w:tcBorders>
          </w:tcPr>
          <w:p>
            <w:pPr>
              <w:jc w:val="right"/>
              <w:ind w:right="99"/>
              <w:spacing w:after="0"/>
              <w:rPr>
                <w:sz w:val="20"/>
                <w:szCs w:val="20"/>
                <w:color w:val="auto"/>
              </w:rPr>
            </w:pPr>
            <w:r>
              <w:rPr>
                <w:rFonts w:ascii="Arial" w:cs="Arial" w:eastAsia="Arial" w:hAnsi="Arial"/>
                <w:sz w:val="12"/>
                <w:szCs w:val="12"/>
                <w:color w:val="auto"/>
              </w:rPr>
              <w:t>484,000</w:t>
            </w:r>
          </w:p>
        </w:tc>
        <w:tc>
          <w:tcPr>
            <w:tcW w:w="880" w:type="dxa"/>
            <w:vAlign w:val="bottom"/>
            <w:tcBorders>
              <w:top w:val="single" w:sz="8" w:color="572C83"/>
              <w:bottom w:val="single" w:sz="8" w:color="572C83"/>
            </w:tcBorders>
          </w:tcPr>
          <w:p>
            <w:pPr>
              <w:jc w:val="right"/>
              <w:ind w:right="98"/>
              <w:spacing w:after="0"/>
              <w:rPr>
                <w:sz w:val="20"/>
                <w:szCs w:val="20"/>
                <w:color w:val="auto"/>
              </w:rPr>
            </w:pPr>
            <w:r>
              <w:rPr>
                <w:rFonts w:ascii="Arial" w:cs="Arial" w:eastAsia="Arial" w:hAnsi="Arial"/>
                <w:sz w:val="12"/>
                <w:szCs w:val="12"/>
                <w:color w:val="auto"/>
              </w:rPr>
              <w:t>968,000</w:t>
            </w:r>
          </w:p>
        </w:tc>
        <w:tc>
          <w:tcPr>
            <w:tcW w:w="820" w:type="dxa"/>
            <w:vAlign w:val="bottom"/>
            <w:tcBorders>
              <w:top w:val="single" w:sz="8" w:color="572C83"/>
              <w:bottom w:val="single" w:sz="8" w:color="572C83"/>
            </w:tcBorders>
          </w:tcPr>
          <w:p>
            <w:pPr>
              <w:jc w:val="right"/>
              <w:ind w:right="18"/>
              <w:spacing w:after="0"/>
              <w:rPr>
                <w:sz w:val="20"/>
                <w:szCs w:val="20"/>
                <w:color w:val="auto"/>
              </w:rPr>
            </w:pPr>
            <w:r>
              <w:rPr>
                <w:rFonts w:ascii="Arial" w:cs="Arial" w:eastAsia="Arial" w:hAnsi="Arial"/>
                <w:sz w:val="12"/>
                <w:szCs w:val="12"/>
                <w:color w:val="auto"/>
              </w:rPr>
              <w:t>1,936,000</w:t>
            </w:r>
          </w:p>
        </w:tc>
        <w:tc>
          <w:tcPr>
            <w:tcW w:w="820" w:type="dxa"/>
            <w:vAlign w:val="bottom"/>
            <w:tcBorders>
              <w:top w:val="single" w:sz="8" w:color="572C83"/>
              <w:bottom w:val="single" w:sz="8" w:color="572C83"/>
            </w:tcBorders>
          </w:tcPr>
          <w:p>
            <w:pPr>
              <w:jc w:val="right"/>
              <w:ind w:right="59"/>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572C83"/>
              <w:bottom w:val="single" w:sz="8" w:color="572C83"/>
            </w:tcBorders>
          </w:tcPr>
          <w:p>
            <w:pPr>
              <w:jc w:val="right"/>
              <w:ind w:right="98"/>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572C83"/>
              <w:bottom w:val="single" w:sz="8" w:color="572C83"/>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572C83"/>
              <w:bottom w:val="single" w:sz="8" w:color="572C83"/>
            </w:tcBorders>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572C83"/>
              <w:bottom w:val="single" w:sz="8" w:color="572C83"/>
            </w:tcBorders>
          </w:tcPr>
          <w:p>
            <w:pPr>
              <w:jc w:val="right"/>
              <w:ind w:right="98"/>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572C83"/>
              <w:bottom w:val="single" w:sz="8" w:color="572C83"/>
            </w:tcBorders>
          </w:tcPr>
          <w:p>
            <w:pPr>
              <w:jc w:val="right"/>
              <w:ind w:right="38"/>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572C83"/>
              <w:bottom w:val="single" w:sz="8" w:color="572C83"/>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02/24/2022</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Performance</w:t>
            </w: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23,205</w:t>
            </w: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46,410</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92,820</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2,871,387</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Share Units</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680" w:type="dxa"/>
            <w:vAlign w:val="bottom"/>
            <w:tcBorders>
              <w:bottom w:val="single" w:sz="8" w:color="572C83"/>
            </w:tcBorders>
          </w:tcPr>
          <w:p>
            <w:pPr>
              <w:spacing w:after="0" w:line="20" w:lineRule="exact"/>
              <w:rPr>
                <w:sz w:val="1"/>
                <w:szCs w:val="1"/>
                <w:color w:val="auto"/>
              </w:rPr>
            </w:pPr>
          </w:p>
        </w:tc>
        <w:tc>
          <w:tcPr>
            <w:tcW w:w="1040" w:type="dxa"/>
            <w:vAlign w:val="bottom"/>
            <w:tcBorders>
              <w:bottom w:val="single" w:sz="8" w:color="572C83"/>
            </w:tcBorders>
            <w:gridSpan w:val="2"/>
          </w:tcPr>
          <w:p>
            <w:pPr>
              <w:spacing w:after="0" w:line="20" w:lineRule="exact"/>
              <w:rPr>
                <w:sz w:val="1"/>
                <w:szCs w:val="1"/>
                <w:color w:val="auto"/>
              </w:rPr>
            </w:pPr>
          </w:p>
        </w:tc>
        <w:tc>
          <w:tcPr>
            <w:tcW w:w="900" w:type="dxa"/>
            <w:vAlign w:val="bottom"/>
            <w:tcBorders>
              <w:bottom w:val="single" w:sz="8" w:color="572C83"/>
            </w:tcBorders>
          </w:tcPr>
          <w:p>
            <w:pPr>
              <w:spacing w:after="0" w:line="20" w:lineRule="exact"/>
              <w:rPr>
                <w:sz w:val="1"/>
                <w:szCs w:val="1"/>
                <w:color w:val="auto"/>
              </w:rPr>
            </w:pPr>
          </w:p>
        </w:tc>
        <w:tc>
          <w:tcPr>
            <w:tcW w:w="880" w:type="dxa"/>
            <w:vAlign w:val="bottom"/>
            <w:tcBorders>
              <w:bottom w:val="single" w:sz="8" w:color="572C83"/>
            </w:tcBorders>
          </w:tcPr>
          <w:p>
            <w:pPr>
              <w:spacing w:after="0" w:line="20" w:lineRule="exact"/>
              <w:rPr>
                <w:sz w:val="1"/>
                <w:szCs w:val="1"/>
                <w:color w:val="auto"/>
              </w:rPr>
            </w:pPr>
          </w:p>
        </w:tc>
        <w:tc>
          <w:tcPr>
            <w:tcW w:w="820" w:type="dxa"/>
            <w:vAlign w:val="bottom"/>
            <w:tcBorders>
              <w:bottom w:val="single" w:sz="8" w:color="572C83"/>
            </w:tcBorders>
          </w:tcPr>
          <w:p>
            <w:pPr>
              <w:spacing w:after="0" w:line="20" w:lineRule="exact"/>
              <w:rPr>
                <w:sz w:val="1"/>
                <w:szCs w:val="1"/>
                <w:color w:val="auto"/>
              </w:rPr>
            </w:pPr>
          </w:p>
        </w:tc>
        <w:tc>
          <w:tcPr>
            <w:tcW w:w="820" w:type="dxa"/>
            <w:vAlign w:val="bottom"/>
            <w:tcBorders>
              <w:bottom w:val="single" w:sz="8" w:color="572C83"/>
            </w:tcBorders>
          </w:tcPr>
          <w:p>
            <w:pPr>
              <w:spacing w:after="0" w:line="20" w:lineRule="exact"/>
              <w:rPr>
                <w:sz w:val="1"/>
                <w:szCs w:val="1"/>
                <w:color w:val="auto"/>
              </w:rPr>
            </w:pPr>
          </w:p>
        </w:tc>
        <w:tc>
          <w:tcPr>
            <w:tcW w:w="720" w:type="dxa"/>
            <w:vAlign w:val="bottom"/>
            <w:tcBorders>
              <w:bottom w:val="single" w:sz="8" w:color="572C83"/>
            </w:tcBorders>
          </w:tcPr>
          <w:p>
            <w:pPr>
              <w:spacing w:after="0" w:line="20" w:lineRule="exact"/>
              <w:rPr>
                <w:sz w:val="1"/>
                <w:szCs w:val="1"/>
                <w:color w:val="auto"/>
              </w:rPr>
            </w:pPr>
          </w:p>
        </w:tc>
        <w:tc>
          <w:tcPr>
            <w:tcW w:w="620" w:type="dxa"/>
            <w:vAlign w:val="bottom"/>
            <w:tcBorders>
              <w:bottom w:val="single" w:sz="8" w:color="572C83"/>
            </w:tcBorders>
          </w:tcPr>
          <w:p>
            <w:pPr>
              <w:spacing w:after="0" w:line="20" w:lineRule="exact"/>
              <w:rPr>
                <w:sz w:val="1"/>
                <w:szCs w:val="1"/>
                <w:color w:val="auto"/>
              </w:rPr>
            </w:pPr>
          </w:p>
        </w:tc>
        <w:tc>
          <w:tcPr>
            <w:tcW w:w="120" w:type="dxa"/>
            <w:vAlign w:val="bottom"/>
            <w:tcBorders>
              <w:bottom w:val="single" w:sz="8" w:color="572C83"/>
            </w:tcBorders>
          </w:tcPr>
          <w:p>
            <w:pPr>
              <w:spacing w:after="0" w:line="20" w:lineRule="exact"/>
              <w:rPr>
                <w:sz w:val="1"/>
                <w:szCs w:val="1"/>
                <w:color w:val="auto"/>
              </w:rPr>
            </w:pPr>
          </w:p>
        </w:tc>
        <w:tc>
          <w:tcPr>
            <w:tcW w:w="880" w:type="dxa"/>
            <w:vAlign w:val="bottom"/>
            <w:tcBorders>
              <w:bottom w:val="single" w:sz="8" w:color="572C83"/>
            </w:tcBorders>
          </w:tcPr>
          <w:p>
            <w:pPr>
              <w:spacing w:after="0" w:line="20" w:lineRule="exact"/>
              <w:rPr>
                <w:sz w:val="1"/>
                <w:szCs w:val="1"/>
                <w:color w:val="auto"/>
              </w:rPr>
            </w:pPr>
          </w:p>
        </w:tc>
        <w:tc>
          <w:tcPr>
            <w:tcW w:w="940" w:type="dxa"/>
            <w:vAlign w:val="bottom"/>
            <w:tcBorders>
              <w:bottom w:val="single" w:sz="8" w:color="572C83"/>
            </w:tcBorders>
          </w:tcPr>
          <w:p>
            <w:pPr>
              <w:spacing w:after="0" w:line="20" w:lineRule="exact"/>
              <w:rPr>
                <w:sz w:val="1"/>
                <w:szCs w:val="1"/>
                <w:color w:val="auto"/>
              </w:rPr>
            </w:pPr>
          </w:p>
        </w:tc>
        <w:tc>
          <w:tcPr>
            <w:tcW w:w="840" w:type="dxa"/>
            <w:vAlign w:val="bottom"/>
            <w:tcBorders>
              <w:bottom w:val="single" w:sz="8" w:color="572C83"/>
            </w:tcBorders>
          </w:tcPr>
          <w:p>
            <w:pPr>
              <w:spacing w:after="0" w:line="20" w:lineRule="exact"/>
              <w:rPr>
                <w:sz w:val="1"/>
                <w:szCs w:val="1"/>
                <w:color w:val="auto"/>
              </w:rPr>
            </w:pPr>
          </w:p>
        </w:tc>
        <w:tc>
          <w:tcPr>
            <w:tcW w:w="780" w:type="dxa"/>
            <w:vAlign w:val="bottom"/>
            <w:tcBorders>
              <w:bottom w:val="single" w:sz="8" w:color="572C8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02/24/2022</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Stock Options</w:t>
            </w: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98"/>
              <w:spacing w:after="0"/>
              <w:rPr>
                <w:sz w:val="20"/>
                <w:szCs w:val="20"/>
                <w:color w:val="auto"/>
              </w:rPr>
            </w:pPr>
            <w:r>
              <w:rPr>
                <w:rFonts w:ascii="Arial" w:cs="Arial" w:eastAsia="Arial" w:hAnsi="Arial"/>
                <w:sz w:val="12"/>
                <w:szCs w:val="12"/>
                <w:color w:val="auto"/>
              </w:rPr>
              <w:t>77,340</w:t>
            </w: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64.65</w:t>
            </w:r>
          </w:p>
        </w:tc>
        <w:tc>
          <w:tcPr>
            <w:tcW w:w="780" w:type="dxa"/>
            <w:vAlign w:val="bottom"/>
          </w:tcPr>
          <w:p>
            <w:pPr>
              <w:jc w:val="right"/>
              <w:spacing w:after="0"/>
              <w:rPr>
                <w:sz w:val="20"/>
                <w:szCs w:val="20"/>
                <w:color w:val="auto"/>
              </w:rPr>
            </w:pPr>
            <w:r>
              <w:rPr>
                <w:rFonts w:ascii="Arial" w:cs="Arial" w:eastAsia="Arial" w:hAnsi="Arial"/>
                <w:sz w:val="12"/>
                <w:szCs w:val="12"/>
                <w:color w:val="auto"/>
              </w:rPr>
              <w:t>869,302</w:t>
            </w:r>
          </w:p>
        </w:tc>
        <w:tc>
          <w:tcPr>
            <w:tcW w:w="0" w:type="dxa"/>
            <w:vAlign w:val="bottom"/>
          </w:tcPr>
          <w:p>
            <w:pPr>
              <w:spacing w:after="0"/>
              <w:rPr>
                <w:sz w:val="1"/>
                <w:szCs w:val="1"/>
                <w:color w:val="auto"/>
              </w:rPr>
            </w:pPr>
          </w:p>
        </w:tc>
      </w:tr>
      <w:tr>
        <w:trPr>
          <w:trHeight w:val="22"/>
        </w:trPr>
        <w:tc>
          <w:tcPr>
            <w:tcW w:w="1200" w:type="dxa"/>
            <w:vAlign w:val="bottom"/>
            <w:tcBorders>
              <w:bottom w:val="single" w:sz="8" w:color="572C83"/>
            </w:tcBorders>
          </w:tcPr>
          <w:p>
            <w:pPr>
              <w:spacing w:after="0" w:line="20" w:lineRule="exact"/>
              <w:rPr>
                <w:sz w:val="1"/>
                <w:szCs w:val="1"/>
                <w:color w:val="auto"/>
              </w:rPr>
            </w:pPr>
          </w:p>
        </w:tc>
        <w:tc>
          <w:tcPr>
            <w:tcW w:w="680" w:type="dxa"/>
            <w:vAlign w:val="bottom"/>
            <w:tcBorders>
              <w:bottom w:val="single" w:sz="8" w:color="572C83"/>
            </w:tcBorders>
          </w:tcPr>
          <w:p>
            <w:pPr>
              <w:spacing w:after="0" w:line="20" w:lineRule="exact"/>
              <w:rPr>
                <w:sz w:val="1"/>
                <w:szCs w:val="1"/>
                <w:color w:val="auto"/>
              </w:rPr>
            </w:pPr>
          </w:p>
        </w:tc>
        <w:tc>
          <w:tcPr>
            <w:tcW w:w="1040" w:type="dxa"/>
            <w:vAlign w:val="bottom"/>
            <w:tcBorders>
              <w:bottom w:val="single" w:sz="8" w:color="572C83"/>
            </w:tcBorders>
            <w:gridSpan w:val="2"/>
          </w:tcPr>
          <w:p>
            <w:pPr>
              <w:spacing w:after="0" w:line="20" w:lineRule="exact"/>
              <w:rPr>
                <w:sz w:val="1"/>
                <w:szCs w:val="1"/>
                <w:color w:val="auto"/>
              </w:rPr>
            </w:pPr>
          </w:p>
        </w:tc>
        <w:tc>
          <w:tcPr>
            <w:tcW w:w="900" w:type="dxa"/>
            <w:vAlign w:val="bottom"/>
            <w:tcBorders>
              <w:bottom w:val="single" w:sz="8" w:color="572C83"/>
            </w:tcBorders>
          </w:tcPr>
          <w:p>
            <w:pPr>
              <w:spacing w:after="0" w:line="20" w:lineRule="exact"/>
              <w:rPr>
                <w:sz w:val="1"/>
                <w:szCs w:val="1"/>
                <w:color w:val="auto"/>
              </w:rPr>
            </w:pPr>
          </w:p>
        </w:tc>
        <w:tc>
          <w:tcPr>
            <w:tcW w:w="880" w:type="dxa"/>
            <w:vAlign w:val="bottom"/>
            <w:tcBorders>
              <w:bottom w:val="single" w:sz="8" w:color="572C83"/>
            </w:tcBorders>
          </w:tcPr>
          <w:p>
            <w:pPr>
              <w:spacing w:after="0" w:line="20" w:lineRule="exact"/>
              <w:rPr>
                <w:sz w:val="1"/>
                <w:szCs w:val="1"/>
                <w:color w:val="auto"/>
              </w:rPr>
            </w:pPr>
          </w:p>
        </w:tc>
        <w:tc>
          <w:tcPr>
            <w:tcW w:w="820" w:type="dxa"/>
            <w:vAlign w:val="bottom"/>
            <w:tcBorders>
              <w:bottom w:val="single" w:sz="8" w:color="572C83"/>
            </w:tcBorders>
          </w:tcPr>
          <w:p>
            <w:pPr>
              <w:spacing w:after="0" w:line="20" w:lineRule="exact"/>
              <w:rPr>
                <w:sz w:val="1"/>
                <w:szCs w:val="1"/>
                <w:color w:val="auto"/>
              </w:rPr>
            </w:pPr>
          </w:p>
        </w:tc>
        <w:tc>
          <w:tcPr>
            <w:tcW w:w="820" w:type="dxa"/>
            <w:vAlign w:val="bottom"/>
            <w:tcBorders>
              <w:bottom w:val="single" w:sz="8" w:color="572C83"/>
            </w:tcBorders>
          </w:tcPr>
          <w:p>
            <w:pPr>
              <w:spacing w:after="0" w:line="20" w:lineRule="exact"/>
              <w:rPr>
                <w:sz w:val="1"/>
                <w:szCs w:val="1"/>
                <w:color w:val="auto"/>
              </w:rPr>
            </w:pPr>
          </w:p>
        </w:tc>
        <w:tc>
          <w:tcPr>
            <w:tcW w:w="720" w:type="dxa"/>
            <w:vAlign w:val="bottom"/>
            <w:tcBorders>
              <w:bottom w:val="single" w:sz="8" w:color="572C83"/>
            </w:tcBorders>
          </w:tcPr>
          <w:p>
            <w:pPr>
              <w:spacing w:after="0" w:line="20" w:lineRule="exact"/>
              <w:rPr>
                <w:sz w:val="1"/>
                <w:szCs w:val="1"/>
                <w:color w:val="auto"/>
              </w:rPr>
            </w:pPr>
          </w:p>
        </w:tc>
        <w:tc>
          <w:tcPr>
            <w:tcW w:w="620" w:type="dxa"/>
            <w:vAlign w:val="bottom"/>
            <w:tcBorders>
              <w:bottom w:val="single" w:sz="8" w:color="572C83"/>
            </w:tcBorders>
          </w:tcPr>
          <w:p>
            <w:pPr>
              <w:spacing w:after="0" w:line="20" w:lineRule="exact"/>
              <w:rPr>
                <w:sz w:val="1"/>
                <w:szCs w:val="1"/>
                <w:color w:val="auto"/>
              </w:rPr>
            </w:pPr>
          </w:p>
        </w:tc>
        <w:tc>
          <w:tcPr>
            <w:tcW w:w="120" w:type="dxa"/>
            <w:vAlign w:val="bottom"/>
            <w:tcBorders>
              <w:bottom w:val="single" w:sz="8" w:color="572C83"/>
            </w:tcBorders>
          </w:tcPr>
          <w:p>
            <w:pPr>
              <w:spacing w:after="0" w:line="20" w:lineRule="exact"/>
              <w:rPr>
                <w:sz w:val="1"/>
                <w:szCs w:val="1"/>
                <w:color w:val="auto"/>
              </w:rPr>
            </w:pPr>
          </w:p>
        </w:tc>
        <w:tc>
          <w:tcPr>
            <w:tcW w:w="880" w:type="dxa"/>
            <w:vAlign w:val="bottom"/>
            <w:tcBorders>
              <w:bottom w:val="single" w:sz="8" w:color="572C83"/>
            </w:tcBorders>
          </w:tcPr>
          <w:p>
            <w:pPr>
              <w:spacing w:after="0" w:line="20" w:lineRule="exact"/>
              <w:rPr>
                <w:sz w:val="1"/>
                <w:szCs w:val="1"/>
                <w:color w:val="auto"/>
              </w:rPr>
            </w:pPr>
          </w:p>
        </w:tc>
        <w:tc>
          <w:tcPr>
            <w:tcW w:w="940" w:type="dxa"/>
            <w:vAlign w:val="bottom"/>
            <w:tcBorders>
              <w:bottom w:val="single" w:sz="8" w:color="572C83"/>
            </w:tcBorders>
          </w:tcPr>
          <w:p>
            <w:pPr>
              <w:spacing w:after="0" w:line="20" w:lineRule="exact"/>
              <w:rPr>
                <w:sz w:val="1"/>
                <w:szCs w:val="1"/>
                <w:color w:val="auto"/>
              </w:rPr>
            </w:pPr>
          </w:p>
        </w:tc>
        <w:tc>
          <w:tcPr>
            <w:tcW w:w="840" w:type="dxa"/>
            <w:vAlign w:val="bottom"/>
            <w:tcBorders>
              <w:bottom w:val="single" w:sz="8" w:color="572C83"/>
            </w:tcBorders>
          </w:tcPr>
          <w:p>
            <w:pPr>
              <w:spacing w:after="0" w:line="20" w:lineRule="exact"/>
              <w:rPr>
                <w:sz w:val="1"/>
                <w:szCs w:val="1"/>
                <w:color w:val="auto"/>
              </w:rPr>
            </w:pPr>
          </w:p>
        </w:tc>
        <w:tc>
          <w:tcPr>
            <w:tcW w:w="780" w:type="dxa"/>
            <w:vAlign w:val="bottom"/>
            <w:tcBorders>
              <w:bottom w:val="single" w:sz="8" w:color="572C8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120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2"/>
                <w:szCs w:val="12"/>
                <w:b w:val="1"/>
                <w:bCs w:val="1"/>
                <w:color w:val="auto"/>
              </w:rPr>
              <w:t>Brusadelli,</w:t>
            </w:r>
          </w:p>
        </w:tc>
        <w:tc>
          <w:tcPr>
            <w:tcW w:w="680" w:type="dxa"/>
            <w:vAlign w:val="bottom"/>
            <w:tcBorders>
              <w:bottom w:val="single" w:sz="8" w:color="EBE6F0"/>
            </w:tcBorders>
            <w:shd w:val="clear" w:color="auto" w:fill="EBE6F0"/>
          </w:tcPr>
          <w:p>
            <w:pPr>
              <w:spacing w:after="0"/>
              <w:rPr>
                <w:sz w:val="17"/>
                <w:szCs w:val="17"/>
                <w:color w:val="auto"/>
              </w:rPr>
            </w:pPr>
          </w:p>
        </w:tc>
        <w:tc>
          <w:tcPr>
            <w:tcW w:w="1040" w:type="dxa"/>
            <w:vAlign w:val="bottom"/>
            <w:tcBorders>
              <w:bottom w:val="single" w:sz="8" w:color="EBE6F0"/>
            </w:tcBorders>
            <w:gridSpan w:val="2"/>
            <w:shd w:val="clear" w:color="auto" w:fill="EBE6F0"/>
          </w:tcPr>
          <w:p>
            <w:pPr>
              <w:jc w:val="right"/>
              <w:ind w:right="140"/>
              <w:spacing w:after="0"/>
              <w:rPr>
                <w:sz w:val="20"/>
                <w:szCs w:val="20"/>
                <w:color w:val="auto"/>
              </w:rPr>
            </w:pPr>
            <w:r>
              <w:rPr>
                <w:rFonts w:ascii="Arial" w:cs="Arial" w:eastAsia="Arial" w:hAnsi="Arial"/>
                <w:sz w:val="12"/>
                <w:szCs w:val="12"/>
                <w:color w:val="auto"/>
              </w:rPr>
              <w:t>AIP</w:t>
            </w:r>
          </w:p>
        </w:tc>
        <w:tc>
          <w:tcPr>
            <w:tcW w:w="900" w:type="dxa"/>
            <w:vAlign w:val="bottom"/>
            <w:tcBorders>
              <w:bottom w:val="single" w:sz="8" w:color="EBE6F0"/>
            </w:tcBorders>
            <w:shd w:val="clear" w:color="auto" w:fill="EBE6F0"/>
          </w:tcPr>
          <w:p>
            <w:pPr>
              <w:jc w:val="right"/>
              <w:ind w:right="99"/>
              <w:spacing w:after="0"/>
              <w:rPr>
                <w:sz w:val="20"/>
                <w:szCs w:val="20"/>
                <w:color w:val="auto"/>
              </w:rPr>
            </w:pPr>
            <w:r>
              <w:rPr>
                <w:rFonts w:ascii="Arial" w:cs="Arial" w:eastAsia="Arial" w:hAnsi="Arial"/>
                <w:sz w:val="12"/>
                <w:szCs w:val="12"/>
                <w:color w:val="auto"/>
              </w:rPr>
              <w:t>333,056</w:t>
            </w:r>
          </w:p>
        </w:tc>
        <w:tc>
          <w:tcPr>
            <w:tcW w:w="880" w:type="dxa"/>
            <w:vAlign w:val="bottom"/>
            <w:tcBorders>
              <w:bottom w:val="single" w:sz="8" w:color="EBE6F0"/>
            </w:tcBorders>
            <w:shd w:val="clear" w:color="auto" w:fill="EBE6F0"/>
          </w:tcPr>
          <w:p>
            <w:pPr>
              <w:jc w:val="right"/>
              <w:ind w:right="98"/>
              <w:spacing w:after="0"/>
              <w:rPr>
                <w:sz w:val="20"/>
                <w:szCs w:val="20"/>
                <w:color w:val="auto"/>
              </w:rPr>
            </w:pPr>
            <w:r>
              <w:rPr>
                <w:rFonts w:ascii="Arial" w:cs="Arial" w:eastAsia="Arial" w:hAnsi="Arial"/>
                <w:sz w:val="12"/>
                <w:szCs w:val="12"/>
                <w:color w:val="auto"/>
              </w:rPr>
              <w:t>666,112</w:t>
            </w:r>
          </w:p>
        </w:tc>
        <w:tc>
          <w:tcPr>
            <w:tcW w:w="820" w:type="dxa"/>
            <w:vAlign w:val="bottom"/>
            <w:tcBorders>
              <w:bottom w:val="single" w:sz="8" w:color="EBE6F0"/>
            </w:tcBorders>
            <w:shd w:val="clear" w:color="auto" w:fill="EBE6F0"/>
          </w:tcPr>
          <w:p>
            <w:pPr>
              <w:jc w:val="right"/>
              <w:ind w:right="18"/>
              <w:spacing w:after="0"/>
              <w:rPr>
                <w:sz w:val="20"/>
                <w:szCs w:val="20"/>
                <w:color w:val="auto"/>
              </w:rPr>
            </w:pPr>
            <w:r>
              <w:rPr>
                <w:rFonts w:ascii="Arial" w:cs="Arial" w:eastAsia="Arial" w:hAnsi="Arial"/>
                <w:sz w:val="12"/>
                <w:szCs w:val="12"/>
                <w:color w:val="auto"/>
              </w:rPr>
              <w:t>1,332,224</w:t>
            </w:r>
          </w:p>
        </w:tc>
        <w:tc>
          <w:tcPr>
            <w:tcW w:w="820" w:type="dxa"/>
            <w:vAlign w:val="bottom"/>
            <w:tcBorders>
              <w:bottom w:val="single" w:sz="8" w:color="EBE6F0"/>
            </w:tcBorders>
            <w:shd w:val="clear" w:color="auto" w:fill="EBE6F0"/>
          </w:tcPr>
          <w:p>
            <w:pPr>
              <w:jc w:val="right"/>
              <w:ind w:right="5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EBE6F0"/>
            </w:tcBorders>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EBE6F0"/>
            </w:tcBorders>
            <w:gridSpan w:val="2"/>
            <w:shd w:val="clear" w:color="auto" w:fill="EBE6F0"/>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EBE6F0"/>
            </w:tcBorders>
            <w:shd w:val="clear" w:color="auto" w:fill="EBE6F0"/>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EBE6F0"/>
            </w:tcBorders>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EBE6F0"/>
            </w:tcBorders>
            <w:shd w:val="clear" w:color="auto" w:fill="EBE6F0"/>
          </w:tcPr>
          <w:p>
            <w:pPr>
              <w:jc w:val="right"/>
              <w:ind w:right="38"/>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0"/>
        </w:trPr>
        <w:tc>
          <w:tcPr>
            <w:tcW w:w="1200" w:type="dxa"/>
            <w:vAlign w:val="bottom"/>
            <w:tcBorders>
              <w:top w:val="single" w:sz="8" w:color="EBE6F0"/>
            </w:tcBorders>
            <w:shd w:val="clear" w:color="auto" w:fill="EBE6F0"/>
          </w:tcPr>
          <w:p>
            <w:pPr>
              <w:ind w:left="60"/>
              <w:spacing w:after="0" w:line="101" w:lineRule="exact"/>
              <w:rPr>
                <w:sz w:val="20"/>
                <w:szCs w:val="20"/>
                <w:color w:val="auto"/>
              </w:rPr>
            </w:pPr>
            <w:r>
              <w:rPr>
                <w:rFonts w:ascii="Arial" w:cs="Arial" w:eastAsia="Arial" w:hAnsi="Arial"/>
                <w:sz w:val="11"/>
                <w:szCs w:val="11"/>
                <w:b w:val="1"/>
                <w:bCs w:val="1"/>
                <w:color w:val="auto"/>
              </w:rPr>
              <w:t>Maurizio</w:t>
            </w:r>
          </w:p>
        </w:tc>
        <w:tc>
          <w:tcPr>
            <w:tcW w:w="68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2"/>
                <w:szCs w:val="12"/>
                <w:color w:val="auto"/>
              </w:rPr>
              <w:t>02/24/2022</w:t>
            </w:r>
          </w:p>
        </w:tc>
        <w:tc>
          <w:tcPr>
            <w:tcW w:w="90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2"/>
                <w:szCs w:val="12"/>
                <w:color w:val="auto"/>
              </w:rPr>
              <w:t>Performance</w:t>
            </w:r>
          </w:p>
        </w:tc>
        <w:tc>
          <w:tcPr>
            <w:tcW w:w="140" w:type="dxa"/>
            <w:vAlign w:val="bottom"/>
            <w:tcBorders>
              <w:top w:val="single" w:sz="8" w:color="572C83"/>
            </w:tcBorders>
            <w:shd w:val="clear" w:color="auto" w:fill="EBE6F0"/>
          </w:tcPr>
          <w:p>
            <w:pPr>
              <w:spacing w:after="0"/>
              <w:rPr>
                <w:sz w:val="8"/>
                <w:szCs w:val="8"/>
                <w:color w:val="auto"/>
              </w:rPr>
            </w:pPr>
          </w:p>
        </w:tc>
        <w:tc>
          <w:tcPr>
            <w:tcW w:w="900" w:type="dxa"/>
            <w:vAlign w:val="bottom"/>
            <w:tcBorders>
              <w:top w:val="single" w:sz="8" w:color="572C83"/>
            </w:tcBorders>
            <w:vMerge w:val="restart"/>
            <w:shd w:val="clear" w:color="auto" w:fill="EBE6F0"/>
          </w:tcPr>
          <w:p>
            <w:pPr>
              <w:jc w:val="right"/>
              <w:ind w:right="99"/>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572C83"/>
            </w:tcBorders>
            <w:vMerge w:val="restart"/>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572C83"/>
            </w:tcBorders>
            <w:vMerge w:val="restart"/>
            <w:shd w:val="clear" w:color="auto" w:fill="EBE6F0"/>
          </w:tcPr>
          <w:p>
            <w:pPr>
              <w:jc w:val="right"/>
              <w:ind w:right="18"/>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572C83"/>
            </w:tcBorders>
            <w:vMerge w:val="restart"/>
            <w:shd w:val="clear" w:color="auto" w:fill="EBE6F0"/>
          </w:tcPr>
          <w:p>
            <w:pPr>
              <w:jc w:val="right"/>
              <w:ind w:right="59"/>
              <w:spacing w:after="0"/>
              <w:rPr>
                <w:sz w:val="20"/>
                <w:szCs w:val="20"/>
                <w:color w:val="auto"/>
              </w:rPr>
            </w:pPr>
            <w:r>
              <w:rPr>
                <w:rFonts w:ascii="Arial" w:cs="Arial" w:eastAsia="Arial" w:hAnsi="Arial"/>
                <w:sz w:val="12"/>
                <w:szCs w:val="12"/>
                <w:color w:val="auto"/>
              </w:rPr>
              <w:t>16,245</w:t>
            </w:r>
          </w:p>
        </w:tc>
        <w:tc>
          <w:tcPr>
            <w:tcW w:w="720" w:type="dxa"/>
            <w:vAlign w:val="bottom"/>
            <w:tcBorders>
              <w:top w:val="single" w:sz="8" w:color="572C83"/>
            </w:tcBorders>
            <w:vMerge w:val="restart"/>
            <w:shd w:val="clear" w:color="auto" w:fill="EBE6F0"/>
          </w:tcPr>
          <w:p>
            <w:pPr>
              <w:jc w:val="right"/>
              <w:ind w:right="98"/>
              <w:spacing w:after="0"/>
              <w:rPr>
                <w:sz w:val="20"/>
                <w:szCs w:val="20"/>
                <w:color w:val="auto"/>
              </w:rPr>
            </w:pPr>
            <w:r>
              <w:rPr>
                <w:rFonts w:ascii="Arial" w:cs="Arial" w:eastAsia="Arial" w:hAnsi="Arial"/>
                <w:sz w:val="12"/>
                <w:szCs w:val="12"/>
                <w:color w:val="auto"/>
              </w:rPr>
              <w:t>32,490</w:t>
            </w:r>
          </w:p>
        </w:tc>
        <w:tc>
          <w:tcPr>
            <w:tcW w:w="740" w:type="dxa"/>
            <w:vAlign w:val="bottom"/>
            <w:tcBorders>
              <w:top w:val="single" w:sz="8" w:color="572C83"/>
            </w:tcBorders>
            <w:gridSpan w:val="2"/>
            <w:vMerge w:val="restart"/>
            <w:shd w:val="clear" w:color="auto" w:fill="EBE6F0"/>
          </w:tcPr>
          <w:p>
            <w:pPr>
              <w:jc w:val="right"/>
              <w:ind w:right="120"/>
              <w:spacing w:after="0"/>
              <w:rPr>
                <w:sz w:val="20"/>
                <w:szCs w:val="20"/>
                <w:color w:val="auto"/>
              </w:rPr>
            </w:pPr>
            <w:r>
              <w:rPr>
                <w:rFonts w:ascii="Arial" w:cs="Arial" w:eastAsia="Arial" w:hAnsi="Arial"/>
                <w:sz w:val="12"/>
                <w:szCs w:val="12"/>
                <w:color w:val="auto"/>
              </w:rPr>
              <w:t>64,980</w:t>
            </w:r>
          </w:p>
        </w:tc>
        <w:tc>
          <w:tcPr>
            <w:tcW w:w="880" w:type="dxa"/>
            <w:vAlign w:val="bottom"/>
            <w:tcBorders>
              <w:top w:val="single" w:sz="8" w:color="572C83"/>
            </w:tcBorders>
            <w:vMerge w:val="restart"/>
            <w:shd w:val="clear" w:color="auto" w:fill="EBE6F0"/>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572C83"/>
            </w:tcBorders>
            <w:vMerge w:val="restart"/>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572C83"/>
            </w:tcBorders>
            <w:vMerge w:val="restart"/>
            <w:shd w:val="clear" w:color="auto" w:fill="EBE6F0"/>
          </w:tcPr>
          <w:p>
            <w:pPr>
              <w:jc w:val="right"/>
              <w:ind w:right="38"/>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2"/>
                <w:szCs w:val="12"/>
                <w:color w:val="auto"/>
              </w:rPr>
              <w:t>2,010,156</w:t>
            </w:r>
          </w:p>
        </w:tc>
        <w:tc>
          <w:tcPr>
            <w:tcW w:w="0" w:type="dxa"/>
            <w:vAlign w:val="bottom"/>
          </w:tcPr>
          <w:p>
            <w:pPr>
              <w:spacing w:after="0"/>
              <w:rPr>
                <w:sz w:val="1"/>
                <w:szCs w:val="1"/>
                <w:color w:val="auto"/>
              </w:rPr>
            </w:pPr>
          </w:p>
        </w:tc>
      </w:tr>
      <w:tr>
        <w:trPr>
          <w:trHeight w:val="53"/>
        </w:trPr>
        <w:tc>
          <w:tcPr>
            <w:tcW w:w="1200" w:type="dxa"/>
            <w:vAlign w:val="bottom"/>
            <w:shd w:val="clear" w:color="auto" w:fill="EBE6F0"/>
          </w:tcPr>
          <w:p>
            <w:pPr>
              <w:spacing w:after="0"/>
              <w:rPr>
                <w:sz w:val="4"/>
                <w:szCs w:val="4"/>
                <w:color w:val="auto"/>
              </w:rPr>
            </w:pPr>
          </w:p>
        </w:tc>
        <w:tc>
          <w:tcPr>
            <w:tcW w:w="680" w:type="dxa"/>
            <w:vAlign w:val="bottom"/>
            <w:vMerge w:val="continue"/>
            <w:shd w:val="clear" w:color="auto" w:fill="EBE6F0"/>
          </w:tcPr>
          <w:p>
            <w:pPr>
              <w:spacing w:after="0"/>
              <w:rPr>
                <w:sz w:val="4"/>
                <w:szCs w:val="4"/>
                <w:color w:val="auto"/>
              </w:rPr>
            </w:pPr>
          </w:p>
        </w:tc>
        <w:tc>
          <w:tcPr>
            <w:tcW w:w="900" w:type="dxa"/>
            <w:vAlign w:val="bottom"/>
            <w:vMerge w:val="continue"/>
            <w:shd w:val="clear" w:color="auto" w:fill="EBE6F0"/>
          </w:tcPr>
          <w:p>
            <w:pPr>
              <w:spacing w:after="0"/>
              <w:rPr>
                <w:sz w:val="4"/>
                <w:szCs w:val="4"/>
                <w:color w:val="auto"/>
              </w:rPr>
            </w:pPr>
          </w:p>
        </w:tc>
        <w:tc>
          <w:tcPr>
            <w:tcW w:w="140" w:type="dxa"/>
            <w:vAlign w:val="bottom"/>
            <w:shd w:val="clear" w:color="auto" w:fill="EBE6F0"/>
          </w:tcPr>
          <w:p>
            <w:pPr>
              <w:spacing w:after="0"/>
              <w:rPr>
                <w:sz w:val="4"/>
                <w:szCs w:val="4"/>
                <w:color w:val="auto"/>
              </w:rPr>
            </w:pPr>
          </w:p>
        </w:tc>
        <w:tc>
          <w:tcPr>
            <w:tcW w:w="900" w:type="dxa"/>
            <w:vAlign w:val="bottom"/>
            <w:vMerge w:val="continue"/>
            <w:shd w:val="clear" w:color="auto" w:fill="EBE6F0"/>
          </w:tcPr>
          <w:p>
            <w:pPr>
              <w:spacing w:after="0"/>
              <w:rPr>
                <w:sz w:val="4"/>
                <w:szCs w:val="4"/>
                <w:color w:val="auto"/>
              </w:rPr>
            </w:pPr>
          </w:p>
        </w:tc>
        <w:tc>
          <w:tcPr>
            <w:tcW w:w="880" w:type="dxa"/>
            <w:vAlign w:val="bottom"/>
            <w:vMerge w:val="continue"/>
            <w:shd w:val="clear" w:color="auto" w:fill="EBE6F0"/>
          </w:tcPr>
          <w:p>
            <w:pPr>
              <w:spacing w:after="0"/>
              <w:rPr>
                <w:sz w:val="4"/>
                <w:szCs w:val="4"/>
                <w:color w:val="auto"/>
              </w:rPr>
            </w:pPr>
          </w:p>
        </w:tc>
        <w:tc>
          <w:tcPr>
            <w:tcW w:w="820" w:type="dxa"/>
            <w:vAlign w:val="bottom"/>
            <w:vMerge w:val="continue"/>
            <w:shd w:val="clear" w:color="auto" w:fill="EBE6F0"/>
          </w:tcPr>
          <w:p>
            <w:pPr>
              <w:spacing w:after="0"/>
              <w:rPr>
                <w:sz w:val="4"/>
                <w:szCs w:val="4"/>
                <w:color w:val="auto"/>
              </w:rPr>
            </w:pPr>
          </w:p>
        </w:tc>
        <w:tc>
          <w:tcPr>
            <w:tcW w:w="820" w:type="dxa"/>
            <w:vAlign w:val="bottom"/>
            <w:vMerge w:val="continue"/>
            <w:shd w:val="clear" w:color="auto" w:fill="EBE6F0"/>
          </w:tcPr>
          <w:p>
            <w:pPr>
              <w:spacing w:after="0"/>
              <w:rPr>
                <w:sz w:val="4"/>
                <w:szCs w:val="4"/>
                <w:color w:val="auto"/>
              </w:rPr>
            </w:pPr>
          </w:p>
        </w:tc>
        <w:tc>
          <w:tcPr>
            <w:tcW w:w="720" w:type="dxa"/>
            <w:vAlign w:val="bottom"/>
            <w:vMerge w:val="continue"/>
            <w:shd w:val="clear" w:color="auto" w:fill="EBE6F0"/>
          </w:tcPr>
          <w:p>
            <w:pPr>
              <w:spacing w:after="0"/>
              <w:rPr>
                <w:sz w:val="4"/>
                <w:szCs w:val="4"/>
                <w:color w:val="auto"/>
              </w:rPr>
            </w:pPr>
          </w:p>
        </w:tc>
        <w:tc>
          <w:tcPr>
            <w:tcW w:w="740" w:type="dxa"/>
            <w:vAlign w:val="bottom"/>
            <w:gridSpan w:val="2"/>
            <w:vMerge w:val="continue"/>
            <w:shd w:val="clear" w:color="auto" w:fill="EBE6F0"/>
          </w:tcPr>
          <w:p>
            <w:pPr>
              <w:spacing w:after="0"/>
              <w:rPr>
                <w:sz w:val="4"/>
                <w:szCs w:val="4"/>
                <w:color w:val="auto"/>
              </w:rPr>
            </w:pPr>
          </w:p>
        </w:tc>
        <w:tc>
          <w:tcPr>
            <w:tcW w:w="880" w:type="dxa"/>
            <w:vAlign w:val="bottom"/>
            <w:vMerge w:val="continue"/>
            <w:shd w:val="clear" w:color="auto" w:fill="EBE6F0"/>
          </w:tcPr>
          <w:p>
            <w:pPr>
              <w:spacing w:after="0"/>
              <w:rPr>
                <w:sz w:val="4"/>
                <w:szCs w:val="4"/>
                <w:color w:val="auto"/>
              </w:rPr>
            </w:pPr>
          </w:p>
        </w:tc>
        <w:tc>
          <w:tcPr>
            <w:tcW w:w="940" w:type="dxa"/>
            <w:vAlign w:val="bottom"/>
            <w:vMerge w:val="continue"/>
            <w:shd w:val="clear" w:color="auto" w:fill="EBE6F0"/>
          </w:tcPr>
          <w:p>
            <w:pPr>
              <w:spacing w:after="0"/>
              <w:rPr>
                <w:sz w:val="4"/>
                <w:szCs w:val="4"/>
                <w:color w:val="auto"/>
              </w:rPr>
            </w:pPr>
          </w:p>
        </w:tc>
        <w:tc>
          <w:tcPr>
            <w:tcW w:w="840" w:type="dxa"/>
            <w:vAlign w:val="bottom"/>
            <w:vMerge w:val="continue"/>
            <w:shd w:val="clear" w:color="auto" w:fill="EBE6F0"/>
          </w:tcPr>
          <w:p>
            <w:pPr>
              <w:spacing w:after="0"/>
              <w:rPr>
                <w:sz w:val="4"/>
                <w:szCs w:val="4"/>
                <w:color w:val="auto"/>
              </w:rPr>
            </w:pPr>
          </w:p>
        </w:tc>
        <w:tc>
          <w:tcPr>
            <w:tcW w:w="780" w:type="dxa"/>
            <w:vAlign w:val="bottom"/>
            <w:vMerge w:val="continue"/>
            <w:shd w:val="clear" w:color="auto" w:fill="EBE6F0"/>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200" w:type="dxa"/>
            <w:vAlign w:val="bottom"/>
            <w:tcBorders>
              <w:bottom w:val="single" w:sz="8" w:color="EBE6F0"/>
            </w:tcBorders>
            <w:shd w:val="clear" w:color="auto" w:fill="EBE6F0"/>
          </w:tcPr>
          <w:p>
            <w:pPr>
              <w:spacing w:after="0"/>
              <w:rPr>
                <w:sz w:val="16"/>
                <w:szCs w:val="16"/>
                <w:color w:val="auto"/>
              </w:rPr>
            </w:pPr>
          </w:p>
        </w:tc>
        <w:tc>
          <w:tcPr>
            <w:tcW w:w="680" w:type="dxa"/>
            <w:vAlign w:val="bottom"/>
            <w:tcBorders>
              <w:bottom w:val="single" w:sz="8" w:color="EBE6F0"/>
            </w:tcBorders>
            <w:shd w:val="clear" w:color="auto" w:fill="EBE6F0"/>
          </w:tcPr>
          <w:p>
            <w:pPr>
              <w:spacing w:after="0"/>
              <w:rPr>
                <w:sz w:val="16"/>
                <w:szCs w:val="16"/>
                <w:color w:val="auto"/>
              </w:rPr>
            </w:pPr>
          </w:p>
        </w:tc>
        <w:tc>
          <w:tcPr>
            <w:tcW w:w="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2"/>
                <w:szCs w:val="12"/>
                <w:color w:val="auto"/>
              </w:rPr>
              <w:t>Share Units</w:t>
            </w:r>
          </w:p>
        </w:tc>
        <w:tc>
          <w:tcPr>
            <w:tcW w:w="140" w:type="dxa"/>
            <w:vAlign w:val="bottom"/>
            <w:tcBorders>
              <w:bottom w:val="single" w:sz="8" w:color="EBE6F0"/>
            </w:tcBorders>
            <w:shd w:val="clear" w:color="auto" w:fill="EBE6F0"/>
          </w:tcPr>
          <w:p>
            <w:pPr>
              <w:spacing w:after="0"/>
              <w:rPr>
                <w:sz w:val="16"/>
                <w:szCs w:val="16"/>
                <w:color w:val="auto"/>
              </w:rPr>
            </w:pPr>
          </w:p>
        </w:tc>
        <w:tc>
          <w:tcPr>
            <w:tcW w:w="900" w:type="dxa"/>
            <w:vAlign w:val="bottom"/>
            <w:tcBorders>
              <w:bottom w:val="single" w:sz="8" w:color="EBE6F0"/>
            </w:tcBorders>
            <w:shd w:val="clear" w:color="auto" w:fill="EBE6F0"/>
          </w:tcPr>
          <w:p>
            <w:pPr>
              <w:spacing w:after="0"/>
              <w:rPr>
                <w:sz w:val="16"/>
                <w:szCs w:val="16"/>
                <w:color w:val="auto"/>
              </w:rPr>
            </w:pPr>
          </w:p>
        </w:tc>
        <w:tc>
          <w:tcPr>
            <w:tcW w:w="880" w:type="dxa"/>
            <w:vAlign w:val="bottom"/>
            <w:tcBorders>
              <w:bottom w:val="single" w:sz="8" w:color="EBE6F0"/>
            </w:tcBorders>
            <w:shd w:val="clear" w:color="auto" w:fill="EBE6F0"/>
          </w:tcPr>
          <w:p>
            <w:pPr>
              <w:spacing w:after="0"/>
              <w:rPr>
                <w:sz w:val="16"/>
                <w:szCs w:val="16"/>
                <w:color w:val="auto"/>
              </w:rPr>
            </w:pPr>
          </w:p>
        </w:tc>
        <w:tc>
          <w:tcPr>
            <w:tcW w:w="820" w:type="dxa"/>
            <w:vAlign w:val="bottom"/>
            <w:tcBorders>
              <w:bottom w:val="single" w:sz="8" w:color="EBE6F0"/>
            </w:tcBorders>
            <w:shd w:val="clear" w:color="auto" w:fill="EBE6F0"/>
          </w:tcPr>
          <w:p>
            <w:pPr>
              <w:spacing w:after="0"/>
              <w:rPr>
                <w:sz w:val="16"/>
                <w:szCs w:val="16"/>
                <w:color w:val="auto"/>
              </w:rPr>
            </w:pPr>
          </w:p>
        </w:tc>
        <w:tc>
          <w:tcPr>
            <w:tcW w:w="820" w:type="dxa"/>
            <w:vAlign w:val="bottom"/>
            <w:tcBorders>
              <w:bottom w:val="single" w:sz="8" w:color="EBE6F0"/>
            </w:tcBorders>
            <w:shd w:val="clear" w:color="auto" w:fill="EBE6F0"/>
          </w:tcPr>
          <w:p>
            <w:pPr>
              <w:spacing w:after="0"/>
              <w:rPr>
                <w:sz w:val="16"/>
                <w:szCs w:val="16"/>
                <w:color w:val="auto"/>
              </w:rPr>
            </w:pPr>
          </w:p>
        </w:tc>
        <w:tc>
          <w:tcPr>
            <w:tcW w:w="720" w:type="dxa"/>
            <w:vAlign w:val="bottom"/>
            <w:tcBorders>
              <w:bottom w:val="single" w:sz="8" w:color="EBE6F0"/>
            </w:tcBorders>
            <w:shd w:val="clear" w:color="auto" w:fill="EBE6F0"/>
          </w:tcPr>
          <w:p>
            <w:pPr>
              <w:spacing w:after="0"/>
              <w:rPr>
                <w:sz w:val="16"/>
                <w:szCs w:val="16"/>
                <w:color w:val="auto"/>
              </w:rPr>
            </w:pPr>
          </w:p>
        </w:tc>
        <w:tc>
          <w:tcPr>
            <w:tcW w:w="620" w:type="dxa"/>
            <w:vAlign w:val="bottom"/>
            <w:tcBorders>
              <w:bottom w:val="single" w:sz="8" w:color="EBE6F0"/>
            </w:tcBorders>
            <w:shd w:val="clear" w:color="auto" w:fill="EBE6F0"/>
          </w:tcPr>
          <w:p>
            <w:pPr>
              <w:spacing w:after="0"/>
              <w:rPr>
                <w:sz w:val="16"/>
                <w:szCs w:val="16"/>
                <w:color w:val="auto"/>
              </w:rPr>
            </w:pPr>
          </w:p>
        </w:tc>
        <w:tc>
          <w:tcPr>
            <w:tcW w:w="120" w:type="dxa"/>
            <w:vAlign w:val="bottom"/>
            <w:tcBorders>
              <w:bottom w:val="single" w:sz="8" w:color="EBE6F0"/>
            </w:tcBorders>
            <w:shd w:val="clear" w:color="auto" w:fill="EBE6F0"/>
          </w:tcPr>
          <w:p>
            <w:pPr>
              <w:spacing w:after="0"/>
              <w:rPr>
                <w:sz w:val="16"/>
                <w:szCs w:val="16"/>
                <w:color w:val="auto"/>
              </w:rPr>
            </w:pPr>
          </w:p>
        </w:tc>
        <w:tc>
          <w:tcPr>
            <w:tcW w:w="880" w:type="dxa"/>
            <w:vAlign w:val="bottom"/>
            <w:tcBorders>
              <w:bottom w:val="single" w:sz="8" w:color="EBE6F0"/>
            </w:tcBorders>
            <w:shd w:val="clear" w:color="auto" w:fill="EBE6F0"/>
          </w:tcPr>
          <w:p>
            <w:pPr>
              <w:spacing w:after="0"/>
              <w:rPr>
                <w:sz w:val="16"/>
                <w:szCs w:val="16"/>
                <w:color w:val="auto"/>
              </w:rPr>
            </w:pPr>
          </w:p>
        </w:tc>
        <w:tc>
          <w:tcPr>
            <w:tcW w:w="940" w:type="dxa"/>
            <w:vAlign w:val="bottom"/>
            <w:tcBorders>
              <w:bottom w:val="single" w:sz="8" w:color="EBE6F0"/>
            </w:tcBorders>
            <w:shd w:val="clear" w:color="auto" w:fill="EBE6F0"/>
          </w:tcPr>
          <w:p>
            <w:pPr>
              <w:spacing w:after="0"/>
              <w:rPr>
                <w:sz w:val="16"/>
                <w:szCs w:val="16"/>
                <w:color w:val="auto"/>
              </w:rPr>
            </w:pPr>
          </w:p>
        </w:tc>
        <w:tc>
          <w:tcPr>
            <w:tcW w:w="840" w:type="dxa"/>
            <w:vAlign w:val="bottom"/>
            <w:tcBorders>
              <w:bottom w:val="single" w:sz="8" w:color="EBE6F0"/>
            </w:tcBorders>
            <w:shd w:val="clear" w:color="auto" w:fill="EBE6F0"/>
          </w:tcPr>
          <w:p>
            <w:pPr>
              <w:spacing w:after="0"/>
              <w:rPr>
                <w:sz w:val="16"/>
                <w:szCs w:val="16"/>
                <w:color w:val="auto"/>
              </w:rPr>
            </w:pPr>
          </w:p>
        </w:tc>
        <w:tc>
          <w:tcPr>
            <w:tcW w:w="780" w:type="dxa"/>
            <w:vAlign w:val="bottom"/>
            <w:tcBorders>
              <w:bottom w:val="single" w:sz="8" w:color="EBE6F0"/>
            </w:tcBorders>
            <w:shd w:val="clear" w:color="auto" w:fill="EBE6F0"/>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200" w:type="dxa"/>
            <w:vAlign w:val="bottom"/>
            <w:tcBorders>
              <w:top w:val="single" w:sz="8" w:color="EBE6F0"/>
              <w:bottom w:val="single" w:sz="8" w:color="EBE6F0"/>
            </w:tcBorders>
            <w:shd w:val="clear" w:color="auto" w:fill="EBE6F0"/>
          </w:tcPr>
          <w:p>
            <w:pPr>
              <w:spacing w:after="0"/>
              <w:rPr>
                <w:sz w:val="17"/>
                <w:szCs w:val="17"/>
                <w:color w:val="auto"/>
              </w:rPr>
            </w:pPr>
          </w:p>
        </w:tc>
        <w:tc>
          <w:tcPr>
            <w:tcW w:w="6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2"/>
                <w:szCs w:val="12"/>
                <w:color w:val="auto"/>
              </w:rPr>
              <w:t>02/24/2022</w:t>
            </w:r>
          </w:p>
        </w:tc>
        <w:tc>
          <w:tcPr>
            <w:tcW w:w="9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2"/>
                <w:szCs w:val="12"/>
                <w:color w:val="auto"/>
              </w:rPr>
              <w:t>Stock Options</w:t>
            </w:r>
          </w:p>
        </w:tc>
        <w:tc>
          <w:tcPr>
            <w:tcW w:w="140" w:type="dxa"/>
            <w:vAlign w:val="bottom"/>
            <w:tcBorders>
              <w:top w:val="single" w:sz="8" w:color="572C83"/>
              <w:bottom w:val="single" w:sz="8" w:color="EBE6F0"/>
            </w:tcBorders>
            <w:shd w:val="clear" w:color="auto" w:fill="EBE6F0"/>
          </w:tcPr>
          <w:p>
            <w:pPr>
              <w:spacing w:after="0"/>
              <w:rPr>
                <w:sz w:val="17"/>
                <w:szCs w:val="17"/>
                <w:color w:val="auto"/>
              </w:rPr>
            </w:pPr>
          </w:p>
        </w:tc>
        <w:tc>
          <w:tcPr>
            <w:tcW w:w="900" w:type="dxa"/>
            <w:vAlign w:val="bottom"/>
            <w:tcBorders>
              <w:top w:val="single" w:sz="8" w:color="572C83"/>
              <w:bottom w:val="single" w:sz="8" w:color="EBE6F0"/>
            </w:tcBorders>
            <w:shd w:val="clear" w:color="auto" w:fill="EBE6F0"/>
          </w:tcPr>
          <w:p>
            <w:pPr>
              <w:jc w:val="right"/>
              <w:ind w:right="99"/>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572C83"/>
              <w:bottom w:val="single" w:sz="8" w:color="EBE6F0"/>
            </w:tcBorders>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572C83"/>
              <w:bottom w:val="single" w:sz="8" w:color="EBE6F0"/>
            </w:tcBorders>
            <w:shd w:val="clear" w:color="auto" w:fill="EBE6F0"/>
          </w:tcPr>
          <w:p>
            <w:pPr>
              <w:jc w:val="right"/>
              <w:ind w:right="18"/>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572C83"/>
              <w:bottom w:val="single" w:sz="8" w:color="EBE6F0"/>
            </w:tcBorders>
            <w:shd w:val="clear" w:color="auto" w:fill="EBE6F0"/>
          </w:tcPr>
          <w:p>
            <w:pPr>
              <w:jc w:val="right"/>
              <w:ind w:right="59"/>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572C83"/>
              <w:bottom w:val="single" w:sz="8" w:color="EBE6F0"/>
            </w:tcBorders>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572C83"/>
              <w:bottom w:val="single" w:sz="8" w:color="EBE6F0"/>
            </w:tcBorders>
            <w:gridSpan w:val="2"/>
            <w:shd w:val="clear" w:color="auto" w:fill="EBE6F0"/>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572C83"/>
              <w:bottom w:val="single" w:sz="8" w:color="EBE6F0"/>
            </w:tcBorders>
            <w:shd w:val="clear" w:color="auto" w:fill="EBE6F0"/>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572C83"/>
              <w:bottom w:val="single" w:sz="8" w:color="EBE6F0"/>
            </w:tcBorders>
            <w:shd w:val="clear" w:color="auto" w:fill="EBE6F0"/>
          </w:tcPr>
          <w:p>
            <w:pPr>
              <w:jc w:val="right"/>
              <w:ind w:right="98"/>
              <w:spacing w:after="0"/>
              <w:rPr>
                <w:sz w:val="20"/>
                <w:szCs w:val="20"/>
                <w:color w:val="auto"/>
              </w:rPr>
            </w:pPr>
            <w:r>
              <w:rPr>
                <w:rFonts w:ascii="Arial" w:cs="Arial" w:eastAsia="Arial" w:hAnsi="Arial"/>
                <w:sz w:val="12"/>
                <w:szCs w:val="12"/>
                <w:color w:val="auto"/>
              </w:rPr>
              <w:t>54,140</w:t>
            </w:r>
          </w:p>
        </w:tc>
        <w:tc>
          <w:tcPr>
            <w:tcW w:w="840" w:type="dxa"/>
            <w:vAlign w:val="bottom"/>
            <w:tcBorders>
              <w:top w:val="single" w:sz="8" w:color="572C83"/>
              <w:bottom w:val="single" w:sz="8" w:color="EBE6F0"/>
            </w:tcBorders>
            <w:shd w:val="clear" w:color="auto" w:fill="EBE6F0"/>
          </w:tcPr>
          <w:p>
            <w:pPr>
              <w:jc w:val="right"/>
              <w:ind w:right="38"/>
              <w:spacing w:after="0"/>
              <w:rPr>
                <w:sz w:val="20"/>
                <w:szCs w:val="20"/>
                <w:color w:val="auto"/>
              </w:rPr>
            </w:pPr>
            <w:r>
              <w:rPr>
                <w:rFonts w:ascii="Arial" w:cs="Arial" w:eastAsia="Arial" w:hAnsi="Arial"/>
                <w:sz w:val="12"/>
                <w:szCs w:val="12"/>
                <w:color w:val="auto"/>
              </w:rPr>
              <w:t>64.65</w:t>
            </w:r>
          </w:p>
        </w:tc>
        <w:tc>
          <w:tcPr>
            <w:tcW w:w="7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2"/>
                <w:szCs w:val="12"/>
                <w:color w:val="auto"/>
              </w:rPr>
              <w:t>608,534</w:t>
            </w:r>
          </w:p>
        </w:tc>
        <w:tc>
          <w:tcPr>
            <w:tcW w:w="0" w:type="dxa"/>
            <w:vAlign w:val="bottom"/>
          </w:tcPr>
          <w:p>
            <w:pPr>
              <w:spacing w:after="0"/>
              <w:rPr>
                <w:sz w:val="1"/>
                <w:szCs w:val="1"/>
                <w:color w:val="auto"/>
              </w:rPr>
            </w:pPr>
          </w:p>
        </w:tc>
      </w:tr>
      <w:tr>
        <w:trPr>
          <w:trHeight w:val="196"/>
        </w:trPr>
        <w:tc>
          <w:tcPr>
            <w:tcW w:w="1200" w:type="dxa"/>
            <w:vAlign w:val="bottom"/>
            <w:tcBorders>
              <w:top w:val="single" w:sz="8" w:color="572C83"/>
            </w:tcBorders>
          </w:tcPr>
          <w:p>
            <w:pPr>
              <w:ind w:left="60"/>
              <w:spacing w:after="0"/>
              <w:rPr>
                <w:sz w:val="20"/>
                <w:szCs w:val="20"/>
                <w:color w:val="auto"/>
              </w:rPr>
            </w:pPr>
            <w:r>
              <w:rPr>
                <w:rFonts w:ascii="Arial" w:cs="Arial" w:eastAsia="Arial" w:hAnsi="Arial"/>
                <w:sz w:val="12"/>
                <w:szCs w:val="12"/>
                <w:b w:val="1"/>
                <w:bCs w:val="1"/>
                <w:color w:val="auto"/>
              </w:rPr>
              <w:t>Gruber, Vinzenz</w:t>
            </w:r>
          </w:p>
        </w:tc>
        <w:tc>
          <w:tcPr>
            <w:tcW w:w="680" w:type="dxa"/>
            <w:vAlign w:val="bottom"/>
            <w:tcBorders>
              <w:top w:val="single" w:sz="8" w:color="572C83"/>
              <w:bottom w:val="single" w:sz="8" w:color="572C83"/>
            </w:tcBorders>
          </w:tcPr>
          <w:p>
            <w:pPr>
              <w:spacing w:after="0"/>
              <w:rPr>
                <w:sz w:val="17"/>
                <w:szCs w:val="17"/>
                <w:color w:val="auto"/>
              </w:rPr>
            </w:pPr>
          </w:p>
        </w:tc>
        <w:tc>
          <w:tcPr>
            <w:tcW w:w="1040" w:type="dxa"/>
            <w:vAlign w:val="bottom"/>
            <w:tcBorders>
              <w:top w:val="single" w:sz="8" w:color="572C83"/>
              <w:bottom w:val="single" w:sz="8" w:color="572C83"/>
            </w:tcBorders>
            <w:gridSpan w:val="2"/>
          </w:tcPr>
          <w:p>
            <w:pPr>
              <w:jc w:val="right"/>
              <w:ind w:right="140"/>
              <w:spacing w:after="0"/>
              <w:rPr>
                <w:sz w:val="20"/>
                <w:szCs w:val="20"/>
                <w:color w:val="auto"/>
              </w:rPr>
            </w:pPr>
            <w:r>
              <w:rPr>
                <w:rFonts w:ascii="Arial" w:cs="Arial" w:eastAsia="Arial" w:hAnsi="Arial"/>
                <w:sz w:val="12"/>
                <w:szCs w:val="12"/>
                <w:color w:val="auto"/>
              </w:rPr>
              <w:t>AIP</w:t>
            </w:r>
          </w:p>
        </w:tc>
        <w:tc>
          <w:tcPr>
            <w:tcW w:w="900" w:type="dxa"/>
            <w:vAlign w:val="bottom"/>
            <w:tcBorders>
              <w:top w:val="single" w:sz="8" w:color="572C83"/>
              <w:bottom w:val="single" w:sz="8" w:color="572C83"/>
            </w:tcBorders>
          </w:tcPr>
          <w:p>
            <w:pPr>
              <w:jc w:val="right"/>
              <w:ind w:right="99"/>
              <w:spacing w:after="0"/>
              <w:rPr>
                <w:sz w:val="20"/>
                <w:szCs w:val="20"/>
                <w:color w:val="auto"/>
              </w:rPr>
            </w:pPr>
            <w:r>
              <w:rPr>
                <w:rFonts w:ascii="Arial" w:cs="Arial" w:eastAsia="Arial" w:hAnsi="Arial"/>
                <w:sz w:val="12"/>
                <w:szCs w:val="12"/>
                <w:color w:val="auto"/>
              </w:rPr>
              <w:t>398,708</w:t>
            </w:r>
          </w:p>
        </w:tc>
        <w:tc>
          <w:tcPr>
            <w:tcW w:w="880" w:type="dxa"/>
            <w:vAlign w:val="bottom"/>
            <w:tcBorders>
              <w:top w:val="single" w:sz="8" w:color="572C83"/>
              <w:bottom w:val="single" w:sz="8" w:color="572C83"/>
            </w:tcBorders>
          </w:tcPr>
          <w:p>
            <w:pPr>
              <w:jc w:val="right"/>
              <w:ind w:right="98"/>
              <w:spacing w:after="0"/>
              <w:rPr>
                <w:sz w:val="20"/>
                <w:szCs w:val="20"/>
                <w:color w:val="auto"/>
              </w:rPr>
            </w:pPr>
            <w:r>
              <w:rPr>
                <w:rFonts w:ascii="Arial" w:cs="Arial" w:eastAsia="Arial" w:hAnsi="Arial"/>
                <w:sz w:val="12"/>
                <w:szCs w:val="12"/>
                <w:color w:val="auto"/>
              </w:rPr>
              <w:t>797,415</w:t>
            </w:r>
          </w:p>
        </w:tc>
        <w:tc>
          <w:tcPr>
            <w:tcW w:w="820" w:type="dxa"/>
            <w:vAlign w:val="bottom"/>
            <w:tcBorders>
              <w:top w:val="single" w:sz="8" w:color="572C83"/>
              <w:bottom w:val="single" w:sz="8" w:color="572C83"/>
            </w:tcBorders>
          </w:tcPr>
          <w:p>
            <w:pPr>
              <w:jc w:val="right"/>
              <w:ind w:right="18"/>
              <w:spacing w:after="0"/>
              <w:rPr>
                <w:sz w:val="20"/>
                <w:szCs w:val="20"/>
                <w:color w:val="auto"/>
              </w:rPr>
            </w:pPr>
            <w:r>
              <w:rPr>
                <w:rFonts w:ascii="Arial" w:cs="Arial" w:eastAsia="Arial" w:hAnsi="Arial"/>
                <w:sz w:val="12"/>
                <w:szCs w:val="12"/>
                <w:color w:val="auto"/>
              </w:rPr>
              <w:t>1,594,830</w:t>
            </w:r>
          </w:p>
        </w:tc>
        <w:tc>
          <w:tcPr>
            <w:tcW w:w="820" w:type="dxa"/>
            <w:vAlign w:val="bottom"/>
            <w:tcBorders>
              <w:top w:val="single" w:sz="8" w:color="572C83"/>
              <w:bottom w:val="single" w:sz="8" w:color="572C83"/>
            </w:tcBorders>
          </w:tcPr>
          <w:p>
            <w:pPr>
              <w:jc w:val="right"/>
              <w:ind w:right="59"/>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572C83"/>
              <w:bottom w:val="single" w:sz="8" w:color="572C83"/>
            </w:tcBorders>
          </w:tcPr>
          <w:p>
            <w:pPr>
              <w:jc w:val="right"/>
              <w:ind w:right="98"/>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572C83"/>
              <w:bottom w:val="single" w:sz="8" w:color="572C83"/>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572C83"/>
              <w:bottom w:val="single" w:sz="8" w:color="572C83"/>
            </w:tcBorders>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572C83"/>
              <w:bottom w:val="single" w:sz="8" w:color="572C83"/>
            </w:tcBorders>
          </w:tcPr>
          <w:p>
            <w:pPr>
              <w:jc w:val="right"/>
              <w:ind w:right="98"/>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572C83"/>
              <w:bottom w:val="single" w:sz="8" w:color="572C83"/>
            </w:tcBorders>
          </w:tcPr>
          <w:p>
            <w:pPr>
              <w:jc w:val="right"/>
              <w:ind w:right="38"/>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572C83"/>
              <w:bottom w:val="single" w:sz="8" w:color="572C83"/>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02/24/2022</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Performance</w:t>
            </w: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16,245</w:t>
            </w: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32,490</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64,980</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2,010,156</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Share Units</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680" w:type="dxa"/>
            <w:vAlign w:val="bottom"/>
            <w:tcBorders>
              <w:bottom w:val="single" w:sz="8" w:color="572C83"/>
            </w:tcBorders>
          </w:tcPr>
          <w:p>
            <w:pPr>
              <w:spacing w:after="0" w:line="20" w:lineRule="exact"/>
              <w:rPr>
                <w:sz w:val="1"/>
                <w:szCs w:val="1"/>
                <w:color w:val="auto"/>
              </w:rPr>
            </w:pPr>
          </w:p>
        </w:tc>
        <w:tc>
          <w:tcPr>
            <w:tcW w:w="1040" w:type="dxa"/>
            <w:vAlign w:val="bottom"/>
            <w:tcBorders>
              <w:bottom w:val="single" w:sz="8" w:color="572C83"/>
            </w:tcBorders>
            <w:gridSpan w:val="2"/>
          </w:tcPr>
          <w:p>
            <w:pPr>
              <w:spacing w:after="0" w:line="20" w:lineRule="exact"/>
              <w:rPr>
                <w:sz w:val="1"/>
                <w:szCs w:val="1"/>
                <w:color w:val="auto"/>
              </w:rPr>
            </w:pPr>
          </w:p>
        </w:tc>
        <w:tc>
          <w:tcPr>
            <w:tcW w:w="900" w:type="dxa"/>
            <w:vAlign w:val="bottom"/>
            <w:tcBorders>
              <w:bottom w:val="single" w:sz="8" w:color="572C83"/>
            </w:tcBorders>
          </w:tcPr>
          <w:p>
            <w:pPr>
              <w:spacing w:after="0" w:line="20" w:lineRule="exact"/>
              <w:rPr>
                <w:sz w:val="1"/>
                <w:szCs w:val="1"/>
                <w:color w:val="auto"/>
              </w:rPr>
            </w:pPr>
          </w:p>
        </w:tc>
        <w:tc>
          <w:tcPr>
            <w:tcW w:w="880" w:type="dxa"/>
            <w:vAlign w:val="bottom"/>
            <w:tcBorders>
              <w:bottom w:val="single" w:sz="8" w:color="572C83"/>
            </w:tcBorders>
          </w:tcPr>
          <w:p>
            <w:pPr>
              <w:spacing w:after="0" w:line="20" w:lineRule="exact"/>
              <w:rPr>
                <w:sz w:val="1"/>
                <w:szCs w:val="1"/>
                <w:color w:val="auto"/>
              </w:rPr>
            </w:pPr>
          </w:p>
        </w:tc>
        <w:tc>
          <w:tcPr>
            <w:tcW w:w="820" w:type="dxa"/>
            <w:vAlign w:val="bottom"/>
            <w:tcBorders>
              <w:bottom w:val="single" w:sz="8" w:color="572C83"/>
            </w:tcBorders>
          </w:tcPr>
          <w:p>
            <w:pPr>
              <w:spacing w:after="0" w:line="20" w:lineRule="exact"/>
              <w:rPr>
                <w:sz w:val="1"/>
                <w:szCs w:val="1"/>
                <w:color w:val="auto"/>
              </w:rPr>
            </w:pPr>
          </w:p>
        </w:tc>
        <w:tc>
          <w:tcPr>
            <w:tcW w:w="820" w:type="dxa"/>
            <w:vAlign w:val="bottom"/>
            <w:tcBorders>
              <w:bottom w:val="single" w:sz="8" w:color="572C83"/>
            </w:tcBorders>
          </w:tcPr>
          <w:p>
            <w:pPr>
              <w:spacing w:after="0" w:line="20" w:lineRule="exact"/>
              <w:rPr>
                <w:sz w:val="1"/>
                <w:szCs w:val="1"/>
                <w:color w:val="auto"/>
              </w:rPr>
            </w:pPr>
          </w:p>
        </w:tc>
        <w:tc>
          <w:tcPr>
            <w:tcW w:w="720" w:type="dxa"/>
            <w:vAlign w:val="bottom"/>
            <w:tcBorders>
              <w:bottom w:val="single" w:sz="8" w:color="572C83"/>
            </w:tcBorders>
          </w:tcPr>
          <w:p>
            <w:pPr>
              <w:spacing w:after="0" w:line="20" w:lineRule="exact"/>
              <w:rPr>
                <w:sz w:val="1"/>
                <w:szCs w:val="1"/>
                <w:color w:val="auto"/>
              </w:rPr>
            </w:pPr>
          </w:p>
        </w:tc>
        <w:tc>
          <w:tcPr>
            <w:tcW w:w="620" w:type="dxa"/>
            <w:vAlign w:val="bottom"/>
            <w:tcBorders>
              <w:bottom w:val="single" w:sz="8" w:color="572C83"/>
            </w:tcBorders>
          </w:tcPr>
          <w:p>
            <w:pPr>
              <w:spacing w:after="0" w:line="20" w:lineRule="exact"/>
              <w:rPr>
                <w:sz w:val="1"/>
                <w:szCs w:val="1"/>
                <w:color w:val="auto"/>
              </w:rPr>
            </w:pPr>
          </w:p>
        </w:tc>
        <w:tc>
          <w:tcPr>
            <w:tcW w:w="120" w:type="dxa"/>
            <w:vAlign w:val="bottom"/>
            <w:tcBorders>
              <w:bottom w:val="single" w:sz="8" w:color="572C83"/>
            </w:tcBorders>
          </w:tcPr>
          <w:p>
            <w:pPr>
              <w:spacing w:after="0" w:line="20" w:lineRule="exact"/>
              <w:rPr>
                <w:sz w:val="1"/>
                <w:szCs w:val="1"/>
                <w:color w:val="auto"/>
              </w:rPr>
            </w:pPr>
          </w:p>
        </w:tc>
        <w:tc>
          <w:tcPr>
            <w:tcW w:w="880" w:type="dxa"/>
            <w:vAlign w:val="bottom"/>
            <w:tcBorders>
              <w:bottom w:val="single" w:sz="8" w:color="572C83"/>
            </w:tcBorders>
          </w:tcPr>
          <w:p>
            <w:pPr>
              <w:spacing w:after="0" w:line="20" w:lineRule="exact"/>
              <w:rPr>
                <w:sz w:val="1"/>
                <w:szCs w:val="1"/>
                <w:color w:val="auto"/>
              </w:rPr>
            </w:pPr>
          </w:p>
        </w:tc>
        <w:tc>
          <w:tcPr>
            <w:tcW w:w="940" w:type="dxa"/>
            <w:vAlign w:val="bottom"/>
            <w:tcBorders>
              <w:bottom w:val="single" w:sz="8" w:color="572C83"/>
            </w:tcBorders>
          </w:tcPr>
          <w:p>
            <w:pPr>
              <w:spacing w:after="0" w:line="20" w:lineRule="exact"/>
              <w:rPr>
                <w:sz w:val="1"/>
                <w:szCs w:val="1"/>
                <w:color w:val="auto"/>
              </w:rPr>
            </w:pPr>
          </w:p>
        </w:tc>
        <w:tc>
          <w:tcPr>
            <w:tcW w:w="840" w:type="dxa"/>
            <w:vAlign w:val="bottom"/>
            <w:tcBorders>
              <w:bottom w:val="single" w:sz="8" w:color="572C83"/>
            </w:tcBorders>
          </w:tcPr>
          <w:p>
            <w:pPr>
              <w:spacing w:after="0" w:line="20" w:lineRule="exact"/>
              <w:rPr>
                <w:sz w:val="1"/>
                <w:szCs w:val="1"/>
                <w:color w:val="auto"/>
              </w:rPr>
            </w:pPr>
          </w:p>
        </w:tc>
        <w:tc>
          <w:tcPr>
            <w:tcW w:w="780" w:type="dxa"/>
            <w:vAlign w:val="bottom"/>
            <w:tcBorders>
              <w:bottom w:val="single" w:sz="8" w:color="572C8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02/24/2022</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Stock Options</w:t>
            </w:r>
          </w:p>
        </w:tc>
        <w:tc>
          <w:tcPr>
            <w:tcW w:w="90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98"/>
              <w:spacing w:after="0"/>
              <w:rPr>
                <w:sz w:val="20"/>
                <w:szCs w:val="20"/>
                <w:color w:val="auto"/>
              </w:rPr>
            </w:pPr>
            <w:r>
              <w:rPr>
                <w:rFonts w:ascii="Arial" w:cs="Arial" w:eastAsia="Arial" w:hAnsi="Arial"/>
                <w:sz w:val="12"/>
                <w:szCs w:val="12"/>
                <w:color w:val="auto"/>
              </w:rPr>
              <w:t>54,140</w:t>
            </w: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64.65</w:t>
            </w:r>
          </w:p>
        </w:tc>
        <w:tc>
          <w:tcPr>
            <w:tcW w:w="780" w:type="dxa"/>
            <w:vAlign w:val="bottom"/>
          </w:tcPr>
          <w:p>
            <w:pPr>
              <w:jc w:val="right"/>
              <w:spacing w:after="0"/>
              <w:rPr>
                <w:sz w:val="20"/>
                <w:szCs w:val="20"/>
                <w:color w:val="auto"/>
              </w:rPr>
            </w:pPr>
            <w:r>
              <w:rPr>
                <w:rFonts w:ascii="Arial" w:cs="Arial" w:eastAsia="Arial" w:hAnsi="Arial"/>
                <w:sz w:val="12"/>
                <w:szCs w:val="12"/>
                <w:color w:val="auto"/>
              </w:rPr>
              <w:t>608,534</w:t>
            </w:r>
          </w:p>
        </w:tc>
        <w:tc>
          <w:tcPr>
            <w:tcW w:w="0" w:type="dxa"/>
            <w:vAlign w:val="bottom"/>
          </w:tcPr>
          <w:p>
            <w:pPr>
              <w:spacing w:after="0"/>
              <w:rPr>
                <w:sz w:val="1"/>
                <w:szCs w:val="1"/>
                <w:color w:val="auto"/>
              </w:rPr>
            </w:pPr>
          </w:p>
        </w:tc>
      </w:tr>
      <w:tr>
        <w:trPr>
          <w:trHeight w:val="22"/>
        </w:trPr>
        <w:tc>
          <w:tcPr>
            <w:tcW w:w="1200" w:type="dxa"/>
            <w:vAlign w:val="bottom"/>
            <w:tcBorders>
              <w:bottom w:val="single" w:sz="8" w:color="572C83"/>
            </w:tcBorders>
          </w:tcPr>
          <w:p>
            <w:pPr>
              <w:spacing w:after="0" w:line="20" w:lineRule="exact"/>
              <w:rPr>
                <w:sz w:val="1"/>
                <w:szCs w:val="1"/>
                <w:color w:val="auto"/>
              </w:rPr>
            </w:pPr>
          </w:p>
        </w:tc>
        <w:tc>
          <w:tcPr>
            <w:tcW w:w="680" w:type="dxa"/>
            <w:vAlign w:val="bottom"/>
            <w:tcBorders>
              <w:bottom w:val="single" w:sz="8" w:color="572C83"/>
            </w:tcBorders>
          </w:tcPr>
          <w:p>
            <w:pPr>
              <w:spacing w:after="0" w:line="20" w:lineRule="exact"/>
              <w:rPr>
                <w:sz w:val="1"/>
                <w:szCs w:val="1"/>
                <w:color w:val="auto"/>
              </w:rPr>
            </w:pPr>
          </w:p>
        </w:tc>
        <w:tc>
          <w:tcPr>
            <w:tcW w:w="1040" w:type="dxa"/>
            <w:vAlign w:val="bottom"/>
            <w:tcBorders>
              <w:bottom w:val="single" w:sz="8" w:color="572C83"/>
            </w:tcBorders>
            <w:gridSpan w:val="2"/>
          </w:tcPr>
          <w:p>
            <w:pPr>
              <w:spacing w:after="0" w:line="20" w:lineRule="exact"/>
              <w:rPr>
                <w:sz w:val="1"/>
                <w:szCs w:val="1"/>
                <w:color w:val="auto"/>
              </w:rPr>
            </w:pPr>
          </w:p>
        </w:tc>
        <w:tc>
          <w:tcPr>
            <w:tcW w:w="900" w:type="dxa"/>
            <w:vAlign w:val="bottom"/>
            <w:tcBorders>
              <w:bottom w:val="single" w:sz="8" w:color="572C83"/>
            </w:tcBorders>
          </w:tcPr>
          <w:p>
            <w:pPr>
              <w:spacing w:after="0" w:line="20" w:lineRule="exact"/>
              <w:rPr>
                <w:sz w:val="1"/>
                <w:szCs w:val="1"/>
                <w:color w:val="auto"/>
              </w:rPr>
            </w:pPr>
          </w:p>
        </w:tc>
        <w:tc>
          <w:tcPr>
            <w:tcW w:w="880" w:type="dxa"/>
            <w:vAlign w:val="bottom"/>
            <w:tcBorders>
              <w:bottom w:val="single" w:sz="8" w:color="572C83"/>
            </w:tcBorders>
          </w:tcPr>
          <w:p>
            <w:pPr>
              <w:spacing w:after="0" w:line="20" w:lineRule="exact"/>
              <w:rPr>
                <w:sz w:val="1"/>
                <w:szCs w:val="1"/>
                <w:color w:val="auto"/>
              </w:rPr>
            </w:pPr>
          </w:p>
        </w:tc>
        <w:tc>
          <w:tcPr>
            <w:tcW w:w="820" w:type="dxa"/>
            <w:vAlign w:val="bottom"/>
            <w:tcBorders>
              <w:bottom w:val="single" w:sz="8" w:color="572C83"/>
            </w:tcBorders>
          </w:tcPr>
          <w:p>
            <w:pPr>
              <w:spacing w:after="0" w:line="20" w:lineRule="exact"/>
              <w:rPr>
                <w:sz w:val="1"/>
                <w:szCs w:val="1"/>
                <w:color w:val="auto"/>
              </w:rPr>
            </w:pPr>
          </w:p>
        </w:tc>
        <w:tc>
          <w:tcPr>
            <w:tcW w:w="820" w:type="dxa"/>
            <w:vAlign w:val="bottom"/>
            <w:tcBorders>
              <w:bottom w:val="single" w:sz="8" w:color="572C83"/>
            </w:tcBorders>
          </w:tcPr>
          <w:p>
            <w:pPr>
              <w:spacing w:after="0" w:line="20" w:lineRule="exact"/>
              <w:rPr>
                <w:sz w:val="1"/>
                <w:szCs w:val="1"/>
                <w:color w:val="auto"/>
              </w:rPr>
            </w:pPr>
          </w:p>
        </w:tc>
        <w:tc>
          <w:tcPr>
            <w:tcW w:w="720" w:type="dxa"/>
            <w:vAlign w:val="bottom"/>
            <w:tcBorders>
              <w:bottom w:val="single" w:sz="8" w:color="572C83"/>
            </w:tcBorders>
          </w:tcPr>
          <w:p>
            <w:pPr>
              <w:spacing w:after="0" w:line="20" w:lineRule="exact"/>
              <w:rPr>
                <w:sz w:val="1"/>
                <w:szCs w:val="1"/>
                <w:color w:val="auto"/>
              </w:rPr>
            </w:pPr>
          </w:p>
        </w:tc>
        <w:tc>
          <w:tcPr>
            <w:tcW w:w="620" w:type="dxa"/>
            <w:vAlign w:val="bottom"/>
            <w:tcBorders>
              <w:bottom w:val="single" w:sz="8" w:color="572C83"/>
            </w:tcBorders>
          </w:tcPr>
          <w:p>
            <w:pPr>
              <w:spacing w:after="0" w:line="20" w:lineRule="exact"/>
              <w:rPr>
                <w:sz w:val="1"/>
                <w:szCs w:val="1"/>
                <w:color w:val="auto"/>
              </w:rPr>
            </w:pPr>
          </w:p>
        </w:tc>
        <w:tc>
          <w:tcPr>
            <w:tcW w:w="120" w:type="dxa"/>
            <w:vAlign w:val="bottom"/>
            <w:tcBorders>
              <w:bottom w:val="single" w:sz="8" w:color="572C83"/>
            </w:tcBorders>
          </w:tcPr>
          <w:p>
            <w:pPr>
              <w:spacing w:after="0" w:line="20" w:lineRule="exact"/>
              <w:rPr>
                <w:sz w:val="1"/>
                <w:szCs w:val="1"/>
                <w:color w:val="auto"/>
              </w:rPr>
            </w:pPr>
          </w:p>
        </w:tc>
        <w:tc>
          <w:tcPr>
            <w:tcW w:w="880" w:type="dxa"/>
            <w:vAlign w:val="bottom"/>
            <w:tcBorders>
              <w:bottom w:val="single" w:sz="8" w:color="572C83"/>
            </w:tcBorders>
          </w:tcPr>
          <w:p>
            <w:pPr>
              <w:spacing w:after="0" w:line="20" w:lineRule="exact"/>
              <w:rPr>
                <w:sz w:val="1"/>
                <w:szCs w:val="1"/>
                <w:color w:val="auto"/>
              </w:rPr>
            </w:pPr>
          </w:p>
        </w:tc>
        <w:tc>
          <w:tcPr>
            <w:tcW w:w="940" w:type="dxa"/>
            <w:vAlign w:val="bottom"/>
            <w:tcBorders>
              <w:bottom w:val="single" w:sz="8" w:color="572C83"/>
            </w:tcBorders>
          </w:tcPr>
          <w:p>
            <w:pPr>
              <w:spacing w:after="0" w:line="20" w:lineRule="exact"/>
              <w:rPr>
                <w:sz w:val="1"/>
                <w:szCs w:val="1"/>
                <w:color w:val="auto"/>
              </w:rPr>
            </w:pPr>
          </w:p>
        </w:tc>
        <w:tc>
          <w:tcPr>
            <w:tcW w:w="840" w:type="dxa"/>
            <w:vAlign w:val="bottom"/>
            <w:tcBorders>
              <w:bottom w:val="single" w:sz="8" w:color="572C83"/>
            </w:tcBorders>
          </w:tcPr>
          <w:p>
            <w:pPr>
              <w:spacing w:after="0" w:line="20" w:lineRule="exact"/>
              <w:rPr>
                <w:sz w:val="1"/>
                <w:szCs w:val="1"/>
                <w:color w:val="auto"/>
              </w:rPr>
            </w:pPr>
          </w:p>
        </w:tc>
        <w:tc>
          <w:tcPr>
            <w:tcW w:w="780" w:type="dxa"/>
            <w:vAlign w:val="bottom"/>
            <w:tcBorders>
              <w:bottom w:val="single" w:sz="8" w:color="572C8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12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2"/>
                <w:szCs w:val="12"/>
                <w:b w:val="1"/>
                <w:bCs w:val="1"/>
                <w:color w:val="auto"/>
              </w:rPr>
              <w:t>Valle, Gustavo</w:t>
            </w:r>
          </w:p>
        </w:tc>
        <w:tc>
          <w:tcPr>
            <w:tcW w:w="680" w:type="dxa"/>
            <w:vAlign w:val="bottom"/>
            <w:tcBorders>
              <w:bottom w:val="single" w:sz="8" w:color="EBE6F0"/>
            </w:tcBorders>
            <w:shd w:val="clear" w:color="auto" w:fill="EBE6F0"/>
          </w:tcPr>
          <w:p>
            <w:pPr>
              <w:spacing w:after="0"/>
              <w:rPr>
                <w:sz w:val="17"/>
                <w:szCs w:val="17"/>
                <w:color w:val="auto"/>
              </w:rPr>
            </w:pPr>
          </w:p>
        </w:tc>
        <w:tc>
          <w:tcPr>
            <w:tcW w:w="1040" w:type="dxa"/>
            <w:vAlign w:val="bottom"/>
            <w:tcBorders>
              <w:bottom w:val="single" w:sz="8" w:color="EBE6F0"/>
            </w:tcBorders>
            <w:gridSpan w:val="2"/>
            <w:shd w:val="clear" w:color="auto" w:fill="EBE6F0"/>
          </w:tcPr>
          <w:p>
            <w:pPr>
              <w:jc w:val="right"/>
              <w:ind w:right="140"/>
              <w:spacing w:after="0"/>
              <w:rPr>
                <w:sz w:val="20"/>
                <w:szCs w:val="20"/>
                <w:color w:val="auto"/>
              </w:rPr>
            </w:pPr>
            <w:r>
              <w:rPr>
                <w:rFonts w:ascii="Arial" w:cs="Arial" w:eastAsia="Arial" w:hAnsi="Arial"/>
                <w:sz w:val="12"/>
                <w:szCs w:val="12"/>
                <w:color w:val="auto"/>
              </w:rPr>
              <w:t>AIP</w:t>
            </w:r>
          </w:p>
        </w:tc>
        <w:tc>
          <w:tcPr>
            <w:tcW w:w="900" w:type="dxa"/>
            <w:vAlign w:val="bottom"/>
            <w:tcBorders>
              <w:bottom w:val="single" w:sz="8" w:color="EBE6F0"/>
            </w:tcBorders>
            <w:shd w:val="clear" w:color="auto" w:fill="EBE6F0"/>
          </w:tcPr>
          <w:p>
            <w:pPr>
              <w:jc w:val="right"/>
              <w:ind w:right="99"/>
              <w:spacing w:after="0"/>
              <w:rPr>
                <w:sz w:val="20"/>
                <w:szCs w:val="20"/>
                <w:color w:val="auto"/>
              </w:rPr>
            </w:pPr>
            <w:r>
              <w:rPr>
                <w:rFonts w:ascii="Arial" w:cs="Arial" w:eastAsia="Arial" w:hAnsi="Arial"/>
                <w:sz w:val="12"/>
                <w:szCs w:val="12"/>
                <w:color w:val="auto"/>
              </w:rPr>
              <w:t>360,000</w:t>
            </w:r>
          </w:p>
        </w:tc>
        <w:tc>
          <w:tcPr>
            <w:tcW w:w="880" w:type="dxa"/>
            <w:vAlign w:val="bottom"/>
            <w:tcBorders>
              <w:bottom w:val="single" w:sz="8" w:color="EBE6F0"/>
            </w:tcBorders>
            <w:shd w:val="clear" w:color="auto" w:fill="EBE6F0"/>
          </w:tcPr>
          <w:p>
            <w:pPr>
              <w:jc w:val="right"/>
              <w:ind w:right="98"/>
              <w:spacing w:after="0"/>
              <w:rPr>
                <w:sz w:val="20"/>
                <w:szCs w:val="20"/>
                <w:color w:val="auto"/>
              </w:rPr>
            </w:pPr>
            <w:r>
              <w:rPr>
                <w:rFonts w:ascii="Arial" w:cs="Arial" w:eastAsia="Arial" w:hAnsi="Arial"/>
                <w:sz w:val="12"/>
                <w:szCs w:val="12"/>
                <w:color w:val="auto"/>
              </w:rPr>
              <w:t>720,000</w:t>
            </w:r>
          </w:p>
        </w:tc>
        <w:tc>
          <w:tcPr>
            <w:tcW w:w="820" w:type="dxa"/>
            <w:vAlign w:val="bottom"/>
            <w:tcBorders>
              <w:bottom w:val="single" w:sz="8" w:color="EBE6F0"/>
            </w:tcBorders>
            <w:shd w:val="clear" w:color="auto" w:fill="EBE6F0"/>
          </w:tcPr>
          <w:p>
            <w:pPr>
              <w:jc w:val="right"/>
              <w:ind w:right="18"/>
              <w:spacing w:after="0"/>
              <w:rPr>
                <w:sz w:val="20"/>
                <w:szCs w:val="20"/>
                <w:color w:val="auto"/>
              </w:rPr>
            </w:pPr>
            <w:r>
              <w:rPr>
                <w:rFonts w:ascii="Arial" w:cs="Arial" w:eastAsia="Arial" w:hAnsi="Arial"/>
                <w:sz w:val="12"/>
                <w:szCs w:val="12"/>
                <w:color w:val="auto"/>
              </w:rPr>
              <w:t>1,440,000</w:t>
            </w:r>
          </w:p>
        </w:tc>
        <w:tc>
          <w:tcPr>
            <w:tcW w:w="820" w:type="dxa"/>
            <w:vAlign w:val="bottom"/>
            <w:tcBorders>
              <w:bottom w:val="single" w:sz="8" w:color="EBE6F0"/>
            </w:tcBorders>
            <w:shd w:val="clear" w:color="auto" w:fill="EBE6F0"/>
          </w:tcPr>
          <w:p>
            <w:pPr>
              <w:jc w:val="right"/>
              <w:ind w:right="5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EBE6F0"/>
            </w:tcBorders>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EBE6F0"/>
            </w:tcBorders>
            <w:gridSpan w:val="2"/>
            <w:shd w:val="clear" w:color="auto" w:fill="EBE6F0"/>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EBE6F0"/>
            </w:tcBorders>
            <w:shd w:val="clear" w:color="auto" w:fill="EBE6F0"/>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EBE6F0"/>
            </w:tcBorders>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EBE6F0"/>
            </w:tcBorders>
            <w:shd w:val="clear" w:color="auto" w:fill="EBE6F0"/>
          </w:tcPr>
          <w:p>
            <w:pPr>
              <w:jc w:val="right"/>
              <w:ind w:right="38"/>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200" w:type="dxa"/>
            <w:vAlign w:val="bottom"/>
            <w:tcBorders>
              <w:top w:val="single" w:sz="8" w:color="EBE6F0"/>
            </w:tcBorders>
            <w:shd w:val="clear" w:color="auto" w:fill="EBE6F0"/>
          </w:tcPr>
          <w:p>
            <w:pPr>
              <w:spacing w:after="0"/>
              <w:rPr>
                <w:sz w:val="13"/>
                <w:szCs w:val="13"/>
                <w:color w:val="auto"/>
              </w:rPr>
            </w:pPr>
          </w:p>
        </w:tc>
        <w:tc>
          <w:tcPr>
            <w:tcW w:w="680" w:type="dxa"/>
            <w:vAlign w:val="bottom"/>
            <w:tcBorders>
              <w:top w:val="single" w:sz="8" w:color="572C83"/>
            </w:tcBorders>
            <w:shd w:val="clear" w:color="auto" w:fill="EBE6F0"/>
          </w:tcPr>
          <w:p>
            <w:pPr>
              <w:jc w:val="right"/>
              <w:spacing w:after="0"/>
              <w:rPr>
                <w:sz w:val="20"/>
                <w:szCs w:val="20"/>
                <w:color w:val="auto"/>
              </w:rPr>
            </w:pPr>
            <w:r>
              <w:rPr>
                <w:rFonts w:ascii="Arial" w:cs="Arial" w:eastAsia="Arial" w:hAnsi="Arial"/>
                <w:sz w:val="12"/>
                <w:szCs w:val="12"/>
                <w:color w:val="auto"/>
              </w:rPr>
              <w:t>02/24/2022</w:t>
            </w:r>
          </w:p>
        </w:tc>
        <w:tc>
          <w:tcPr>
            <w:tcW w:w="900" w:type="dxa"/>
            <w:vAlign w:val="bottom"/>
            <w:tcBorders>
              <w:top w:val="single" w:sz="8" w:color="572C83"/>
            </w:tcBorders>
            <w:shd w:val="clear" w:color="auto" w:fill="EBE6F0"/>
          </w:tcPr>
          <w:p>
            <w:pPr>
              <w:jc w:val="right"/>
              <w:spacing w:after="0"/>
              <w:rPr>
                <w:sz w:val="20"/>
                <w:szCs w:val="20"/>
                <w:color w:val="auto"/>
              </w:rPr>
            </w:pPr>
            <w:r>
              <w:rPr>
                <w:rFonts w:ascii="Arial" w:cs="Arial" w:eastAsia="Arial" w:hAnsi="Arial"/>
                <w:sz w:val="12"/>
                <w:szCs w:val="12"/>
                <w:color w:val="auto"/>
              </w:rPr>
              <w:t>Performance</w:t>
            </w:r>
          </w:p>
        </w:tc>
        <w:tc>
          <w:tcPr>
            <w:tcW w:w="140" w:type="dxa"/>
            <w:vAlign w:val="bottom"/>
            <w:tcBorders>
              <w:top w:val="single" w:sz="8" w:color="572C83"/>
            </w:tcBorders>
            <w:shd w:val="clear" w:color="auto" w:fill="EBE6F0"/>
          </w:tcPr>
          <w:p>
            <w:pPr>
              <w:spacing w:after="0"/>
              <w:rPr>
                <w:sz w:val="13"/>
                <w:szCs w:val="13"/>
                <w:color w:val="auto"/>
              </w:rPr>
            </w:pPr>
          </w:p>
        </w:tc>
        <w:tc>
          <w:tcPr>
            <w:tcW w:w="900" w:type="dxa"/>
            <w:vAlign w:val="bottom"/>
            <w:tcBorders>
              <w:top w:val="single" w:sz="8" w:color="572C83"/>
            </w:tcBorders>
            <w:shd w:val="clear" w:color="auto" w:fill="EBE6F0"/>
          </w:tcPr>
          <w:p>
            <w:pPr>
              <w:jc w:val="right"/>
              <w:ind w:right="99"/>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572C83"/>
            </w:tcBorders>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572C83"/>
            </w:tcBorders>
            <w:shd w:val="clear" w:color="auto" w:fill="EBE6F0"/>
          </w:tcPr>
          <w:p>
            <w:pPr>
              <w:jc w:val="right"/>
              <w:ind w:right="18"/>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572C83"/>
            </w:tcBorders>
            <w:shd w:val="clear" w:color="auto" w:fill="EBE6F0"/>
          </w:tcPr>
          <w:p>
            <w:pPr>
              <w:jc w:val="right"/>
              <w:ind w:right="59"/>
              <w:spacing w:after="0"/>
              <w:rPr>
                <w:sz w:val="20"/>
                <w:szCs w:val="20"/>
                <w:color w:val="auto"/>
              </w:rPr>
            </w:pPr>
            <w:r>
              <w:rPr>
                <w:rFonts w:ascii="Arial" w:cs="Arial" w:eastAsia="Arial" w:hAnsi="Arial"/>
                <w:sz w:val="12"/>
                <w:szCs w:val="12"/>
                <w:color w:val="auto"/>
              </w:rPr>
              <w:t>12,185</w:t>
            </w:r>
          </w:p>
        </w:tc>
        <w:tc>
          <w:tcPr>
            <w:tcW w:w="720" w:type="dxa"/>
            <w:vAlign w:val="bottom"/>
            <w:tcBorders>
              <w:top w:val="single" w:sz="8" w:color="572C83"/>
            </w:tcBorders>
            <w:shd w:val="clear" w:color="auto" w:fill="EBE6F0"/>
          </w:tcPr>
          <w:p>
            <w:pPr>
              <w:jc w:val="right"/>
              <w:ind w:right="98"/>
              <w:spacing w:after="0"/>
              <w:rPr>
                <w:sz w:val="20"/>
                <w:szCs w:val="20"/>
                <w:color w:val="auto"/>
              </w:rPr>
            </w:pPr>
            <w:r>
              <w:rPr>
                <w:rFonts w:ascii="Arial" w:cs="Arial" w:eastAsia="Arial" w:hAnsi="Arial"/>
                <w:sz w:val="12"/>
                <w:szCs w:val="12"/>
                <w:color w:val="auto"/>
              </w:rPr>
              <w:t>24,370</w:t>
            </w:r>
          </w:p>
        </w:tc>
        <w:tc>
          <w:tcPr>
            <w:tcW w:w="740" w:type="dxa"/>
            <w:vAlign w:val="bottom"/>
            <w:tcBorders>
              <w:top w:val="single" w:sz="8" w:color="572C83"/>
            </w:tcBorders>
            <w:gridSpan w:val="2"/>
            <w:shd w:val="clear" w:color="auto" w:fill="EBE6F0"/>
          </w:tcPr>
          <w:p>
            <w:pPr>
              <w:jc w:val="right"/>
              <w:ind w:right="120"/>
              <w:spacing w:after="0"/>
              <w:rPr>
                <w:sz w:val="20"/>
                <w:szCs w:val="20"/>
                <w:color w:val="auto"/>
              </w:rPr>
            </w:pPr>
            <w:r>
              <w:rPr>
                <w:rFonts w:ascii="Arial" w:cs="Arial" w:eastAsia="Arial" w:hAnsi="Arial"/>
                <w:sz w:val="12"/>
                <w:szCs w:val="12"/>
                <w:color w:val="auto"/>
              </w:rPr>
              <w:t>48,740</w:t>
            </w:r>
          </w:p>
        </w:tc>
        <w:tc>
          <w:tcPr>
            <w:tcW w:w="880" w:type="dxa"/>
            <w:vAlign w:val="bottom"/>
            <w:tcBorders>
              <w:top w:val="single" w:sz="8" w:color="572C83"/>
            </w:tcBorders>
            <w:shd w:val="clear" w:color="auto" w:fill="EBE6F0"/>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572C83"/>
            </w:tcBorders>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572C83"/>
            </w:tcBorders>
            <w:shd w:val="clear" w:color="auto" w:fill="EBE6F0"/>
          </w:tcPr>
          <w:p>
            <w:pPr>
              <w:jc w:val="right"/>
              <w:ind w:right="38"/>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572C83"/>
            </w:tcBorders>
            <w:shd w:val="clear" w:color="auto" w:fill="EBE6F0"/>
          </w:tcPr>
          <w:p>
            <w:pPr>
              <w:jc w:val="right"/>
              <w:spacing w:after="0"/>
              <w:rPr>
                <w:sz w:val="20"/>
                <w:szCs w:val="20"/>
                <w:color w:val="auto"/>
              </w:rPr>
            </w:pPr>
            <w:r>
              <w:rPr>
                <w:rFonts w:ascii="Arial" w:cs="Arial" w:eastAsia="Arial" w:hAnsi="Arial"/>
                <w:sz w:val="12"/>
                <w:szCs w:val="12"/>
                <w:color w:val="auto"/>
              </w:rPr>
              <w:t>1,507,772</w:t>
            </w:r>
          </w:p>
        </w:tc>
        <w:tc>
          <w:tcPr>
            <w:tcW w:w="0" w:type="dxa"/>
            <w:vAlign w:val="bottom"/>
          </w:tcPr>
          <w:p>
            <w:pPr>
              <w:spacing w:after="0"/>
              <w:rPr>
                <w:sz w:val="1"/>
                <w:szCs w:val="1"/>
                <w:color w:val="auto"/>
              </w:rPr>
            </w:pPr>
          </w:p>
        </w:tc>
      </w:tr>
      <w:tr>
        <w:trPr>
          <w:trHeight w:val="191"/>
        </w:trPr>
        <w:tc>
          <w:tcPr>
            <w:tcW w:w="1200" w:type="dxa"/>
            <w:vAlign w:val="bottom"/>
            <w:tcBorders>
              <w:bottom w:val="single" w:sz="8" w:color="EBE6F0"/>
            </w:tcBorders>
            <w:shd w:val="clear" w:color="auto" w:fill="EBE6F0"/>
          </w:tcPr>
          <w:p>
            <w:pPr>
              <w:spacing w:after="0"/>
              <w:rPr>
                <w:sz w:val="16"/>
                <w:szCs w:val="16"/>
                <w:color w:val="auto"/>
              </w:rPr>
            </w:pPr>
          </w:p>
        </w:tc>
        <w:tc>
          <w:tcPr>
            <w:tcW w:w="680" w:type="dxa"/>
            <w:vAlign w:val="bottom"/>
            <w:tcBorders>
              <w:bottom w:val="single" w:sz="8" w:color="EBE6F0"/>
            </w:tcBorders>
            <w:shd w:val="clear" w:color="auto" w:fill="EBE6F0"/>
          </w:tcPr>
          <w:p>
            <w:pPr>
              <w:spacing w:after="0"/>
              <w:rPr>
                <w:sz w:val="16"/>
                <w:szCs w:val="16"/>
                <w:color w:val="auto"/>
              </w:rPr>
            </w:pPr>
          </w:p>
        </w:tc>
        <w:tc>
          <w:tcPr>
            <w:tcW w:w="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2"/>
                <w:szCs w:val="12"/>
                <w:color w:val="auto"/>
              </w:rPr>
              <w:t>Share Units</w:t>
            </w:r>
          </w:p>
        </w:tc>
        <w:tc>
          <w:tcPr>
            <w:tcW w:w="140" w:type="dxa"/>
            <w:vAlign w:val="bottom"/>
            <w:tcBorders>
              <w:bottom w:val="single" w:sz="8" w:color="EBE6F0"/>
            </w:tcBorders>
            <w:shd w:val="clear" w:color="auto" w:fill="EBE6F0"/>
          </w:tcPr>
          <w:p>
            <w:pPr>
              <w:spacing w:after="0"/>
              <w:rPr>
                <w:sz w:val="16"/>
                <w:szCs w:val="16"/>
                <w:color w:val="auto"/>
              </w:rPr>
            </w:pPr>
          </w:p>
        </w:tc>
        <w:tc>
          <w:tcPr>
            <w:tcW w:w="900" w:type="dxa"/>
            <w:vAlign w:val="bottom"/>
            <w:tcBorders>
              <w:bottom w:val="single" w:sz="8" w:color="EBE6F0"/>
            </w:tcBorders>
            <w:shd w:val="clear" w:color="auto" w:fill="EBE6F0"/>
          </w:tcPr>
          <w:p>
            <w:pPr>
              <w:spacing w:after="0"/>
              <w:rPr>
                <w:sz w:val="16"/>
                <w:szCs w:val="16"/>
                <w:color w:val="auto"/>
              </w:rPr>
            </w:pPr>
          </w:p>
        </w:tc>
        <w:tc>
          <w:tcPr>
            <w:tcW w:w="880" w:type="dxa"/>
            <w:vAlign w:val="bottom"/>
            <w:tcBorders>
              <w:bottom w:val="single" w:sz="8" w:color="EBE6F0"/>
            </w:tcBorders>
            <w:shd w:val="clear" w:color="auto" w:fill="EBE6F0"/>
          </w:tcPr>
          <w:p>
            <w:pPr>
              <w:spacing w:after="0"/>
              <w:rPr>
                <w:sz w:val="16"/>
                <w:szCs w:val="16"/>
                <w:color w:val="auto"/>
              </w:rPr>
            </w:pPr>
          </w:p>
        </w:tc>
        <w:tc>
          <w:tcPr>
            <w:tcW w:w="820" w:type="dxa"/>
            <w:vAlign w:val="bottom"/>
            <w:tcBorders>
              <w:bottom w:val="single" w:sz="8" w:color="EBE6F0"/>
            </w:tcBorders>
            <w:shd w:val="clear" w:color="auto" w:fill="EBE6F0"/>
          </w:tcPr>
          <w:p>
            <w:pPr>
              <w:spacing w:after="0"/>
              <w:rPr>
                <w:sz w:val="16"/>
                <w:szCs w:val="16"/>
                <w:color w:val="auto"/>
              </w:rPr>
            </w:pPr>
          </w:p>
        </w:tc>
        <w:tc>
          <w:tcPr>
            <w:tcW w:w="820" w:type="dxa"/>
            <w:vAlign w:val="bottom"/>
            <w:tcBorders>
              <w:bottom w:val="single" w:sz="8" w:color="EBE6F0"/>
            </w:tcBorders>
            <w:shd w:val="clear" w:color="auto" w:fill="EBE6F0"/>
          </w:tcPr>
          <w:p>
            <w:pPr>
              <w:spacing w:after="0"/>
              <w:rPr>
                <w:sz w:val="16"/>
                <w:szCs w:val="16"/>
                <w:color w:val="auto"/>
              </w:rPr>
            </w:pPr>
          </w:p>
        </w:tc>
        <w:tc>
          <w:tcPr>
            <w:tcW w:w="720" w:type="dxa"/>
            <w:vAlign w:val="bottom"/>
            <w:tcBorders>
              <w:bottom w:val="single" w:sz="8" w:color="EBE6F0"/>
            </w:tcBorders>
            <w:shd w:val="clear" w:color="auto" w:fill="EBE6F0"/>
          </w:tcPr>
          <w:p>
            <w:pPr>
              <w:spacing w:after="0"/>
              <w:rPr>
                <w:sz w:val="16"/>
                <w:szCs w:val="16"/>
                <w:color w:val="auto"/>
              </w:rPr>
            </w:pPr>
          </w:p>
        </w:tc>
        <w:tc>
          <w:tcPr>
            <w:tcW w:w="620" w:type="dxa"/>
            <w:vAlign w:val="bottom"/>
            <w:tcBorders>
              <w:bottom w:val="single" w:sz="8" w:color="EBE6F0"/>
            </w:tcBorders>
            <w:shd w:val="clear" w:color="auto" w:fill="EBE6F0"/>
          </w:tcPr>
          <w:p>
            <w:pPr>
              <w:spacing w:after="0"/>
              <w:rPr>
                <w:sz w:val="16"/>
                <w:szCs w:val="16"/>
                <w:color w:val="auto"/>
              </w:rPr>
            </w:pPr>
          </w:p>
        </w:tc>
        <w:tc>
          <w:tcPr>
            <w:tcW w:w="120" w:type="dxa"/>
            <w:vAlign w:val="bottom"/>
            <w:tcBorders>
              <w:bottom w:val="single" w:sz="8" w:color="EBE6F0"/>
            </w:tcBorders>
            <w:shd w:val="clear" w:color="auto" w:fill="EBE6F0"/>
          </w:tcPr>
          <w:p>
            <w:pPr>
              <w:spacing w:after="0"/>
              <w:rPr>
                <w:sz w:val="16"/>
                <w:szCs w:val="16"/>
                <w:color w:val="auto"/>
              </w:rPr>
            </w:pPr>
          </w:p>
        </w:tc>
        <w:tc>
          <w:tcPr>
            <w:tcW w:w="880" w:type="dxa"/>
            <w:vAlign w:val="bottom"/>
            <w:tcBorders>
              <w:bottom w:val="single" w:sz="8" w:color="EBE6F0"/>
            </w:tcBorders>
            <w:shd w:val="clear" w:color="auto" w:fill="EBE6F0"/>
          </w:tcPr>
          <w:p>
            <w:pPr>
              <w:spacing w:after="0"/>
              <w:rPr>
                <w:sz w:val="16"/>
                <w:szCs w:val="16"/>
                <w:color w:val="auto"/>
              </w:rPr>
            </w:pPr>
          </w:p>
        </w:tc>
        <w:tc>
          <w:tcPr>
            <w:tcW w:w="940" w:type="dxa"/>
            <w:vAlign w:val="bottom"/>
            <w:tcBorders>
              <w:bottom w:val="single" w:sz="8" w:color="EBE6F0"/>
            </w:tcBorders>
            <w:shd w:val="clear" w:color="auto" w:fill="EBE6F0"/>
          </w:tcPr>
          <w:p>
            <w:pPr>
              <w:spacing w:after="0"/>
              <w:rPr>
                <w:sz w:val="16"/>
                <w:szCs w:val="16"/>
                <w:color w:val="auto"/>
              </w:rPr>
            </w:pPr>
          </w:p>
        </w:tc>
        <w:tc>
          <w:tcPr>
            <w:tcW w:w="840" w:type="dxa"/>
            <w:vAlign w:val="bottom"/>
            <w:tcBorders>
              <w:bottom w:val="single" w:sz="8" w:color="EBE6F0"/>
            </w:tcBorders>
            <w:shd w:val="clear" w:color="auto" w:fill="EBE6F0"/>
          </w:tcPr>
          <w:p>
            <w:pPr>
              <w:spacing w:after="0"/>
              <w:rPr>
                <w:sz w:val="16"/>
                <w:szCs w:val="16"/>
                <w:color w:val="auto"/>
              </w:rPr>
            </w:pPr>
          </w:p>
        </w:tc>
        <w:tc>
          <w:tcPr>
            <w:tcW w:w="780" w:type="dxa"/>
            <w:vAlign w:val="bottom"/>
            <w:tcBorders>
              <w:bottom w:val="single" w:sz="8" w:color="EBE6F0"/>
            </w:tcBorders>
            <w:shd w:val="clear" w:color="auto" w:fill="EBE6F0"/>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0" w:type="dxa"/>
            <w:vAlign w:val="bottom"/>
            <w:tcBorders>
              <w:top w:val="single" w:sz="8" w:color="EBE6F0"/>
              <w:bottom w:val="single" w:sz="8" w:color="EBE6F0"/>
            </w:tcBorders>
            <w:shd w:val="clear" w:color="auto" w:fill="EBE6F0"/>
          </w:tcPr>
          <w:p>
            <w:pPr>
              <w:spacing w:after="0"/>
              <w:rPr>
                <w:sz w:val="15"/>
                <w:szCs w:val="15"/>
                <w:color w:val="auto"/>
              </w:rPr>
            </w:pPr>
          </w:p>
        </w:tc>
        <w:tc>
          <w:tcPr>
            <w:tcW w:w="6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2"/>
                <w:szCs w:val="12"/>
                <w:color w:val="auto"/>
              </w:rPr>
              <w:t>02/24/2022</w:t>
            </w:r>
          </w:p>
        </w:tc>
        <w:tc>
          <w:tcPr>
            <w:tcW w:w="9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2"/>
                <w:szCs w:val="12"/>
                <w:color w:val="auto"/>
              </w:rPr>
              <w:t>Stock Options</w:t>
            </w:r>
          </w:p>
        </w:tc>
        <w:tc>
          <w:tcPr>
            <w:tcW w:w="140" w:type="dxa"/>
            <w:vAlign w:val="bottom"/>
            <w:tcBorders>
              <w:top w:val="single" w:sz="8" w:color="572C83"/>
              <w:bottom w:val="single" w:sz="8" w:color="EBE6F0"/>
            </w:tcBorders>
            <w:shd w:val="clear" w:color="auto" w:fill="EBE6F0"/>
          </w:tcPr>
          <w:p>
            <w:pPr>
              <w:spacing w:after="0"/>
              <w:rPr>
                <w:sz w:val="15"/>
                <w:szCs w:val="15"/>
                <w:color w:val="auto"/>
              </w:rPr>
            </w:pPr>
          </w:p>
        </w:tc>
        <w:tc>
          <w:tcPr>
            <w:tcW w:w="900" w:type="dxa"/>
            <w:vAlign w:val="bottom"/>
            <w:tcBorders>
              <w:top w:val="single" w:sz="8" w:color="572C83"/>
              <w:bottom w:val="single" w:sz="8" w:color="EBE6F0"/>
            </w:tcBorders>
            <w:shd w:val="clear" w:color="auto" w:fill="EBE6F0"/>
          </w:tcPr>
          <w:p>
            <w:pPr>
              <w:jc w:val="right"/>
              <w:ind w:right="99"/>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572C83"/>
              <w:bottom w:val="single" w:sz="8" w:color="EBE6F0"/>
            </w:tcBorders>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572C83"/>
              <w:bottom w:val="single" w:sz="8" w:color="EBE6F0"/>
            </w:tcBorders>
            <w:shd w:val="clear" w:color="auto" w:fill="EBE6F0"/>
          </w:tcPr>
          <w:p>
            <w:pPr>
              <w:jc w:val="right"/>
              <w:ind w:right="18"/>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572C83"/>
              <w:bottom w:val="single" w:sz="8" w:color="EBE6F0"/>
            </w:tcBorders>
            <w:shd w:val="clear" w:color="auto" w:fill="EBE6F0"/>
          </w:tcPr>
          <w:p>
            <w:pPr>
              <w:jc w:val="right"/>
              <w:ind w:right="59"/>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572C83"/>
              <w:bottom w:val="single" w:sz="8" w:color="EBE6F0"/>
            </w:tcBorders>
            <w:shd w:val="clear" w:color="auto" w:fill="EBE6F0"/>
          </w:tcPr>
          <w:p>
            <w:pPr>
              <w:jc w:val="right"/>
              <w:ind w:right="98"/>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572C83"/>
              <w:bottom w:val="single" w:sz="8" w:color="EBE6F0"/>
            </w:tcBorders>
            <w:gridSpan w:val="2"/>
            <w:shd w:val="clear" w:color="auto" w:fill="EBE6F0"/>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572C83"/>
              <w:bottom w:val="single" w:sz="8" w:color="EBE6F0"/>
            </w:tcBorders>
            <w:shd w:val="clear" w:color="auto" w:fill="EBE6F0"/>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572C83"/>
              <w:bottom w:val="single" w:sz="8" w:color="EBE6F0"/>
            </w:tcBorders>
            <w:shd w:val="clear" w:color="auto" w:fill="EBE6F0"/>
          </w:tcPr>
          <w:p>
            <w:pPr>
              <w:jc w:val="right"/>
              <w:ind w:right="98"/>
              <w:spacing w:after="0"/>
              <w:rPr>
                <w:sz w:val="20"/>
                <w:szCs w:val="20"/>
                <w:color w:val="auto"/>
              </w:rPr>
            </w:pPr>
            <w:r>
              <w:rPr>
                <w:rFonts w:ascii="Arial" w:cs="Arial" w:eastAsia="Arial" w:hAnsi="Arial"/>
                <w:sz w:val="12"/>
                <w:szCs w:val="12"/>
                <w:color w:val="auto"/>
              </w:rPr>
              <w:t>40,610</w:t>
            </w:r>
          </w:p>
        </w:tc>
        <w:tc>
          <w:tcPr>
            <w:tcW w:w="840" w:type="dxa"/>
            <w:vAlign w:val="bottom"/>
            <w:tcBorders>
              <w:top w:val="single" w:sz="8" w:color="572C83"/>
              <w:bottom w:val="single" w:sz="8" w:color="EBE6F0"/>
            </w:tcBorders>
            <w:shd w:val="clear" w:color="auto" w:fill="EBE6F0"/>
          </w:tcPr>
          <w:p>
            <w:pPr>
              <w:jc w:val="right"/>
              <w:ind w:right="38"/>
              <w:spacing w:after="0"/>
              <w:rPr>
                <w:sz w:val="20"/>
                <w:szCs w:val="20"/>
                <w:color w:val="auto"/>
              </w:rPr>
            </w:pPr>
            <w:r>
              <w:rPr>
                <w:rFonts w:ascii="Arial" w:cs="Arial" w:eastAsia="Arial" w:hAnsi="Arial"/>
                <w:sz w:val="12"/>
                <w:szCs w:val="12"/>
                <w:color w:val="auto"/>
              </w:rPr>
              <w:t>64.65</w:t>
            </w:r>
          </w:p>
        </w:tc>
        <w:tc>
          <w:tcPr>
            <w:tcW w:w="7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2"/>
                <w:szCs w:val="12"/>
                <w:color w:val="auto"/>
              </w:rPr>
              <w:t>456,456</w:t>
            </w:r>
          </w:p>
        </w:tc>
        <w:tc>
          <w:tcPr>
            <w:tcW w:w="0" w:type="dxa"/>
            <w:vAlign w:val="bottom"/>
          </w:tcPr>
          <w:p>
            <w:pPr>
              <w:spacing w:after="0"/>
              <w:rPr>
                <w:sz w:val="1"/>
                <w:szCs w:val="1"/>
                <w:color w:val="auto"/>
              </w:rPr>
            </w:pPr>
          </w:p>
        </w:tc>
      </w:tr>
      <w:tr>
        <w:trPr>
          <w:trHeight w:val="20"/>
        </w:trPr>
        <w:tc>
          <w:tcPr>
            <w:tcW w:w="1200" w:type="dxa"/>
            <w:vAlign w:val="bottom"/>
            <w:shd w:val="clear" w:color="auto" w:fill="572C83"/>
          </w:tcPr>
          <w:p>
            <w:pPr>
              <w:spacing w:after="0" w:line="20" w:lineRule="exact"/>
              <w:rPr>
                <w:sz w:val="1"/>
                <w:szCs w:val="1"/>
                <w:color w:val="auto"/>
              </w:rPr>
            </w:pPr>
          </w:p>
        </w:tc>
        <w:tc>
          <w:tcPr>
            <w:tcW w:w="680" w:type="dxa"/>
            <w:vAlign w:val="bottom"/>
            <w:shd w:val="clear" w:color="auto" w:fill="572C83"/>
          </w:tcPr>
          <w:p>
            <w:pPr>
              <w:spacing w:after="0" w:line="20" w:lineRule="exact"/>
              <w:rPr>
                <w:sz w:val="1"/>
                <w:szCs w:val="1"/>
                <w:color w:val="auto"/>
              </w:rPr>
            </w:pPr>
          </w:p>
        </w:tc>
        <w:tc>
          <w:tcPr>
            <w:tcW w:w="900" w:type="dxa"/>
            <w:vAlign w:val="bottom"/>
            <w:shd w:val="clear" w:color="auto" w:fill="572C83"/>
          </w:tcPr>
          <w:p>
            <w:pPr>
              <w:spacing w:after="0" w:line="20" w:lineRule="exact"/>
              <w:rPr>
                <w:sz w:val="1"/>
                <w:szCs w:val="1"/>
                <w:color w:val="auto"/>
              </w:rPr>
            </w:pPr>
          </w:p>
        </w:tc>
        <w:tc>
          <w:tcPr>
            <w:tcW w:w="140" w:type="dxa"/>
            <w:vAlign w:val="bottom"/>
            <w:shd w:val="clear" w:color="auto" w:fill="572C83"/>
          </w:tcPr>
          <w:p>
            <w:pPr>
              <w:spacing w:after="0" w:line="20" w:lineRule="exact"/>
              <w:rPr>
                <w:sz w:val="1"/>
                <w:szCs w:val="1"/>
                <w:color w:val="auto"/>
              </w:rPr>
            </w:pPr>
          </w:p>
        </w:tc>
        <w:tc>
          <w:tcPr>
            <w:tcW w:w="900" w:type="dxa"/>
            <w:vAlign w:val="bottom"/>
            <w:shd w:val="clear" w:color="auto" w:fill="572C83"/>
          </w:tcPr>
          <w:p>
            <w:pPr>
              <w:spacing w:after="0" w:line="20" w:lineRule="exact"/>
              <w:rPr>
                <w:sz w:val="1"/>
                <w:szCs w:val="1"/>
                <w:color w:val="auto"/>
              </w:rPr>
            </w:pPr>
          </w:p>
        </w:tc>
        <w:tc>
          <w:tcPr>
            <w:tcW w:w="880" w:type="dxa"/>
            <w:vAlign w:val="bottom"/>
            <w:shd w:val="clear" w:color="auto" w:fill="572C83"/>
          </w:tcPr>
          <w:p>
            <w:pPr>
              <w:spacing w:after="0" w:line="20" w:lineRule="exact"/>
              <w:rPr>
                <w:sz w:val="1"/>
                <w:szCs w:val="1"/>
                <w:color w:val="auto"/>
              </w:rPr>
            </w:pPr>
          </w:p>
        </w:tc>
        <w:tc>
          <w:tcPr>
            <w:tcW w:w="820" w:type="dxa"/>
            <w:vAlign w:val="bottom"/>
            <w:shd w:val="clear" w:color="auto" w:fill="572C83"/>
          </w:tcPr>
          <w:p>
            <w:pPr>
              <w:spacing w:after="0" w:line="20" w:lineRule="exact"/>
              <w:rPr>
                <w:sz w:val="1"/>
                <w:szCs w:val="1"/>
                <w:color w:val="auto"/>
              </w:rPr>
            </w:pPr>
          </w:p>
        </w:tc>
        <w:tc>
          <w:tcPr>
            <w:tcW w:w="820" w:type="dxa"/>
            <w:vAlign w:val="bottom"/>
            <w:shd w:val="clear" w:color="auto" w:fill="572C83"/>
          </w:tcPr>
          <w:p>
            <w:pPr>
              <w:spacing w:after="0" w:line="20" w:lineRule="exact"/>
              <w:rPr>
                <w:sz w:val="1"/>
                <w:szCs w:val="1"/>
                <w:color w:val="auto"/>
              </w:rPr>
            </w:pPr>
          </w:p>
        </w:tc>
        <w:tc>
          <w:tcPr>
            <w:tcW w:w="720" w:type="dxa"/>
            <w:vAlign w:val="bottom"/>
            <w:shd w:val="clear" w:color="auto" w:fill="572C83"/>
          </w:tcPr>
          <w:p>
            <w:pPr>
              <w:spacing w:after="0" w:line="20" w:lineRule="exact"/>
              <w:rPr>
                <w:sz w:val="1"/>
                <w:szCs w:val="1"/>
                <w:color w:val="auto"/>
              </w:rPr>
            </w:pPr>
          </w:p>
        </w:tc>
        <w:tc>
          <w:tcPr>
            <w:tcW w:w="620" w:type="dxa"/>
            <w:vAlign w:val="bottom"/>
            <w:shd w:val="clear" w:color="auto" w:fill="572C83"/>
          </w:tcPr>
          <w:p>
            <w:pPr>
              <w:spacing w:after="0" w:line="20" w:lineRule="exact"/>
              <w:rPr>
                <w:sz w:val="1"/>
                <w:szCs w:val="1"/>
                <w:color w:val="auto"/>
              </w:rPr>
            </w:pPr>
          </w:p>
        </w:tc>
        <w:tc>
          <w:tcPr>
            <w:tcW w:w="120" w:type="dxa"/>
            <w:vAlign w:val="bottom"/>
            <w:shd w:val="clear" w:color="auto" w:fill="572C83"/>
          </w:tcPr>
          <w:p>
            <w:pPr>
              <w:spacing w:after="0" w:line="20" w:lineRule="exact"/>
              <w:rPr>
                <w:sz w:val="1"/>
                <w:szCs w:val="1"/>
                <w:color w:val="auto"/>
              </w:rPr>
            </w:pPr>
          </w:p>
        </w:tc>
        <w:tc>
          <w:tcPr>
            <w:tcW w:w="880" w:type="dxa"/>
            <w:vAlign w:val="bottom"/>
            <w:shd w:val="clear" w:color="auto" w:fill="572C83"/>
          </w:tcPr>
          <w:p>
            <w:pPr>
              <w:spacing w:after="0" w:line="20" w:lineRule="exact"/>
              <w:rPr>
                <w:sz w:val="1"/>
                <w:szCs w:val="1"/>
                <w:color w:val="auto"/>
              </w:rPr>
            </w:pPr>
          </w:p>
        </w:tc>
        <w:tc>
          <w:tcPr>
            <w:tcW w:w="940" w:type="dxa"/>
            <w:vAlign w:val="bottom"/>
            <w:shd w:val="clear" w:color="auto" w:fill="572C83"/>
          </w:tcPr>
          <w:p>
            <w:pPr>
              <w:spacing w:after="0" w:line="20" w:lineRule="exact"/>
              <w:rPr>
                <w:sz w:val="1"/>
                <w:szCs w:val="1"/>
                <w:color w:val="auto"/>
              </w:rPr>
            </w:pPr>
          </w:p>
        </w:tc>
        <w:tc>
          <w:tcPr>
            <w:tcW w:w="840" w:type="dxa"/>
            <w:vAlign w:val="bottom"/>
            <w:shd w:val="clear" w:color="auto" w:fill="572C83"/>
          </w:tcPr>
          <w:p>
            <w:pPr>
              <w:spacing w:after="0" w:line="20" w:lineRule="exact"/>
              <w:rPr>
                <w:sz w:val="1"/>
                <w:szCs w:val="1"/>
                <w:color w:val="auto"/>
              </w:rPr>
            </w:pPr>
          </w:p>
        </w:tc>
        <w:tc>
          <w:tcPr>
            <w:tcW w:w="780" w:type="dxa"/>
            <w:vAlign w:val="bottom"/>
            <w:shd w:val="clear" w:color="auto" w:fill="572C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380" w:right="180" w:hanging="319"/>
        <w:spacing w:after="0" w:line="277" w:lineRule="auto"/>
        <w:tabs>
          <w:tab w:leader="none" w:pos="3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Threshold amounts equal 50% of target. A zero payout is possible if threshold performance levels are not achieved. Actual amounts under our 2022 AIP were settled in March 2023 and are disclosed in the Non-Equity Incentive Plan Compensation Annual Incentive Awards column in the 2022 Summary Compensation Table. Maximum amounts equal 200% of target. The amounts for Mr. Brusadelli and Mr. Gruber are converted to U.S. dollars using the Applicable Exchange Rate.</w:t>
      </w:r>
    </w:p>
    <w:p>
      <w:pPr>
        <w:spacing w:after="0" w:line="1" w:lineRule="exact"/>
        <w:rPr>
          <w:rFonts w:ascii="Arial" w:cs="Arial" w:eastAsia="Arial" w:hAnsi="Arial"/>
          <w:sz w:val="14"/>
          <w:szCs w:val="14"/>
          <w:color w:val="auto"/>
        </w:rPr>
      </w:pPr>
    </w:p>
    <w:p>
      <w:pPr>
        <w:ind w:left="380" w:right="120" w:hanging="319"/>
        <w:spacing w:after="0" w:line="250" w:lineRule="auto"/>
        <w:tabs>
          <w:tab w:leader="none" w:pos="3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Threshold units equal 50% of target units. A zero payout is possible if threshold performance levels are not achieved. The target number of units shown in the table reflects the number of shares of our Common Stock earned if performance is achieved at target levels. Maximum units equal 200% of target units. Actual shares earned under the 2022-2024 performance cycle will be issued no later than March 15, 2025, assuming threshold performance is achieved. All shares will be awarded net of applicable tax withholding. Dividend equivalents accrue during the performance cycle and will be paid at the end of the performance cycle in cash, net of applicable tax withholding, based on the actual number of shares earned for the performance cycle, if any.</w:t>
      </w:r>
    </w:p>
    <w:p>
      <w:pPr>
        <w:spacing w:after="0" w:line="8" w:lineRule="exact"/>
        <w:rPr>
          <w:rFonts w:ascii="Arial" w:cs="Arial" w:eastAsia="Arial" w:hAnsi="Arial"/>
          <w:sz w:val="15"/>
          <w:szCs w:val="15"/>
          <w:color w:val="auto"/>
        </w:rPr>
      </w:pPr>
    </w:p>
    <w:p>
      <w:pPr>
        <w:ind w:left="380" w:hanging="319"/>
        <w:spacing w:after="0"/>
        <w:tabs>
          <w:tab w:leader="none" w:pos="3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Exercise price equals the closing price of our Common Stock on the grant date.</w:t>
      </w:r>
    </w:p>
    <w:p>
      <w:pPr>
        <w:spacing w:after="0" w:line="38" w:lineRule="exact"/>
        <w:rPr>
          <w:rFonts w:ascii="Arial" w:cs="Arial" w:eastAsia="Arial" w:hAnsi="Arial"/>
          <w:sz w:val="15"/>
          <w:szCs w:val="15"/>
          <w:color w:val="auto"/>
        </w:rPr>
      </w:pPr>
    </w:p>
    <w:p>
      <w:pPr>
        <w:ind w:left="380" w:hanging="319"/>
        <w:spacing w:after="0"/>
        <w:tabs>
          <w:tab w:leader="none" w:pos="3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Amounts represent the grant date fair value of the awards as computed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253365</wp:posOffset>
            </wp:positionV>
            <wp:extent cx="7143115"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1" w:name="page102"/>
    <w:bookmarkEnd w:id="101"/>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2022 Outstanding Equity Awards at Fiscal Year-End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Borders>
              <w:bottom w:val="single" w:sz="8" w:color="582C83"/>
            </w:tcBorders>
          </w:tcPr>
          <w:p>
            <w:pPr>
              <w:spacing w:after="0"/>
              <w:rPr>
                <w:sz w:val="19"/>
                <w:szCs w:val="19"/>
                <w:color w:val="auto"/>
              </w:rPr>
            </w:pPr>
          </w:p>
        </w:tc>
        <w:tc>
          <w:tcPr>
            <w:tcW w:w="1100" w:type="dxa"/>
            <w:vAlign w:val="bottom"/>
            <w:tcBorders>
              <w:bottom w:val="single" w:sz="8" w:color="582C83"/>
            </w:tcBorders>
          </w:tcPr>
          <w:p>
            <w:pPr>
              <w:spacing w:after="0"/>
              <w:rPr>
                <w:sz w:val="19"/>
                <w:szCs w:val="19"/>
                <w:color w:val="auto"/>
              </w:rPr>
            </w:pPr>
          </w:p>
        </w:tc>
        <w:tc>
          <w:tcPr>
            <w:tcW w:w="20" w:type="dxa"/>
            <w:vAlign w:val="bottom"/>
            <w:tcBorders>
              <w:bottom w:val="single" w:sz="8" w:color="582C83"/>
            </w:tcBorders>
          </w:tcPr>
          <w:p>
            <w:pPr>
              <w:spacing w:after="0"/>
              <w:rPr>
                <w:sz w:val="19"/>
                <w:szCs w:val="19"/>
                <w:color w:val="auto"/>
              </w:rPr>
            </w:pPr>
          </w:p>
        </w:tc>
        <w:tc>
          <w:tcPr>
            <w:tcW w:w="2280" w:type="dxa"/>
            <w:vAlign w:val="bottom"/>
            <w:tcBorders>
              <w:bottom w:val="single" w:sz="8" w:color="582C83"/>
            </w:tcBorders>
            <w:gridSpan w:val="3"/>
          </w:tcPr>
          <w:p>
            <w:pPr>
              <w:jc w:val="right"/>
              <w:ind w:right="499"/>
              <w:spacing w:after="0"/>
              <w:rPr>
                <w:sz w:val="20"/>
                <w:szCs w:val="20"/>
                <w:color w:val="auto"/>
              </w:rPr>
            </w:pPr>
            <w:r>
              <w:rPr>
                <w:rFonts w:ascii="Arial" w:cs="Arial" w:eastAsia="Arial" w:hAnsi="Arial"/>
                <w:sz w:val="16"/>
                <w:szCs w:val="16"/>
                <w:b w:val="1"/>
                <w:bCs w:val="1"/>
                <w:color w:val="auto"/>
              </w:rPr>
              <w:t>Option Awards</w:t>
            </w:r>
          </w:p>
        </w:tc>
        <w:tc>
          <w:tcPr>
            <w:tcW w:w="20" w:type="dxa"/>
            <w:vAlign w:val="bottom"/>
            <w:tcBorders>
              <w:bottom w:val="single" w:sz="8" w:color="582C83"/>
            </w:tcBorders>
          </w:tcPr>
          <w:p>
            <w:pPr>
              <w:spacing w:after="0"/>
              <w:rPr>
                <w:sz w:val="19"/>
                <w:szCs w:val="19"/>
                <w:color w:val="auto"/>
              </w:rPr>
            </w:pPr>
          </w:p>
        </w:tc>
        <w:tc>
          <w:tcPr>
            <w:tcW w:w="1080" w:type="dxa"/>
            <w:vAlign w:val="bottom"/>
            <w:tcBorders>
              <w:bottom w:val="single" w:sz="8" w:color="582C83"/>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582C83"/>
            </w:tcBorders>
          </w:tcPr>
          <w:p>
            <w:pPr>
              <w:spacing w:after="0"/>
              <w:rPr>
                <w:sz w:val="19"/>
                <w:szCs w:val="19"/>
                <w:color w:val="auto"/>
              </w:rPr>
            </w:pPr>
          </w:p>
        </w:tc>
        <w:tc>
          <w:tcPr>
            <w:tcW w:w="860" w:type="dxa"/>
            <w:vAlign w:val="bottom"/>
            <w:tcBorders>
              <w:bottom w:val="single" w:sz="8" w:color="582C83"/>
            </w:tcBorders>
          </w:tcPr>
          <w:p>
            <w:pPr>
              <w:spacing w:after="0"/>
              <w:rPr>
                <w:sz w:val="19"/>
                <w:szCs w:val="19"/>
                <w:color w:val="auto"/>
              </w:rPr>
            </w:pPr>
          </w:p>
        </w:tc>
        <w:tc>
          <w:tcPr>
            <w:tcW w:w="2200" w:type="dxa"/>
            <w:vAlign w:val="bottom"/>
            <w:tcBorders>
              <w:bottom w:val="single" w:sz="8" w:color="582C83"/>
            </w:tcBorders>
            <w:gridSpan w:val="3"/>
          </w:tcPr>
          <w:p>
            <w:pPr>
              <w:jc w:val="right"/>
              <w:ind w:right="280"/>
              <w:spacing w:after="0"/>
              <w:rPr>
                <w:sz w:val="20"/>
                <w:szCs w:val="20"/>
                <w:color w:val="auto"/>
              </w:rPr>
            </w:pPr>
            <w:r>
              <w:rPr>
                <w:rFonts w:ascii="Arial" w:cs="Arial" w:eastAsia="Arial" w:hAnsi="Arial"/>
                <w:sz w:val="16"/>
                <w:szCs w:val="16"/>
                <w:b w:val="1"/>
                <w:bCs w:val="1"/>
                <w:color w:val="auto"/>
              </w:rPr>
              <w:t>Stock Awards</w:t>
            </w:r>
          </w:p>
        </w:tc>
        <w:tc>
          <w:tcPr>
            <w:tcW w:w="1300" w:type="dxa"/>
            <w:vAlign w:val="bottom"/>
            <w:tcBorders>
              <w:bottom w:val="single" w:sz="8" w:color="582C83"/>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Equity</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Equity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Incentive</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Incentive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Number</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Plan</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Plan Awards: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Awards:</w:t>
            </w: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Market or</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of</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Market</w:t>
            </w:r>
          </w:p>
        </w:tc>
        <w:tc>
          <w:tcPr>
            <w:tcW w:w="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Payout 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or Units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Value of</w:t>
            </w:r>
          </w:p>
        </w:tc>
        <w:tc>
          <w:tcPr>
            <w:tcW w:w="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Unearned</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of Unearned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of</w:t>
            </w:r>
          </w:p>
        </w:tc>
        <w:tc>
          <w:tcPr>
            <w:tcW w:w="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of</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Shares or</w:t>
            </w:r>
          </w:p>
        </w:tc>
        <w:tc>
          <w:tcPr>
            <w:tcW w:w="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Shares, Units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Stock</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Units of</w:t>
            </w:r>
          </w:p>
        </w:tc>
        <w:tc>
          <w:tcPr>
            <w:tcW w:w="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Units or</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or Other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Underlying</w:t>
            </w: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Underlying</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That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Stock</w:t>
            </w:r>
          </w:p>
        </w:tc>
        <w:tc>
          <w:tcPr>
            <w:tcW w:w="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Rights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Unexercised</w:t>
            </w: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Unexercised</w:t>
            </w: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Options</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Have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That</w:t>
            </w:r>
          </w:p>
        </w:tc>
        <w:tc>
          <w:tcPr>
            <w:tcW w:w="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Rights That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That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Options</w:t>
            </w: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Options</w:t>
            </w: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Exercise</w:t>
            </w:r>
          </w:p>
        </w:tc>
        <w:tc>
          <w:tcPr>
            <w:tcW w:w="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Options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Not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Have Not</w:t>
            </w:r>
          </w:p>
        </w:tc>
        <w:tc>
          <w:tcPr>
            <w:tcW w:w="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Have Not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Have Not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Exercisable</w:t>
            </w:r>
          </w:p>
        </w:tc>
        <w:tc>
          <w:tcPr>
            <w:tcW w:w="20" w:type="dxa"/>
            <w:vAlign w:val="bottom"/>
          </w:tcPr>
          <w:p>
            <w:pPr>
              <w:spacing w:after="0"/>
              <w:rPr>
                <w:sz w:val="22"/>
                <w:szCs w:val="22"/>
                <w:color w:val="auto"/>
              </w:rPr>
            </w:pPr>
          </w:p>
        </w:tc>
        <w:tc>
          <w:tcPr>
            <w:tcW w:w="1400" w:type="dxa"/>
            <w:vAlign w:val="bottom"/>
          </w:tcPr>
          <w:p>
            <w:pPr>
              <w:jc w:val="right"/>
              <w:spacing w:after="0" w:line="260" w:lineRule="exact"/>
              <w:rPr>
                <w:sz w:val="20"/>
                <w:szCs w:val="20"/>
                <w:color w:val="auto"/>
              </w:rPr>
            </w:pPr>
            <w:r>
              <w:rPr>
                <w:rFonts w:ascii="Arial" w:cs="Arial" w:eastAsia="Arial" w:hAnsi="Arial"/>
                <w:sz w:val="16"/>
                <w:szCs w:val="16"/>
                <w:b w:val="1"/>
                <w:bCs w:val="1"/>
                <w:color w:val="auto"/>
              </w:rPr>
              <w:t>Unexercisable</w:t>
            </w:r>
            <w:r>
              <w:rPr>
                <w:rFonts w:ascii="Arial" w:cs="Arial" w:eastAsia="Arial" w:hAnsi="Arial"/>
                <w:sz w:val="26"/>
                <w:szCs w:val="26"/>
                <w:b w:val="1"/>
                <w:bCs w:val="1"/>
                <w:color w:val="auto"/>
                <w:vertAlign w:val="superscript"/>
              </w:rPr>
              <w:t>(1)</w:t>
            </w: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Price</w:t>
            </w:r>
          </w:p>
        </w:tc>
        <w:tc>
          <w:tcPr>
            <w:tcW w:w="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Expiration</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Vested</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Vested</w:t>
            </w:r>
          </w:p>
        </w:tc>
        <w:tc>
          <w:tcPr>
            <w:tcW w:w="20" w:type="dxa"/>
            <w:vAlign w:val="bottom"/>
          </w:tcPr>
          <w:p>
            <w:pPr>
              <w:spacing w:after="0"/>
              <w:rPr>
                <w:sz w:val="22"/>
                <w:szCs w:val="22"/>
                <w:color w:val="auto"/>
              </w:rPr>
            </w:pPr>
          </w:p>
        </w:tc>
        <w:tc>
          <w:tcPr>
            <w:tcW w:w="1200" w:type="dxa"/>
            <w:vAlign w:val="bottom"/>
          </w:tcPr>
          <w:p>
            <w:pPr>
              <w:jc w:val="right"/>
              <w:spacing w:after="0" w:line="259" w:lineRule="exact"/>
              <w:rPr>
                <w:sz w:val="20"/>
                <w:szCs w:val="20"/>
                <w:color w:val="auto"/>
              </w:rPr>
            </w:pPr>
            <w:r>
              <w:rPr>
                <w:rFonts w:ascii="Arial" w:cs="Arial" w:eastAsia="Arial" w:hAnsi="Arial"/>
                <w:sz w:val="30"/>
                <w:szCs w:val="30"/>
                <w:b w:val="1"/>
                <w:bCs w:val="1"/>
                <w:color w:val="auto"/>
                <w:vertAlign w:val="subscript"/>
              </w:rPr>
              <w:t>Vested</w:t>
            </w:r>
            <w:r>
              <w:rPr>
                <w:rFonts w:ascii="Arial" w:cs="Arial" w:eastAsia="Arial" w:hAnsi="Arial"/>
                <w:sz w:val="13"/>
                <w:szCs w:val="13"/>
                <w:b w:val="1"/>
                <w:bCs w:val="1"/>
                <w:color w:val="auto"/>
              </w:rPr>
              <w:t>(1).(3)</w:t>
            </w:r>
          </w:p>
        </w:tc>
        <w:tc>
          <w:tcPr>
            <w:tcW w:w="1300" w:type="dxa"/>
            <w:vAlign w:val="bottom"/>
          </w:tcPr>
          <w:p>
            <w:pPr>
              <w:jc w:val="right"/>
              <w:spacing w:after="0" w:line="260" w:lineRule="exact"/>
              <w:rPr>
                <w:sz w:val="20"/>
                <w:szCs w:val="20"/>
                <w:color w:val="auto"/>
              </w:rPr>
            </w:pPr>
            <w:r>
              <w:rPr>
                <w:rFonts w:ascii="Arial" w:cs="Arial" w:eastAsia="Arial" w:hAnsi="Arial"/>
                <w:sz w:val="16"/>
                <w:szCs w:val="16"/>
                <w:b w:val="1"/>
                <w:bCs w:val="1"/>
                <w:color w:val="auto"/>
              </w:rPr>
              <w:t>Vested</w:t>
            </w:r>
            <w:r>
              <w:rPr>
                <w:rFonts w:ascii="Arial" w:cs="Arial" w:eastAsia="Arial" w:hAnsi="Arial"/>
                <w:sz w:val="26"/>
                <w:szCs w:val="26"/>
                <w:b w:val="1"/>
                <w:bCs w:val="1"/>
                <w:color w:val="auto"/>
                <w:vertAlign w:val="superscript"/>
              </w:rPr>
              <w:t>(2)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1060" w:type="dxa"/>
            <w:vAlign w:val="bottom"/>
            <w:tcBorders>
              <w:bottom w:val="single" w:sz="8" w:color="582C83"/>
            </w:tcBorders>
          </w:tcPr>
          <w:p>
            <w:pPr>
              <w:ind w:left="80"/>
              <w:spacing w:after="0"/>
              <w:rPr>
                <w:sz w:val="20"/>
                <w:szCs w:val="20"/>
                <w:color w:val="auto"/>
              </w:rPr>
            </w:pPr>
            <w:r>
              <w:rPr>
                <w:rFonts w:ascii="Arial" w:cs="Arial" w:eastAsia="Arial" w:hAnsi="Arial"/>
                <w:sz w:val="16"/>
                <w:szCs w:val="16"/>
                <w:b w:val="1"/>
                <w:bCs w:val="1"/>
                <w:color w:val="auto"/>
              </w:rPr>
              <w:t>Name</w:t>
            </w:r>
          </w:p>
        </w:tc>
        <w:tc>
          <w:tcPr>
            <w:tcW w:w="10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Grant Date</w:t>
            </w:r>
          </w:p>
        </w:tc>
        <w:tc>
          <w:tcPr>
            <w:tcW w:w="1120" w:type="dxa"/>
            <w:vAlign w:val="bottom"/>
            <w:tcBorders>
              <w:bottom w:val="single" w:sz="8" w:color="582C83"/>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582C83"/>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582C83"/>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582C83"/>
            </w:tcBorders>
          </w:tcPr>
          <w:p>
            <w:pPr>
              <w:spacing w:after="0"/>
              <w:rPr>
                <w:sz w:val="20"/>
                <w:szCs w:val="20"/>
                <w:color w:val="auto"/>
              </w:rPr>
            </w:pPr>
          </w:p>
        </w:tc>
        <w:tc>
          <w:tcPr>
            <w:tcW w:w="10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Date</w:t>
            </w:r>
          </w:p>
        </w:tc>
        <w:tc>
          <w:tcPr>
            <w:tcW w:w="1080" w:type="dxa"/>
            <w:vAlign w:val="bottom"/>
            <w:tcBorders>
              <w:bottom w:val="single" w:sz="8" w:color="582C83"/>
            </w:tcBorders>
            <w:gridSpan w:val="3"/>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582C83"/>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582C83"/>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60" w:type="dxa"/>
            <w:vAlign w:val="bottom"/>
            <w:shd w:val="clear" w:color="auto" w:fill="EBE6F0"/>
          </w:tcPr>
          <w:p>
            <w:pPr>
              <w:ind w:left="80"/>
              <w:spacing w:after="0"/>
              <w:rPr>
                <w:sz w:val="20"/>
                <w:szCs w:val="20"/>
                <w:color w:val="auto"/>
              </w:rPr>
            </w:pPr>
            <w:r>
              <w:rPr>
                <w:rFonts w:ascii="Arial" w:cs="Arial" w:eastAsia="Arial" w:hAnsi="Arial"/>
                <w:sz w:val="16"/>
                <w:szCs w:val="16"/>
                <w:b w:val="1"/>
                <w:bCs w:val="1"/>
                <w:color w:val="auto"/>
              </w:rPr>
              <w:t>Van de Put,</w:t>
            </w:r>
          </w:p>
        </w:tc>
        <w:tc>
          <w:tcPr>
            <w:tcW w:w="1080" w:type="dxa"/>
            <w:vAlign w:val="bottom"/>
            <w:shd w:val="clear" w:color="auto" w:fill="EBE6F0"/>
          </w:tcPr>
          <w:p>
            <w:pPr>
              <w:jc w:val="right"/>
              <w:spacing w:after="0"/>
              <w:rPr>
                <w:sz w:val="20"/>
                <w:szCs w:val="20"/>
                <w:color w:val="auto"/>
              </w:rPr>
            </w:pPr>
            <w:r>
              <w:rPr>
                <w:rFonts w:ascii="Arial" w:cs="Arial" w:eastAsia="Arial" w:hAnsi="Arial"/>
                <w:sz w:val="16"/>
                <w:szCs w:val="16"/>
                <w:color w:val="auto"/>
              </w:rPr>
              <w:t>11/20/2017</w:t>
            </w:r>
          </w:p>
        </w:tc>
        <w:tc>
          <w:tcPr>
            <w:tcW w:w="20" w:type="dxa"/>
            <w:vAlign w:val="bottom"/>
            <w:shd w:val="clear" w:color="auto" w:fill="EBE6F0"/>
          </w:tcPr>
          <w:p>
            <w:pPr>
              <w:spacing w:after="0"/>
              <w:rPr>
                <w:sz w:val="19"/>
                <w:szCs w:val="19"/>
                <w:color w:val="auto"/>
              </w:rPr>
            </w:pPr>
          </w:p>
        </w:tc>
        <w:tc>
          <w:tcPr>
            <w:tcW w:w="1100" w:type="dxa"/>
            <w:vAlign w:val="bottom"/>
            <w:shd w:val="clear" w:color="auto" w:fill="EBE6F0"/>
          </w:tcPr>
          <w:p>
            <w:pPr>
              <w:jc w:val="right"/>
              <w:spacing w:after="0"/>
              <w:rPr>
                <w:sz w:val="20"/>
                <w:szCs w:val="20"/>
                <w:color w:val="auto"/>
              </w:rPr>
            </w:pPr>
            <w:r>
              <w:rPr>
                <w:rFonts w:ascii="Arial" w:cs="Arial" w:eastAsia="Arial" w:hAnsi="Arial"/>
                <w:sz w:val="16"/>
                <w:szCs w:val="16"/>
                <w:color w:val="auto"/>
              </w:rPr>
              <w:t>133,580</w:t>
            </w:r>
          </w:p>
        </w:tc>
        <w:tc>
          <w:tcPr>
            <w:tcW w:w="20" w:type="dxa"/>
            <w:vAlign w:val="bottom"/>
            <w:shd w:val="clear" w:color="auto" w:fill="EBE6F0"/>
          </w:tcPr>
          <w:p>
            <w:pPr>
              <w:spacing w:after="0"/>
              <w:rPr>
                <w:sz w:val="19"/>
                <w:szCs w:val="19"/>
                <w:color w:val="auto"/>
              </w:rPr>
            </w:pPr>
          </w:p>
        </w:tc>
        <w:tc>
          <w:tcPr>
            <w:tcW w:w="1400" w:type="dxa"/>
            <w:vAlign w:val="bottom"/>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9"/>
                <w:szCs w:val="19"/>
                <w:color w:val="auto"/>
              </w:rPr>
            </w:pPr>
          </w:p>
        </w:tc>
        <w:tc>
          <w:tcPr>
            <w:tcW w:w="860" w:type="dxa"/>
            <w:vAlign w:val="bottom"/>
            <w:shd w:val="clear" w:color="auto" w:fill="EBE6F0"/>
          </w:tcPr>
          <w:p>
            <w:pPr>
              <w:jc w:val="right"/>
              <w:spacing w:after="0"/>
              <w:rPr>
                <w:sz w:val="20"/>
                <w:szCs w:val="20"/>
                <w:color w:val="auto"/>
              </w:rPr>
            </w:pPr>
            <w:r>
              <w:rPr>
                <w:rFonts w:ascii="Arial" w:cs="Arial" w:eastAsia="Arial" w:hAnsi="Arial"/>
                <w:sz w:val="16"/>
                <w:szCs w:val="16"/>
                <w:color w:val="auto"/>
              </w:rPr>
              <w:t>42.11</w:t>
            </w:r>
          </w:p>
        </w:tc>
        <w:tc>
          <w:tcPr>
            <w:tcW w:w="20" w:type="dxa"/>
            <w:vAlign w:val="bottom"/>
            <w:shd w:val="clear" w:color="auto" w:fill="EBE6F0"/>
          </w:tcPr>
          <w:p>
            <w:pPr>
              <w:spacing w:after="0"/>
              <w:rPr>
                <w:sz w:val="19"/>
                <w:szCs w:val="19"/>
                <w:color w:val="auto"/>
              </w:rPr>
            </w:pPr>
          </w:p>
        </w:tc>
        <w:tc>
          <w:tcPr>
            <w:tcW w:w="1080" w:type="dxa"/>
            <w:vAlign w:val="bottom"/>
            <w:shd w:val="clear" w:color="auto" w:fill="EBE6F0"/>
          </w:tcPr>
          <w:p>
            <w:pPr>
              <w:jc w:val="right"/>
              <w:spacing w:after="0"/>
              <w:rPr>
                <w:sz w:val="20"/>
                <w:szCs w:val="20"/>
                <w:color w:val="auto"/>
              </w:rPr>
            </w:pPr>
            <w:r>
              <w:rPr>
                <w:rFonts w:ascii="Arial" w:cs="Arial" w:eastAsia="Arial" w:hAnsi="Arial"/>
                <w:sz w:val="16"/>
                <w:szCs w:val="16"/>
                <w:color w:val="auto"/>
              </w:rPr>
              <w:t>11/20/2027</w:t>
            </w:r>
          </w:p>
        </w:tc>
        <w:tc>
          <w:tcPr>
            <w:tcW w:w="200" w:type="dxa"/>
            <w:vAlign w:val="bottom"/>
            <w:shd w:val="clear" w:color="auto" w:fill="EBE6F0"/>
          </w:tcPr>
          <w:p>
            <w:pPr>
              <w:spacing w:after="0"/>
              <w:rPr>
                <w:sz w:val="19"/>
                <w:szCs w:val="19"/>
                <w:color w:val="auto"/>
              </w:rPr>
            </w:pPr>
          </w:p>
        </w:tc>
        <w:tc>
          <w:tcPr>
            <w:tcW w:w="20" w:type="dxa"/>
            <w:vAlign w:val="bottom"/>
            <w:shd w:val="clear" w:color="auto" w:fill="EBE6F0"/>
          </w:tcPr>
          <w:p>
            <w:pPr>
              <w:spacing w:after="0"/>
              <w:rPr>
                <w:sz w:val="19"/>
                <w:szCs w:val="19"/>
                <w:color w:val="auto"/>
              </w:rPr>
            </w:pPr>
          </w:p>
        </w:tc>
        <w:tc>
          <w:tcPr>
            <w:tcW w:w="860" w:type="dxa"/>
            <w:vAlign w:val="bottom"/>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9"/>
                <w:szCs w:val="19"/>
                <w:color w:val="auto"/>
              </w:rPr>
            </w:pPr>
          </w:p>
        </w:tc>
        <w:tc>
          <w:tcPr>
            <w:tcW w:w="1200" w:type="dxa"/>
            <w:vAlign w:val="bottom"/>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1060" w:type="dxa"/>
            <w:vAlign w:val="bottom"/>
            <w:tcBorders>
              <w:bottom w:val="single" w:sz="8" w:color="EBE6F0"/>
            </w:tcBorders>
            <w:vMerge w:val="restart"/>
            <w:shd w:val="clear" w:color="auto" w:fill="EBE6F0"/>
          </w:tcPr>
          <w:p>
            <w:pPr>
              <w:ind w:left="80"/>
              <w:spacing w:after="0"/>
              <w:rPr>
                <w:sz w:val="20"/>
                <w:szCs w:val="20"/>
                <w:color w:val="auto"/>
              </w:rPr>
            </w:pPr>
            <w:r>
              <w:rPr>
                <w:rFonts w:ascii="Arial" w:cs="Arial" w:eastAsia="Arial" w:hAnsi="Arial"/>
                <w:sz w:val="16"/>
                <w:szCs w:val="16"/>
                <w:b w:val="1"/>
                <w:bCs w:val="1"/>
                <w:color w:val="auto"/>
              </w:rPr>
              <w:t>Dirk</w:t>
            </w:r>
          </w:p>
        </w:tc>
        <w:tc>
          <w:tcPr>
            <w:tcW w:w="108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110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140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86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1080" w:type="dxa"/>
            <w:vAlign w:val="bottom"/>
            <w:tcBorders>
              <w:bottom w:val="single" w:sz="8" w:color="582C83"/>
            </w:tcBorders>
            <w:shd w:val="clear" w:color="auto" w:fill="EBE6F0"/>
          </w:tcPr>
          <w:p>
            <w:pPr>
              <w:spacing w:after="0"/>
              <w:rPr>
                <w:sz w:val="5"/>
                <w:szCs w:val="5"/>
                <w:color w:val="auto"/>
              </w:rPr>
            </w:pPr>
          </w:p>
        </w:tc>
        <w:tc>
          <w:tcPr>
            <w:tcW w:w="20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860" w:type="dxa"/>
            <w:vAlign w:val="bottom"/>
            <w:tcBorders>
              <w:bottom w:val="single" w:sz="8" w:color="582C83"/>
            </w:tcBorders>
            <w:shd w:val="clear" w:color="auto" w:fill="EBE6F0"/>
          </w:tcPr>
          <w:p>
            <w:pPr>
              <w:spacing w:after="0"/>
              <w:rPr>
                <w:sz w:val="5"/>
                <w:szCs w:val="5"/>
                <w:color w:val="auto"/>
              </w:rPr>
            </w:pPr>
          </w:p>
        </w:tc>
        <w:tc>
          <w:tcPr>
            <w:tcW w:w="98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1200" w:type="dxa"/>
            <w:vAlign w:val="bottom"/>
            <w:tcBorders>
              <w:bottom w:val="single" w:sz="8" w:color="582C83"/>
            </w:tcBorders>
            <w:shd w:val="clear" w:color="auto" w:fill="EBE6F0"/>
          </w:tcPr>
          <w:p>
            <w:pPr>
              <w:spacing w:after="0"/>
              <w:rPr>
                <w:sz w:val="5"/>
                <w:szCs w:val="5"/>
                <w:color w:val="auto"/>
              </w:rPr>
            </w:pPr>
          </w:p>
        </w:tc>
        <w:tc>
          <w:tcPr>
            <w:tcW w:w="130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1060" w:type="dxa"/>
            <w:vAlign w:val="bottom"/>
            <w:vMerge w:val="continue"/>
            <w:shd w:val="clear" w:color="auto" w:fill="EBE6F0"/>
          </w:tcPr>
          <w:p>
            <w:pPr>
              <w:spacing w:after="0"/>
              <w:rPr>
                <w:sz w:val="12"/>
                <w:szCs w:val="12"/>
                <w:color w:val="auto"/>
              </w:rPr>
            </w:pPr>
          </w:p>
        </w:tc>
        <w:tc>
          <w:tcPr>
            <w:tcW w:w="108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02/22/2018</w:t>
            </w:r>
          </w:p>
        </w:tc>
        <w:tc>
          <w:tcPr>
            <w:tcW w:w="20" w:type="dxa"/>
            <w:vAlign w:val="bottom"/>
            <w:shd w:val="clear" w:color="auto" w:fill="EBE6F0"/>
          </w:tcPr>
          <w:p>
            <w:pPr>
              <w:spacing w:after="0"/>
              <w:rPr>
                <w:sz w:val="12"/>
                <w:szCs w:val="12"/>
                <w:color w:val="auto"/>
              </w:rPr>
            </w:pPr>
          </w:p>
        </w:tc>
        <w:tc>
          <w:tcPr>
            <w:tcW w:w="110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258,570</w:t>
            </w:r>
          </w:p>
        </w:tc>
        <w:tc>
          <w:tcPr>
            <w:tcW w:w="20" w:type="dxa"/>
            <w:vAlign w:val="bottom"/>
            <w:shd w:val="clear" w:color="auto" w:fill="EBE6F0"/>
          </w:tcPr>
          <w:p>
            <w:pPr>
              <w:spacing w:after="0"/>
              <w:rPr>
                <w:sz w:val="12"/>
                <w:szCs w:val="12"/>
                <w:color w:val="auto"/>
              </w:rPr>
            </w:pPr>
          </w:p>
        </w:tc>
        <w:tc>
          <w:tcPr>
            <w:tcW w:w="140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2"/>
                <w:szCs w:val="12"/>
                <w:color w:val="auto"/>
              </w:rPr>
            </w:pPr>
          </w:p>
        </w:tc>
        <w:tc>
          <w:tcPr>
            <w:tcW w:w="86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43.51</w:t>
            </w:r>
          </w:p>
        </w:tc>
        <w:tc>
          <w:tcPr>
            <w:tcW w:w="20" w:type="dxa"/>
            <w:vAlign w:val="bottom"/>
            <w:shd w:val="clear" w:color="auto" w:fill="EBE6F0"/>
          </w:tcPr>
          <w:p>
            <w:pPr>
              <w:spacing w:after="0"/>
              <w:rPr>
                <w:sz w:val="12"/>
                <w:szCs w:val="12"/>
                <w:color w:val="auto"/>
              </w:rPr>
            </w:pPr>
          </w:p>
        </w:tc>
        <w:tc>
          <w:tcPr>
            <w:tcW w:w="108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02/22/2028</w:t>
            </w:r>
          </w:p>
        </w:tc>
        <w:tc>
          <w:tcPr>
            <w:tcW w:w="200" w:type="dxa"/>
            <w:vAlign w:val="bottom"/>
            <w:shd w:val="clear" w:color="auto" w:fill="EBE6F0"/>
          </w:tcPr>
          <w:p>
            <w:pPr>
              <w:spacing w:after="0"/>
              <w:rPr>
                <w:sz w:val="12"/>
                <w:szCs w:val="12"/>
                <w:color w:val="auto"/>
              </w:rPr>
            </w:pPr>
          </w:p>
        </w:tc>
        <w:tc>
          <w:tcPr>
            <w:tcW w:w="20" w:type="dxa"/>
            <w:vAlign w:val="bottom"/>
            <w:shd w:val="clear" w:color="auto" w:fill="EBE6F0"/>
          </w:tcPr>
          <w:p>
            <w:pPr>
              <w:spacing w:after="0"/>
              <w:rPr>
                <w:sz w:val="12"/>
                <w:szCs w:val="12"/>
                <w:color w:val="auto"/>
              </w:rPr>
            </w:pPr>
          </w:p>
        </w:tc>
        <w:tc>
          <w:tcPr>
            <w:tcW w:w="86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2"/>
                <w:szCs w:val="12"/>
                <w:color w:val="auto"/>
              </w:rPr>
            </w:pPr>
          </w:p>
        </w:tc>
        <w:tc>
          <w:tcPr>
            <w:tcW w:w="120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tcBorders>
              <w:bottom w:val="single" w:sz="8" w:color="EBE6F0"/>
            </w:tcBorders>
            <w:shd w:val="clear" w:color="auto" w:fill="EBE6F0"/>
          </w:tcPr>
          <w:p>
            <w:pPr>
              <w:spacing w:after="0"/>
              <w:rPr>
                <w:sz w:val="12"/>
                <w:szCs w:val="12"/>
                <w:color w:val="auto"/>
              </w:rPr>
            </w:pPr>
          </w:p>
        </w:tc>
        <w:tc>
          <w:tcPr>
            <w:tcW w:w="1080" w:type="dxa"/>
            <w:vAlign w:val="bottom"/>
            <w:tcBorders>
              <w:bottom w:val="single" w:sz="8" w:color="EBE6F0"/>
            </w:tcBorders>
            <w:vMerge w:val="continue"/>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1100" w:type="dxa"/>
            <w:vAlign w:val="bottom"/>
            <w:tcBorders>
              <w:bottom w:val="single" w:sz="8" w:color="EBE6F0"/>
            </w:tcBorders>
            <w:vMerge w:val="continue"/>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1400" w:type="dxa"/>
            <w:vAlign w:val="bottom"/>
            <w:tcBorders>
              <w:bottom w:val="single" w:sz="8" w:color="EBE6F0"/>
            </w:tcBorders>
            <w:vMerge w:val="continue"/>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860" w:type="dxa"/>
            <w:vAlign w:val="bottom"/>
            <w:tcBorders>
              <w:bottom w:val="single" w:sz="8" w:color="EBE6F0"/>
            </w:tcBorders>
            <w:vMerge w:val="continue"/>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1080" w:type="dxa"/>
            <w:vAlign w:val="bottom"/>
            <w:tcBorders>
              <w:bottom w:val="single" w:sz="8" w:color="EBE6F0"/>
            </w:tcBorders>
            <w:vMerge w:val="continue"/>
            <w:shd w:val="clear" w:color="auto" w:fill="EBE6F0"/>
          </w:tcPr>
          <w:p>
            <w:pPr>
              <w:spacing w:after="0"/>
              <w:rPr>
                <w:sz w:val="12"/>
                <w:szCs w:val="12"/>
                <w:color w:val="auto"/>
              </w:rPr>
            </w:pPr>
          </w:p>
        </w:tc>
        <w:tc>
          <w:tcPr>
            <w:tcW w:w="200" w:type="dxa"/>
            <w:vAlign w:val="bottom"/>
            <w:tcBorders>
              <w:bottom w:val="single" w:sz="8" w:color="EBE6F0"/>
            </w:tcBorders>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860" w:type="dxa"/>
            <w:vAlign w:val="bottom"/>
            <w:tcBorders>
              <w:bottom w:val="single" w:sz="8" w:color="EBE6F0"/>
            </w:tcBorders>
            <w:vMerge w:val="continue"/>
            <w:shd w:val="clear" w:color="auto" w:fill="EBE6F0"/>
          </w:tcPr>
          <w:p>
            <w:pPr>
              <w:spacing w:after="0"/>
              <w:rPr>
                <w:sz w:val="12"/>
                <w:szCs w:val="12"/>
                <w:color w:val="auto"/>
              </w:rPr>
            </w:pPr>
          </w:p>
        </w:tc>
        <w:tc>
          <w:tcPr>
            <w:tcW w:w="980" w:type="dxa"/>
            <w:vAlign w:val="bottom"/>
            <w:tcBorders>
              <w:bottom w:val="single" w:sz="8" w:color="EBE6F0"/>
            </w:tcBorders>
            <w:vMerge w:val="continue"/>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1200" w:type="dxa"/>
            <w:vAlign w:val="bottom"/>
            <w:tcBorders>
              <w:bottom w:val="single" w:sz="8" w:color="EBE6F0"/>
            </w:tcBorders>
            <w:vMerge w:val="continue"/>
            <w:shd w:val="clear" w:color="auto" w:fill="EBE6F0"/>
          </w:tcPr>
          <w:p>
            <w:pPr>
              <w:spacing w:after="0"/>
              <w:rPr>
                <w:sz w:val="12"/>
                <w:szCs w:val="12"/>
                <w:color w:val="auto"/>
              </w:rPr>
            </w:pPr>
          </w:p>
        </w:tc>
        <w:tc>
          <w:tcPr>
            <w:tcW w:w="1300" w:type="dxa"/>
            <w:vAlign w:val="bottom"/>
            <w:tcBorders>
              <w:bottom w:val="single" w:sz="8" w:color="EBE6F0"/>
            </w:tcBorders>
            <w:vMerge w:val="continue"/>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06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02/22/2019</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1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273,740</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4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47.72</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02/22/2029</w:t>
            </w:r>
          </w:p>
        </w:tc>
        <w:tc>
          <w:tcPr>
            <w:tcW w:w="200" w:type="dxa"/>
            <w:vAlign w:val="bottom"/>
            <w:tcBorders>
              <w:top w:val="single" w:sz="8" w:color="582C83"/>
              <w:bottom w:val="single" w:sz="8" w:color="EBE6F0"/>
            </w:tcBorders>
            <w:shd w:val="clear" w:color="auto" w:fill="EBE6F0"/>
          </w:tcPr>
          <w:p>
            <w:pPr>
              <w:spacing w:after="0"/>
              <w:rPr>
                <w:sz w:val="24"/>
                <w:szCs w:val="24"/>
                <w:color w:val="auto"/>
              </w:rPr>
            </w:pP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2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02/20/2020</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1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153,714</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4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79,186</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59.04</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02/20/2030</w:t>
            </w:r>
          </w:p>
        </w:tc>
        <w:tc>
          <w:tcPr>
            <w:tcW w:w="200" w:type="dxa"/>
            <w:vAlign w:val="bottom"/>
            <w:tcBorders>
              <w:top w:val="single" w:sz="8" w:color="582C83"/>
              <w:bottom w:val="single" w:sz="8" w:color="EBE6F0"/>
            </w:tcBorders>
            <w:shd w:val="clear" w:color="auto" w:fill="EBE6F0"/>
          </w:tcPr>
          <w:p>
            <w:pPr>
              <w:spacing w:after="0"/>
              <w:rPr>
                <w:sz w:val="24"/>
                <w:szCs w:val="24"/>
                <w:color w:val="auto"/>
              </w:rPr>
            </w:pP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2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02/18/2021</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1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4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582C83"/>
              <w:bottom w:val="single" w:sz="8" w:color="EBE6F0"/>
            </w:tcBorders>
            <w:shd w:val="clear" w:color="auto" w:fill="EBE6F0"/>
          </w:tcPr>
          <w:p>
            <w:pPr>
              <w:spacing w:after="0"/>
              <w:rPr>
                <w:sz w:val="24"/>
                <w:szCs w:val="24"/>
                <w:color w:val="auto"/>
              </w:rPr>
            </w:pP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2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307,340</w:t>
            </w:r>
          </w:p>
        </w:tc>
        <w:tc>
          <w:tcPr>
            <w:tcW w:w="13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20,484,211</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02/18/2021</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1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84,516</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4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171,594</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56.13</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02/18/2031</w:t>
            </w:r>
          </w:p>
        </w:tc>
        <w:tc>
          <w:tcPr>
            <w:tcW w:w="200" w:type="dxa"/>
            <w:vAlign w:val="bottom"/>
            <w:tcBorders>
              <w:top w:val="single" w:sz="8" w:color="582C83"/>
              <w:bottom w:val="single" w:sz="8" w:color="EBE6F0"/>
            </w:tcBorders>
            <w:shd w:val="clear" w:color="auto" w:fill="EBE6F0"/>
          </w:tcPr>
          <w:p>
            <w:pPr>
              <w:spacing w:after="0"/>
              <w:rPr>
                <w:sz w:val="24"/>
                <w:szCs w:val="24"/>
                <w:color w:val="auto"/>
              </w:rPr>
            </w:pP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2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02/24/2022</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1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4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582C83"/>
              <w:bottom w:val="single" w:sz="8" w:color="EBE6F0"/>
            </w:tcBorders>
            <w:shd w:val="clear" w:color="auto" w:fill="EBE6F0"/>
          </w:tcPr>
          <w:p>
            <w:pPr>
              <w:spacing w:after="0"/>
              <w:rPr>
                <w:sz w:val="24"/>
                <w:szCs w:val="24"/>
                <w:color w:val="auto"/>
              </w:rPr>
            </w:pP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2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278,440</w:t>
            </w:r>
          </w:p>
        </w:tc>
        <w:tc>
          <w:tcPr>
            <w:tcW w:w="13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18,558,026</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02/24/2022</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1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4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232,020</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64.65</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02/24/2032</w:t>
            </w:r>
          </w:p>
        </w:tc>
        <w:tc>
          <w:tcPr>
            <w:tcW w:w="200" w:type="dxa"/>
            <w:vAlign w:val="bottom"/>
            <w:tcBorders>
              <w:top w:val="single" w:sz="8" w:color="582C83"/>
              <w:bottom w:val="single" w:sz="8" w:color="EBE6F0"/>
            </w:tcBorders>
            <w:shd w:val="clear" w:color="auto" w:fill="EBE6F0"/>
          </w:tcPr>
          <w:p>
            <w:pPr>
              <w:spacing w:after="0"/>
              <w:rPr>
                <w:sz w:val="24"/>
                <w:szCs w:val="24"/>
                <w:color w:val="auto"/>
              </w:rPr>
            </w:pP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2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60" w:type="dxa"/>
            <w:vAlign w:val="bottom"/>
            <w:tcBorders>
              <w:top w:val="single" w:sz="8" w:color="582C83"/>
            </w:tcBorders>
          </w:tcPr>
          <w:p>
            <w:pPr>
              <w:ind w:left="80"/>
              <w:spacing w:after="0"/>
              <w:rPr>
                <w:sz w:val="20"/>
                <w:szCs w:val="20"/>
                <w:color w:val="auto"/>
              </w:rPr>
            </w:pPr>
            <w:r>
              <w:rPr>
                <w:rFonts w:ascii="Arial" w:cs="Arial" w:eastAsia="Arial" w:hAnsi="Arial"/>
                <w:sz w:val="16"/>
                <w:szCs w:val="16"/>
                <w:b w:val="1"/>
                <w:bCs w:val="1"/>
                <w:color w:val="auto"/>
              </w:rPr>
              <w:t>Zaramella,</w:t>
            </w:r>
          </w:p>
        </w:tc>
        <w:tc>
          <w:tcPr>
            <w:tcW w:w="10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02/18/2015</w:t>
            </w:r>
          </w:p>
        </w:tc>
        <w:tc>
          <w:tcPr>
            <w:tcW w:w="1120" w:type="dxa"/>
            <w:vAlign w:val="bottom"/>
            <w:tcBorders>
              <w:top w:val="single" w:sz="8" w:color="582C83"/>
            </w:tcBorders>
            <w:gridSpan w:val="2"/>
          </w:tcPr>
          <w:p>
            <w:pPr>
              <w:jc w:val="right"/>
              <w:spacing w:after="0"/>
              <w:rPr>
                <w:sz w:val="20"/>
                <w:szCs w:val="20"/>
                <w:color w:val="auto"/>
              </w:rPr>
            </w:pPr>
            <w:r>
              <w:rPr>
                <w:rFonts w:ascii="Arial" w:cs="Arial" w:eastAsia="Arial" w:hAnsi="Arial"/>
                <w:sz w:val="16"/>
                <w:szCs w:val="16"/>
                <w:color w:val="auto"/>
              </w:rPr>
              <w:t>25,380</w:t>
            </w:r>
          </w:p>
        </w:tc>
        <w:tc>
          <w:tcPr>
            <w:tcW w:w="20" w:type="dxa"/>
            <w:vAlign w:val="bottom"/>
            <w:tcBorders>
              <w:top w:val="single" w:sz="8" w:color="582C83"/>
            </w:tcBorders>
          </w:tcPr>
          <w:p>
            <w:pPr>
              <w:spacing w:after="0"/>
              <w:rPr>
                <w:sz w:val="18"/>
                <w:szCs w:val="18"/>
                <w:color w:val="auto"/>
              </w:rPr>
            </w:pPr>
          </w:p>
        </w:tc>
        <w:tc>
          <w:tcPr>
            <w:tcW w:w="14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582C83"/>
            </w:tcBorders>
            <w:gridSpan w:val="2"/>
          </w:tcPr>
          <w:p>
            <w:pPr>
              <w:jc w:val="right"/>
              <w:spacing w:after="0"/>
              <w:rPr>
                <w:sz w:val="20"/>
                <w:szCs w:val="20"/>
                <w:color w:val="auto"/>
              </w:rPr>
            </w:pPr>
            <w:r>
              <w:rPr>
                <w:rFonts w:ascii="Arial" w:cs="Arial" w:eastAsia="Arial" w:hAnsi="Arial"/>
                <w:sz w:val="16"/>
                <w:szCs w:val="16"/>
                <w:color w:val="auto"/>
              </w:rPr>
              <w:t>36.94</w:t>
            </w:r>
          </w:p>
        </w:tc>
        <w:tc>
          <w:tcPr>
            <w:tcW w:w="1100" w:type="dxa"/>
            <w:vAlign w:val="bottom"/>
            <w:tcBorders>
              <w:top w:val="single" w:sz="8" w:color="582C83"/>
            </w:tcBorders>
            <w:gridSpan w:val="2"/>
          </w:tcPr>
          <w:p>
            <w:pPr>
              <w:jc w:val="right"/>
              <w:spacing w:after="0"/>
              <w:rPr>
                <w:sz w:val="20"/>
                <w:szCs w:val="20"/>
                <w:color w:val="auto"/>
              </w:rPr>
            </w:pPr>
            <w:r>
              <w:rPr>
                <w:rFonts w:ascii="Arial" w:cs="Arial" w:eastAsia="Arial" w:hAnsi="Arial"/>
                <w:sz w:val="16"/>
                <w:szCs w:val="16"/>
                <w:color w:val="auto"/>
              </w:rPr>
              <w:t>02/18/2025</w:t>
            </w:r>
          </w:p>
        </w:tc>
        <w:tc>
          <w:tcPr>
            <w:tcW w:w="200" w:type="dxa"/>
            <w:vAlign w:val="bottom"/>
            <w:tcBorders>
              <w:top w:val="single" w:sz="8" w:color="582C83"/>
            </w:tcBorders>
          </w:tcPr>
          <w:p>
            <w:pPr>
              <w:spacing w:after="0"/>
              <w:rPr>
                <w:sz w:val="18"/>
                <w:szCs w:val="18"/>
                <w:color w:val="auto"/>
              </w:rPr>
            </w:pPr>
          </w:p>
        </w:tc>
        <w:tc>
          <w:tcPr>
            <w:tcW w:w="20" w:type="dxa"/>
            <w:vAlign w:val="bottom"/>
            <w:tcBorders>
              <w:top w:val="single" w:sz="8" w:color="582C83"/>
            </w:tcBorders>
          </w:tcPr>
          <w:p>
            <w:pPr>
              <w:spacing w:after="0"/>
              <w:rPr>
                <w:sz w:val="18"/>
                <w:szCs w:val="18"/>
                <w:color w:val="auto"/>
              </w:rPr>
            </w:pPr>
          </w:p>
        </w:tc>
        <w:tc>
          <w:tcPr>
            <w:tcW w:w="8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582C83"/>
            </w:tcBorders>
          </w:tcPr>
          <w:p>
            <w:pPr>
              <w:spacing w:after="0"/>
              <w:rPr>
                <w:sz w:val="18"/>
                <w:szCs w:val="18"/>
                <w:color w:val="auto"/>
              </w:rPr>
            </w:pPr>
          </w:p>
        </w:tc>
        <w:tc>
          <w:tcPr>
            <w:tcW w:w="12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582C83"/>
            </w:tcBorders>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10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Luca</w:t>
            </w:r>
          </w:p>
        </w:tc>
        <w:tc>
          <w:tcPr>
            <w:tcW w:w="1080" w:type="dxa"/>
            <w:vAlign w:val="bottom"/>
            <w:tcBorders>
              <w:bottom w:val="single" w:sz="8" w:color="582C83"/>
            </w:tcBorders>
          </w:tcPr>
          <w:p>
            <w:pPr>
              <w:spacing w:after="0"/>
              <w:rPr>
                <w:sz w:val="5"/>
                <w:szCs w:val="5"/>
                <w:color w:val="auto"/>
              </w:rPr>
            </w:pPr>
          </w:p>
        </w:tc>
        <w:tc>
          <w:tcPr>
            <w:tcW w:w="20" w:type="dxa"/>
            <w:vAlign w:val="bottom"/>
            <w:tcBorders>
              <w:bottom w:val="single" w:sz="8" w:color="582C83"/>
            </w:tcBorders>
          </w:tcPr>
          <w:p>
            <w:pPr>
              <w:spacing w:after="0"/>
              <w:rPr>
                <w:sz w:val="5"/>
                <w:szCs w:val="5"/>
                <w:color w:val="auto"/>
              </w:rPr>
            </w:pPr>
          </w:p>
        </w:tc>
        <w:tc>
          <w:tcPr>
            <w:tcW w:w="1100" w:type="dxa"/>
            <w:vAlign w:val="bottom"/>
            <w:tcBorders>
              <w:bottom w:val="single" w:sz="8" w:color="582C83"/>
            </w:tcBorders>
          </w:tcPr>
          <w:p>
            <w:pPr>
              <w:spacing w:after="0"/>
              <w:rPr>
                <w:sz w:val="5"/>
                <w:szCs w:val="5"/>
                <w:color w:val="auto"/>
              </w:rPr>
            </w:pPr>
          </w:p>
        </w:tc>
        <w:tc>
          <w:tcPr>
            <w:tcW w:w="20" w:type="dxa"/>
            <w:vAlign w:val="bottom"/>
            <w:tcBorders>
              <w:bottom w:val="single" w:sz="8" w:color="582C83"/>
            </w:tcBorders>
          </w:tcPr>
          <w:p>
            <w:pPr>
              <w:spacing w:after="0"/>
              <w:rPr>
                <w:sz w:val="5"/>
                <w:szCs w:val="5"/>
                <w:color w:val="auto"/>
              </w:rPr>
            </w:pPr>
          </w:p>
        </w:tc>
        <w:tc>
          <w:tcPr>
            <w:tcW w:w="1400" w:type="dxa"/>
            <w:vAlign w:val="bottom"/>
            <w:tcBorders>
              <w:bottom w:val="single" w:sz="8" w:color="582C83"/>
            </w:tcBorders>
          </w:tcPr>
          <w:p>
            <w:pPr>
              <w:spacing w:after="0"/>
              <w:rPr>
                <w:sz w:val="5"/>
                <w:szCs w:val="5"/>
                <w:color w:val="auto"/>
              </w:rPr>
            </w:pPr>
          </w:p>
        </w:tc>
        <w:tc>
          <w:tcPr>
            <w:tcW w:w="20" w:type="dxa"/>
            <w:vAlign w:val="bottom"/>
            <w:tcBorders>
              <w:bottom w:val="single" w:sz="8" w:color="582C83"/>
            </w:tcBorders>
          </w:tcPr>
          <w:p>
            <w:pPr>
              <w:spacing w:after="0"/>
              <w:rPr>
                <w:sz w:val="5"/>
                <w:szCs w:val="5"/>
                <w:color w:val="auto"/>
              </w:rPr>
            </w:pPr>
          </w:p>
        </w:tc>
        <w:tc>
          <w:tcPr>
            <w:tcW w:w="860" w:type="dxa"/>
            <w:vAlign w:val="bottom"/>
            <w:tcBorders>
              <w:bottom w:val="single" w:sz="8" w:color="582C83"/>
            </w:tcBorders>
          </w:tcPr>
          <w:p>
            <w:pPr>
              <w:spacing w:after="0"/>
              <w:rPr>
                <w:sz w:val="5"/>
                <w:szCs w:val="5"/>
                <w:color w:val="auto"/>
              </w:rPr>
            </w:pPr>
          </w:p>
        </w:tc>
        <w:tc>
          <w:tcPr>
            <w:tcW w:w="20" w:type="dxa"/>
            <w:vAlign w:val="bottom"/>
            <w:tcBorders>
              <w:bottom w:val="single" w:sz="8" w:color="582C83"/>
            </w:tcBorders>
          </w:tcPr>
          <w:p>
            <w:pPr>
              <w:spacing w:after="0"/>
              <w:rPr>
                <w:sz w:val="5"/>
                <w:szCs w:val="5"/>
                <w:color w:val="auto"/>
              </w:rPr>
            </w:pPr>
          </w:p>
        </w:tc>
        <w:tc>
          <w:tcPr>
            <w:tcW w:w="1080" w:type="dxa"/>
            <w:vAlign w:val="bottom"/>
            <w:tcBorders>
              <w:bottom w:val="single" w:sz="8" w:color="582C83"/>
            </w:tcBorders>
          </w:tcPr>
          <w:p>
            <w:pPr>
              <w:spacing w:after="0"/>
              <w:rPr>
                <w:sz w:val="5"/>
                <w:szCs w:val="5"/>
                <w:color w:val="auto"/>
              </w:rPr>
            </w:pPr>
          </w:p>
        </w:tc>
        <w:tc>
          <w:tcPr>
            <w:tcW w:w="200" w:type="dxa"/>
            <w:vAlign w:val="bottom"/>
            <w:tcBorders>
              <w:bottom w:val="single" w:sz="8" w:color="582C83"/>
            </w:tcBorders>
          </w:tcPr>
          <w:p>
            <w:pPr>
              <w:spacing w:after="0"/>
              <w:rPr>
                <w:sz w:val="5"/>
                <w:szCs w:val="5"/>
                <w:color w:val="auto"/>
              </w:rPr>
            </w:pPr>
          </w:p>
        </w:tc>
        <w:tc>
          <w:tcPr>
            <w:tcW w:w="20" w:type="dxa"/>
            <w:vAlign w:val="bottom"/>
            <w:tcBorders>
              <w:bottom w:val="single" w:sz="8" w:color="582C83"/>
            </w:tcBorders>
          </w:tcPr>
          <w:p>
            <w:pPr>
              <w:spacing w:after="0"/>
              <w:rPr>
                <w:sz w:val="5"/>
                <w:szCs w:val="5"/>
                <w:color w:val="auto"/>
              </w:rPr>
            </w:pPr>
          </w:p>
        </w:tc>
        <w:tc>
          <w:tcPr>
            <w:tcW w:w="860" w:type="dxa"/>
            <w:vAlign w:val="bottom"/>
            <w:tcBorders>
              <w:bottom w:val="single" w:sz="8" w:color="582C83"/>
            </w:tcBorders>
          </w:tcPr>
          <w:p>
            <w:pPr>
              <w:spacing w:after="0"/>
              <w:rPr>
                <w:sz w:val="5"/>
                <w:szCs w:val="5"/>
                <w:color w:val="auto"/>
              </w:rPr>
            </w:pPr>
          </w:p>
        </w:tc>
        <w:tc>
          <w:tcPr>
            <w:tcW w:w="980" w:type="dxa"/>
            <w:vAlign w:val="bottom"/>
            <w:tcBorders>
              <w:bottom w:val="single" w:sz="8" w:color="582C83"/>
            </w:tcBorders>
          </w:tcPr>
          <w:p>
            <w:pPr>
              <w:spacing w:after="0"/>
              <w:rPr>
                <w:sz w:val="5"/>
                <w:szCs w:val="5"/>
                <w:color w:val="auto"/>
              </w:rPr>
            </w:pPr>
          </w:p>
        </w:tc>
        <w:tc>
          <w:tcPr>
            <w:tcW w:w="20" w:type="dxa"/>
            <w:vAlign w:val="bottom"/>
            <w:tcBorders>
              <w:bottom w:val="single" w:sz="8" w:color="582C83"/>
            </w:tcBorders>
          </w:tcPr>
          <w:p>
            <w:pPr>
              <w:spacing w:after="0"/>
              <w:rPr>
                <w:sz w:val="5"/>
                <w:szCs w:val="5"/>
                <w:color w:val="auto"/>
              </w:rPr>
            </w:pPr>
          </w:p>
        </w:tc>
        <w:tc>
          <w:tcPr>
            <w:tcW w:w="1200" w:type="dxa"/>
            <w:vAlign w:val="bottom"/>
            <w:tcBorders>
              <w:bottom w:val="single" w:sz="8" w:color="582C83"/>
            </w:tcBorders>
          </w:tcPr>
          <w:p>
            <w:pPr>
              <w:spacing w:after="0"/>
              <w:rPr>
                <w:sz w:val="5"/>
                <w:szCs w:val="5"/>
                <w:color w:val="auto"/>
              </w:rPr>
            </w:pPr>
          </w:p>
        </w:tc>
        <w:tc>
          <w:tcPr>
            <w:tcW w:w="1300" w:type="dxa"/>
            <w:vAlign w:val="bottom"/>
            <w:tcBorders>
              <w:bottom w:val="single" w:sz="8" w:color="582C83"/>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1060" w:type="dxa"/>
            <w:vAlign w:val="bottom"/>
            <w:vMerge w:val="continue"/>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02/22/2016</w:t>
            </w: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color w:val="auto"/>
              </w:rPr>
              <w:t>24,410</w:t>
            </w:r>
          </w:p>
        </w:tc>
        <w:tc>
          <w:tcPr>
            <w:tcW w:w="2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39.70</w:t>
            </w:r>
          </w:p>
        </w:tc>
        <w:tc>
          <w:tcPr>
            <w:tcW w:w="1100" w:type="dxa"/>
            <w:vAlign w:val="bottom"/>
            <w:gridSpan w:val="2"/>
            <w:vMerge w:val="restart"/>
          </w:tcPr>
          <w:p>
            <w:pPr>
              <w:jc w:val="right"/>
              <w:spacing w:after="0"/>
              <w:rPr>
                <w:sz w:val="20"/>
                <w:szCs w:val="20"/>
                <w:color w:val="auto"/>
              </w:rPr>
            </w:pPr>
            <w:r>
              <w:rPr>
                <w:rFonts w:ascii="Arial" w:cs="Arial" w:eastAsia="Arial" w:hAnsi="Arial"/>
                <w:sz w:val="16"/>
                <w:szCs w:val="16"/>
                <w:color w:val="auto"/>
              </w:rPr>
              <w:t>02/22/2026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0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1060" w:type="dxa"/>
            <w:vAlign w:val="bottom"/>
          </w:tcPr>
          <w:p>
            <w:pPr>
              <w:spacing w:after="0"/>
              <w:rPr>
                <w:sz w:val="3"/>
                <w:szCs w:val="3"/>
                <w:color w:val="auto"/>
              </w:rPr>
            </w:pPr>
          </w:p>
        </w:tc>
        <w:tc>
          <w:tcPr>
            <w:tcW w:w="108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gridSpan w:val="2"/>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gridSpan w:val="2"/>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2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86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02/16/2017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22,570</w:t>
            </w:r>
          </w:p>
        </w:tc>
        <w:tc>
          <w:tcPr>
            <w:tcW w:w="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43.20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02/16/2027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60" w:type="dxa"/>
            <w:vAlign w:val="bottom"/>
          </w:tcPr>
          <w:p>
            <w:pPr>
              <w:spacing w:after="0"/>
              <w:rPr>
                <w:sz w:val="3"/>
                <w:szCs w:val="3"/>
                <w:color w:val="auto"/>
              </w:rPr>
            </w:pPr>
          </w:p>
        </w:tc>
        <w:tc>
          <w:tcPr>
            <w:tcW w:w="108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gridSpan w:val="2"/>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gridSpan w:val="2"/>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2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86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02/22/2018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22,410</w:t>
            </w:r>
          </w:p>
        </w:tc>
        <w:tc>
          <w:tcPr>
            <w:tcW w:w="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43.51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02/22/2028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60" w:type="dxa"/>
            <w:vAlign w:val="bottom"/>
          </w:tcPr>
          <w:p>
            <w:pPr>
              <w:spacing w:after="0"/>
              <w:rPr>
                <w:sz w:val="3"/>
                <w:szCs w:val="3"/>
                <w:color w:val="auto"/>
              </w:rPr>
            </w:pPr>
          </w:p>
        </w:tc>
        <w:tc>
          <w:tcPr>
            <w:tcW w:w="108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gridSpan w:val="2"/>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gridSpan w:val="2"/>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2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86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08/01/2018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29,190</w:t>
            </w:r>
          </w:p>
        </w:tc>
        <w:tc>
          <w:tcPr>
            <w:tcW w:w="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42.83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08/01/2028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60" w:type="dxa"/>
            <w:vAlign w:val="bottom"/>
          </w:tcPr>
          <w:p>
            <w:pPr>
              <w:spacing w:after="0"/>
              <w:rPr>
                <w:sz w:val="3"/>
                <w:szCs w:val="3"/>
                <w:color w:val="auto"/>
              </w:rPr>
            </w:pPr>
          </w:p>
        </w:tc>
        <w:tc>
          <w:tcPr>
            <w:tcW w:w="108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gridSpan w:val="2"/>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gridSpan w:val="2"/>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2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86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02/22/2019</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58,940</w:t>
            </w:r>
          </w:p>
        </w:tc>
        <w:tc>
          <w:tcPr>
            <w:tcW w:w="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47.72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02/22/2029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60" w:type="dxa"/>
            <w:vAlign w:val="bottom"/>
          </w:tcPr>
          <w:p>
            <w:pPr>
              <w:spacing w:after="0"/>
              <w:rPr>
                <w:sz w:val="3"/>
                <w:szCs w:val="3"/>
                <w:color w:val="auto"/>
              </w:rPr>
            </w:pPr>
          </w:p>
        </w:tc>
        <w:tc>
          <w:tcPr>
            <w:tcW w:w="108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gridSpan w:val="2"/>
          </w:tcPr>
          <w:p>
            <w:pPr>
              <w:spacing w:after="0"/>
              <w:rPr>
                <w:sz w:val="3"/>
                <w:szCs w:val="3"/>
                <w:color w:val="auto"/>
              </w:rPr>
            </w:pPr>
          </w:p>
        </w:tc>
        <w:tc>
          <w:tcPr>
            <w:tcW w:w="1420" w:type="dxa"/>
            <w:vAlign w:val="bottom"/>
            <w:tcBorders>
              <w:bottom w:val="single" w:sz="8" w:color="582C83"/>
            </w:tcBorders>
            <w:gridSpan w:val="2"/>
          </w:tcPr>
          <w:p>
            <w:pPr>
              <w:spacing w:after="0"/>
              <w:rPr>
                <w:sz w:val="3"/>
                <w:szCs w:val="3"/>
                <w:color w:val="auto"/>
              </w:rPr>
            </w:pPr>
          </w:p>
        </w:tc>
        <w:tc>
          <w:tcPr>
            <w:tcW w:w="880" w:type="dxa"/>
            <w:vAlign w:val="bottom"/>
            <w:tcBorders>
              <w:bottom w:val="single" w:sz="8" w:color="582C83"/>
            </w:tcBorders>
            <w:gridSpan w:val="2"/>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2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86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02/20/2020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43,322</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22,318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59.04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02/20/2030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60" w:type="dxa"/>
            <w:vAlign w:val="bottom"/>
          </w:tcPr>
          <w:p>
            <w:pPr>
              <w:spacing w:after="0"/>
              <w:rPr>
                <w:sz w:val="3"/>
                <w:szCs w:val="3"/>
                <w:color w:val="auto"/>
              </w:rPr>
            </w:pPr>
          </w:p>
        </w:tc>
        <w:tc>
          <w:tcPr>
            <w:tcW w:w="10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1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86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080" w:type="dxa"/>
            <w:vAlign w:val="bottom"/>
            <w:tcBorders>
              <w:bottom w:val="single" w:sz="8" w:color="582C83"/>
            </w:tcBorders>
          </w:tcPr>
          <w:p>
            <w:pPr>
              <w:spacing w:after="0"/>
              <w:rPr>
                <w:sz w:val="3"/>
                <w:szCs w:val="3"/>
                <w:color w:val="auto"/>
              </w:rPr>
            </w:pPr>
          </w:p>
        </w:tc>
        <w:tc>
          <w:tcPr>
            <w:tcW w:w="2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86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1220" w:type="dxa"/>
            <w:vAlign w:val="bottom"/>
            <w:tcBorders>
              <w:bottom w:val="single" w:sz="8" w:color="582C83"/>
            </w:tcBorders>
            <w:gridSpan w:val="2"/>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02/18/2021</w:t>
            </w: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88,200</w:t>
            </w:r>
          </w:p>
        </w:tc>
        <w:tc>
          <w:tcPr>
            <w:tcW w:w="1300" w:type="dxa"/>
            <w:vAlign w:val="bottom"/>
          </w:tcPr>
          <w:p>
            <w:pPr>
              <w:jc w:val="right"/>
              <w:spacing w:after="0"/>
              <w:rPr>
                <w:sz w:val="20"/>
                <w:szCs w:val="20"/>
                <w:color w:val="auto"/>
              </w:rPr>
            </w:pPr>
            <w:r>
              <w:rPr>
                <w:rFonts w:ascii="Arial" w:cs="Arial" w:eastAsia="Arial" w:hAnsi="Arial"/>
                <w:sz w:val="16"/>
                <w:szCs w:val="16"/>
                <w:color w:val="auto"/>
              </w:rPr>
              <w:t>5,878,530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60" w:type="dxa"/>
            <w:vAlign w:val="bottom"/>
          </w:tcPr>
          <w:p>
            <w:pPr>
              <w:spacing w:after="0"/>
              <w:rPr>
                <w:sz w:val="3"/>
                <w:szCs w:val="3"/>
                <w:color w:val="auto"/>
              </w:rPr>
            </w:pPr>
          </w:p>
        </w:tc>
        <w:tc>
          <w:tcPr>
            <w:tcW w:w="108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gridSpan w:val="2"/>
          </w:tcPr>
          <w:p>
            <w:pPr>
              <w:spacing w:after="0"/>
              <w:rPr>
                <w:sz w:val="3"/>
                <w:szCs w:val="3"/>
                <w:color w:val="auto"/>
              </w:rPr>
            </w:pPr>
          </w:p>
        </w:tc>
        <w:tc>
          <w:tcPr>
            <w:tcW w:w="1420" w:type="dxa"/>
            <w:vAlign w:val="bottom"/>
            <w:tcBorders>
              <w:bottom w:val="single" w:sz="8" w:color="582C83"/>
            </w:tcBorders>
            <w:gridSpan w:val="2"/>
          </w:tcPr>
          <w:p>
            <w:pPr>
              <w:spacing w:after="0"/>
              <w:rPr>
                <w:sz w:val="3"/>
                <w:szCs w:val="3"/>
                <w:color w:val="auto"/>
              </w:rPr>
            </w:pPr>
          </w:p>
        </w:tc>
        <w:tc>
          <w:tcPr>
            <w:tcW w:w="880" w:type="dxa"/>
            <w:vAlign w:val="bottom"/>
            <w:tcBorders>
              <w:bottom w:val="single" w:sz="8" w:color="582C83"/>
            </w:tcBorders>
            <w:gridSpan w:val="2"/>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2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86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02/18/2021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24,255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49,245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56.13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02/18/2031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60" w:type="dxa"/>
            <w:vAlign w:val="bottom"/>
          </w:tcPr>
          <w:p>
            <w:pPr>
              <w:spacing w:after="0"/>
              <w:rPr>
                <w:sz w:val="3"/>
                <w:szCs w:val="3"/>
                <w:color w:val="auto"/>
              </w:rPr>
            </w:pPr>
          </w:p>
        </w:tc>
        <w:tc>
          <w:tcPr>
            <w:tcW w:w="10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1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86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080" w:type="dxa"/>
            <w:vAlign w:val="bottom"/>
            <w:tcBorders>
              <w:bottom w:val="single" w:sz="8" w:color="582C83"/>
            </w:tcBorders>
          </w:tcPr>
          <w:p>
            <w:pPr>
              <w:spacing w:after="0"/>
              <w:rPr>
                <w:sz w:val="3"/>
                <w:szCs w:val="3"/>
                <w:color w:val="auto"/>
              </w:rPr>
            </w:pPr>
          </w:p>
        </w:tc>
        <w:tc>
          <w:tcPr>
            <w:tcW w:w="2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86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1220" w:type="dxa"/>
            <w:vAlign w:val="bottom"/>
            <w:tcBorders>
              <w:bottom w:val="single" w:sz="8" w:color="582C83"/>
            </w:tcBorders>
            <w:gridSpan w:val="2"/>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02/24/2022</w:t>
            </w: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92,820</w:t>
            </w:r>
          </w:p>
        </w:tc>
        <w:tc>
          <w:tcPr>
            <w:tcW w:w="1300" w:type="dxa"/>
            <w:vAlign w:val="bottom"/>
          </w:tcPr>
          <w:p>
            <w:pPr>
              <w:jc w:val="right"/>
              <w:spacing w:after="0"/>
              <w:rPr>
                <w:sz w:val="20"/>
                <w:szCs w:val="20"/>
                <w:color w:val="auto"/>
              </w:rPr>
            </w:pPr>
            <w:r>
              <w:rPr>
                <w:rFonts w:ascii="Arial" w:cs="Arial" w:eastAsia="Arial" w:hAnsi="Arial"/>
                <w:sz w:val="16"/>
                <w:szCs w:val="16"/>
                <w:color w:val="auto"/>
              </w:rPr>
              <w:t>6,186,453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60" w:type="dxa"/>
            <w:vAlign w:val="bottom"/>
          </w:tcPr>
          <w:p>
            <w:pPr>
              <w:spacing w:after="0"/>
              <w:rPr>
                <w:sz w:val="3"/>
                <w:szCs w:val="3"/>
                <w:color w:val="auto"/>
              </w:rPr>
            </w:pPr>
          </w:p>
        </w:tc>
        <w:tc>
          <w:tcPr>
            <w:tcW w:w="10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100" w:type="dxa"/>
            <w:vAlign w:val="bottom"/>
            <w:tcBorders>
              <w:bottom w:val="single" w:sz="8" w:color="582C83"/>
            </w:tcBorders>
          </w:tcPr>
          <w:p>
            <w:pPr>
              <w:spacing w:after="0"/>
              <w:rPr>
                <w:sz w:val="3"/>
                <w:szCs w:val="3"/>
                <w:color w:val="auto"/>
              </w:rPr>
            </w:pPr>
          </w:p>
        </w:tc>
        <w:tc>
          <w:tcPr>
            <w:tcW w:w="1420" w:type="dxa"/>
            <w:vAlign w:val="bottom"/>
            <w:tcBorders>
              <w:bottom w:val="single" w:sz="8" w:color="582C83"/>
            </w:tcBorders>
            <w:gridSpan w:val="2"/>
          </w:tcPr>
          <w:p>
            <w:pPr>
              <w:spacing w:after="0"/>
              <w:rPr>
                <w:sz w:val="3"/>
                <w:szCs w:val="3"/>
                <w:color w:val="auto"/>
              </w:rPr>
            </w:pPr>
          </w:p>
        </w:tc>
        <w:tc>
          <w:tcPr>
            <w:tcW w:w="880" w:type="dxa"/>
            <w:vAlign w:val="bottom"/>
            <w:tcBorders>
              <w:bottom w:val="single" w:sz="8" w:color="582C83"/>
            </w:tcBorders>
            <w:gridSpan w:val="2"/>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2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86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02/24/2022</w:t>
            </w: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77,340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64.65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02/24/2032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60" w:type="dxa"/>
            <w:vAlign w:val="bottom"/>
            <w:tcBorders>
              <w:bottom w:val="single" w:sz="8" w:color="582C83"/>
            </w:tcBorders>
          </w:tcPr>
          <w:p>
            <w:pPr>
              <w:spacing w:after="0"/>
              <w:rPr>
                <w:sz w:val="3"/>
                <w:szCs w:val="3"/>
                <w:color w:val="auto"/>
              </w:rPr>
            </w:pPr>
          </w:p>
        </w:tc>
        <w:tc>
          <w:tcPr>
            <w:tcW w:w="10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1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86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080" w:type="dxa"/>
            <w:vAlign w:val="bottom"/>
            <w:tcBorders>
              <w:bottom w:val="single" w:sz="8" w:color="582C83"/>
            </w:tcBorders>
          </w:tcPr>
          <w:p>
            <w:pPr>
              <w:spacing w:after="0"/>
              <w:rPr>
                <w:sz w:val="3"/>
                <w:szCs w:val="3"/>
                <w:color w:val="auto"/>
              </w:rPr>
            </w:pPr>
          </w:p>
        </w:tc>
        <w:tc>
          <w:tcPr>
            <w:tcW w:w="2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86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060" w:type="dxa"/>
            <w:vAlign w:val="bottom"/>
            <w:shd w:val="clear" w:color="auto" w:fill="EBE6F0"/>
          </w:tcPr>
          <w:p>
            <w:pPr>
              <w:ind w:left="80"/>
              <w:spacing w:after="0"/>
              <w:rPr>
                <w:sz w:val="20"/>
                <w:szCs w:val="20"/>
                <w:color w:val="auto"/>
              </w:rPr>
            </w:pPr>
            <w:r>
              <w:rPr>
                <w:rFonts w:ascii="Arial" w:cs="Arial" w:eastAsia="Arial" w:hAnsi="Arial"/>
                <w:sz w:val="16"/>
                <w:szCs w:val="16"/>
                <w:b w:val="1"/>
                <w:bCs w:val="1"/>
                <w:color w:val="auto"/>
              </w:rPr>
              <w:t>Brusadelli,</w:t>
            </w:r>
          </w:p>
        </w:tc>
        <w:tc>
          <w:tcPr>
            <w:tcW w:w="1080" w:type="dxa"/>
            <w:vAlign w:val="bottom"/>
            <w:shd w:val="clear" w:color="auto" w:fill="EBE6F0"/>
          </w:tcPr>
          <w:p>
            <w:pPr>
              <w:jc w:val="right"/>
              <w:spacing w:after="0"/>
              <w:rPr>
                <w:sz w:val="20"/>
                <w:szCs w:val="20"/>
                <w:color w:val="auto"/>
              </w:rPr>
            </w:pPr>
            <w:r>
              <w:rPr>
                <w:rFonts w:ascii="Arial" w:cs="Arial" w:eastAsia="Arial" w:hAnsi="Arial"/>
                <w:sz w:val="16"/>
                <w:szCs w:val="16"/>
                <w:color w:val="auto"/>
              </w:rPr>
              <w:t>02/22/2016</w:t>
            </w:r>
          </w:p>
        </w:tc>
        <w:tc>
          <w:tcPr>
            <w:tcW w:w="20" w:type="dxa"/>
            <w:vAlign w:val="bottom"/>
            <w:shd w:val="clear" w:color="auto" w:fill="EBE6F0"/>
          </w:tcPr>
          <w:p>
            <w:pPr>
              <w:spacing w:after="0"/>
              <w:rPr>
                <w:sz w:val="18"/>
                <w:szCs w:val="18"/>
                <w:color w:val="auto"/>
              </w:rPr>
            </w:pPr>
          </w:p>
        </w:tc>
        <w:tc>
          <w:tcPr>
            <w:tcW w:w="1100" w:type="dxa"/>
            <w:vAlign w:val="bottom"/>
            <w:shd w:val="clear" w:color="auto" w:fill="EBE6F0"/>
          </w:tcPr>
          <w:p>
            <w:pPr>
              <w:jc w:val="right"/>
              <w:spacing w:after="0"/>
              <w:rPr>
                <w:sz w:val="20"/>
                <w:szCs w:val="20"/>
                <w:color w:val="auto"/>
              </w:rPr>
            </w:pPr>
            <w:r>
              <w:rPr>
                <w:rFonts w:ascii="Arial" w:cs="Arial" w:eastAsia="Arial" w:hAnsi="Arial"/>
                <w:sz w:val="16"/>
                <w:szCs w:val="16"/>
                <w:color w:val="auto"/>
              </w:rPr>
              <w:t>25,190</w:t>
            </w:r>
          </w:p>
        </w:tc>
        <w:tc>
          <w:tcPr>
            <w:tcW w:w="20" w:type="dxa"/>
            <w:vAlign w:val="bottom"/>
            <w:shd w:val="clear" w:color="auto" w:fill="EBE6F0"/>
          </w:tcPr>
          <w:p>
            <w:pPr>
              <w:spacing w:after="0"/>
              <w:rPr>
                <w:sz w:val="18"/>
                <w:szCs w:val="18"/>
                <w:color w:val="auto"/>
              </w:rPr>
            </w:pPr>
          </w:p>
        </w:tc>
        <w:tc>
          <w:tcPr>
            <w:tcW w:w="1400" w:type="dxa"/>
            <w:vAlign w:val="bottom"/>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8"/>
                <w:szCs w:val="18"/>
                <w:color w:val="auto"/>
              </w:rPr>
            </w:pPr>
          </w:p>
        </w:tc>
        <w:tc>
          <w:tcPr>
            <w:tcW w:w="860" w:type="dxa"/>
            <w:vAlign w:val="bottom"/>
            <w:shd w:val="clear" w:color="auto" w:fill="EBE6F0"/>
          </w:tcPr>
          <w:p>
            <w:pPr>
              <w:jc w:val="right"/>
              <w:spacing w:after="0"/>
              <w:rPr>
                <w:sz w:val="20"/>
                <w:szCs w:val="20"/>
                <w:color w:val="auto"/>
              </w:rPr>
            </w:pPr>
            <w:r>
              <w:rPr>
                <w:rFonts w:ascii="Arial" w:cs="Arial" w:eastAsia="Arial" w:hAnsi="Arial"/>
                <w:sz w:val="16"/>
                <w:szCs w:val="16"/>
                <w:color w:val="auto"/>
              </w:rPr>
              <w:t>39.70</w:t>
            </w:r>
          </w:p>
        </w:tc>
        <w:tc>
          <w:tcPr>
            <w:tcW w:w="20" w:type="dxa"/>
            <w:vAlign w:val="bottom"/>
            <w:shd w:val="clear" w:color="auto" w:fill="EBE6F0"/>
          </w:tcPr>
          <w:p>
            <w:pPr>
              <w:spacing w:after="0"/>
              <w:rPr>
                <w:sz w:val="18"/>
                <w:szCs w:val="18"/>
                <w:color w:val="auto"/>
              </w:rPr>
            </w:pPr>
          </w:p>
        </w:tc>
        <w:tc>
          <w:tcPr>
            <w:tcW w:w="1080" w:type="dxa"/>
            <w:vAlign w:val="bottom"/>
            <w:shd w:val="clear" w:color="auto" w:fill="EBE6F0"/>
          </w:tcPr>
          <w:p>
            <w:pPr>
              <w:jc w:val="right"/>
              <w:spacing w:after="0"/>
              <w:rPr>
                <w:sz w:val="20"/>
                <w:szCs w:val="20"/>
                <w:color w:val="auto"/>
              </w:rPr>
            </w:pPr>
            <w:r>
              <w:rPr>
                <w:rFonts w:ascii="Arial" w:cs="Arial" w:eastAsia="Arial" w:hAnsi="Arial"/>
                <w:sz w:val="16"/>
                <w:szCs w:val="16"/>
                <w:color w:val="auto"/>
              </w:rPr>
              <w:t>02/22/2026</w:t>
            </w:r>
          </w:p>
        </w:tc>
        <w:tc>
          <w:tcPr>
            <w:tcW w:w="200" w:type="dxa"/>
            <w:vAlign w:val="bottom"/>
            <w:shd w:val="clear" w:color="auto" w:fill="EBE6F0"/>
          </w:tcPr>
          <w:p>
            <w:pPr>
              <w:spacing w:after="0"/>
              <w:rPr>
                <w:sz w:val="18"/>
                <w:szCs w:val="18"/>
                <w:color w:val="auto"/>
              </w:rPr>
            </w:pPr>
          </w:p>
        </w:tc>
        <w:tc>
          <w:tcPr>
            <w:tcW w:w="20" w:type="dxa"/>
            <w:vAlign w:val="bottom"/>
            <w:shd w:val="clear" w:color="auto" w:fill="EBE6F0"/>
          </w:tcPr>
          <w:p>
            <w:pPr>
              <w:spacing w:after="0"/>
              <w:rPr>
                <w:sz w:val="18"/>
                <w:szCs w:val="18"/>
                <w:color w:val="auto"/>
              </w:rPr>
            </w:pPr>
          </w:p>
        </w:tc>
        <w:tc>
          <w:tcPr>
            <w:tcW w:w="860" w:type="dxa"/>
            <w:vAlign w:val="bottom"/>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8"/>
                <w:szCs w:val="18"/>
                <w:color w:val="auto"/>
              </w:rPr>
            </w:pPr>
          </w:p>
        </w:tc>
        <w:tc>
          <w:tcPr>
            <w:tcW w:w="1200" w:type="dxa"/>
            <w:vAlign w:val="bottom"/>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1060" w:type="dxa"/>
            <w:vAlign w:val="bottom"/>
            <w:tcBorders>
              <w:bottom w:val="single" w:sz="8" w:color="EBE6F0"/>
            </w:tcBorders>
            <w:vMerge w:val="restart"/>
            <w:shd w:val="clear" w:color="auto" w:fill="EBE6F0"/>
          </w:tcPr>
          <w:p>
            <w:pPr>
              <w:ind w:left="80"/>
              <w:spacing w:after="0"/>
              <w:rPr>
                <w:sz w:val="20"/>
                <w:szCs w:val="20"/>
                <w:color w:val="auto"/>
              </w:rPr>
            </w:pPr>
            <w:r>
              <w:rPr>
                <w:rFonts w:ascii="Arial" w:cs="Arial" w:eastAsia="Arial" w:hAnsi="Arial"/>
                <w:sz w:val="16"/>
                <w:szCs w:val="16"/>
                <w:b w:val="1"/>
                <w:bCs w:val="1"/>
                <w:color w:val="auto"/>
              </w:rPr>
              <w:t>Maurizio</w:t>
            </w:r>
          </w:p>
        </w:tc>
        <w:tc>
          <w:tcPr>
            <w:tcW w:w="108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110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140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86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1080" w:type="dxa"/>
            <w:vAlign w:val="bottom"/>
            <w:tcBorders>
              <w:bottom w:val="single" w:sz="8" w:color="582C83"/>
            </w:tcBorders>
            <w:shd w:val="clear" w:color="auto" w:fill="EBE6F0"/>
          </w:tcPr>
          <w:p>
            <w:pPr>
              <w:spacing w:after="0"/>
              <w:rPr>
                <w:sz w:val="5"/>
                <w:szCs w:val="5"/>
                <w:color w:val="auto"/>
              </w:rPr>
            </w:pPr>
          </w:p>
        </w:tc>
        <w:tc>
          <w:tcPr>
            <w:tcW w:w="20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860" w:type="dxa"/>
            <w:vAlign w:val="bottom"/>
            <w:tcBorders>
              <w:bottom w:val="single" w:sz="8" w:color="582C83"/>
            </w:tcBorders>
            <w:shd w:val="clear" w:color="auto" w:fill="EBE6F0"/>
          </w:tcPr>
          <w:p>
            <w:pPr>
              <w:spacing w:after="0"/>
              <w:rPr>
                <w:sz w:val="5"/>
                <w:szCs w:val="5"/>
                <w:color w:val="auto"/>
              </w:rPr>
            </w:pPr>
          </w:p>
        </w:tc>
        <w:tc>
          <w:tcPr>
            <w:tcW w:w="98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1200" w:type="dxa"/>
            <w:vAlign w:val="bottom"/>
            <w:tcBorders>
              <w:bottom w:val="single" w:sz="8" w:color="582C83"/>
            </w:tcBorders>
            <w:shd w:val="clear" w:color="auto" w:fill="EBE6F0"/>
          </w:tcPr>
          <w:p>
            <w:pPr>
              <w:spacing w:after="0"/>
              <w:rPr>
                <w:sz w:val="5"/>
                <w:szCs w:val="5"/>
                <w:color w:val="auto"/>
              </w:rPr>
            </w:pPr>
          </w:p>
        </w:tc>
        <w:tc>
          <w:tcPr>
            <w:tcW w:w="130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1060" w:type="dxa"/>
            <w:vAlign w:val="bottom"/>
            <w:vMerge w:val="continue"/>
            <w:shd w:val="clear" w:color="auto" w:fill="EBE6F0"/>
          </w:tcPr>
          <w:p>
            <w:pPr>
              <w:spacing w:after="0"/>
              <w:rPr>
                <w:sz w:val="12"/>
                <w:szCs w:val="12"/>
                <w:color w:val="auto"/>
              </w:rPr>
            </w:pPr>
          </w:p>
        </w:tc>
        <w:tc>
          <w:tcPr>
            <w:tcW w:w="108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02/16/2017</w:t>
            </w:r>
          </w:p>
        </w:tc>
        <w:tc>
          <w:tcPr>
            <w:tcW w:w="20" w:type="dxa"/>
            <w:vAlign w:val="bottom"/>
            <w:shd w:val="clear" w:color="auto" w:fill="EBE6F0"/>
          </w:tcPr>
          <w:p>
            <w:pPr>
              <w:spacing w:after="0"/>
              <w:rPr>
                <w:sz w:val="12"/>
                <w:szCs w:val="12"/>
                <w:color w:val="auto"/>
              </w:rPr>
            </w:pPr>
          </w:p>
        </w:tc>
        <w:tc>
          <w:tcPr>
            <w:tcW w:w="110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43,410</w:t>
            </w:r>
          </w:p>
        </w:tc>
        <w:tc>
          <w:tcPr>
            <w:tcW w:w="20" w:type="dxa"/>
            <w:vAlign w:val="bottom"/>
            <w:shd w:val="clear" w:color="auto" w:fill="EBE6F0"/>
          </w:tcPr>
          <w:p>
            <w:pPr>
              <w:spacing w:after="0"/>
              <w:rPr>
                <w:sz w:val="12"/>
                <w:szCs w:val="12"/>
                <w:color w:val="auto"/>
              </w:rPr>
            </w:pPr>
          </w:p>
        </w:tc>
        <w:tc>
          <w:tcPr>
            <w:tcW w:w="140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2"/>
                <w:szCs w:val="12"/>
                <w:color w:val="auto"/>
              </w:rPr>
            </w:pPr>
          </w:p>
        </w:tc>
        <w:tc>
          <w:tcPr>
            <w:tcW w:w="86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43.20</w:t>
            </w:r>
          </w:p>
        </w:tc>
        <w:tc>
          <w:tcPr>
            <w:tcW w:w="20" w:type="dxa"/>
            <w:vAlign w:val="bottom"/>
            <w:shd w:val="clear" w:color="auto" w:fill="EBE6F0"/>
          </w:tcPr>
          <w:p>
            <w:pPr>
              <w:spacing w:after="0"/>
              <w:rPr>
                <w:sz w:val="12"/>
                <w:szCs w:val="12"/>
                <w:color w:val="auto"/>
              </w:rPr>
            </w:pPr>
          </w:p>
        </w:tc>
        <w:tc>
          <w:tcPr>
            <w:tcW w:w="108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02/16/2027</w:t>
            </w:r>
          </w:p>
        </w:tc>
        <w:tc>
          <w:tcPr>
            <w:tcW w:w="200" w:type="dxa"/>
            <w:vAlign w:val="bottom"/>
            <w:shd w:val="clear" w:color="auto" w:fill="EBE6F0"/>
          </w:tcPr>
          <w:p>
            <w:pPr>
              <w:spacing w:after="0"/>
              <w:rPr>
                <w:sz w:val="12"/>
                <w:szCs w:val="12"/>
                <w:color w:val="auto"/>
              </w:rPr>
            </w:pPr>
          </w:p>
        </w:tc>
        <w:tc>
          <w:tcPr>
            <w:tcW w:w="20" w:type="dxa"/>
            <w:vAlign w:val="bottom"/>
            <w:shd w:val="clear" w:color="auto" w:fill="EBE6F0"/>
          </w:tcPr>
          <w:p>
            <w:pPr>
              <w:spacing w:after="0"/>
              <w:rPr>
                <w:sz w:val="12"/>
                <w:szCs w:val="12"/>
                <w:color w:val="auto"/>
              </w:rPr>
            </w:pPr>
          </w:p>
        </w:tc>
        <w:tc>
          <w:tcPr>
            <w:tcW w:w="86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2"/>
                <w:szCs w:val="12"/>
                <w:color w:val="auto"/>
              </w:rPr>
            </w:pPr>
          </w:p>
        </w:tc>
        <w:tc>
          <w:tcPr>
            <w:tcW w:w="120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tcBorders>
              <w:bottom w:val="single" w:sz="8" w:color="EBE6F0"/>
            </w:tcBorders>
            <w:shd w:val="clear" w:color="auto" w:fill="EBE6F0"/>
          </w:tcPr>
          <w:p>
            <w:pPr>
              <w:spacing w:after="0"/>
              <w:rPr>
                <w:sz w:val="12"/>
                <w:szCs w:val="12"/>
                <w:color w:val="auto"/>
              </w:rPr>
            </w:pPr>
          </w:p>
        </w:tc>
        <w:tc>
          <w:tcPr>
            <w:tcW w:w="1080" w:type="dxa"/>
            <w:vAlign w:val="bottom"/>
            <w:tcBorders>
              <w:bottom w:val="single" w:sz="8" w:color="EBE6F0"/>
            </w:tcBorders>
            <w:vMerge w:val="continue"/>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1100" w:type="dxa"/>
            <w:vAlign w:val="bottom"/>
            <w:tcBorders>
              <w:bottom w:val="single" w:sz="8" w:color="EBE6F0"/>
            </w:tcBorders>
            <w:vMerge w:val="continue"/>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1400" w:type="dxa"/>
            <w:vAlign w:val="bottom"/>
            <w:tcBorders>
              <w:bottom w:val="single" w:sz="8" w:color="EBE6F0"/>
            </w:tcBorders>
            <w:vMerge w:val="continue"/>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860" w:type="dxa"/>
            <w:vAlign w:val="bottom"/>
            <w:tcBorders>
              <w:bottom w:val="single" w:sz="8" w:color="EBE6F0"/>
            </w:tcBorders>
            <w:vMerge w:val="continue"/>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1080" w:type="dxa"/>
            <w:vAlign w:val="bottom"/>
            <w:tcBorders>
              <w:bottom w:val="single" w:sz="8" w:color="EBE6F0"/>
            </w:tcBorders>
            <w:vMerge w:val="continue"/>
            <w:shd w:val="clear" w:color="auto" w:fill="EBE6F0"/>
          </w:tcPr>
          <w:p>
            <w:pPr>
              <w:spacing w:after="0"/>
              <w:rPr>
                <w:sz w:val="12"/>
                <w:szCs w:val="12"/>
                <w:color w:val="auto"/>
              </w:rPr>
            </w:pPr>
          </w:p>
        </w:tc>
        <w:tc>
          <w:tcPr>
            <w:tcW w:w="200" w:type="dxa"/>
            <w:vAlign w:val="bottom"/>
            <w:tcBorders>
              <w:bottom w:val="single" w:sz="8" w:color="EBE6F0"/>
            </w:tcBorders>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860" w:type="dxa"/>
            <w:vAlign w:val="bottom"/>
            <w:tcBorders>
              <w:bottom w:val="single" w:sz="8" w:color="EBE6F0"/>
            </w:tcBorders>
            <w:vMerge w:val="continue"/>
            <w:shd w:val="clear" w:color="auto" w:fill="EBE6F0"/>
          </w:tcPr>
          <w:p>
            <w:pPr>
              <w:spacing w:after="0"/>
              <w:rPr>
                <w:sz w:val="12"/>
                <w:szCs w:val="12"/>
                <w:color w:val="auto"/>
              </w:rPr>
            </w:pPr>
          </w:p>
        </w:tc>
        <w:tc>
          <w:tcPr>
            <w:tcW w:w="980" w:type="dxa"/>
            <w:vAlign w:val="bottom"/>
            <w:tcBorders>
              <w:bottom w:val="single" w:sz="8" w:color="EBE6F0"/>
            </w:tcBorders>
            <w:vMerge w:val="continue"/>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1200" w:type="dxa"/>
            <w:vAlign w:val="bottom"/>
            <w:tcBorders>
              <w:bottom w:val="single" w:sz="8" w:color="EBE6F0"/>
            </w:tcBorders>
            <w:vMerge w:val="continue"/>
            <w:shd w:val="clear" w:color="auto" w:fill="EBE6F0"/>
          </w:tcPr>
          <w:p>
            <w:pPr>
              <w:spacing w:after="0"/>
              <w:rPr>
                <w:sz w:val="12"/>
                <w:szCs w:val="12"/>
                <w:color w:val="auto"/>
              </w:rPr>
            </w:pPr>
          </w:p>
        </w:tc>
        <w:tc>
          <w:tcPr>
            <w:tcW w:w="1300" w:type="dxa"/>
            <w:vAlign w:val="bottom"/>
            <w:tcBorders>
              <w:bottom w:val="single" w:sz="8" w:color="EBE6F0"/>
            </w:tcBorders>
            <w:vMerge w:val="continue"/>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06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02/22/2018</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1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60,340</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4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43.51</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02/22/2028</w:t>
            </w:r>
          </w:p>
        </w:tc>
        <w:tc>
          <w:tcPr>
            <w:tcW w:w="200" w:type="dxa"/>
            <w:vAlign w:val="bottom"/>
            <w:tcBorders>
              <w:top w:val="single" w:sz="8" w:color="582C83"/>
              <w:bottom w:val="single" w:sz="8" w:color="EBE6F0"/>
            </w:tcBorders>
            <w:shd w:val="clear" w:color="auto" w:fill="EBE6F0"/>
          </w:tcPr>
          <w:p>
            <w:pPr>
              <w:spacing w:after="0"/>
              <w:rPr>
                <w:sz w:val="24"/>
                <w:szCs w:val="24"/>
                <w:color w:val="auto"/>
              </w:rPr>
            </w:pP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2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02/22/2019</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1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58,940</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4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47.72</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02/22/2029</w:t>
            </w:r>
          </w:p>
        </w:tc>
        <w:tc>
          <w:tcPr>
            <w:tcW w:w="200" w:type="dxa"/>
            <w:vAlign w:val="bottom"/>
            <w:tcBorders>
              <w:top w:val="single" w:sz="8" w:color="582C83"/>
              <w:bottom w:val="single" w:sz="8" w:color="EBE6F0"/>
            </w:tcBorders>
            <w:shd w:val="clear" w:color="auto" w:fill="EBE6F0"/>
          </w:tcPr>
          <w:p>
            <w:pPr>
              <w:spacing w:after="0"/>
              <w:rPr>
                <w:sz w:val="24"/>
                <w:szCs w:val="24"/>
                <w:color w:val="auto"/>
              </w:rPr>
            </w:pP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2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02/20/2020</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1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32,142</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4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16,558</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59.04</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02/20/2030</w:t>
            </w:r>
          </w:p>
        </w:tc>
        <w:tc>
          <w:tcPr>
            <w:tcW w:w="200" w:type="dxa"/>
            <w:vAlign w:val="bottom"/>
            <w:tcBorders>
              <w:top w:val="single" w:sz="8" w:color="582C83"/>
              <w:bottom w:val="single" w:sz="8" w:color="EBE6F0"/>
            </w:tcBorders>
            <w:shd w:val="clear" w:color="auto" w:fill="EBE6F0"/>
          </w:tcPr>
          <w:p>
            <w:pPr>
              <w:spacing w:after="0"/>
              <w:rPr>
                <w:sz w:val="24"/>
                <w:szCs w:val="24"/>
                <w:color w:val="auto"/>
              </w:rPr>
            </w:pP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2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02/18/2021</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1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4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582C83"/>
              <w:bottom w:val="single" w:sz="8" w:color="EBE6F0"/>
            </w:tcBorders>
            <w:shd w:val="clear" w:color="auto" w:fill="EBE6F0"/>
          </w:tcPr>
          <w:p>
            <w:pPr>
              <w:spacing w:after="0"/>
              <w:rPr>
                <w:sz w:val="24"/>
                <w:szCs w:val="24"/>
                <w:color w:val="auto"/>
              </w:rPr>
            </w:pP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2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61,480</w:t>
            </w:r>
          </w:p>
        </w:tc>
        <w:tc>
          <w:tcPr>
            <w:tcW w:w="13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4,097,642</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02/18/2021</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1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16,906</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4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34,324</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56.13</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02/18/2031</w:t>
            </w:r>
          </w:p>
        </w:tc>
        <w:tc>
          <w:tcPr>
            <w:tcW w:w="200" w:type="dxa"/>
            <w:vAlign w:val="bottom"/>
            <w:tcBorders>
              <w:top w:val="single" w:sz="8" w:color="582C83"/>
              <w:bottom w:val="single" w:sz="8" w:color="EBE6F0"/>
            </w:tcBorders>
            <w:shd w:val="clear" w:color="auto" w:fill="EBE6F0"/>
          </w:tcPr>
          <w:p>
            <w:pPr>
              <w:spacing w:after="0"/>
              <w:rPr>
                <w:sz w:val="24"/>
                <w:szCs w:val="24"/>
                <w:color w:val="auto"/>
              </w:rPr>
            </w:pP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2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02/24/2022</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1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4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582C83"/>
              <w:bottom w:val="single" w:sz="8" w:color="EBE6F0"/>
            </w:tcBorders>
            <w:shd w:val="clear" w:color="auto" w:fill="EBE6F0"/>
          </w:tcPr>
          <w:p>
            <w:pPr>
              <w:spacing w:after="0"/>
              <w:rPr>
                <w:sz w:val="24"/>
                <w:szCs w:val="24"/>
                <w:color w:val="auto"/>
              </w:rPr>
            </w:pP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2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64,980</w:t>
            </w:r>
          </w:p>
        </w:tc>
        <w:tc>
          <w:tcPr>
            <w:tcW w:w="13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4,330,917</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02/24/2022</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1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4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54,140</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64.65</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02/24/2032</w:t>
            </w:r>
          </w:p>
        </w:tc>
        <w:tc>
          <w:tcPr>
            <w:tcW w:w="200" w:type="dxa"/>
            <w:vAlign w:val="bottom"/>
            <w:tcBorders>
              <w:top w:val="single" w:sz="8" w:color="582C83"/>
              <w:bottom w:val="single" w:sz="8" w:color="EBE6F0"/>
            </w:tcBorders>
            <w:shd w:val="clear" w:color="auto" w:fill="EBE6F0"/>
          </w:tcPr>
          <w:p>
            <w:pPr>
              <w:spacing w:after="0"/>
              <w:rPr>
                <w:sz w:val="24"/>
                <w:szCs w:val="24"/>
                <w:color w:val="auto"/>
              </w:rPr>
            </w:pP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2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060" w:type="dxa"/>
            <w:vAlign w:val="bottom"/>
            <w:tcBorders>
              <w:top w:val="single" w:sz="8" w:color="582C83"/>
              <w:bottom w:val="single" w:sz="8" w:color="58358F"/>
            </w:tcBorders>
          </w:tcPr>
          <w:p>
            <w:pPr>
              <w:spacing w:after="0"/>
              <w:rPr>
                <w:sz w:val="14"/>
                <w:szCs w:val="14"/>
                <w:color w:val="auto"/>
              </w:rPr>
            </w:pPr>
          </w:p>
        </w:tc>
        <w:tc>
          <w:tcPr>
            <w:tcW w:w="1080" w:type="dxa"/>
            <w:vAlign w:val="bottom"/>
            <w:tcBorders>
              <w:top w:val="single" w:sz="8" w:color="582C83"/>
              <w:bottom w:val="single" w:sz="8" w:color="58358F"/>
            </w:tcBorders>
          </w:tcPr>
          <w:p>
            <w:pPr>
              <w:spacing w:after="0"/>
              <w:rPr>
                <w:sz w:val="14"/>
                <w:szCs w:val="14"/>
                <w:color w:val="auto"/>
              </w:rPr>
            </w:pPr>
          </w:p>
        </w:tc>
        <w:tc>
          <w:tcPr>
            <w:tcW w:w="20" w:type="dxa"/>
            <w:vAlign w:val="bottom"/>
            <w:tcBorders>
              <w:top w:val="single" w:sz="8" w:color="582C83"/>
              <w:bottom w:val="single" w:sz="8" w:color="58358F"/>
            </w:tcBorders>
          </w:tcPr>
          <w:p>
            <w:pPr>
              <w:spacing w:after="0"/>
              <w:rPr>
                <w:sz w:val="14"/>
                <w:szCs w:val="14"/>
                <w:color w:val="auto"/>
              </w:rPr>
            </w:pPr>
          </w:p>
        </w:tc>
        <w:tc>
          <w:tcPr>
            <w:tcW w:w="1100" w:type="dxa"/>
            <w:vAlign w:val="bottom"/>
            <w:tcBorders>
              <w:top w:val="single" w:sz="8" w:color="582C83"/>
              <w:bottom w:val="single" w:sz="8" w:color="58358F"/>
            </w:tcBorders>
          </w:tcPr>
          <w:p>
            <w:pPr>
              <w:spacing w:after="0"/>
              <w:rPr>
                <w:sz w:val="14"/>
                <w:szCs w:val="14"/>
                <w:color w:val="auto"/>
              </w:rPr>
            </w:pPr>
          </w:p>
        </w:tc>
        <w:tc>
          <w:tcPr>
            <w:tcW w:w="20" w:type="dxa"/>
            <w:vAlign w:val="bottom"/>
            <w:tcBorders>
              <w:top w:val="single" w:sz="8" w:color="582C83"/>
              <w:bottom w:val="single" w:sz="8" w:color="58358F"/>
            </w:tcBorders>
          </w:tcPr>
          <w:p>
            <w:pPr>
              <w:spacing w:after="0"/>
              <w:rPr>
                <w:sz w:val="14"/>
                <w:szCs w:val="14"/>
                <w:color w:val="auto"/>
              </w:rPr>
            </w:pPr>
          </w:p>
        </w:tc>
        <w:tc>
          <w:tcPr>
            <w:tcW w:w="1400" w:type="dxa"/>
            <w:vAlign w:val="bottom"/>
            <w:tcBorders>
              <w:top w:val="single" w:sz="8" w:color="582C83"/>
              <w:bottom w:val="single" w:sz="8" w:color="58358F"/>
            </w:tcBorders>
          </w:tcPr>
          <w:p>
            <w:pPr>
              <w:spacing w:after="0"/>
              <w:rPr>
                <w:sz w:val="14"/>
                <w:szCs w:val="14"/>
                <w:color w:val="auto"/>
              </w:rPr>
            </w:pPr>
          </w:p>
        </w:tc>
        <w:tc>
          <w:tcPr>
            <w:tcW w:w="20" w:type="dxa"/>
            <w:vAlign w:val="bottom"/>
            <w:tcBorders>
              <w:top w:val="single" w:sz="8" w:color="582C83"/>
              <w:bottom w:val="single" w:sz="8" w:color="58358F"/>
            </w:tcBorders>
          </w:tcPr>
          <w:p>
            <w:pPr>
              <w:spacing w:after="0"/>
              <w:rPr>
                <w:sz w:val="14"/>
                <w:szCs w:val="14"/>
                <w:color w:val="auto"/>
              </w:rPr>
            </w:pPr>
          </w:p>
        </w:tc>
        <w:tc>
          <w:tcPr>
            <w:tcW w:w="860" w:type="dxa"/>
            <w:vAlign w:val="bottom"/>
            <w:tcBorders>
              <w:top w:val="single" w:sz="8" w:color="582C83"/>
              <w:bottom w:val="single" w:sz="8" w:color="58358F"/>
            </w:tcBorders>
          </w:tcPr>
          <w:p>
            <w:pPr>
              <w:spacing w:after="0"/>
              <w:rPr>
                <w:sz w:val="14"/>
                <w:szCs w:val="14"/>
                <w:color w:val="auto"/>
              </w:rPr>
            </w:pPr>
          </w:p>
        </w:tc>
        <w:tc>
          <w:tcPr>
            <w:tcW w:w="20" w:type="dxa"/>
            <w:vAlign w:val="bottom"/>
            <w:tcBorders>
              <w:top w:val="single" w:sz="8" w:color="582C83"/>
              <w:bottom w:val="single" w:sz="8" w:color="58358F"/>
            </w:tcBorders>
          </w:tcPr>
          <w:p>
            <w:pPr>
              <w:spacing w:after="0"/>
              <w:rPr>
                <w:sz w:val="14"/>
                <w:szCs w:val="14"/>
                <w:color w:val="auto"/>
              </w:rPr>
            </w:pPr>
          </w:p>
        </w:tc>
        <w:tc>
          <w:tcPr>
            <w:tcW w:w="1080" w:type="dxa"/>
            <w:vAlign w:val="bottom"/>
            <w:tcBorders>
              <w:top w:val="single" w:sz="8" w:color="582C83"/>
              <w:bottom w:val="single" w:sz="8" w:color="58358F"/>
            </w:tcBorders>
          </w:tcPr>
          <w:p>
            <w:pPr>
              <w:spacing w:after="0"/>
              <w:rPr>
                <w:sz w:val="14"/>
                <w:szCs w:val="14"/>
                <w:color w:val="auto"/>
              </w:rPr>
            </w:pPr>
          </w:p>
        </w:tc>
        <w:tc>
          <w:tcPr>
            <w:tcW w:w="200" w:type="dxa"/>
            <w:vAlign w:val="bottom"/>
            <w:tcBorders>
              <w:top w:val="single" w:sz="8" w:color="582C83"/>
              <w:bottom w:val="single" w:sz="8" w:color="58358F"/>
            </w:tcBorders>
          </w:tcPr>
          <w:p>
            <w:pPr>
              <w:spacing w:after="0"/>
              <w:rPr>
                <w:sz w:val="14"/>
                <w:szCs w:val="14"/>
                <w:color w:val="auto"/>
              </w:rPr>
            </w:pPr>
          </w:p>
        </w:tc>
        <w:tc>
          <w:tcPr>
            <w:tcW w:w="20" w:type="dxa"/>
            <w:vAlign w:val="bottom"/>
            <w:tcBorders>
              <w:top w:val="single" w:sz="8" w:color="582C83"/>
              <w:bottom w:val="single" w:sz="8" w:color="58358F"/>
            </w:tcBorders>
          </w:tcPr>
          <w:p>
            <w:pPr>
              <w:spacing w:after="0"/>
              <w:rPr>
                <w:sz w:val="14"/>
                <w:szCs w:val="14"/>
                <w:color w:val="auto"/>
              </w:rPr>
            </w:pPr>
          </w:p>
        </w:tc>
        <w:tc>
          <w:tcPr>
            <w:tcW w:w="860" w:type="dxa"/>
            <w:vAlign w:val="bottom"/>
            <w:tcBorders>
              <w:top w:val="single" w:sz="8" w:color="582C83"/>
              <w:bottom w:val="single" w:sz="8" w:color="58358F"/>
            </w:tcBorders>
          </w:tcPr>
          <w:p>
            <w:pPr>
              <w:spacing w:after="0"/>
              <w:rPr>
                <w:sz w:val="14"/>
                <w:szCs w:val="14"/>
                <w:color w:val="auto"/>
              </w:rPr>
            </w:pPr>
          </w:p>
        </w:tc>
        <w:tc>
          <w:tcPr>
            <w:tcW w:w="980" w:type="dxa"/>
            <w:vAlign w:val="bottom"/>
            <w:tcBorders>
              <w:top w:val="single" w:sz="8" w:color="582C83"/>
              <w:bottom w:val="single" w:sz="8" w:color="58358F"/>
            </w:tcBorders>
          </w:tcPr>
          <w:p>
            <w:pPr>
              <w:spacing w:after="0"/>
              <w:rPr>
                <w:sz w:val="14"/>
                <w:szCs w:val="14"/>
                <w:color w:val="auto"/>
              </w:rPr>
            </w:pPr>
          </w:p>
        </w:tc>
        <w:tc>
          <w:tcPr>
            <w:tcW w:w="20" w:type="dxa"/>
            <w:vAlign w:val="bottom"/>
            <w:tcBorders>
              <w:top w:val="single" w:sz="8" w:color="582C83"/>
              <w:bottom w:val="single" w:sz="8" w:color="58358F"/>
            </w:tcBorders>
          </w:tcPr>
          <w:p>
            <w:pPr>
              <w:spacing w:after="0"/>
              <w:rPr>
                <w:sz w:val="14"/>
                <w:szCs w:val="14"/>
                <w:color w:val="auto"/>
              </w:rPr>
            </w:pPr>
          </w:p>
        </w:tc>
        <w:tc>
          <w:tcPr>
            <w:tcW w:w="1200" w:type="dxa"/>
            <w:vAlign w:val="bottom"/>
            <w:tcBorders>
              <w:top w:val="single" w:sz="8" w:color="582C83"/>
              <w:bottom w:val="single" w:sz="8" w:color="58358F"/>
            </w:tcBorders>
          </w:tcPr>
          <w:p>
            <w:pPr>
              <w:spacing w:after="0"/>
              <w:rPr>
                <w:sz w:val="14"/>
                <w:szCs w:val="14"/>
                <w:color w:val="auto"/>
              </w:rPr>
            </w:pPr>
          </w:p>
        </w:tc>
        <w:tc>
          <w:tcPr>
            <w:tcW w:w="1300" w:type="dxa"/>
            <w:vAlign w:val="bottom"/>
            <w:tcBorders>
              <w:top w:val="single" w:sz="8" w:color="582C83"/>
              <w:bottom w:val="single" w:sz="8" w:color="58358F"/>
            </w:tcBorders>
          </w:tcPr>
          <w:p>
            <w:pPr>
              <w:spacing w:after="0"/>
              <w:rPr>
                <w:sz w:val="14"/>
                <w:szCs w:val="14"/>
                <w:color w:val="auto"/>
              </w:rPr>
            </w:pPr>
          </w:p>
        </w:tc>
        <w:tc>
          <w:tcPr>
            <w:tcW w:w="20" w:type="dxa"/>
            <w:vAlign w:val="bottom"/>
            <w:tcBorders>
              <w:top w:val="single" w:sz="8" w:color="582C83"/>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9080"/>
        <w:spacing w:after="0"/>
        <w:rPr>
          <w:sz w:val="20"/>
          <w:szCs w:val="20"/>
          <w:color w:val="auto"/>
        </w:rPr>
      </w:pPr>
      <w:r>
        <w:rPr>
          <w:rFonts w:ascii="Arial" w:cs="Arial" w:eastAsia="Arial" w:hAnsi="Arial"/>
          <w:sz w:val="15"/>
          <w:szCs w:val="15"/>
          <w:b w:val="1"/>
          <w:bCs w:val="1"/>
          <w:color w:val="58358F"/>
        </w:rPr>
        <w:t>2023 PROXY STATEMENT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Borders>
              <w:bottom w:val="single" w:sz="8" w:color="582C83"/>
            </w:tcBorders>
          </w:tcPr>
          <w:p>
            <w:pPr>
              <w:spacing w:after="0"/>
              <w:rPr>
                <w:sz w:val="19"/>
                <w:szCs w:val="19"/>
                <w:color w:val="auto"/>
              </w:rPr>
            </w:pPr>
          </w:p>
        </w:tc>
        <w:tc>
          <w:tcPr>
            <w:tcW w:w="2280" w:type="dxa"/>
            <w:vAlign w:val="bottom"/>
            <w:tcBorders>
              <w:bottom w:val="single" w:sz="8" w:color="582C83"/>
            </w:tcBorders>
            <w:gridSpan w:val="3"/>
          </w:tcPr>
          <w:p>
            <w:pPr>
              <w:jc w:val="right"/>
              <w:ind w:right="499"/>
              <w:spacing w:after="0"/>
              <w:rPr>
                <w:sz w:val="20"/>
                <w:szCs w:val="20"/>
                <w:color w:val="auto"/>
              </w:rPr>
            </w:pPr>
            <w:r>
              <w:rPr>
                <w:rFonts w:ascii="Arial" w:cs="Arial" w:eastAsia="Arial" w:hAnsi="Arial"/>
                <w:sz w:val="16"/>
                <w:szCs w:val="16"/>
                <w:b w:val="1"/>
                <w:bCs w:val="1"/>
                <w:color w:val="auto"/>
              </w:rPr>
              <w:t>Option Awards</w:t>
            </w:r>
          </w:p>
        </w:tc>
        <w:tc>
          <w:tcPr>
            <w:tcW w:w="20" w:type="dxa"/>
            <w:vAlign w:val="bottom"/>
            <w:tcBorders>
              <w:bottom w:val="single" w:sz="8" w:color="582C83"/>
            </w:tcBorders>
          </w:tcPr>
          <w:p>
            <w:pPr>
              <w:spacing w:after="0"/>
              <w:rPr>
                <w:sz w:val="19"/>
                <w:szCs w:val="19"/>
                <w:color w:val="auto"/>
              </w:rPr>
            </w:pPr>
          </w:p>
        </w:tc>
        <w:tc>
          <w:tcPr>
            <w:tcW w:w="1080" w:type="dxa"/>
            <w:vAlign w:val="bottom"/>
            <w:tcBorders>
              <w:bottom w:val="single" w:sz="8" w:color="582C83"/>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bottom w:val="single" w:sz="8" w:color="582C83"/>
            </w:tcBorders>
          </w:tcPr>
          <w:p>
            <w:pPr>
              <w:spacing w:after="0"/>
              <w:rPr>
                <w:sz w:val="19"/>
                <w:szCs w:val="19"/>
                <w:color w:val="auto"/>
              </w:rPr>
            </w:pPr>
          </w:p>
        </w:tc>
        <w:tc>
          <w:tcPr>
            <w:tcW w:w="2200" w:type="dxa"/>
            <w:vAlign w:val="bottom"/>
            <w:tcBorders>
              <w:bottom w:val="single" w:sz="8" w:color="582C83"/>
            </w:tcBorders>
            <w:gridSpan w:val="3"/>
          </w:tcPr>
          <w:p>
            <w:pPr>
              <w:jc w:val="right"/>
              <w:ind w:right="280"/>
              <w:spacing w:after="0"/>
              <w:rPr>
                <w:sz w:val="20"/>
                <w:szCs w:val="20"/>
                <w:color w:val="auto"/>
              </w:rPr>
            </w:pPr>
            <w:r>
              <w:rPr>
                <w:rFonts w:ascii="Arial" w:cs="Arial" w:eastAsia="Arial" w:hAnsi="Arial"/>
                <w:sz w:val="16"/>
                <w:szCs w:val="16"/>
                <w:b w:val="1"/>
                <w:bCs w:val="1"/>
                <w:color w:val="auto"/>
              </w:rPr>
              <w:t>Stock Awards</w:t>
            </w:r>
          </w:p>
        </w:tc>
        <w:tc>
          <w:tcPr>
            <w:tcW w:w="1300" w:type="dxa"/>
            <w:vAlign w:val="bottom"/>
            <w:tcBorders>
              <w:bottom w:val="single" w:sz="8" w:color="582C83"/>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Equity</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Equity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Incentive</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Incentive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Number</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Plan</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Plan Awards: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Awards:</w:t>
            </w: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Market or</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of</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Market</w:t>
            </w:r>
          </w:p>
        </w:tc>
        <w:tc>
          <w:tcPr>
            <w:tcW w:w="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Payout 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Number</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or Units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Value of</w:t>
            </w:r>
          </w:p>
        </w:tc>
        <w:tc>
          <w:tcPr>
            <w:tcW w:w="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Unearned</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of Unearned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of</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of</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Shares or</w:t>
            </w:r>
          </w:p>
        </w:tc>
        <w:tc>
          <w:tcPr>
            <w:tcW w:w="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Shares, Units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Securities</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Stock</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Units of</w:t>
            </w:r>
          </w:p>
        </w:tc>
        <w:tc>
          <w:tcPr>
            <w:tcW w:w="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Units or</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or Other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Underlying</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Underlying</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That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Stock</w:t>
            </w:r>
          </w:p>
        </w:tc>
        <w:tc>
          <w:tcPr>
            <w:tcW w:w="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Rights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Unexercised</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Unexercised</w:t>
            </w: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Options</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Have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That</w:t>
            </w:r>
          </w:p>
        </w:tc>
        <w:tc>
          <w:tcPr>
            <w:tcW w:w="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Rights That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That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Options</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Options</w:t>
            </w: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Exercise</w:t>
            </w:r>
          </w:p>
        </w:tc>
        <w:tc>
          <w:tcPr>
            <w:tcW w:w="20" w:type="dxa"/>
            <w:vAlign w:val="bottom"/>
          </w:tcPr>
          <w:p>
            <w:pPr>
              <w:spacing w:after="0"/>
              <w:rPr>
                <w:sz w:val="19"/>
                <w:szCs w:val="19"/>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Options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Not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Have Not</w:t>
            </w:r>
          </w:p>
        </w:tc>
        <w:tc>
          <w:tcPr>
            <w:tcW w:w="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Have Not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Have Not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Exercisable</w:t>
            </w:r>
          </w:p>
        </w:tc>
        <w:tc>
          <w:tcPr>
            <w:tcW w:w="1400" w:type="dxa"/>
            <w:vAlign w:val="bottom"/>
          </w:tcPr>
          <w:p>
            <w:pPr>
              <w:jc w:val="right"/>
              <w:spacing w:after="0" w:line="260" w:lineRule="exact"/>
              <w:rPr>
                <w:sz w:val="20"/>
                <w:szCs w:val="20"/>
                <w:color w:val="auto"/>
              </w:rPr>
            </w:pPr>
            <w:r>
              <w:rPr>
                <w:rFonts w:ascii="Arial" w:cs="Arial" w:eastAsia="Arial" w:hAnsi="Arial"/>
                <w:sz w:val="16"/>
                <w:szCs w:val="16"/>
                <w:b w:val="1"/>
                <w:bCs w:val="1"/>
                <w:color w:val="auto"/>
              </w:rPr>
              <w:t>Unexercisable</w:t>
            </w:r>
            <w:r>
              <w:rPr>
                <w:rFonts w:ascii="Arial" w:cs="Arial" w:eastAsia="Arial" w:hAnsi="Arial"/>
                <w:sz w:val="26"/>
                <w:szCs w:val="26"/>
                <w:b w:val="1"/>
                <w:bCs w:val="1"/>
                <w:color w:val="auto"/>
                <w:vertAlign w:val="superscript"/>
              </w:rPr>
              <w:t>(1)</w:t>
            </w: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Price</w:t>
            </w:r>
          </w:p>
        </w:tc>
        <w:tc>
          <w:tcPr>
            <w:tcW w:w="20" w:type="dxa"/>
            <w:vAlign w:val="bottom"/>
          </w:tcPr>
          <w:p>
            <w:pPr>
              <w:spacing w:after="0"/>
              <w:rPr>
                <w:sz w:val="22"/>
                <w:szCs w:val="22"/>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Expiration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Vested</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Vested</w:t>
            </w:r>
          </w:p>
        </w:tc>
        <w:tc>
          <w:tcPr>
            <w:tcW w:w="20" w:type="dxa"/>
            <w:vAlign w:val="bottom"/>
          </w:tcPr>
          <w:p>
            <w:pPr>
              <w:spacing w:after="0"/>
              <w:rPr>
                <w:sz w:val="22"/>
                <w:szCs w:val="22"/>
                <w:color w:val="auto"/>
              </w:rPr>
            </w:pPr>
          </w:p>
        </w:tc>
        <w:tc>
          <w:tcPr>
            <w:tcW w:w="1200" w:type="dxa"/>
            <w:vAlign w:val="bottom"/>
          </w:tcPr>
          <w:p>
            <w:pPr>
              <w:jc w:val="right"/>
              <w:spacing w:after="0" w:line="259" w:lineRule="exact"/>
              <w:rPr>
                <w:sz w:val="20"/>
                <w:szCs w:val="20"/>
                <w:color w:val="auto"/>
              </w:rPr>
            </w:pPr>
            <w:r>
              <w:rPr>
                <w:rFonts w:ascii="Arial" w:cs="Arial" w:eastAsia="Arial" w:hAnsi="Arial"/>
                <w:sz w:val="30"/>
                <w:szCs w:val="30"/>
                <w:b w:val="1"/>
                <w:bCs w:val="1"/>
                <w:color w:val="auto"/>
                <w:vertAlign w:val="subscript"/>
              </w:rPr>
              <w:t>Vested</w:t>
            </w:r>
            <w:r>
              <w:rPr>
                <w:rFonts w:ascii="Arial" w:cs="Arial" w:eastAsia="Arial" w:hAnsi="Arial"/>
                <w:sz w:val="13"/>
                <w:szCs w:val="13"/>
                <w:b w:val="1"/>
                <w:bCs w:val="1"/>
                <w:color w:val="auto"/>
              </w:rPr>
              <w:t>(1).(3)</w:t>
            </w:r>
          </w:p>
        </w:tc>
        <w:tc>
          <w:tcPr>
            <w:tcW w:w="1300" w:type="dxa"/>
            <w:vAlign w:val="bottom"/>
          </w:tcPr>
          <w:p>
            <w:pPr>
              <w:jc w:val="right"/>
              <w:spacing w:after="0" w:line="260" w:lineRule="exact"/>
              <w:rPr>
                <w:sz w:val="20"/>
                <w:szCs w:val="20"/>
                <w:color w:val="auto"/>
              </w:rPr>
            </w:pPr>
            <w:r>
              <w:rPr>
                <w:rFonts w:ascii="Arial" w:cs="Arial" w:eastAsia="Arial" w:hAnsi="Arial"/>
                <w:sz w:val="16"/>
                <w:szCs w:val="16"/>
                <w:b w:val="1"/>
                <w:bCs w:val="1"/>
                <w:color w:val="auto"/>
              </w:rPr>
              <w:t>Vested</w:t>
            </w:r>
            <w:r>
              <w:rPr>
                <w:rFonts w:ascii="Arial" w:cs="Arial" w:eastAsia="Arial" w:hAnsi="Arial"/>
                <w:sz w:val="26"/>
                <w:szCs w:val="26"/>
                <w:b w:val="1"/>
                <w:bCs w:val="1"/>
                <w:color w:val="auto"/>
                <w:vertAlign w:val="superscript"/>
              </w:rPr>
              <w:t>(2)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1040" w:type="dxa"/>
            <w:vAlign w:val="bottom"/>
            <w:tcBorders>
              <w:bottom w:val="single" w:sz="8" w:color="582C83"/>
            </w:tcBorders>
          </w:tcPr>
          <w:p>
            <w:pPr>
              <w:ind w:left="80"/>
              <w:spacing w:after="0"/>
              <w:rPr>
                <w:sz w:val="20"/>
                <w:szCs w:val="20"/>
                <w:color w:val="auto"/>
              </w:rPr>
            </w:pPr>
            <w:r>
              <w:rPr>
                <w:rFonts w:ascii="Arial" w:cs="Arial" w:eastAsia="Arial" w:hAnsi="Arial"/>
                <w:sz w:val="16"/>
                <w:szCs w:val="16"/>
                <w:b w:val="1"/>
                <w:bCs w:val="1"/>
                <w:color w:val="auto"/>
              </w:rPr>
              <w:t>Name</w:t>
            </w:r>
          </w:p>
        </w:tc>
        <w:tc>
          <w:tcPr>
            <w:tcW w:w="20" w:type="dxa"/>
            <w:vAlign w:val="bottom"/>
            <w:tcBorders>
              <w:bottom w:val="single" w:sz="8" w:color="582C83"/>
            </w:tcBorders>
          </w:tcPr>
          <w:p>
            <w:pPr>
              <w:spacing w:after="0"/>
              <w:rPr>
                <w:sz w:val="20"/>
                <w:szCs w:val="20"/>
                <w:color w:val="auto"/>
              </w:rPr>
            </w:pPr>
          </w:p>
        </w:tc>
        <w:tc>
          <w:tcPr>
            <w:tcW w:w="10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Grant Date</w:t>
            </w:r>
          </w:p>
        </w:tc>
        <w:tc>
          <w:tcPr>
            <w:tcW w:w="112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582C83"/>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582C83"/>
            </w:tcBorders>
          </w:tcPr>
          <w:p>
            <w:pPr>
              <w:spacing w:after="0"/>
              <w:rPr>
                <w:sz w:val="20"/>
                <w:szCs w:val="20"/>
                <w:color w:val="auto"/>
              </w:rPr>
            </w:pPr>
          </w:p>
        </w:tc>
        <w:tc>
          <w:tcPr>
            <w:tcW w:w="1300" w:type="dxa"/>
            <w:vAlign w:val="bottom"/>
            <w:tcBorders>
              <w:bottom w:val="single" w:sz="8" w:color="582C83"/>
            </w:tcBorders>
            <w:gridSpan w:val="3"/>
          </w:tcPr>
          <w:p>
            <w:pPr>
              <w:jc w:val="right"/>
              <w:ind w:right="300"/>
              <w:spacing w:after="0"/>
              <w:rPr>
                <w:sz w:val="20"/>
                <w:szCs w:val="20"/>
                <w:color w:val="auto"/>
              </w:rPr>
            </w:pPr>
            <w:r>
              <w:rPr>
                <w:rFonts w:ascii="Arial" w:cs="Arial" w:eastAsia="Arial" w:hAnsi="Arial"/>
                <w:sz w:val="16"/>
                <w:szCs w:val="16"/>
                <w:b w:val="1"/>
                <w:bCs w:val="1"/>
                <w:color w:val="auto"/>
              </w:rPr>
              <w:t>Date</w:t>
            </w:r>
          </w:p>
        </w:tc>
        <w:tc>
          <w:tcPr>
            <w:tcW w:w="8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582C83"/>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80"/>
              <w:spacing w:after="0"/>
              <w:rPr>
                <w:sz w:val="20"/>
                <w:szCs w:val="20"/>
                <w:color w:val="auto"/>
              </w:rPr>
            </w:pPr>
            <w:r>
              <w:rPr>
                <w:rFonts w:ascii="Arial" w:cs="Arial" w:eastAsia="Arial" w:hAnsi="Arial"/>
                <w:sz w:val="16"/>
                <w:szCs w:val="16"/>
                <w:b w:val="1"/>
                <w:bCs w:val="1"/>
                <w:color w:val="auto"/>
              </w:rPr>
              <w:t>Gruber,</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02/18/2015</w:t>
            </w:r>
          </w:p>
        </w:tc>
        <w:tc>
          <w:tcPr>
            <w:tcW w:w="1120" w:type="dxa"/>
            <w:vAlign w:val="bottom"/>
          </w:tcPr>
          <w:p>
            <w:pPr>
              <w:jc w:val="right"/>
              <w:spacing w:after="0"/>
              <w:rPr>
                <w:sz w:val="20"/>
                <w:szCs w:val="20"/>
                <w:color w:val="auto"/>
              </w:rPr>
            </w:pPr>
            <w:r>
              <w:rPr>
                <w:rFonts w:ascii="Arial" w:cs="Arial" w:eastAsia="Arial" w:hAnsi="Arial"/>
                <w:sz w:val="16"/>
                <w:szCs w:val="16"/>
                <w:color w:val="auto"/>
              </w:rPr>
              <w:t>22,000</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36.94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02/18/2025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10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Vinzenz</w:t>
            </w:r>
          </w:p>
        </w:tc>
        <w:tc>
          <w:tcPr>
            <w:tcW w:w="20" w:type="dxa"/>
            <w:vAlign w:val="bottom"/>
            <w:tcBorders>
              <w:bottom w:val="single" w:sz="8" w:color="582C83"/>
            </w:tcBorders>
          </w:tcPr>
          <w:p>
            <w:pPr>
              <w:spacing w:after="0"/>
              <w:rPr>
                <w:sz w:val="5"/>
                <w:szCs w:val="5"/>
                <w:color w:val="auto"/>
              </w:rPr>
            </w:pPr>
          </w:p>
        </w:tc>
        <w:tc>
          <w:tcPr>
            <w:tcW w:w="1080" w:type="dxa"/>
            <w:vAlign w:val="bottom"/>
            <w:tcBorders>
              <w:bottom w:val="single" w:sz="8" w:color="582C83"/>
            </w:tcBorders>
          </w:tcPr>
          <w:p>
            <w:pPr>
              <w:spacing w:after="0"/>
              <w:rPr>
                <w:sz w:val="5"/>
                <w:szCs w:val="5"/>
                <w:color w:val="auto"/>
              </w:rPr>
            </w:pPr>
          </w:p>
        </w:tc>
        <w:tc>
          <w:tcPr>
            <w:tcW w:w="1120" w:type="dxa"/>
            <w:vAlign w:val="bottom"/>
            <w:tcBorders>
              <w:bottom w:val="single" w:sz="8" w:color="582C83"/>
            </w:tcBorders>
          </w:tcPr>
          <w:p>
            <w:pPr>
              <w:spacing w:after="0"/>
              <w:rPr>
                <w:sz w:val="5"/>
                <w:szCs w:val="5"/>
                <w:color w:val="auto"/>
              </w:rPr>
            </w:pPr>
          </w:p>
        </w:tc>
        <w:tc>
          <w:tcPr>
            <w:tcW w:w="1400" w:type="dxa"/>
            <w:vAlign w:val="bottom"/>
            <w:tcBorders>
              <w:bottom w:val="single" w:sz="8" w:color="582C83"/>
            </w:tcBorders>
          </w:tcPr>
          <w:p>
            <w:pPr>
              <w:spacing w:after="0"/>
              <w:rPr>
                <w:sz w:val="5"/>
                <w:szCs w:val="5"/>
                <w:color w:val="auto"/>
              </w:rPr>
            </w:pPr>
          </w:p>
        </w:tc>
        <w:tc>
          <w:tcPr>
            <w:tcW w:w="20" w:type="dxa"/>
            <w:vAlign w:val="bottom"/>
            <w:tcBorders>
              <w:bottom w:val="single" w:sz="8" w:color="582C83"/>
            </w:tcBorders>
          </w:tcPr>
          <w:p>
            <w:pPr>
              <w:spacing w:after="0"/>
              <w:rPr>
                <w:sz w:val="5"/>
                <w:szCs w:val="5"/>
                <w:color w:val="auto"/>
              </w:rPr>
            </w:pPr>
          </w:p>
        </w:tc>
        <w:tc>
          <w:tcPr>
            <w:tcW w:w="860" w:type="dxa"/>
            <w:vAlign w:val="bottom"/>
            <w:tcBorders>
              <w:bottom w:val="single" w:sz="8" w:color="582C83"/>
            </w:tcBorders>
          </w:tcPr>
          <w:p>
            <w:pPr>
              <w:spacing w:after="0"/>
              <w:rPr>
                <w:sz w:val="5"/>
                <w:szCs w:val="5"/>
                <w:color w:val="auto"/>
              </w:rPr>
            </w:pPr>
          </w:p>
        </w:tc>
        <w:tc>
          <w:tcPr>
            <w:tcW w:w="20" w:type="dxa"/>
            <w:vAlign w:val="bottom"/>
            <w:tcBorders>
              <w:bottom w:val="single" w:sz="8" w:color="582C83"/>
            </w:tcBorders>
          </w:tcPr>
          <w:p>
            <w:pPr>
              <w:spacing w:after="0"/>
              <w:rPr>
                <w:sz w:val="5"/>
                <w:szCs w:val="5"/>
                <w:color w:val="auto"/>
              </w:rPr>
            </w:pPr>
          </w:p>
        </w:tc>
        <w:tc>
          <w:tcPr>
            <w:tcW w:w="1080" w:type="dxa"/>
            <w:vAlign w:val="bottom"/>
            <w:tcBorders>
              <w:bottom w:val="single" w:sz="8" w:color="582C83"/>
            </w:tcBorders>
          </w:tcPr>
          <w:p>
            <w:pPr>
              <w:spacing w:after="0"/>
              <w:rPr>
                <w:sz w:val="5"/>
                <w:szCs w:val="5"/>
                <w:color w:val="auto"/>
              </w:rPr>
            </w:pPr>
          </w:p>
        </w:tc>
        <w:tc>
          <w:tcPr>
            <w:tcW w:w="20" w:type="dxa"/>
            <w:vAlign w:val="bottom"/>
            <w:tcBorders>
              <w:bottom w:val="single" w:sz="8" w:color="582C83"/>
            </w:tcBorders>
          </w:tcPr>
          <w:p>
            <w:pPr>
              <w:spacing w:after="0"/>
              <w:rPr>
                <w:sz w:val="5"/>
                <w:szCs w:val="5"/>
                <w:color w:val="auto"/>
              </w:rPr>
            </w:pPr>
          </w:p>
        </w:tc>
        <w:tc>
          <w:tcPr>
            <w:tcW w:w="200" w:type="dxa"/>
            <w:vAlign w:val="bottom"/>
            <w:tcBorders>
              <w:bottom w:val="single" w:sz="8" w:color="582C83"/>
            </w:tcBorders>
          </w:tcPr>
          <w:p>
            <w:pPr>
              <w:spacing w:after="0"/>
              <w:rPr>
                <w:sz w:val="5"/>
                <w:szCs w:val="5"/>
                <w:color w:val="auto"/>
              </w:rPr>
            </w:pPr>
          </w:p>
        </w:tc>
        <w:tc>
          <w:tcPr>
            <w:tcW w:w="880" w:type="dxa"/>
            <w:vAlign w:val="bottom"/>
            <w:tcBorders>
              <w:bottom w:val="single" w:sz="8" w:color="582C83"/>
            </w:tcBorders>
          </w:tcPr>
          <w:p>
            <w:pPr>
              <w:spacing w:after="0"/>
              <w:rPr>
                <w:sz w:val="5"/>
                <w:szCs w:val="5"/>
                <w:color w:val="auto"/>
              </w:rPr>
            </w:pPr>
          </w:p>
        </w:tc>
        <w:tc>
          <w:tcPr>
            <w:tcW w:w="980" w:type="dxa"/>
            <w:vAlign w:val="bottom"/>
            <w:tcBorders>
              <w:bottom w:val="single" w:sz="8" w:color="582C83"/>
            </w:tcBorders>
          </w:tcPr>
          <w:p>
            <w:pPr>
              <w:spacing w:after="0"/>
              <w:rPr>
                <w:sz w:val="5"/>
                <w:szCs w:val="5"/>
                <w:color w:val="auto"/>
              </w:rPr>
            </w:pPr>
          </w:p>
        </w:tc>
        <w:tc>
          <w:tcPr>
            <w:tcW w:w="20" w:type="dxa"/>
            <w:vAlign w:val="bottom"/>
            <w:tcBorders>
              <w:bottom w:val="single" w:sz="8" w:color="582C83"/>
            </w:tcBorders>
          </w:tcPr>
          <w:p>
            <w:pPr>
              <w:spacing w:after="0"/>
              <w:rPr>
                <w:sz w:val="5"/>
                <w:szCs w:val="5"/>
                <w:color w:val="auto"/>
              </w:rPr>
            </w:pPr>
          </w:p>
        </w:tc>
        <w:tc>
          <w:tcPr>
            <w:tcW w:w="1200" w:type="dxa"/>
            <w:vAlign w:val="bottom"/>
            <w:tcBorders>
              <w:bottom w:val="single" w:sz="8" w:color="582C83"/>
            </w:tcBorders>
          </w:tcPr>
          <w:p>
            <w:pPr>
              <w:spacing w:after="0"/>
              <w:rPr>
                <w:sz w:val="5"/>
                <w:szCs w:val="5"/>
                <w:color w:val="auto"/>
              </w:rPr>
            </w:pPr>
          </w:p>
        </w:tc>
        <w:tc>
          <w:tcPr>
            <w:tcW w:w="1300" w:type="dxa"/>
            <w:vAlign w:val="bottom"/>
            <w:tcBorders>
              <w:bottom w:val="single" w:sz="8" w:color="582C83"/>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1040" w:type="dxa"/>
            <w:vAlign w:val="bottom"/>
            <w:vMerge w:val="continue"/>
          </w:tcPr>
          <w:p>
            <w:pPr>
              <w:spacing w:after="0"/>
              <w:rPr>
                <w:sz w:val="12"/>
                <w:szCs w:val="12"/>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6"/>
                <w:szCs w:val="16"/>
                <w:color w:val="auto"/>
              </w:rPr>
              <w:t>02/22/2016</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22,830</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39.70</w:t>
            </w:r>
          </w:p>
        </w:tc>
        <w:tc>
          <w:tcPr>
            <w:tcW w:w="1100" w:type="dxa"/>
            <w:vAlign w:val="bottom"/>
            <w:gridSpan w:val="2"/>
            <w:vMerge w:val="restart"/>
          </w:tcPr>
          <w:p>
            <w:pPr>
              <w:jc w:val="right"/>
              <w:spacing w:after="0"/>
              <w:rPr>
                <w:sz w:val="20"/>
                <w:szCs w:val="20"/>
                <w:color w:val="auto"/>
              </w:rPr>
            </w:pPr>
            <w:r>
              <w:rPr>
                <w:rFonts w:ascii="Arial" w:cs="Arial" w:eastAsia="Arial" w:hAnsi="Arial"/>
                <w:sz w:val="16"/>
                <w:szCs w:val="16"/>
                <w:color w:val="auto"/>
              </w:rPr>
              <w:t>02/22/2026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0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1040" w:type="dxa"/>
            <w:vAlign w:val="bottom"/>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gridSpan w:val="2"/>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2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02/16/2017</w:t>
            </w:r>
          </w:p>
        </w:tc>
        <w:tc>
          <w:tcPr>
            <w:tcW w:w="1120" w:type="dxa"/>
            <w:vAlign w:val="bottom"/>
          </w:tcPr>
          <w:p>
            <w:pPr>
              <w:jc w:val="right"/>
              <w:spacing w:after="0"/>
              <w:rPr>
                <w:sz w:val="20"/>
                <w:szCs w:val="20"/>
                <w:color w:val="auto"/>
              </w:rPr>
            </w:pPr>
            <w:r>
              <w:rPr>
                <w:rFonts w:ascii="Arial" w:cs="Arial" w:eastAsia="Arial" w:hAnsi="Arial"/>
                <w:sz w:val="16"/>
                <w:szCs w:val="16"/>
                <w:color w:val="auto"/>
              </w:rPr>
              <w:t>20,980</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43.20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02/16/2027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40" w:type="dxa"/>
            <w:vAlign w:val="bottom"/>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gridSpan w:val="2"/>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2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02/22/2018</w:t>
            </w:r>
          </w:p>
        </w:tc>
        <w:tc>
          <w:tcPr>
            <w:tcW w:w="1120" w:type="dxa"/>
            <w:vAlign w:val="bottom"/>
          </w:tcPr>
          <w:p>
            <w:pPr>
              <w:jc w:val="right"/>
              <w:spacing w:after="0"/>
              <w:rPr>
                <w:sz w:val="20"/>
                <w:szCs w:val="20"/>
                <w:color w:val="auto"/>
              </w:rPr>
            </w:pPr>
            <w:r>
              <w:rPr>
                <w:rFonts w:ascii="Arial" w:cs="Arial" w:eastAsia="Arial" w:hAnsi="Arial"/>
                <w:sz w:val="16"/>
                <w:szCs w:val="16"/>
                <w:color w:val="auto"/>
              </w:rPr>
              <w:t>20,830</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43.51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02/22/2028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40" w:type="dxa"/>
            <w:vAlign w:val="bottom"/>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gridSpan w:val="2"/>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2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02/22/2019</w:t>
            </w:r>
          </w:p>
        </w:tc>
        <w:tc>
          <w:tcPr>
            <w:tcW w:w="1120" w:type="dxa"/>
            <w:vAlign w:val="bottom"/>
          </w:tcPr>
          <w:p>
            <w:pPr>
              <w:jc w:val="right"/>
              <w:spacing w:after="0"/>
              <w:rPr>
                <w:sz w:val="20"/>
                <w:szCs w:val="20"/>
                <w:color w:val="auto"/>
              </w:rPr>
            </w:pPr>
            <w:r>
              <w:rPr>
                <w:rFonts w:ascii="Arial" w:cs="Arial" w:eastAsia="Arial" w:hAnsi="Arial"/>
                <w:sz w:val="16"/>
                <w:szCs w:val="16"/>
                <w:color w:val="auto"/>
              </w:rPr>
              <w:t>44,540</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47.72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02/22/2029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40" w:type="dxa"/>
            <w:vAlign w:val="bottom"/>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gridSpan w:val="2"/>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2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02/20/2020</w:t>
            </w:r>
          </w:p>
        </w:tc>
        <w:tc>
          <w:tcPr>
            <w:tcW w:w="1120" w:type="dxa"/>
            <w:vAlign w:val="bottom"/>
          </w:tcPr>
          <w:p>
            <w:pPr>
              <w:jc w:val="right"/>
              <w:spacing w:after="0"/>
              <w:rPr>
                <w:sz w:val="20"/>
                <w:szCs w:val="20"/>
                <w:color w:val="auto"/>
              </w:rPr>
            </w:pPr>
            <w:r>
              <w:rPr>
                <w:rFonts w:ascii="Arial" w:cs="Arial" w:eastAsia="Arial" w:hAnsi="Arial"/>
                <w:sz w:val="16"/>
                <w:szCs w:val="16"/>
                <w:color w:val="auto"/>
              </w:rPr>
              <w:t>30,742</w:t>
            </w:r>
          </w:p>
        </w:tc>
        <w:tc>
          <w:tcPr>
            <w:tcW w:w="1400" w:type="dxa"/>
            <w:vAlign w:val="bottom"/>
          </w:tcPr>
          <w:p>
            <w:pPr>
              <w:jc w:val="right"/>
              <w:spacing w:after="0"/>
              <w:rPr>
                <w:sz w:val="20"/>
                <w:szCs w:val="20"/>
                <w:color w:val="auto"/>
              </w:rPr>
            </w:pPr>
            <w:r>
              <w:rPr>
                <w:rFonts w:ascii="Arial" w:cs="Arial" w:eastAsia="Arial" w:hAnsi="Arial"/>
                <w:sz w:val="16"/>
                <w:szCs w:val="16"/>
                <w:color w:val="auto"/>
              </w:rPr>
              <w:t>15,838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59.04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02/20/2030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40" w:type="dxa"/>
            <w:vAlign w:val="bottom"/>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86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080" w:type="dxa"/>
            <w:vAlign w:val="bottom"/>
            <w:tcBorders>
              <w:bottom w:val="single" w:sz="8" w:color="582C83"/>
            </w:tcBorders>
          </w:tcPr>
          <w:p>
            <w:pPr>
              <w:spacing w:after="0"/>
              <w:rPr>
                <w:sz w:val="3"/>
                <w:szCs w:val="3"/>
                <w:color w:val="auto"/>
              </w:rPr>
            </w:pPr>
          </w:p>
        </w:tc>
        <w:tc>
          <w:tcPr>
            <w:tcW w:w="220" w:type="dxa"/>
            <w:vAlign w:val="bottom"/>
            <w:tcBorders>
              <w:bottom w:val="single" w:sz="8" w:color="582C83"/>
            </w:tcBorders>
            <w:gridSpan w:val="2"/>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1220" w:type="dxa"/>
            <w:vAlign w:val="bottom"/>
            <w:tcBorders>
              <w:bottom w:val="single" w:sz="8" w:color="582C83"/>
            </w:tcBorders>
            <w:gridSpan w:val="2"/>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02/18/2021</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64,140</w:t>
            </w:r>
          </w:p>
        </w:tc>
        <w:tc>
          <w:tcPr>
            <w:tcW w:w="1300" w:type="dxa"/>
            <w:vAlign w:val="bottom"/>
          </w:tcPr>
          <w:p>
            <w:pPr>
              <w:jc w:val="right"/>
              <w:spacing w:after="0"/>
              <w:rPr>
                <w:sz w:val="20"/>
                <w:szCs w:val="20"/>
                <w:color w:val="auto"/>
              </w:rPr>
            </w:pPr>
            <w:r>
              <w:rPr>
                <w:rFonts w:ascii="Arial" w:cs="Arial" w:eastAsia="Arial" w:hAnsi="Arial"/>
                <w:sz w:val="16"/>
                <w:szCs w:val="16"/>
                <w:color w:val="auto"/>
              </w:rPr>
              <w:t>4,274,931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40" w:type="dxa"/>
            <w:vAlign w:val="bottom"/>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gridSpan w:val="2"/>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2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02/18/2021</w:t>
            </w:r>
          </w:p>
        </w:tc>
        <w:tc>
          <w:tcPr>
            <w:tcW w:w="1120" w:type="dxa"/>
            <w:vAlign w:val="bottom"/>
          </w:tcPr>
          <w:p>
            <w:pPr>
              <w:jc w:val="right"/>
              <w:spacing w:after="0"/>
              <w:rPr>
                <w:sz w:val="20"/>
                <w:szCs w:val="20"/>
                <w:color w:val="auto"/>
              </w:rPr>
            </w:pPr>
            <w:r>
              <w:rPr>
                <w:rFonts w:ascii="Arial" w:cs="Arial" w:eastAsia="Arial" w:hAnsi="Arial"/>
                <w:sz w:val="16"/>
                <w:szCs w:val="16"/>
                <w:color w:val="auto"/>
              </w:rPr>
              <w:t>17,639</w:t>
            </w:r>
          </w:p>
        </w:tc>
        <w:tc>
          <w:tcPr>
            <w:tcW w:w="1400" w:type="dxa"/>
            <w:vAlign w:val="bottom"/>
          </w:tcPr>
          <w:p>
            <w:pPr>
              <w:jc w:val="right"/>
              <w:spacing w:after="0"/>
              <w:rPr>
                <w:sz w:val="20"/>
                <w:szCs w:val="20"/>
                <w:color w:val="auto"/>
              </w:rPr>
            </w:pPr>
            <w:r>
              <w:rPr>
                <w:rFonts w:ascii="Arial" w:cs="Arial" w:eastAsia="Arial" w:hAnsi="Arial"/>
                <w:sz w:val="16"/>
                <w:szCs w:val="16"/>
                <w:color w:val="auto"/>
              </w:rPr>
              <w:t>35,811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56.13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02/18/2031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40" w:type="dxa"/>
            <w:vAlign w:val="bottom"/>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86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080" w:type="dxa"/>
            <w:vAlign w:val="bottom"/>
            <w:tcBorders>
              <w:bottom w:val="single" w:sz="8" w:color="582C83"/>
            </w:tcBorders>
          </w:tcPr>
          <w:p>
            <w:pPr>
              <w:spacing w:after="0"/>
              <w:rPr>
                <w:sz w:val="3"/>
                <w:szCs w:val="3"/>
                <w:color w:val="auto"/>
              </w:rPr>
            </w:pPr>
          </w:p>
        </w:tc>
        <w:tc>
          <w:tcPr>
            <w:tcW w:w="220" w:type="dxa"/>
            <w:vAlign w:val="bottom"/>
            <w:tcBorders>
              <w:bottom w:val="single" w:sz="8" w:color="582C83"/>
            </w:tcBorders>
            <w:gridSpan w:val="2"/>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1220" w:type="dxa"/>
            <w:vAlign w:val="bottom"/>
            <w:tcBorders>
              <w:bottom w:val="single" w:sz="8" w:color="582C83"/>
            </w:tcBorders>
            <w:gridSpan w:val="2"/>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02/24/2022</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64,980</w:t>
            </w:r>
          </w:p>
        </w:tc>
        <w:tc>
          <w:tcPr>
            <w:tcW w:w="1300" w:type="dxa"/>
            <w:vAlign w:val="bottom"/>
          </w:tcPr>
          <w:p>
            <w:pPr>
              <w:jc w:val="right"/>
              <w:spacing w:after="0"/>
              <w:rPr>
                <w:sz w:val="20"/>
                <w:szCs w:val="20"/>
                <w:color w:val="auto"/>
              </w:rPr>
            </w:pPr>
            <w:r>
              <w:rPr>
                <w:rFonts w:ascii="Arial" w:cs="Arial" w:eastAsia="Arial" w:hAnsi="Arial"/>
                <w:sz w:val="16"/>
                <w:szCs w:val="16"/>
                <w:color w:val="auto"/>
              </w:rPr>
              <w:t>4,330,917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40" w:type="dxa"/>
            <w:vAlign w:val="bottom"/>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gridSpan w:val="2"/>
          </w:tcPr>
          <w:p>
            <w:pPr>
              <w:spacing w:after="0"/>
              <w:rPr>
                <w:sz w:val="3"/>
                <w:szCs w:val="3"/>
                <w:color w:val="auto"/>
              </w:rPr>
            </w:pPr>
          </w:p>
        </w:tc>
        <w:tc>
          <w:tcPr>
            <w:tcW w:w="1100" w:type="dxa"/>
            <w:vAlign w:val="bottom"/>
            <w:tcBorders>
              <w:bottom w:val="single" w:sz="8" w:color="582C83"/>
            </w:tcBorders>
            <w:gridSpan w:val="2"/>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2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02/24/2022</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54,140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64.65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02/24/2032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4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08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86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0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20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9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040" w:type="dxa"/>
            <w:vAlign w:val="bottom"/>
            <w:shd w:val="clear" w:color="auto" w:fill="EBE6F0"/>
          </w:tcPr>
          <w:p>
            <w:pPr>
              <w:ind w:left="80"/>
              <w:spacing w:after="0"/>
              <w:rPr>
                <w:sz w:val="20"/>
                <w:szCs w:val="20"/>
                <w:color w:val="auto"/>
              </w:rPr>
            </w:pPr>
            <w:r>
              <w:rPr>
                <w:rFonts w:ascii="Arial" w:cs="Arial" w:eastAsia="Arial" w:hAnsi="Arial"/>
                <w:sz w:val="16"/>
                <w:szCs w:val="16"/>
                <w:b w:val="1"/>
                <w:bCs w:val="1"/>
                <w:color w:val="auto"/>
              </w:rPr>
              <w:t>Valle,</w:t>
            </w:r>
          </w:p>
        </w:tc>
        <w:tc>
          <w:tcPr>
            <w:tcW w:w="20" w:type="dxa"/>
            <w:vAlign w:val="bottom"/>
            <w:shd w:val="clear" w:color="auto" w:fill="EBE6F0"/>
          </w:tcPr>
          <w:p>
            <w:pPr>
              <w:spacing w:after="0"/>
              <w:rPr>
                <w:sz w:val="18"/>
                <w:szCs w:val="18"/>
                <w:color w:val="auto"/>
              </w:rPr>
            </w:pPr>
          </w:p>
        </w:tc>
        <w:tc>
          <w:tcPr>
            <w:tcW w:w="1080" w:type="dxa"/>
            <w:vAlign w:val="bottom"/>
            <w:shd w:val="clear" w:color="auto" w:fill="EBE6F0"/>
          </w:tcPr>
          <w:p>
            <w:pPr>
              <w:jc w:val="right"/>
              <w:spacing w:after="0"/>
              <w:rPr>
                <w:sz w:val="20"/>
                <w:szCs w:val="20"/>
                <w:color w:val="auto"/>
              </w:rPr>
            </w:pPr>
            <w:r>
              <w:rPr>
                <w:rFonts w:ascii="Arial" w:cs="Arial" w:eastAsia="Arial" w:hAnsi="Arial"/>
                <w:sz w:val="16"/>
                <w:szCs w:val="16"/>
                <w:color w:val="auto"/>
              </w:rPr>
              <w:t>02/20/2020</w:t>
            </w:r>
          </w:p>
        </w:tc>
        <w:tc>
          <w:tcPr>
            <w:tcW w:w="1120" w:type="dxa"/>
            <w:vAlign w:val="bottom"/>
            <w:shd w:val="clear" w:color="auto" w:fill="EBE6F0"/>
          </w:tcPr>
          <w:p>
            <w:pPr>
              <w:jc w:val="right"/>
              <w:spacing w:after="0"/>
              <w:rPr>
                <w:sz w:val="20"/>
                <w:szCs w:val="20"/>
                <w:color w:val="auto"/>
              </w:rPr>
            </w:pPr>
            <w:r>
              <w:rPr>
                <w:rFonts w:ascii="Arial" w:cs="Arial" w:eastAsia="Arial" w:hAnsi="Arial"/>
                <w:sz w:val="16"/>
                <w:szCs w:val="16"/>
                <w:color w:val="auto"/>
              </w:rPr>
              <w:t>22,360</w:t>
            </w:r>
          </w:p>
        </w:tc>
        <w:tc>
          <w:tcPr>
            <w:tcW w:w="1400" w:type="dxa"/>
            <w:vAlign w:val="bottom"/>
            <w:shd w:val="clear" w:color="auto" w:fill="EBE6F0"/>
          </w:tcPr>
          <w:p>
            <w:pPr>
              <w:jc w:val="right"/>
              <w:spacing w:after="0"/>
              <w:rPr>
                <w:sz w:val="20"/>
                <w:szCs w:val="20"/>
                <w:color w:val="auto"/>
              </w:rPr>
            </w:pPr>
            <w:r>
              <w:rPr>
                <w:rFonts w:ascii="Arial" w:cs="Arial" w:eastAsia="Arial" w:hAnsi="Arial"/>
                <w:sz w:val="16"/>
                <w:szCs w:val="16"/>
                <w:color w:val="auto"/>
              </w:rPr>
              <w:t>11,520</w:t>
            </w:r>
          </w:p>
        </w:tc>
        <w:tc>
          <w:tcPr>
            <w:tcW w:w="20" w:type="dxa"/>
            <w:vAlign w:val="bottom"/>
            <w:shd w:val="clear" w:color="auto" w:fill="EBE6F0"/>
          </w:tcPr>
          <w:p>
            <w:pPr>
              <w:spacing w:after="0"/>
              <w:rPr>
                <w:sz w:val="18"/>
                <w:szCs w:val="18"/>
                <w:color w:val="auto"/>
              </w:rPr>
            </w:pPr>
          </w:p>
        </w:tc>
        <w:tc>
          <w:tcPr>
            <w:tcW w:w="860" w:type="dxa"/>
            <w:vAlign w:val="bottom"/>
            <w:shd w:val="clear" w:color="auto" w:fill="EBE6F0"/>
          </w:tcPr>
          <w:p>
            <w:pPr>
              <w:jc w:val="right"/>
              <w:spacing w:after="0"/>
              <w:rPr>
                <w:sz w:val="20"/>
                <w:szCs w:val="20"/>
                <w:color w:val="auto"/>
              </w:rPr>
            </w:pPr>
            <w:r>
              <w:rPr>
                <w:rFonts w:ascii="Arial" w:cs="Arial" w:eastAsia="Arial" w:hAnsi="Arial"/>
                <w:sz w:val="16"/>
                <w:szCs w:val="16"/>
                <w:color w:val="auto"/>
              </w:rPr>
              <w:t>59.04</w:t>
            </w:r>
          </w:p>
        </w:tc>
        <w:tc>
          <w:tcPr>
            <w:tcW w:w="20" w:type="dxa"/>
            <w:vAlign w:val="bottom"/>
            <w:shd w:val="clear" w:color="auto" w:fill="EBE6F0"/>
          </w:tcPr>
          <w:p>
            <w:pPr>
              <w:spacing w:after="0"/>
              <w:rPr>
                <w:sz w:val="18"/>
                <w:szCs w:val="18"/>
                <w:color w:val="auto"/>
              </w:rPr>
            </w:pPr>
          </w:p>
        </w:tc>
        <w:tc>
          <w:tcPr>
            <w:tcW w:w="1080" w:type="dxa"/>
            <w:vAlign w:val="bottom"/>
            <w:shd w:val="clear" w:color="auto" w:fill="EBE6F0"/>
          </w:tcPr>
          <w:p>
            <w:pPr>
              <w:jc w:val="right"/>
              <w:spacing w:after="0"/>
              <w:rPr>
                <w:sz w:val="20"/>
                <w:szCs w:val="20"/>
                <w:color w:val="auto"/>
              </w:rPr>
            </w:pPr>
            <w:r>
              <w:rPr>
                <w:rFonts w:ascii="Arial" w:cs="Arial" w:eastAsia="Arial" w:hAnsi="Arial"/>
                <w:sz w:val="16"/>
                <w:szCs w:val="16"/>
                <w:color w:val="auto"/>
              </w:rPr>
              <w:t>02/20/2030</w:t>
            </w:r>
          </w:p>
        </w:tc>
        <w:tc>
          <w:tcPr>
            <w:tcW w:w="20" w:type="dxa"/>
            <w:vAlign w:val="bottom"/>
            <w:shd w:val="clear" w:color="auto" w:fill="EBE6F0"/>
          </w:tcPr>
          <w:p>
            <w:pPr>
              <w:spacing w:after="0"/>
              <w:rPr>
                <w:sz w:val="18"/>
                <w:szCs w:val="18"/>
                <w:color w:val="auto"/>
              </w:rPr>
            </w:pPr>
          </w:p>
        </w:tc>
        <w:tc>
          <w:tcPr>
            <w:tcW w:w="200" w:type="dxa"/>
            <w:vAlign w:val="bottom"/>
            <w:shd w:val="clear" w:color="auto" w:fill="EBE6F0"/>
          </w:tcPr>
          <w:p>
            <w:pPr>
              <w:spacing w:after="0"/>
              <w:rPr>
                <w:sz w:val="18"/>
                <w:szCs w:val="18"/>
                <w:color w:val="auto"/>
              </w:rPr>
            </w:pPr>
          </w:p>
        </w:tc>
        <w:tc>
          <w:tcPr>
            <w:tcW w:w="880" w:type="dxa"/>
            <w:vAlign w:val="bottom"/>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8"/>
                <w:szCs w:val="18"/>
                <w:color w:val="auto"/>
              </w:rPr>
            </w:pPr>
          </w:p>
        </w:tc>
        <w:tc>
          <w:tcPr>
            <w:tcW w:w="1200" w:type="dxa"/>
            <w:vAlign w:val="bottom"/>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1040" w:type="dxa"/>
            <w:vAlign w:val="bottom"/>
            <w:tcBorders>
              <w:bottom w:val="single" w:sz="8" w:color="EBE6F0"/>
            </w:tcBorders>
            <w:vMerge w:val="restart"/>
            <w:shd w:val="clear" w:color="auto" w:fill="EBE6F0"/>
          </w:tcPr>
          <w:p>
            <w:pPr>
              <w:ind w:left="80"/>
              <w:spacing w:after="0"/>
              <w:rPr>
                <w:sz w:val="20"/>
                <w:szCs w:val="20"/>
                <w:color w:val="auto"/>
              </w:rPr>
            </w:pPr>
            <w:r>
              <w:rPr>
                <w:rFonts w:ascii="Arial" w:cs="Arial" w:eastAsia="Arial" w:hAnsi="Arial"/>
                <w:sz w:val="16"/>
                <w:szCs w:val="16"/>
                <w:b w:val="1"/>
                <w:bCs w:val="1"/>
                <w:color w:val="auto"/>
              </w:rPr>
              <w:t>Gustavo</w:t>
            </w:r>
          </w:p>
        </w:tc>
        <w:tc>
          <w:tcPr>
            <w:tcW w:w="20" w:type="dxa"/>
            <w:vAlign w:val="bottom"/>
            <w:tcBorders>
              <w:bottom w:val="single" w:sz="8" w:color="EBE6F0"/>
            </w:tcBorders>
            <w:shd w:val="clear" w:color="auto" w:fill="EBE6F0"/>
          </w:tcPr>
          <w:p>
            <w:pPr>
              <w:spacing w:after="0"/>
              <w:rPr>
                <w:sz w:val="5"/>
                <w:szCs w:val="5"/>
                <w:color w:val="auto"/>
              </w:rPr>
            </w:pPr>
          </w:p>
        </w:tc>
        <w:tc>
          <w:tcPr>
            <w:tcW w:w="1080" w:type="dxa"/>
            <w:vAlign w:val="bottom"/>
            <w:tcBorders>
              <w:bottom w:val="single" w:sz="8" w:color="582C83"/>
            </w:tcBorders>
            <w:shd w:val="clear" w:color="auto" w:fill="EBE6F0"/>
          </w:tcPr>
          <w:p>
            <w:pPr>
              <w:spacing w:after="0"/>
              <w:rPr>
                <w:sz w:val="5"/>
                <w:szCs w:val="5"/>
                <w:color w:val="auto"/>
              </w:rPr>
            </w:pPr>
          </w:p>
        </w:tc>
        <w:tc>
          <w:tcPr>
            <w:tcW w:w="1120" w:type="dxa"/>
            <w:vAlign w:val="bottom"/>
            <w:tcBorders>
              <w:bottom w:val="single" w:sz="8" w:color="582C83"/>
            </w:tcBorders>
            <w:shd w:val="clear" w:color="auto" w:fill="EBE6F0"/>
          </w:tcPr>
          <w:p>
            <w:pPr>
              <w:spacing w:after="0"/>
              <w:rPr>
                <w:sz w:val="5"/>
                <w:szCs w:val="5"/>
                <w:color w:val="auto"/>
              </w:rPr>
            </w:pPr>
          </w:p>
        </w:tc>
        <w:tc>
          <w:tcPr>
            <w:tcW w:w="140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86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108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200" w:type="dxa"/>
            <w:vAlign w:val="bottom"/>
            <w:tcBorders>
              <w:bottom w:val="single" w:sz="8" w:color="582C83"/>
            </w:tcBorders>
            <w:shd w:val="clear" w:color="auto" w:fill="EBE6F0"/>
          </w:tcPr>
          <w:p>
            <w:pPr>
              <w:spacing w:after="0"/>
              <w:rPr>
                <w:sz w:val="5"/>
                <w:szCs w:val="5"/>
                <w:color w:val="auto"/>
              </w:rPr>
            </w:pPr>
          </w:p>
        </w:tc>
        <w:tc>
          <w:tcPr>
            <w:tcW w:w="880" w:type="dxa"/>
            <w:vAlign w:val="bottom"/>
            <w:tcBorders>
              <w:bottom w:val="single" w:sz="8" w:color="582C83"/>
            </w:tcBorders>
            <w:shd w:val="clear" w:color="auto" w:fill="EBE6F0"/>
          </w:tcPr>
          <w:p>
            <w:pPr>
              <w:spacing w:after="0"/>
              <w:rPr>
                <w:sz w:val="5"/>
                <w:szCs w:val="5"/>
                <w:color w:val="auto"/>
              </w:rPr>
            </w:pPr>
          </w:p>
        </w:tc>
        <w:tc>
          <w:tcPr>
            <w:tcW w:w="98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1200" w:type="dxa"/>
            <w:vAlign w:val="bottom"/>
            <w:tcBorders>
              <w:bottom w:val="single" w:sz="8" w:color="582C83"/>
            </w:tcBorders>
            <w:shd w:val="clear" w:color="auto" w:fill="EBE6F0"/>
          </w:tcPr>
          <w:p>
            <w:pPr>
              <w:spacing w:after="0"/>
              <w:rPr>
                <w:sz w:val="5"/>
                <w:szCs w:val="5"/>
                <w:color w:val="auto"/>
              </w:rPr>
            </w:pPr>
          </w:p>
        </w:tc>
        <w:tc>
          <w:tcPr>
            <w:tcW w:w="1300" w:type="dxa"/>
            <w:vAlign w:val="bottom"/>
            <w:tcBorders>
              <w:bottom w:val="single" w:sz="8" w:color="582C83"/>
            </w:tcBorders>
            <w:shd w:val="clear" w:color="auto" w:fill="EBE6F0"/>
          </w:tcPr>
          <w:p>
            <w:pPr>
              <w:spacing w:after="0"/>
              <w:rPr>
                <w:sz w:val="5"/>
                <w:szCs w:val="5"/>
                <w:color w:val="auto"/>
              </w:rPr>
            </w:pPr>
          </w:p>
        </w:tc>
        <w:tc>
          <w:tcPr>
            <w:tcW w:w="20" w:type="dxa"/>
            <w:vAlign w:val="bottom"/>
            <w:tcBorders>
              <w:bottom w:val="single" w:sz="8" w:color="EBE6F0"/>
            </w:tcBorders>
            <w:shd w:val="clear" w:color="auto" w:fill="EBE6F0"/>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1040" w:type="dxa"/>
            <w:vAlign w:val="bottom"/>
            <w:vMerge w:val="continue"/>
            <w:shd w:val="clear" w:color="auto" w:fill="EBE6F0"/>
          </w:tcPr>
          <w:p>
            <w:pPr>
              <w:spacing w:after="0"/>
              <w:rPr>
                <w:sz w:val="12"/>
                <w:szCs w:val="12"/>
                <w:color w:val="auto"/>
              </w:rPr>
            </w:pPr>
          </w:p>
        </w:tc>
        <w:tc>
          <w:tcPr>
            <w:tcW w:w="20" w:type="dxa"/>
            <w:vAlign w:val="bottom"/>
            <w:shd w:val="clear" w:color="auto" w:fill="EBE6F0"/>
          </w:tcPr>
          <w:p>
            <w:pPr>
              <w:spacing w:after="0"/>
              <w:rPr>
                <w:sz w:val="12"/>
                <w:szCs w:val="12"/>
                <w:color w:val="auto"/>
              </w:rPr>
            </w:pPr>
          </w:p>
        </w:tc>
        <w:tc>
          <w:tcPr>
            <w:tcW w:w="108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02/18/2021</w:t>
            </w:r>
          </w:p>
        </w:tc>
        <w:tc>
          <w:tcPr>
            <w:tcW w:w="112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2"/>
                <w:szCs w:val="12"/>
                <w:color w:val="auto"/>
              </w:rPr>
            </w:pPr>
          </w:p>
        </w:tc>
        <w:tc>
          <w:tcPr>
            <w:tcW w:w="86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2"/>
                <w:szCs w:val="12"/>
                <w:color w:val="auto"/>
              </w:rPr>
            </w:pPr>
          </w:p>
        </w:tc>
        <w:tc>
          <w:tcPr>
            <w:tcW w:w="108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2"/>
                <w:szCs w:val="12"/>
                <w:color w:val="auto"/>
              </w:rPr>
            </w:pPr>
          </w:p>
        </w:tc>
        <w:tc>
          <w:tcPr>
            <w:tcW w:w="200" w:type="dxa"/>
            <w:vAlign w:val="bottom"/>
            <w:shd w:val="clear" w:color="auto" w:fill="EBE6F0"/>
          </w:tcPr>
          <w:p>
            <w:pPr>
              <w:spacing w:after="0"/>
              <w:rPr>
                <w:sz w:val="12"/>
                <w:szCs w:val="12"/>
                <w:color w:val="auto"/>
              </w:rPr>
            </w:pPr>
          </w:p>
        </w:tc>
        <w:tc>
          <w:tcPr>
            <w:tcW w:w="88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BE6F0"/>
          </w:tcPr>
          <w:p>
            <w:pPr>
              <w:spacing w:after="0"/>
              <w:rPr>
                <w:sz w:val="12"/>
                <w:szCs w:val="12"/>
                <w:color w:val="auto"/>
              </w:rPr>
            </w:pPr>
          </w:p>
        </w:tc>
        <w:tc>
          <w:tcPr>
            <w:tcW w:w="120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42,760</w:t>
            </w:r>
          </w:p>
        </w:tc>
        <w:tc>
          <w:tcPr>
            <w:tcW w:w="1300" w:type="dxa"/>
            <w:vAlign w:val="bottom"/>
            <w:vMerge w:val="restart"/>
            <w:shd w:val="clear" w:color="auto" w:fill="EBE6F0"/>
          </w:tcPr>
          <w:p>
            <w:pPr>
              <w:jc w:val="right"/>
              <w:spacing w:after="0"/>
              <w:rPr>
                <w:sz w:val="20"/>
                <w:szCs w:val="20"/>
                <w:color w:val="auto"/>
              </w:rPr>
            </w:pPr>
            <w:r>
              <w:rPr>
                <w:rFonts w:ascii="Arial" w:cs="Arial" w:eastAsia="Arial" w:hAnsi="Arial"/>
                <w:sz w:val="16"/>
                <w:szCs w:val="16"/>
                <w:color w:val="auto"/>
              </w:rPr>
              <w:t>2,849,954</w:t>
            </w:r>
          </w:p>
        </w:tc>
        <w:tc>
          <w:tcPr>
            <w:tcW w:w="20" w:type="dxa"/>
            <w:vAlign w:val="bottom"/>
            <w:shd w:val="clear" w:color="auto" w:fill="EBE6F0"/>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Borders>
              <w:bottom w:val="single" w:sz="8" w:color="EBE6F0"/>
            </w:tcBorders>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1080" w:type="dxa"/>
            <w:vAlign w:val="bottom"/>
            <w:tcBorders>
              <w:bottom w:val="single" w:sz="8" w:color="EBE6F0"/>
            </w:tcBorders>
            <w:vMerge w:val="continue"/>
            <w:shd w:val="clear" w:color="auto" w:fill="EBE6F0"/>
          </w:tcPr>
          <w:p>
            <w:pPr>
              <w:spacing w:after="0"/>
              <w:rPr>
                <w:sz w:val="12"/>
                <w:szCs w:val="12"/>
                <w:color w:val="auto"/>
              </w:rPr>
            </w:pPr>
          </w:p>
        </w:tc>
        <w:tc>
          <w:tcPr>
            <w:tcW w:w="1120" w:type="dxa"/>
            <w:vAlign w:val="bottom"/>
            <w:tcBorders>
              <w:bottom w:val="single" w:sz="8" w:color="EBE6F0"/>
            </w:tcBorders>
            <w:vMerge w:val="continue"/>
            <w:shd w:val="clear" w:color="auto" w:fill="EBE6F0"/>
          </w:tcPr>
          <w:p>
            <w:pPr>
              <w:spacing w:after="0"/>
              <w:rPr>
                <w:sz w:val="12"/>
                <w:szCs w:val="12"/>
                <w:color w:val="auto"/>
              </w:rPr>
            </w:pPr>
          </w:p>
        </w:tc>
        <w:tc>
          <w:tcPr>
            <w:tcW w:w="1400" w:type="dxa"/>
            <w:vAlign w:val="bottom"/>
            <w:tcBorders>
              <w:bottom w:val="single" w:sz="8" w:color="EBE6F0"/>
            </w:tcBorders>
            <w:vMerge w:val="continue"/>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860" w:type="dxa"/>
            <w:vAlign w:val="bottom"/>
            <w:tcBorders>
              <w:bottom w:val="single" w:sz="8" w:color="EBE6F0"/>
            </w:tcBorders>
            <w:vMerge w:val="continue"/>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1080" w:type="dxa"/>
            <w:vAlign w:val="bottom"/>
            <w:tcBorders>
              <w:bottom w:val="single" w:sz="8" w:color="EBE6F0"/>
            </w:tcBorders>
            <w:vMerge w:val="continue"/>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200" w:type="dxa"/>
            <w:vAlign w:val="bottom"/>
            <w:tcBorders>
              <w:bottom w:val="single" w:sz="8" w:color="EBE6F0"/>
            </w:tcBorders>
            <w:shd w:val="clear" w:color="auto" w:fill="EBE6F0"/>
          </w:tcPr>
          <w:p>
            <w:pPr>
              <w:spacing w:after="0"/>
              <w:rPr>
                <w:sz w:val="12"/>
                <w:szCs w:val="12"/>
                <w:color w:val="auto"/>
              </w:rPr>
            </w:pPr>
          </w:p>
        </w:tc>
        <w:tc>
          <w:tcPr>
            <w:tcW w:w="880" w:type="dxa"/>
            <w:vAlign w:val="bottom"/>
            <w:tcBorders>
              <w:bottom w:val="single" w:sz="8" w:color="EBE6F0"/>
            </w:tcBorders>
            <w:vMerge w:val="continue"/>
            <w:shd w:val="clear" w:color="auto" w:fill="EBE6F0"/>
          </w:tcPr>
          <w:p>
            <w:pPr>
              <w:spacing w:after="0"/>
              <w:rPr>
                <w:sz w:val="12"/>
                <w:szCs w:val="12"/>
                <w:color w:val="auto"/>
              </w:rPr>
            </w:pPr>
          </w:p>
        </w:tc>
        <w:tc>
          <w:tcPr>
            <w:tcW w:w="980" w:type="dxa"/>
            <w:vAlign w:val="bottom"/>
            <w:tcBorders>
              <w:bottom w:val="single" w:sz="8" w:color="EBE6F0"/>
            </w:tcBorders>
            <w:vMerge w:val="continue"/>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1200" w:type="dxa"/>
            <w:vAlign w:val="bottom"/>
            <w:tcBorders>
              <w:bottom w:val="single" w:sz="8" w:color="EBE6F0"/>
            </w:tcBorders>
            <w:vMerge w:val="continue"/>
            <w:shd w:val="clear" w:color="auto" w:fill="EBE6F0"/>
          </w:tcPr>
          <w:p>
            <w:pPr>
              <w:spacing w:after="0"/>
              <w:rPr>
                <w:sz w:val="12"/>
                <w:szCs w:val="12"/>
                <w:color w:val="auto"/>
              </w:rPr>
            </w:pPr>
          </w:p>
        </w:tc>
        <w:tc>
          <w:tcPr>
            <w:tcW w:w="1300" w:type="dxa"/>
            <w:vAlign w:val="bottom"/>
            <w:tcBorders>
              <w:bottom w:val="single" w:sz="8" w:color="EBE6F0"/>
            </w:tcBorders>
            <w:vMerge w:val="continue"/>
            <w:shd w:val="clear" w:color="auto" w:fill="EBE6F0"/>
          </w:tcPr>
          <w:p>
            <w:pPr>
              <w:spacing w:after="0"/>
              <w:rPr>
                <w:sz w:val="12"/>
                <w:szCs w:val="12"/>
                <w:color w:val="auto"/>
              </w:rPr>
            </w:pPr>
          </w:p>
        </w:tc>
        <w:tc>
          <w:tcPr>
            <w:tcW w:w="20" w:type="dxa"/>
            <w:vAlign w:val="bottom"/>
            <w:tcBorders>
              <w:bottom w:val="single" w:sz="8" w:color="EBE6F0"/>
            </w:tcBorders>
            <w:shd w:val="clear" w:color="auto" w:fill="EBE6F0"/>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040" w:type="dxa"/>
            <w:vAlign w:val="bottom"/>
            <w:tcBorders>
              <w:top w:val="single" w:sz="8" w:color="EBE6F0"/>
              <w:bottom w:val="single" w:sz="8" w:color="EBE6F0"/>
            </w:tcBorders>
            <w:shd w:val="clear" w:color="auto" w:fill="EBE6F0"/>
          </w:tcPr>
          <w:p>
            <w:pPr>
              <w:spacing w:after="0"/>
              <w:rPr>
                <w:sz w:val="24"/>
                <w:szCs w:val="24"/>
                <w:color w:val="auto"/>
              </w:rPr>
            </w:pP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02/18/2021</w:t>
            </w:r>
          </w:p>
        </w:tc>
        <w:tc>
          <w:tcPr>
            <w:tcW w:w="112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11,761</w:t>
            </w:r>
          </w:p>
        </w:tc>
        <w:tc>
          <w:tcPr>
            <w:tcW w:w="14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23,879</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56.13</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02/18/2031</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200" w:type="dxa"/>
            <w:vAlign w:val="bottom"/>
            <w:tcBorders>
              <w:top w:val="single" w:sz="8" w:color="582C83"/>
              <w:bottom w:val="single" w:sz="8" w:color="EBE6F0"/>
            </w:tcBorders>
            <w:shd w:val="clear" w:color="auto" w:fill="EBE6F0"/>
          </w:tcPr>
          <w:p>
            <w:pPr>
              <w:spacing w:after="0"/>
              <w:rPr>
                <w:sz w:val="24"/>
                <w:szCs w:val="24"/>
                <w:color w:val="auto"/>
              </w:rPr>
            </w:pPr>
          </w:p>
        </w:tc>
        <w:tc>
          <w:tcPr>
            <w:tcW w:w="8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2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40" w:type="dxa"/>
            <w:vAlign w:val="bottom"/>
            <w:tcBorders>
              <w:top w:val="single" w:sz="8" w:color="EBE6F0"/>
              <w:bottom w:val="single" w:sz="8" w:color="EBE6F0"/>
            </w:tcBorders>
            <w:shd w:val="clear" w:color="auto" w:fill="EBE6F0"/>
          </w:tcPr>
          <w:p>
            <w:pPr>
              <w:spacing w:after="0"/>
              <w:rPr>
                <w:sz w:val="24"/>
                <w:szCs w:val="24"/>
                <w:color w:val="auto"/>
              </w:rPr>
            </w:pP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02/24/2022</w:t>
            </w:r>
          </w:p>
        </w:tc>
        <w:tc>
          <w:tcPr>
            <w:tcW w:w="112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200" w:type="dxa"/>
            <w:vAlign w:val="bottom"/>
            <w:tcBorders>
              <w:top w:val="single" w:sz="8" w:color="582C83"/>
              <w:bottom w:val="single" w:sz="8" w:color="EBE6F0"/>
            </w:tcBorders>
            <w:shd w:val="clear" w:color="auto" w:fill="EBE6F0"/>
          </w:tcPr>
          <w:p>
            <w:pPr>
              <w:spacing w:after="0"/>
              <w:rPr>
                <w:sz w:val="24"/>
                <w:szCs w:val="24"/>
                <w:color w:val="auto"/>
              </w:rPr>
            </w:pPr>
          </w:p>
        </w:tc>
        <w:tc>
          <w:tcPr>
            <w:tcW w:w="8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12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48,740</w:t>
            </w:r>
          </w:p>
        </w:tc>
        <w:tc>
          <w:tcPr>
            <w:tcW w:w="13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3,248,521</w:t>
            </w:r>
          </w:p>
        </w:tc>
        <w:tc>
          <w:tcPr>
            <w:tcW w:w="20" w:type="dxa"/>
            <w:vAlign w:val="bottom"/>
            <w:tcBorders>
              <w:top w:val="single" w:sz="8" w:color="EBE6F0"/>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40" w:type="dxa"/>
            <w:vAlign w:val="bottom"/>
            <w:tcBorders>
              <w:top w:val="single" w:sz="8" w:color="EBE6F0"/>
              <w:bottom w:val="single" w:sz="8" w:color="EBE6F0"/>
            </w:tcBorders>
            <w:shd w:val="clear" w:color="auto" w:fill="EBE6F0"/>
          </w:tcPr>
          <w:p>
            <w:pPr>
              <w:spacing w:after="0"/>
              <w:rPr>
                <w:sz w:val="22"/>
                <w:szCs w:val="22"/>
                <w:color w:val="auto"/>
              </w:rPr>
            </w:pPr>
          </w:p>
        </w:tc>
        <w:tc>
          <w:tcPr>
            <w:tcW w:w="20" w:type="dxa"/>
            <w:vAlign w:val="bottom"/>
            <w:tcBorders>
              <w:top w:val="single" w:sz="8" w:color="EBE6F0"/>
              <w:bottom w:val="single" w:sz="8" w:color="EBE6F0"/>
            </w:tcBorders>
            <w:shd w:val="clear" w:color="auto" w:fill="EBE6F0"/>
          </w:tcPr>
          <w:p>
            <w:pPr>
              <w:spacing w:after="0"/>
              <w:rPr>
                <w:sz w:val="22"/>
                <w:szCs w:val="22"/>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02/24/2022</w:t>
            </w:r>
          </w:p>
        </w:tc>
        <w:tc>
          <w:tcPr>
            <w:tcW w:w="112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40,610</w:t>
            </w:r>
          </w:p>
        </w:tc>
        <w:tc>
          <w:tcPr>
            <w:tcW w:w="20" w:type="dxa"/>
            <w:vAlign w:val="bottom"/>
            <w:tcBorders>
              <w:top w:val="single" w:sz="8" w:color="EBE6F0"/>
              <w:bottom w:val="single" w:sz="8" w:color="EBE6F0"/>
            </w:tcBorders>
            <w:shd w:val="clear" w:color="auto" w:fill="EBE6F0"/>
          </w:tcPr>
          <w:p>
            <w:pPr>
              <w:spacing w:after="0"/>
              <w:rPr>
                <w:sz w:val="22"/>
                <w:szCs w:val="22"/>
                <w:color w:val="auto"/>
              </w:rPr>
            </w:pPr>
          </w:p>
        </w:tc>
        <w:tc>
          <w:tcPr>
            <w:tcW w:w="86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64.65</w:t>
            </w:r>
          </w:p>
        </w:tc>
        <w:tc>
          <w:tcPr>
            <w:tcW w:w="20" w:type="dxa"/>
            <w:vAlign w:val="bottom"/>
            <w:tcBorders>
              <w:top w:val="single" w:sz="8" w:color="EBE6F0"/>
              <w:bottom w:val="single" w:sz="8" w:color="EBE6F0"/>
            </w:tcBorders>
            <w:shd w:val="clear" w:color="auto" w:fill="EBE6F0"/>
          </w:tcPr>
          <w:p>
            <w:pPr>
              <w:spacing w:after="0"/>
              <w:rPr>
                <w:sz w:val="22"/>
                <w:szCs w:val="22"/>
                <w:color w:val="auto"/>
              </w:rPr>
            </w:pPr>
          </w:p>
        </w:tc>
        <w:tc>
          <w:tcPr>
            <w:tcW w:w="10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02/24/2032</w:t>
            </w:r>
          </w:p>
        </w:tc>
        <w:tc>
          <w:tcPr>
            <w:tcW w:w="20" w:type="dxa"/>
            <w:vAlign w:val="bottom"/>
            <w:tcBorders>
              <w:top w:val="single" w:sz="8" w:color="EBE6F0"/>
              <w:bottom w:val="single" w:sz="8" w:color="EBE6F0"/>
            </w:tcBorders>
            <w:shd w:val="clear" w:color="auto" w:fill="EBE6F0"/>
          </w:tcPr>
          <w:p>
            <w:pPr>
              <w:spacing w:after="0"/>
              <w:rPr>
                <w:sz w:val="22"/>
                <w:szCs w:val="22"/>
                <w:color w:val="auto"/>
              </w:rPr>
            </w:pPr>
          </w:p>
        </w:tc>
        <w:tc>
          <w:tcPr>
            <w:tcW w:w="200" w:type="dxa"/>
            <w:vAlign w:val="bottom"/>
            <w:tcBorders>
              <w:top w:val="single" w:sz="8" w:color="582C83"/>
              <w:bottom w:val="single" w:sz="8" w:color="EBE6F0"/>
            </w:tcBorders>
            <w:shd w:val="clear" w:color="auto" w:fill="EBE6F0"/>
          </w:tcPr>
          <w:p>
            <w:pPr>
              <w:spacing w:after="0"/>
              <w:rPr>
                <w:sz w:val="22"/>
                <w:szCs w:val="22"/>
                <w:color w:val="auto"/>
              </w:rPr>
            </w:pPr>
          </w:p>
        </w:tc>
        <w:tc>
          <w:tcPr>
            <w:tcW w:w="8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2"/>
                <w:szCs w:val="22"/>
                <w:color w:val="auto"/>
              </w:rPr>
            </w:pPr>
          </w:p>
        </w:tc>
        <w:tc>
          <w:tcPr>
            <w:tcW w:w="12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bottom w:val="single" w:sz="8" w:color="EBE6F0"/>
            </w:tcBorders>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582C83"/>
          </w:tcPr>
          <w:p>
            <w:pPr>
              <w:spacing w:after="0" w:line="20" w:lineRule="exact"/>
              <w:rPr>
                <w:sz w:val="1"/>
                <w:szCs w:val="1"/>
                <w:color w:val="auto"/>
              </w:rPr>
            </w:pPr>
          </w:p>
        </w:tc>
        <w:tc>
          <w:tcPr>
            <w:tcW w:w="20" w:type="dxa"/>
            <w:vAlign w:val="bottom"/>
            <w:shd w:val="clear" w:color="auto" w:fill="582C83"/>
          </w:tcPr>
          <w:p>
            <w:pPr>
              <w:spacing w:after="0" w:line="20" w:lineRule="exact"/>
              <w:rPr>
                <w:sz w:val="1"/>
                <w:szCs w:val="1"/>
                <w:color w:val="auto"/>
              </w:rPr>
            </w:pPr>
          </w:p>
        </w:tc>
        <w:tc>
          <w:tcPr>
            <w:tcW w:w="1080" w:type="dxa"/>
            <w:vAlign w:val="bottom"/>
            <w:shd w:val="clear" w:color="auto" w:fill="582C83"/>
          </w:tcPr>
          <w:p>
            <w:pPr>
              <w:spacing w:after="0" w:line="20" w:lineRule="exact"/>
              <w:rPr>
                <w:sz w:val="1"/>
                <w:szCs w:val="1"/>
                <w:color w:val="auto"/>
              </w:rPr>
            </w:pPr>
          </w:p>
        </w:tc>
        <w:tc>
          <w:tcPr>
            <w:tcW w:w="1120" w:type="dxa"/>
            <w:vAlign w:val="bottom"/>
            <w:shd w:val="clear" w:color="auto" w:fill="582C83"/>
          </w:tcPr>
          <w:p>
            <w:pPr>
              <w:spacing w:after="0" w:line="20" w:lineRule="exact"/>
              <w:rPr>
                <w:sz w:val="1"/>
                <w:szCs w:val="1"/>
                <w:color w:val="auto"/>
              </w:rPr>
            </w:pPr>
          </w:p>
        </w:tc>
        <w:tc>
          <w:tcPr>
            <w:tcW w:w="1400" w:type="dxa"/>
            <w:vAlign w:val="bottom"/>
            <w:shd w:val="clear" w:color="auto" w:fill="582C83"/>
          </w:tcPr>
          <w:p>
            <w:pPr>
              <w:spacing w:after="0" w:line="20" w:lineRule="exact"/>
              <w:rPr>
                <w:sz w:val="1"/>
                <w:szCs w:val="1"/>
                <w:color w:val="auto"/>
              </w:rPr>
            </w:pPr>
          </w:p>
        </w:tc>
        <w:tc>
          <w:tcPr>
            <w:tcW w:w="20" w:type="dxa"/>
            <w:vAlign w:val="bottom"/>
            <w:shd w:val="clear" w:color="auto" w:fill="582C83"/>
          </w:tcPr>
          <w:p>
            <w:pPr>
              <w:spacing w:after="0" w:line="20" w:lineRule="exact"/>
              <w:rPr>
                <w:sz w:val="1"/>
                <w:szCs w:val="1"/>
                <w:color w:val="auto"/>
              </w:rPr>
            </w:pPr>
          </w:p>
        </w:tc>
        <w:tc>
          <w:tcPr>
            <w:tcW w:w="860" w:type="dxa"/>
            <w:vAlign w:val="bottom"/>
            <w:shd w:val="clear" w:color="auto" w:fill="582C83"/>
          </w:tcPr>
          <w:p>
            <w:pPr>
              <w:spacing w:after="0" w:line="20" w:lineRule="exact"/>
              <w:rPr>
                <w:sz w:val="1"/>
                <w:szCs w:val="1"/>
                <w:color w:val="auto"/>
              </w:rPr>
            </w:pPr>
          </w:p>
        </w:tc>
        <w:tc>
          <w:tcPr>
            <w:tcW w:w="20" w:type="dxa"/>
            <w:vAlign w:val="bottom"/>
            <w:shd w:val="clear" w:color="auto" w:fill="582C83"/>
          </w:tcPr>
          <w:p>
            <w:pPr>
              <w:spacing w:after="0" w:line="20" w:lineRule="exact"/>
              <w:rPr>
                <w:sz w:val="1"/>
                <w:szCs w:val="1"/>
                <w:color w:val="auto"/>
              </w:rPr>
            </w:pPr>
          </w:p>
        </w:tc>
        <w:tc>
          <w:tcPr>
            <w:tcW w:w="1080" w:type="dxa"/>
            <w:vAlign w:val="bottom"/>
            <w:shd w:val="clear" w:color="auto" w:fill="582C83"/>
          </w:tcPr>
          <w:p>
            <w:pPr>
              <w:spacing w:after="0" w:line="20" w:lineRule="exact"/>
              <w:rPr>
                <w:sz w:val="1"/>
                <w:szCs w:val="1"/>
                <w:color w:val="auto"/>
              </w:rPr>
            </w:pPr>
          </w:p>
        </w:tc>
        <w:tc>
          <w:tcPr>
            <w:tcW w:w="20" w:type="dxa"/>
            <w:vAlign w:val="bottom"/>
            <w:shd w:val="clear" w:color="auto" w:fill="582C83"/>
          </w:tcPr>
          <w:p>
            <w:pPr>
              <w:spacing w:after="0" w:line="20" w:lineRule="exact"/>
              <w:rPr>
                <w:sz w:val="1"/>
                <w:szCs w:val="1"/>
                <w:color w:val="auto"/>
              </w:rPr>
            </w:pPr>
          </w:p>
        </w:tc>
        <w:tc>
          <w:tcPr>
            <w:tcW w:w="200" w:type="dxa"/>
            <w:vAlign w:val="bottom"/>
            <w:shd w:val="clear" w:color="auto" w:fill="582C83"/>
          </w:tcPr>
          <w:p>
            <w:pPr>
              <w:spacing w:after="0" w:line="20" w:lineRule="exact"/>
              <w:rPr>
                <w:sz w:val="1"/>
                <w:szCs w:val="1"/>
                <w:color w:val="auto"/>
              </w:rPr>
            </w:pPr>
          </w:p>
        </w:tc>
        <w:tc>
          <w:tcPr>
            <w:tcW w:w="880" w:type="dxa"/>
            <w:vAlign w:val="bottom"/>
            <w:shd w:val="clear" w:color="auto" w:fill="582C83"/>
          </w:tcPr>
          <w:p>
            <w:pPr>
              <w:spacing w:after="0" w:line="20" w:lineRule="exact"/>
              <w:rPr>
                <w:sz w:val="1"/>
                <w:szCs w:val="1"/>
                <w:color w:val="auto"/>
              </w:rPr>
            </w:pPr>
          </w:p>
        </w:tc>
        <w:tc>
          <w:tcPr>
            <w:tcW w:w="980" w:type="dxa"/>
            <w:vAlign w:val="bottom"/>
            <w:shd w:val="clear" w:color="auto" w:fill="582C83"/>
          </w:tcPr>
          <w:p>
            <w:pPr>
              <w:spacing w:after="0" w:line="20" w:lineRule="exact"/>
              <w:rPr>
                <w:sz w:val="1"/>
                <w:szCs w:val="1"/>
                <w:color w:val="auto"/>
              </w:rPr>
            </w:pPr>
          </w:p>
        </w:tc>
        <w:tc>
          <w:tcPr>
            <w:tcW w:w="20" w:type="dxa"/>
            <w:vAlign w:val="bottom"/>
            <w:shd w:val="clear" w:color="auto" w:fill="582C83"/>
          </w:tcPr>
          <w:p>
            <w:pPr>
              <w:spacing w:after="0" w:line="20" w:lineRule="exact"/>
              <w:rPr>
                <w:sz w:val="1"/>
                <w:szCs w:val="1"/>
                <w:color w:val="auto"/>
              </w:rPr>
            </w:pPr>
          </w:p>
        </w:tc>
        <w:tc>
          <w:tcPr>
            <w:tcW w:w="1200" w:type="dxa"/>
            <w:vAlign w:val="bottom"/>
            <w:shd w:val="clear" w:color="auto" w:fill="582C83"/>
          </w:tcPr>
          <w:p>
            <w:pPr>
              <w:spacing w:after="0" w:line="20" w:lineRule="exact"/>
              <w:rPr>
                <w:sz w:val="1"/>
                <w:szCs w:val="1"/>
                <w:color w:val="auto"/>
              </w:rPr>
            </w:pPr>
          </w:p>
        </w:tc>
        <w:tc>
          <w:tcPr>
            <w:tcW w:w="1300" w:type="dxa"/>
            <w:vAlign w:val="bottom"/>
            <w:shd w:val="clear" w:color="auto" w:fill="582C83"/>
          </w:tcPr>
          <w:p>
            <w:pPr>
              <w:spacing w:after="0" w:line="20" w:lineRule="exact"/>
              <w:rPr>
                <w:sz w:val="1"/>
                <w:szCs w:val="1"/>
                <w:color w:val="auto"/>
              </w:rPr>
            </w:pPr>
          </w:p>
        </w:tc>
        <w:tc>
          <w:tcPr>
            <w:tcW w:w="20" w:type="dxa"/>
            <w:vAlign w:val="bottom"/>
            <w:shd w:val="clear" w:color="auto" w:fill="582C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The vesting schedule for all outstanding unvested stock and stock options is as follows:</w:t>
      </w:r>
    </w:p>
    <w:p>
      <w:pPr>
        <w:spacing w:after="0" w:line="275" w:lineRule="exact"/>
        <w:rPr>
          <w:sz w:val="20"/>
          <w:szCs w:val="20"/>
          <w:color w:val="auto"/>
        </w:rPr>
      </w:pPr>
    </w:p>
    <w:tbl>
      <w:tblPr>
        <w:tblLayout w:type="fixed"/>
        <w:tblInd w:w="380" w:type="dxa"/>
        <w:tblCellMar>
          <w:top w:w="0" w:type="dxa"/>
          <w:left w:w="0" w:type="dxa"/>
          <w:bottom w:w="0" w:type="dxa"/>
          <w:right w:w="0" w:type="dxa"/>
        </w:tblCellMar>
      </w:tblPr>
      <w:tr>
        <w:trPr>
          <w:trHeight w:val="228"/>
        </w:trPr>
        <w:tc>
          <w:tcPr>
            <w:tcW w:w="1640" w:type="dxa"/>
            <w:vAlign w:val="bottom"/>
            <w:tcBorders>
              <w:bottom w:val="single" w:sz="8" w:color="582C83"/>
            </w:tcBorders>
          </w:tcPr>
          <w:p>
            <w:pPr>
              <w:ind w:left="40"/>
              <w:spacing w:after="0"/>
              <w:rPr>
                <w:sz w:val="20"/>
                <w:szCs w:val="20"/>
                <w:color w:val="auto"/>
              </w:rPr>
            </w:pPr>
            <w:r>
              <w:rPr>
                <w:rFonts w:ascii="Arial" w:cs="Arial" w:eastAsia="Arial" w:hAnsi="Arial"/>
                <w:sz w:val="15"/>
                <w:szCs w:val="15"/>
                <w:b w:val="1"/>
                <w:bCs w:val="1"/>
                <w:color w:val="auto"/>
              </w:rPr>
              <w:t>Grant Date</w:t>
            </w:r>
          </w:p>
        </w:tc>
        <w:tc>
          <w:tcPr>
            <w:tcW w:w="1540" w:type="dxa"/>
            <w:vAlign w:val="bottom"/>
            <w:tcBorders>
              <w:bottom w:val="single" w:sz="8" w:color="582C83"/>
            </w:tcBorders>
          </w:tcPr>
          <w:p>
            <w:pPr>
              <w:spacing w:after="0"/>
              <w:rPr>
                <w:sz w:val="20"/>
                <w:szCs w:val="20"/>
                <w:color w:val="auto"/>
              </w:rPr>
            </w:pPr>
            <w:r>
              <w:rPr>
                <w:rFonts w:ascii="Arial" w:cs="Arial" w:eastAsia="Arial" w:hAnsi="Arial"/>
                <w:sz w:val="15"/>
                <w:szCs w:val="15"/>
                <w:b w:val="1"/>
                <w:bCs w:val="1"/>
                <w:color w:val="auto"/>
              </w:rPr>
              <w:t>Grant Type</w:t>
            </w:r>
          </w:p>
        </w:tc>
        <w:tc>
          <w:tcPr>
            <w:tcW w:w="7720" w:type="dxa"/>
            <w:vAlign w:val="bottom"/>
            <w:tcBorders>
              <w:bottom w:val="single" w:sz="8" w:color="582C83"/>
            </w:tcBorders>
          </w:tcPr>
          <w:p>
            <w:pPr>
              <w:spacing w:after="0"/>
              <w:rPr>
                <w:sz w:val="20"/>
                <w:szCs w:val="20"/>
                <w:color w:val="auto"/>
              </w:rPr>
            </w:pPr>
            <w:r>
              <w:rPr>
                <w:rFonts w:ascii="Arial" w:cs="Arial" w:eastAsia="Arial" w:hAnsi="Arial"/>
                <w:sz w:val="15"/>
                <w:szCs w:val="15"/>
                <w:b w:val="1"/>
                <w:bCs w:val="1"/>
                <w:color w:val="auto"/>
              </w:rPr>
              <w:t>Vesting Schedule</w:t>
            </w:r>
          </w:p>
        </w:tc>
      </w:tr>
      <w:tr>
        <w:trPr>
          <w:trHeight w:val="211"/>
        </w:trPr>
        <w:tc>
          <w:tcPr>
            <w:tcW w:w="1640" w:type="dxa"/>
            <w:vAlign w:val="bottom"/>
          </w:tcPr>
          <w:p>
            <w:pPr>
              <w:ind w:left="40"/>
              <w:spacing w:after="0"/>
              <w:rPr>
                <w:sz w:val="20"/>
                <w:szCs w:val="20"/>
                <w:color w:val="auto"/>
              </w:rPr>
            </w:pPr>
            <w:r>
              <w:rPr>
                <w:rFonts w:ascii="Arial" w:cs="Arial" w:eastAsia="Arial" w:hAnsi="Arial"/>
                <w:sz w:val="15"/>
                <w:szCs w:val="15"/>
                <w:color w:val="auto"/>
              </w:rPr>
              <w:t>02/20/2020</w:t>
            </w:r>
          </w:p>
        </w:tc>
        <w:tc>
          <w:tcPr>
            <w:tcW w:w="1540" w:type="dxa"/>
            <w:vAlign w:val="bottom"/>
          </w:tcPr>
          <w:p>
            <w:pPr>
              <w:spacing w:after="0"/>
              <w:rPr>
                <w:sz w:val="20"/>
                <w:szCs w:val="20"/>
                <w:color w:val="auto"/>
              </w:rPr>
            </w:pPr>
            <w:r>
              <w:rPr>
                <w:rFonts w:ascii="Arial" w:cs="Arial" w:eastAsia="Arial" w:hAnsi="Arial"/>
                <w:sz w:val="15"/>
                <w:szCs w:val="15"/>
                <w:color w:val="auto"/>
              </w:rPr>
              <w:t>Stock Options</w:t>
            </w:r>
          </w:p>
        </w:tc>
        <w:tc>
          <w:tcPr>
            <w:tcW w:w="7720" w:type="dxa"/>
            <w:vAlign w:val="bottom"/>
          </w:tcPr>
          <w:p>
            <w:pPr>
              <w:spacing w:after="0"/>
              <w:rPr>
                <w:sz w:val="20"/>
                <w:szCs w:val="20"/>
                <w:color w:val="auto"/>
              </w:rPr>
            </w:pPr>
            <w:r>
              <w:rPr>
                <w:rFonts w:ascii="Arial" w:cs="Arial" w:eastAsia="Arial" w:hAnsi="Arial"/>
                <w:sz w:val="15"/>
                <w:szCs w:val="15"/>
                <w:color w:val="auto"/>
              </w:rPr>
              <w:t>First tranche (33%) vested on 02/20/2021, second tranche (33%) vested on 02/20/2022 and last tranche (34%)</w:t>
            </w:r>
          </w:p>
        </w:tc>
      </w:tr>
      <w:tr>
        <w:trPr>
          <w:trHeight w:val="197"/>
        </w:trPr>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vested on 02/20/2023.</w:t>
            </w:r>
          </w:p>
        </w:tc>
      </w:tr>
      <w:tr>
        <w:trPr>
          <w:trHeight w:val="39"/>
        </w:trPr>
        <w:tc>
          <w:tcPr>
            <w:tcW w:w="1640" w:type="dxa"/>
            <w:vAlign w:val="bottom"/>
            <w:tcBorders>
              <w:bottom w:val="single" w:sz="8" w:color="582C83"/>
            </w:tcBorders>
          </w:tcPr>
          <w:p>
            <w:pPr>
              <w:spacing w:after="0"/>
              <w:rPr>
                <w:sz w:val="3"/>
                <w:szCs w:val="3"/>
                <w:color w:val="auto"/>
              </w:rPr>
            </w:pPr>
          </w:p>
        </w:tc>
        <w:tc>
          <w:tcPr>
            <w:tcW w:w="1540" w:type="dxa"/>
            <w:vAlign w:val="bottom"/>
            <w:tcBorders>
              <w:bottom w:val="single" w:sz="8" w:color="582C83"/>
            </w:tcBorders>
          </w:tcPr>
          <w:p>
            <w:pPr>
              <w:spacing w:after="0"/>
              <w:rPr>
                <w:sz w:val="3"/>
                <w:szCs w:val="3"/>
                <w:color w:val="auto"/>
              </w:rPr>
            </w:pPr>
          </w:p>
        </w:tc>
        <w:tc>
          <w:tcPr>
            <w:tcW w:w="7720" w:type="dxa"/>
            <w:vAlign w:val="bottom"/>
            <w:tcBorders>
              <w:bottom w:val="single" w:sz="8" w:color="582C83"/>
            </w:tcBorders>
          </w:tcPr>
          <w:p>
            <w:pPr>
              <w:spacing w:after="0"/>
              <w:rPr>
                <w:sz w:val="3"/>
                <w:szCs w:val="3"/>
                <w:color w:val="auto"/>
              </w:rPr>
            </w:pPr>
          </w:p>
        </w:tc>
      </w:tr>
      <w:tr>
        <w:trPr>
          <w:trHeight w:val="204"/>
        </w:trPr>
        <w:tc>
          <w:tcPr>
            <w:tcW w:w="1640" w:type="dxa"/>
            <w:vAlign w:val="bottom"/>
            <w:shd w:val="clear" w:color="auto" w:fill="EBE6F0"/>
          </w:tcPr>
          <w:p>
            <w:pPr>
              <w:ind w:left="60"/>
              <w:spacing w:after="0"/>
              <w:rPr>
                <w:sz w:val="20"/>
                <w:szCs w:val="20"/>
                <w:color w:val="auto"/>
              </w:rPr>
            </w:pPr>
            <w:r>
              <w:rPr>
                <w:rFonts w:ascii="Arial" w:cs="Arial" w:eastAsia="Arial" w:hAnsi="Arial"/>
                <w:sz w:val="15"/>
                <w:szCs w:val="15"/>
                <w:color w:val="auto"/>
              </w:rPr>
              <w:t>02/18/2021</w:t>
            </w:r>
          </w:p>
        </w:tc>
        <w:tc>
          <w:tcPr>
            <w:tcW w:w="1540" w:type="dxa"/>
            <w:vAlign w:val="bottom"/>
            <w:tcBorders>
              <w:right w:val="single" w:sz="8" w:color="EBE6F0"/>
            </w:tcBorders>
            <w:shd w:val="clear" w:color="auto" w:fill="EBE6F0"/>
          </w:tcPr>
          <w:p>
            <w:pPr>
              <w:ind w:left="20"/>
              <w:spacing w:after="0"/>
              <w:rPr>
                <w:sz w:val="20"/>
                <w:szCs w:val="20"/>
                <w:color w:val="auto"/>
              </w:rPr>
            </w:pPr>
            <w:r>
              <w:rPr>
                <w:rFonts w:ascii="Arial" w:cs="Arial" w:eastAsia="Arial" w:hAnsi="Arial"/>
                <w:sz w:val="15"/>
                <w:szCs w:val="15"/>
                <w:color w:val="auto"/>
              </w:rPr>
              <w:t>PSUs</w:t>
            </w:r>
          </w:p>
        </w:tc>
        <w:tc>
          <w:tcPr>
            <w:tcW w:w="7720" w:type="dxa"/>
            <w:vAlign w:val="bottom"/>
            <w:shd w:val="clear" w:color="auto" w:fill="EBE6F0"/>
          </w:tcPr>
          <w:p>
            <w:pPr>
              <w:spacing w:after="0"/>
              <w:rPr>
                <w:sz w:val="20"/>
                <w:szCs w:val="20"/>
                <w:color w:val="auto"/>
              </w:rPr>
            </w:pPr>
            <w:r>
              <w:rPr>
                <w:rFonts w:ascii="Arial" w:cs="Arial" w:eastAsia="Arial" w:hAnsi="Arial"/>
                <w:sz w:val="15"/>
                <w:szCs w:val="15"/>
                <w:color w:val="auto"/>
                <w:w w:val="99"/>
              </w:rPr>
              <w:t>100% of the grant vests upon approval of the People and Compensation Committee subject to the satisfaction of the</w:t>
            </w:r>
          </w:p>
        </w:tc>
      </w:tr>
      <w:tr>
        <w:trPr>
          <w:trHeight w:val="216"/>
        </w:trPr>
        <w:tc>
          <w:tcPr>
            <w:tcW w:w="1640" w:type="dxa"/>
            <w:vAlign w:val="bottom"/>
            <w:tcBorders>
              <w:bottom w:val="single" w:sz="8" w:color="EBE6F0"/>
            </w:tcBorders>
            <w:shd w:val="clear" w:color="auto" w:fill="EBE6F0"/>
          </w:tcPr>
          <w:p>
            <w:pPr>
              <w:spacing w:after="0"/>
              <w:rPr>
                <w:sz w:val="18"/>
                <w:szCs w:val="18"/>
                <w:color w:val="auto"/>
              </w:rPr>
            </w:pPr>
          </w:p>
        </w:tc>
        <w:tc>
          <w:tcPr>
            <w:tcW w:w="1540" w:type="dxa"/>
            <w:vAlign w:val="bottom"/>
            <w:tcBorders>
              <w:bottom w:val="single" w:sz="8" w:color="EBE6F0"/>
              <w:right w:val="single" w:sz="8" w:color="EBE6F0"/>
            </w:tcBorders>
            <w:shd w:val="clear" w:color="auto" w:fill="EBE6F0"/>
          </w:tcPr>
          <w:p>
            <w:pPr>
              <w:spacing w:after="0"/>
              <w:rPr>
                <w:sz w:val="18"/>
                <w:szCs w:val="18"/>
                <w:color w:val="auto"/>
              </w:rPr>
            </w:pPr>
          </w:p>
        </w:tc>
        <w:tc>
          <w:tcPr>
            <w:tcW w:w="7720" w:type="dxa"/>
            <w:vAlign w:val="bottom"/>
            <w:tcBorders>
              <w:bottom w:val="single" w:sz="8" w:color="EBE6F0"/>
            </w:tcBorders>
            <w:shd w:val="clear" w:color="auto" w:fill="EBE6F0"/>
          </w:tcPr>
          <w:p>
            <w:pPr>
              <w:spacing w:after="0"/>
              <w:rPr>
                <w:sz w:val="20"/>
                <w:szCs w:val="20"/>
                <w:color w:val="auto"/>
              </w:rPr>
            </w:pPr>
            <w:r>
              <w:rPr>
                <w:rFonts w:ascii="Arial" w:cs="Arial" w:eastAsia="Arial" w:hAnsi="Arial"/>
                <w:sz w:val="15"/>
                <w:szCs w:val="15"/>
                <w:color w:val="auto"/>
              </w:rPr>
              <w:t>performance criteria. Distribution of any shares awarded will be no later than 03/15/2024.</w:t>
            </w:r>
          </w:p>
        </w:tc>
      </w:tr>
      <w:tr>
        <w:trPr>
          <w:trHeight w:val="20"/>
        </w:trPr>
        <w:tc>
          <w:tcPr>
            <w:tcW w:w="1640" w:type="dxa"/>
            <w:vAlign w:val="bottom"/>
            <w:shd w:val="clear" w:color="auto" w:fill="582C83"/>
          </w:tcPr>
          <w:p>
            <w:pPr>
              <w:spacing w:after="0" w:line="20" w:lineRule="exact"/>
              <w:rPr>
                <w:sz w:val="1"/>
                <w:szCs w:val="1"/>
                <w:color w:val="auto"/>
              </w:rPr>
            </w:pPr>
          </w:p>
        </w:tc>
        <w:tc>
          <w:tcPr>
            <w:tcW w:w="1540" w:type="dxa"/>
            <w:vAlign w:val="bottom"/>
            <w:tcBorders>
              <w:right w:val="single" w:sz="8" w:color="EBE6F0"/>
            </w:tcBorders>
            <w:shd w:val="clear" w:color="auto" w:fill="582C83"/>
          </w:tcPr>
          <w:p>
            <w:pPr>
              <w:spacing w:after="0" w:line="20" w:lineRule="exact"/>
              <w:rPr>
                <w:sz w:val="1"/>
                <w:szCs w:val="1"/>
                <w:color w:val="auto"/>
              </w:rPr>
            </w:pPr>
          </w:p>
        </w:tc>
        <w:tc>
          <w:tcPr>
            <w:tcW w:w="7720" w:type="dxa"/>
            <w:vAlign w:val="bottom"/>
            <w:shd w:val="clear" w:color="auto" w:fill="582C83"/>
          </w:tcPr>
          <w:p>
            <w:pPr>
              <w:spacing w:after="0" w:line="20" w:lineRule="exact"/>
              <w:rPr>
                <w:sz w:val="1"/>
                <w:szCs w:val="1"/>
                <w:color w:val="auto"/>
              </w:rPr>
            </w:pPr>
          </w:p>
        </w:tc>
      </w:tr>
      <w:tr>
        <w:trPr>
          <w:trHeight w:val="204"/>
        </w:trPr>
        <w:tc>
          <w:tcPr>
            <w:tcW w:w="1640" w:type="dxa"/>
            <w:vAlign w:val="bottom"/>
          </w:tcPr>
          <w:p>
            <w:pPr>
              <w:ind w:left="40"/>
              <w:spacing w:after="0"/>
              <w:rPr>
                <w:sz w:val="20"/>
                <w:szCs w:val="20"/>
                <w:color w:val="auto"/>
              </w:rPr>
            </w:pPr>
            <w:r>
              <w:rPr>
                <w:rFonts w:ascii="Arial" w:cs="Arial" w:eastAsia="Arial" w:hAnsi="Arial"/>
                <w:sz w:val="15"/>
                <w:szCs w:val="15"/>
                <w:color w:val="auto"/>
              </w:rPr>
              <w:t>02/18/2021</w:t>
            </w:r>
          </w:p>
        </w:tc>
        <w:tc>
          <w:tcPr>
            <w:tcW w:w="1540" w:type="dxa"/>
            <w:vAlign w:val="bottom"/>
          </w:tcPr>
          <w:p>
            <w:pPr>
              <w:spacing w:after="0"/>
              <w:rPr>
                <w:sz w:val="20"/>
                <w:szCs w:val="20"/>
                <w:color w:val="auto"/>
              </w:rPr>
            </w:pPr>
            <w:r>
              <w:rPr>
                <w:rFonts w:ascii="Arial" w:cs="Arial" w:eastAsia="Arial" w:hAnsi="Arial"/>
                <w:sz w:val="15"/>
                <w:szCs w:val="15"/>
                <w:color w:val="auto"/>
              </w:rPr>
              <w:t>Stock Options</w:t>
            </w:r>
          </w:p>
        </w:tc>
        <w:tc>
          <w:tcPr>
            <w:tcW w:w="7720" w:type="dxa"/>
            <w:vAlign w:val="bottom"/>
          </w:tcPr>
          <w:p>
            <w:pPr>
              <w:spacing w:after="0"/>
              <w:rPr>
                <w:sz w:val="20"/>
                <w:szCs w:val="20"/>
                <w:color w:val="auto"/>
              </w:rPr>
            </w:pPr>
            <w:r>
              <w:rPr>
                <w:rFonts w:ascii="Arial" w:cs="Arial" w:eastAsia="Arial" w:hAnsi="Arial"/>
                <w:sz w:val="15"/>
                <w:szCs w:val="15"/>
                <w:color w:val="auto"/>
                <w:w w:val="99"/>
              </w:rPr>
              <w:t>First tranche (33%) vested on 02/18/2022, second tranche (33%) vested on 02/18/2023 and last tranche (34%) vests</w:t>
            </w:r>
          </w:p>
        </w:tc>
      </w:tr>
      <w:tr>
        <w:trPr>
          <w:trHeight w:val="197"/>
        </w:trPr>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on 02/18/2024.</w:t>
            </w:r>
          </w:p>
        </w:tc>
      </w:tr>
      <w:tr>
        <w:trPr>
          <w:trHeight w:val="39"/>
        </w:trPr>
        <w:tc>
          <w:tcPr>
            <w:tcW w:w="1640" w:type="dxa"/>
            <w:vAlign w:val="bottom"/>
            <w:tcBorders>
              <w:bottom w:val="single" w:sz="8" w:color="582C83"/>
            </w:tcBorders>
          </w:tcPr>
          <w:p>
            <w:pPr>
              <w:spacing w:after="0"/>
              <w:rPr>
                <w:sz w:val="3"/>
                <w:szCs w:val="3"/>
                <w:color w:val="auto"/>
              </w:rPr>
            </w:pPr>
          </w:p>
        </w:tc>
        <w:tc>
          <w:tcPr>
            <w:tcW w:w="1540" w:type="dxa"/>
            <w:vAlign w:val="bottom"/>
            <w:tcBorders>
              <w:bottom w:val="single" w:sz="8" w:color="582C83"/>
            </w:tcBorders>
          </w:tcPr>
          <w:p>
            <w:pPr>
              <w:spacing w:after="0"/>
              <w:rPr>
                <w:sz w:val="3"/>
                <w:szCs w:val="3"/>
                <w:color w:val="auto"/>
              </w:rPr>
            </w:pPr>
          </w:p>
        </w:tc>
        <w:tc>
          <w:tcPr>
            <w:tcW w:w="7720" w:type="dxa"/>
            <w:vAlign w:val="bottom"/>
            <w:tcBorders>
              <w:bottom w:val="single" w:sz="8" w:color="582C83"/>
            </w:tcBorders>
          </w:tcPr>
          <w:p>
            <w:pPr>
              <w:spacing w:after="0"/>
              <w:rPr>
                <w:sz w:val="3"/>
                <w:szCs w:val="3"/>
                <w:color w:val="auto"/>
              </w:rPr>
            </w:pPr>
          </w:p>
        </w:tc>
      </w:tr>
      <w:tr>
        <w:trPr>
          <w:trHeight w:val="204"/>
        </w:trPr>
        <w:tc>
          <w:tcPr>
            <w:tcW w:w="1640" w:type="dxa"/>
            <w:vAlign w:val="bottom"/>
            <w:shd w:val="clear" w:color="auto" w:fill="EBE6F0"/>
          </w:tcPr>
          <w:p>
            <w:pPr>
              <w:ind w:left="60"/>
              <w:spacing w:after="0"/>
              <w:rPr>
                <w:sz w:val="20"/>
                <w:szCs w:val="20"/>
                <w:color w:val="auto"/>
              </w:rPr>
            </w:pPr>
            <w:r>
              <w:rPr>
                <w:rFonts w:ascii="Arial" w:cs="Arial" w:eastAsia="Arial" w:hAnsi="Arial"/>
                <w:sz w:val="15"/>
                <w:szCs w:val="15"/>
                <w:color w:val="auto"/>
              </w:rPr>
              <w:t>02/24/2022</w:t>
            </w:r>
          </w:p>
        </w:tc>
        <w:tc>
          <w:tcPr>
            <w:tcW w:w="1540" w:type="dxa"/>
            <w:vAlign w:val="bottom"/>
            <w:tcBorders>
              <w:right w:val="single" w:sz="8" w:color="EBE6F0"/>
            </w:tcBorders>
            <w:shd w:val="clear" w:color="auto" w:fill="EBE6F0"/>
          </w:tcPr>
          <w:p>
            <w:pPr>
              <w:ind w:left="20"/>
              <w:spacing w:after="0"/>
              <w:rPr>
                <w:sz w:val="20"/>
                <w:szCs w:val="20"/>
                <w:color w:val="auto"/>
              </w:rPr>
            </w:pPr>
            <w:r>
              <w:rPr>
                <w:rFonts w:ascii="Arial" w:cs="Arial" w:eastAsia="Arial" w:hAnsi="Arial"/>
                <w:sz w:val="15"/>
                <w:szCs w:val="15"/>
                <w:color w:val="auto"/>
              </w:rPr>
              <w:t>PSUs</w:t>
            </w:r>
          </w:p>
        </w:tc>
        <w:tc>
          <w:tcPr>
            <w:tcW w:w="7720" w:type="dxa"/>
            <w:vAlign w:val="bottom"/>
            <w:shd w:val="clear" w:color="auto" w:fill="EBE6F0"/>
          </w:tcPr>
          <w:p>
            <w:pPr>
              <w:spacing w:after="0"/>
              <w:rPr>
                <w:sz w:val="20"/>
                <w:szCs w:val="20"/>
                <w:color w:val="auto"/>
              </w:rPr>
            </w:pPr>
            <w:r>
              <w:rPr>
                <w:rFonts w:ascii="Arial" w:cs="Arial" w:eastAsia="Arial" w:hAnsi="Arial"/>
                <w:sz w:val="15"/>
                <w:szCs w:val="15"/>
                <w:color w:val="auto"/>
                <w:w w:val="99"/>
              </w:rPr>
              <w:t>100% of the grant vests upon approval of the People and Compensation Committee subject to the satisfaction of the</w:t>
            </w:r>
          </w:p>
        </w:tc>
      </w:tr>
      <w:tr>
        <w:trPr>
          <w:trHeight w:val="216"/>
        </w:trPr>
        <w:tc>
          <w:tcPr>
            <w:tcW w:w="1640" w:type="dxa"/>
            <w:vAlign w:val="bottom"/>
            <w:tcBorders>
              <w:bottom w:val="single" w:sz="8" w:color="EBE6F0"/>
            </w:tcBorders>
            <w:shd w:val="clear" w:color="auto" w:fill="EBE6F0"/>
          </w:tcPr>
          <w:p>
            <w:pPr>
              <w:spacing w:after="0"/>
              <w:rPr>
                <w:sz w:val="18"/>
                <w:szCs w:val="18"/>
                <w:color w:val="auto"/>
              </w:rPr>
            </w:pPr>
          </w:p>
        </w:tc>
        <w:tc>
          <w:tcPr>
            <w:tcW w:w="1540" w:type="dxa"/>
            <w:vAlign w:val="bottom"/>
            <w:tcBorders>
              <w:bottom w:val="single" w:sz="8" w:color="EBE6F0"/>
              <w:right w:val="single" w:sz="8" w:color="EBE6F0"/>
            </w:tcBorders>
            <w:shd w:val="clear" w:color="auto" w:fill="EBE6F0"/>
          </w:tcPr>
          <w:p>
            <w:pPr>
              <w:spacing w:after="0"/>
              <w:rPr>
                <w:sz w:val="18"/>
                <w:szCs w:val="18"/>
                <w:color w:val="auto"/>
              </w:rPr>
            </w:pPr>
          </w:p>
        </w:tc>
        <w:tc>
          <w:tcPr>
            <w:tcW w:w="7720" w:type="dxa"/>
            <w:vAlign w:val="bottom"/>
            <w:tcBorders>
              <w:bottom w:val="single" w:sz="8" w:color="EBE6F0"/>
            </w:tcBorders>
            <w:shd w:val="clear" w:color="auto" w:fill="EBE6F0"/>
          </w:tcPr>
          <w:p>
            <w:pPr>
              <w:spacing w:after="0"/>
              <w:rPr>
                <w:sz w:val="20"/>
                <w:szCs w:val="20"/>
                <w:color w:val="auto"/>
              </w:rPr>
            </w:pPr>
            <w:r>
              <w:rPr>
                <w:rFonts w:ascii="Arial" w:cs="Arial" w:eastAsia="Arial" w:hAnsi="Arial"/>
                <w:sz w:val="15"/>
                <w:szCs w:val="15"/>
                <w:color w:val="auto"/>
              </w:rPr>
              <w:t>performance criteria. Distribution of any shares awarded will be no later than 03/15/2025.</w:t>
            </w:r>
          </w:p>
        </w:tc>
      </w:tr>
      <w:tr>
        <w:trPr>
          <w:trHeight w:val="20"/>
        </w:trPr>
        <w:tc>
          <w:tcPr>
            <w:tcW w:w="1640" w:type="dxa"/>
            <w:vAlign w:val="bottom"/>
            <w:shd w:val="clear" w:color="auto" w:fill="582C83"/>
          </w:tcPr>
          <w:p>
            <w:pPr>
              <w:spacing w:after="0" w:line="20" w:lineRule="exact"/>
              <w:rPr>
                <w:sz w:val="1"/>
                <w:szCs w:val="1"/>
                <w:color w:val="auto"/>
              </w:rPr>
            </w:pPr>
          </w:p>
        </w:tc>
        <w:tc>
          <w:tcPr>
            <w:tcW w:w="1540" w:type="dxa"/>
            <w:vAlign w:val="bottom"/>
            <w:tcBorders>
              <w:right w:val="single" w:sz="8" w:color="EBE6F0"/>
            </w:tcBorders>
            <w:shd w:val="clear" w:color="auto" w:fill="582C83"/>
          </w:tcPr>
          <w:p>
            <w:pPr>
              <w:spacing w:after="0" w:line="20" w:lineRule="exact"/>
              <w:rPr>
                <w:sz w:val="1"/>
                <w:szCs w:val="1"/>
                <w:color w:val="auto"/>
              </w:rPr>
            </w:pPr>
          </w:p>
        </w:tc>
        <w:tc>
          <w:tcPr>
            <w:tcW w:w="7720" w:type="dxa"/>
            <w:vAlign w:val="bottom"/>
            <w:shd w:val="clear" w:color="auto" w:fill="582C83"/>
          </w:tcPr>
          <w:p>
            <w:pPr>
              <w:spacing w:after="0" w:line="20" w:lineRule="exact"/>
              <w:rPr>
                <w:sz w:val="1"/>
                <w:szCs w:val="1"/>
                <w:color w:val="auto"/>
              </w:rPr>
            </w:pPr>
          </w:p>
        </w:tc>
      </w:tr>
      <w:tr>
        <w:trPr>
          <w:trHeight w:val="204"/>
        </w:trPr>
        <w:tc>
          <w:tcPr>
            <w:tcW w:w="1640" w:type="dxa"/>
            <w:vAlign w:val="bottom"/>
          </w:tcPr>
          <w:p>
            <w:pPr>
              <w:ind w:left="40"/>
              <w:spacing w:after="0"/>
              <w:rPr>
                <w:sz w:val="20"/>
                <w:szCs w:val="20"/>
                <w:color w:val="auto"/>
              </w:rPr>
            </w:pPr>
            <w:r>
              <w:rPr>
                <w:rFonts w:ascii="Arial" w:cs="Arial" w:eastAsia="Arial" w:hAnsi="Arial"/>
                <w:sz w:val="15"/>
                <w:szCs w:val="15"/>
                <w:color w:val="auto"/>
              </w:rPr>
              <w:t>02/24/2022</w:t>
            </w:r>
          </w:p>
        </w:tc>
        <w:tc>
          <w:tcPr>
            <w:tcW w:w="1540" w:type="dxa"/>
            <w:vAlign w:val="bottom"/>
          </w:tcPr>
          <w:p>
            <w:pPr>
              <w:spacing w:after="0"/>
              <w:rPr>
                <w:sz w:val="20"/>
                <w:szCs w:val="20"/>
                <w:color w:val="auto"/>
              </w:rPr>
            </w:pPr>
            <w:r>
              <w:rPr>
                <w:rFonts w:ascii="Arial" w:cs="Arial" w:eastAsia="Arial" w:hAnsi="Arial"/>
                <w:sz w:val="15"/>
                <w:szCs w:val="15"/>
                <w:color w:val="auto"/>
              </w:rPr>
              <w:t>Stock Options</w:t>
            </w:r>
          </w:p>
        </w:tc>
        <w:tc>
          <w:tcPr>
            <w:tcW w:w="7720" w:type="dxa"/>
            <w:vAlign w:val="bottom"/>
          </w:tcPr>
          <w:p>
            <w:pPr>
              <w:spacing w:after="0"/>
              <w:rPr>
                <w:sz w:val="20"/>
                <w:szCs w:val="20"/>
                <w:color w:val="auto"/>
              </w:rPr>
            </w:pPr>
            <w:r>
              <w:rPr>
                <w:rFonts w:ascii="Arial" w:cs="Arial" w:eastAsia="Arial" w:hAnsi="Arial"/>
                <w:sz w:val="15"/>
                <w:szCs w:val="15"/>
                <w:color w:val="auto"/>
              </w:rPr>
              <w:t>First tranche (33%) vested on 02/24/2023, second tranche (33%) vests on 02/24/2024 and last tranche (34%) vests</w:t>
            </w:r>
          </w:p>
        </w:tc>
      </w:tr>
      <w:tr>
        <w:trPr>
          <w:trHeight w:val="197"/>
        </w:trPr>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on 02/24/2025.</w:t>
            </w:r>
          </w:p>
        </w:tc>
      </w:tr>
      <w:tr>
        <w:trPr>
          <w:trHeight w:val="39"/>
        </w:trPr>
        <w:tc>
          <w:tcPr>
            <w:tcW w:w="1640" w:type="dxa"/>
            <w:vAlign w:val="bottom"/>
            <w:tcBorders>
              <w:bottom w:val="single" w:sz="8" w:color="582C83"/>
            </w:tcBorders>
          </w:tcPr>
          <w:p>
            <w:pPr>
              <w:spacing w:after="0"/>
              <w:rPr>
                <w:sz w:val="3"/>
                <w:szCs w:val="3"/>
                <w:color w:val="auto"/>
              </w:rPr>
            </w:pPr>
          </w:p>
        </w:tc>
        <w:tc>
          <w:tcPr>
            <w:tcW w:w="1540" w:type="dxa"/>
            <w:vAlign w:val="bottom"/>
            <w:tcBorders>
              <w:bottom w:val="single" w:sz="8" w:color="582C83"/>
            </w:tcBorders>
          </w:tcPr>
          <w:p>
            <w:pPr>
              <w:spacing w:after="0"/>
              <w:rPr>
                <w:sz w:val="3"/>
                <w:szCs w:val="3"/>
                <w:color w:val="auto"/>
              </w:rPr>
            </w:pPr>
          </w:p>
        </w:tc>
        <w:tc>
          <w:tcPr>
            <w:tcW w:w="7720" w:type="dxa"/>
            <w:vAlign w:val="bottom"/>
            <w:tcBorders>
              <w:bottom w:val="single" w:sz="8" w:color="582C83"/>
            </w:tcBorders>
          </w:tcPr>
          <w:p>
            <w:pPr>
              <w:spacing w:after="0"/>
              <w:rPr>
                <w:sz w:val="3"/>
                <w:szCs w:val="3"/>
                <w:color w:val="auto"/>
              </w:rPr>
            </w:pPr>
          </w:p>
        </w:tc>
      </w:tr>
    </w:tbl>
    <w:p>
      <w:pPr>
        <w:spacing w:after="0" w:line="87" w:lineRule="exact"/>
        <w:rPr>
          <w:sz w:val="20"/>
          <w:szCs w:val="20"/>
          <w:color w:val="auto"/>
        </w:rPr>
      </w:pPr>
    </w:p>
    <w:p>
      <w:pPr>
        <w:ind w:left="380" w:hanging="319"/>
        <w:spacing w:after="0"/>
        <w:tabs>
          <w:tab w:leader="none" w:pos="3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market value of unearned shares is based on the December 30, 2022 closing price of $66.65.</w:t>
      </w:r>
    </w:p>
    <w:p>
      <w:pPr>
        <w:spacing w:after="0" w:line="38" w:lineRule="exact"/>
        <w:rPr>
          <w:rFonts w:ascii="Arial" w:cs="Arial" w:eastAsia="Arial" w:hAnsi="Arial"/>
          <w:sz w:val="15"/>
          <w:szCs w:val="15"/>
          <w:color w:val="auto"/>
        </w:rPr>
      </w:pPr>
    </w:p>
    <w:p>
      <w:pPr>
        <w:ind w:left="380" w:right="460" w:hanging="319"/>
        <w:spacing w:after="0" w:line="275" w:lineRule="auto"/>
        <w:tabs>
          <w:tab w:leader="none" w:pos="3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Actual number of shares earned ranges between 0% and 200% depending on actual performance for the performance cycle. Amount reflects maximum award levels for the 2021-2023 and 2022-2024 performance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229870</wp:posOffset>
            </wp:positionV>
            <wp:extent cx="7143115"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9060"/>
        <w:spacing w:after="0"/>
        <w:rPr>
          <w:sz w:val="20"/>
          <w:szCs w:val="20"/>
          <w:color w:val="auto"/>
        </w:rPr>
      </w:pPr>
      <w:r>
        <w:rPr>
          <w:rFonts w:ascii="Arial" w:cs="Arial" w:eastAsia="Arial" w:hAnsi="Arial"/>
          <w:sz w:val="15"/>
          <w:szCs w:val="15"/>
          <w:b w:val="1"/>
          <w:bCs w:val="1"/>
          <w:color w:val="58358F"/>
        </w:rPr>
        <w:t>2023 PROXY STATEMENT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80"/>
          </w:cols>
          <w:pgMar w:left="320" w:top="132" w:right="29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2022 Options Exercised and Stock Vested</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5360" w:type="dxa"/>
            <w:vAlign w:val="bottom"/>
          </w:tcPr>
          <w:p>
            <w:pPr>
              <w:spacing w:after="0"/>
              <w:rPr>
                <w:sz w:val="19"/>
                <w:szCs w:val="19"/>
                <w:color w:val="auto"/>
              </w:rPr>
            </w:pPr>
          </w:p>
        </w:tc>
        <w:tc>
          <w:tcPr>
            <w:tcW w:w="2900" w:type="dxa"/>
            <w:vAlign w:val="bottom"/>
            <w:tcBorders>
              <w:bottom w:val="single" w:sz="8" w:color="582C83"/>
            </w:tcBorders>
            <w:gridSpan w:val="2"/>
          </w:tcPr>
          <w:p>
            <w:pPr>
              <w:jc w:val="right"/>
              <w:ind w:right="819"/>
              <w:spacing w:after="0"/>
              <w:rPr>
                <w:sz w:val="20"/>
                <w:szCs w:val="20"/>
                <w:color w:val="auto"/>
              </w:rPr>
            </w:pPr>
            <w:r>
              <w:rPr>
                <w:rFonts w:ascii="Arial" w:cs="Arial" w:eastAsia="Arial" w:hAnsi="Arial"/>
                <w:sz w:val="16"/>
                <w:szCs w:val="16"/>
                <w:b w:val="1"/>
                <w:bCs w:val="1"/>
                <w:color w:val="auto"/>
              </w:rPr>
              <w:t>Option Awards</w:t>
            </w:r>
          </w:p>
        </w:tc>
        <w:tc>
          <w:tcPr>
            <w:tcW w:w="200" w:type="dxa"/>
            <w:vAlign w:val="bottom"/>
          </w:tcPr>
          <w:p>
            <w:pPr>
              <w:spacing w:after="0"/>
              <w:rPr>
                <w:sz w:val="19"/>
                <w:szCs w:val="19"/>
                <w:color w:val="auto"/>
              </w:rPr>
            </w:pPr>
          </w:p>
        </w:tc>
        <w:tc>
          <w:tcPr>
            <w:tcW w:w="2800" w:type="dxa"/>
            <w:vAlign w:val="bottom"/>
            <w:tcBorders>
              <w:bottom w:val="single" w:sz="8" w:color="582C83"/>
            </w:tcBorders>
            <w:gridSpan w:val="2"/>
          </w:tcPr>
          <w:p>
            <w:pPr>
              <w:jc w:val="right"/>
              <w:ind w:right="799"/>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1660" w:type="dxa"/>
            <w:vAlign w:val="bottom"/>
            <w:gridSpan w:val="2"/>
            <w:vMerge w:val="restart"/>
          </w:tcPr>
          <w:p>
            <w:pPr>
              <w:jc w:val="right"/>
              <w:ind w:right="340"/>
              <w:spacing w:after="0"/>
              <w:rPr>
                <w:sz w:val="20"/>
                <w:szCs w:val="20"/>
                <w:color w:val="auto"/>
              </w:rPr>
            </w:pPr>
            <w:r>
              <w:rPr>
                <w:rFonts w:ascii="Arial" w:cs="Arial" w:eastAsia="Arial" w:hAnsi="Arial"/>
                <w:sz w:val="16"/>
                <w:szCs w:val="16"/>
                <w:b w:val="1"/>
                <w:bCs w:val="1"/>
                <w:color w:val="auto"/>
              </w:rPr>
              <w:t>Value</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1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4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1660" w:type="dxa"/>
            <w:vAlign w:val="bottom"/>
            <w:gridSpan w:val="2"/>
            <w:vMerge w:val="continue"/>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b w:val="1"/>
                <w:bCs w:val="1"/>
                <w:color w:val="auto"/>
              </w:rPr>
              <w:t>Acquired on</w:t>
            </w:r>
          </w:p>
        </w:tc>
        <w:tc>
          <w:tcPr>
            <w:tcW w:w="16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Realized on</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Acquired on</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Realized on</w:t>
            </w:r>
          </w:p>
        </w:tc>
        <w:tc>
          <w:tcPr>
            <w:tcW w:w="0" w:type="dxa"/>
            <w:vAlign w:val="bottom"/>
          </w:tcPr>
          <w:p>
            <w:pPr>
              <w:spacing w:after="0"/>
              <w:rPr>
                <w:sz w:val="1"/>
                <w:szCs w:val="1"/>
                <w:color w:val="auto"/>
              </w:rPr>
            </w:pPr>
          </w:p>
        </w:tc>
      </w:tr>
      <w:tr>
        <w:trPr>
          <w:trHeight w:val="248"/>
        </w:trPr>
        <w:tc>
          <w:tcPr>
            <w:tcW w:w="5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Exercise</w:t>
            </w:r>
          </w:p>
        </w:tc>
        <w:tc>
          <w:tcPr>
            <w:tcW w:w="1660" w:type="dxa"/>
            <w:vAlign w:val="bottom"/>
            <w:gridSpan w:val="2"/>
          </w:tcPr>
          <w:p>
            <w:pPr>
              <w:ind w:left="540"/>
              <w:spacing w:after="0" w:line="247" w:lineRule="exact"/>
              <w:rPr>
                <w:sz w:val="20"/>
                <w:szCs w:val="20"/>
                <w:color w:val="auto"/>
              </w:rPr>
            </w:pPr>
            <w:r>
              <w:rPr>
                <w:rFonts w:ascii="Arial" w:cs="Arial" w:eastAsia="Arial" w:hAnsi="Arial"/>
                <w:sz w:val="16"/>
                <w:szCs w:val="16"/>
                <w:b w:val="1"/>
                <w:bCs w:val="1"/>
                <w:color w:val="auto"/>
              </w:rPr>
              <w:t>Exercise</w:t>
            </w:r>
            <w:r>
              <w:rPr>
                <w:rFonts w:ascii="Arial" w:cs="Arial" w:eastAsia="Arial" w:hAnsi="Arial"/>
                <w:sz w:val="26"/>
                <w:szCs w:val="26"/>
                <w:b w:val="1"/>
                <w:bCs w:val="1"/>
                <w:color w:val="auto"/>
                <w:vertAlign w:val="superscript"/>
              </w:rPr>
              <w:t>(1)</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Vesting</w:t>
            </w:r>
          </w:p>
        </w:tc>
        <w:tc>
          <w:tcPr>
            <w:tcW w:w="1340" w:type="dxa"/>
            <w:vAlign w:val="bottom"/>
          </w:tcPr>
          <w:p>
            <w:pPr>
              <w:jc w:val="right"/>
              <w:spacing w:after="0" w:line="247" w:lineRule="exact"/>
              <w:rPr>
                <w:sz w:val="20"/>
                <w:szCs w:val="20"/>
                <w:color w:val="auto"/>
              </w:rPr>
            </w:pPr>
            <w:r>
              <w:rPr>
                <w:rFonts w:ascii="Arial" w:cs="Arial" w:eastAsia="Arial" w:hAnsi="Arial"/>
                <w:sz w:val="16"/>
                <w:szCs w:val="16"/>
                <w:b w:val="1"/>
                <w:bCs w:val="1"/>
                <w:color w:val="auto"/>
              </w:rPr>
              <w:t>Vesting</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241"/>
        </w:trPr>
        <w:tc>
          <w:tcPr>
            <w:tcW w:w="5360" w:type="dxa"/>
            <w:vAlign w:val="bottom"/>
            <w:tcBorders>
              <w:bottom w:val="single" w:sz="8" w:color="582C83"/>
            </w:tcBorders>
          </w:tcPr>
          <w:p>
            <w:pPr>
              <w:ind w:left="80"/>
              <w:spacing w:after="0"/>
              <w:rPr>
                <w:sz w:val="20"/>
                <w:szCs w:val="20"/>
                <w:color w:val="auto"/>
              </w:rPr>
            </w:pPr>
            <w:r>
              <w:rPr>
                <w:rFonts w:ascii="Arial" w:cs="Arial" w:eastAsia="Arial" w:hAnsi="Arial"/>
                <w:sz w:val="16"/>
                <w:szCs w:val="16"/>
                <w:b w:val="1"/>
                <w:bCs w:val="1"/>
                <w:color w:val="auto"/>
              </w:rPr>
              <w:t>Name</w:t>
            </w:r>
          </w:p>
        </w:tc>
        <w:tc>
          <w:tcPr>
            <w:tcW w:w="14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582C83"/>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582C83"/>
            </w:tcBorders>
          </w:tcPr>
          <w:p>
            <w:pPr>
              <w:spacing w:after="0"/>
              <w:rPr>
                <w:sz w:val="20"/>
                <w:szCs w:val="20"/>
                <w:color w:val="auto"/>
              </w:rPr>
            </w:pPr>
          </w:p>
        </w:tc>
        <w:tc>
          <w:tcPr>
            <w:tcW w:w="146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91"/>
        </w:trPr>
        <w:tc>
          <w:tcPr>
            <w:tcW w:w="536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Van de Put, Dirk</w:t>
            </w:r>
          </w:p>
        </w:tc>
        <w:tc>
          <w:tcPr>
            <w:tcW w:w="14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BE6F0"/>
            </w:tcBorders>
            <w:shd w:val="clear" w:color="auto" w:fill="EBE6F0"/>
          </w:tcPr>
          <w:p>
            <w:pPr>
              <w:spacing w:after="0"/>
              <w:rPr>
                <w:sz w:val="24"/>
                <w:szCs w:val="24"/>
                <w:color w:val="auto"/>
              </w:rPr>
            </w:pPr>
          </w:p>
        </w:tc>
        <w:tc>
          <w:tcPr>
            <w:tcW w:w="146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220,790</w:t>
            </w:r>
          </w:p>
        </w:tc>
        <w:tc>
          <w:tcPr>
            <w:tcW w:w="13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15,598,814</w:t>
            </w:r>
          </w:p>
        </w:tc>
        <w:tc>
          <w:tcPr>
            <w:tcW w:w="0" w:type="dxa"/>
            <w:vAlign w:val="bottom"/>
          </w:tcPr>
          <w:p>
            <w:pPr>
              <w:spacing w:after="0"/>
              <w:rPr>
                <w:sz w:val="1"/>
                <w:szCs w:val="1"/>
                <w:color w:val="auto"/>
              </w:rPr>
            </w:pPr>
          </w:p>
        </w:tc>
      </w:tr>
      <w:tr>
        <w:trPr>
          <w:trHeight w:val="243"/>
        </w:trPr>
        <w:tc>
          <w:tcPr>
            <w:tcW w:w="5360" w:type="dxa"/>
            <w:vAlign w:val="bottom"/>
            <w:tcBorders>
              <w:top w:val="single" w:sz="8" w:color="572C83"/>
            </w:tcBorders>
          </w:tcPr>
          <w:p>
            <w:pPr>
              <w:ind w:left="80"/>
              <w:spacing w:after="0"/>
              <w:rPr>
                <w:sz w:val="20"/>
                <w:szCs w:val="20"/>
                <w:color w:val="auto"/>
              </w:rPr>
            </w:pPr>
            <w:r>
              <w:rPr>
                <w:rFonts w:ascii="Arial" w:cs="Arial" w:eastAsia="Arial" w:hAnsi="Arial"/>
                <w:sz w:val="16"/>
                <w:szCs w:val="16"/>
                <w:color w:val="auto"/>
              </w:rPr>
              <w:t>Zaramella, Luca</w:t>
            </w:r>
          </w:p>
        </w:tc>
        <w:tc>
          <w:tcPr>
            <w:tcW w:w="144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21,960</w:t>
            </w:r>
          </w:p>
        </w:tc>
        <w:tc>
          <w:tcPr>
            <w:tcW w:w="1460" w:type="dxa"/>
            <w:vAlign w:val="bottom"/>
            <w:tcBorders>
              <w:top w:val="single" w:sz="8" w:color="572C83"/>
            </w:tcBorders>
          </w:tcPr>
          <w:p>
            <w:pPr>
              <w:jc w:val="right"/>
              <w:ind w:right="19"/>
              <w:spacing w:after="0"/>
              <w:rPr>
                <w:sz w:val="20"/>
                <w:szCs w:val="20"/>
                <w:color w:val="auto"/>
              </w:rPr>
            </w:pPr>
            <w:r>
              <w:rPr>
                <w:rFonts w:ascii="Arial" w:cs="Arial" w:eastAsia="Arial" w:hAnsi="Arial"/>
                <w:sz w:val="16"/>
                <w:szCs w:val="16"/>
                <w:color w:val="auto"/>
              </w:rPr>
              <w:t>727,425</w:t>
            </w:r>
          </w:p>
        </w:tc>
        <w:tc>
          <w:tcPr>
            <w:tcW w:w="200" w:type="dxa"/>
            <w:vAlign w:val="bottom"/>
            <w:tcBorders>
              <w:top w:val="single" w:sz="8" w:color="572C83"/>
            </w:tcBorders>
          </w:tcPr>
          <w:p>
            <w:pPr>
              <w:spacing w:after="0"/>
              <w:rPr>
                <w:sz w:val="21"/>
                <w:szCs w:val="21"/>
                <w:color w:val="auto"/>
              </w:rPr>
            </w:pPr>
          </w:p>
        </w:tc>
        <w:tc>
          <w:tcPr>
            <w:tcW w:w="146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62,237</w:t>
            </w:r>
          </w:p>
        </w:tc>
        <w:tc>
          <w:tcPr>
            <w:tcW w:w="134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4,397,044</w:t>
            </w:r>
          </w:p>
        </w:tc>
        <w:tc>
          <w:tcPr>
            <w:tcW w:w="0" w:type="dxa"/>
            <w:vAlign w:val="bottom"/>
          </w:tcPr>
          <w:p>
            <w:pPr>
              <w:spacing w:after="0"/>
              <w:rPr>
                <w:sz w:val="1"/>
                <w:szCs w:val="1"/>
                <w:color w:val="auto"/>
              </w:rPr>
            </w:pPr>
          </w:p>
        </w:tc>
      </w:tr>
      <w:tr>
        <w:trPr>
          <w:trHeight w:val="35"/>
        </w:trPr>
        <w:tc>
          <w:tcPr>
            <w:tcW w:w="5360" w:type="dxa"/>
            <w:vAlign w:val="bottom"/>
            <w:tcBorders>
              <w:bottom w:val="single" w:sz="8" w:color="572C83"/>
            </w:tcBorders>
          </w:tcPr>
          <w:p>
            <w:pPr>
              <w:spacing w:after="0"/>
              <w:rPr>
                <w:sz w:val="3"/>
                <w:szCs w:val="3"/>
                <w:color w:val="auto"/>
              </w:rPr>
            </w:pPr>
          </w:p>
        </w:tc>
        <w:tc>
          <w:tcPr>
            <w:tcW w:w="1440" w:type="dxa"/>
            <w:vAlign w:val="bottom"/>
            <w:tcBorders>
              <w:bottom w:val="single" w:sz="8" w:color="572C83"/>
            </w:tcBorders>
          </w:tcPr>
          <w:p>
            <w:pPr>
              <w:spacing w:after="0"/>
              <w:rPr>
                <w:sz w:val="3"/>
                <w:szCs w:val="3"/>
                <w:color w:val="auto"/>
              </w:rPr>
            </w:pPr>
          </w:p>
        </w:tc>
        <w:tc>
          <w:tcPr>
            <w:tcW w:w="1460" w:type="dxa"/>
            <w:vAlign w:val="bottom"/>
            <w:tcBorders>
              <w:bottom w:val="single" w:sz="8" w:color="572C83"/>
            </w:tcBorders>
          </w:tcPr>
          <w:p>
            <w:pPr>
              <w:spacing w:after="0"/>
              <w:rPr>
                <w:sz w:val="3"/>
                <w:szCs w:val="3"/>
                <w:color w:val="auto"/>
              </w:rPr>
            </w:pPr>
          </w:p>
        </w:tc>
        <w:tc>
          <w:tcPr>
            <w:tcW w:w="200" w:type="dxa"/>
            <w:vAlign w:val="bottom"/>
            <w:tcBorders>
              <w:bottom w:val="single" w:sz="8" w:color="572C83"/>
            </w:tcBorders>
          </w:tcPr>
          <w:p>
            <w:pPr>
              <w:spacing w:after="0"/>
              <w:rPr>
                <w:sz w:val="3"/>
                <w:szCs w:val="3"/>
                <w:color w:val="auto"/>
              </w:rPr>
            </w:pPr>
          </w:p>
        </w:tc>
        <w:tc>
          <w:tcPr>
            <w:tcW w:w="1460" w:type="dxa"/>
            <w:vAlign w:val="bottom"/>
            <w:tcBorders>
              <w:bottom w:val="single" w:sz="8" w:color="572C83"/>
            </w:tcBorders>
          </w:tcPr>
          <w:p>
            <w:pPr>
              <w:spacing w:after="0"/>
              <w:rPr>
                <w:sz w:val="3"/>
                <w:szCs w:val="3"/>
                <w:color w:val="auto"/>
              </w:rPr>
            </w:pPr>
          </w:p>
        </w:tc>
        <w:tc>
          <w:tcPr>
            <w:tcW w:w="1340" w:type="dxa"/>
            <w:vAlign w:val="bottom"/>
            <w:tcBorders>
              <w:bottom w:val="single" w:sz="8" w:color="572C83"/>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36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Brusadelli, Maurizio</w:t>
            </w:r>
          </w:p>
        </w:tc>
        <w:tc>
          <w:tcPr>
            <w:tcW w:w="14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36,920</w:t>
            </w:r>
          </w:p>
        </w:tc>
        <w:tc>
          <w:tcPr>
            <w:tcW w:w="1460" w:type="dxa"/>
            <w:vAlign w:val="bottom"/>
            <w:tcBorders>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1,176,473</w:t>
            </w:r>
          </w:p>
        </w:tc>
        <w:tc>
          <w:tcPr>
            <w:tcW w:w="200" w:type="dxa"/>
            <w:vAlign w:val="bottom"/>
            <w:tcBorders>
              <w:bottom w:val="single" w:sz="8" w:color="EBE6F0"/>
            </w:tcBorders>
            <w:shd w:val="clear" w:color="auto" w:fill="EBE6F0"/>
          </w:tcPr>
          <w:p>
            <w:pPr>
              <w:spacing w:after="0"/>
              <w:rPr>
                <w:sz w:val="24"/>
                <w:szCs w:val="24"/>
                <w:color w:val="auto"/>
              </w:rPr>
            </w:pPr>
          </w:p>
        </w:tc>
        <w:tc>
          <w:tcPr>
            <w:tcW w:w="146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46,168</w:t>
            </w:r>
          </w:p>
        </w:tc>
        <w:tc>
          <w:tcPr>
            <w:tcW w:w="13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3,261,769</w:t>
            </w:r>
          </w:p>
        </w:tc>
        <w:tc>
          <w:tcPr>
            <w:tcW w:w="0" w:type="dxa"/>
            <w:vAlign w:val="bottom"/>
          </w:tcPr>
          <w:p>
            <w:pPr>
              <w:spacing w:after="0"/>
              <w:rPr>
                <w:sz w:val="1"/>
                <w:szCs w:val="1"/>
                <w:color w:val="auto"/>
              </w:rPr>
            </w:pPr>
          </w:p>
        </w:tc>
      </w:tr>
      <w:tr>
        <w:trPr>
          <w:trHeight w:val="243"/>
        </w:trPr>
        <w:tc>
          <w:tcPr>
            <w:tcW w:w="5360" w:type="dxa"/>
            <w:vAlign w:val="bottom"/>
            <w:tcBorders>
              <w:top w:val="single" w:sz="8" w:color="572C83"/>
            </w:tcBorders>
          </w:tcPr>
          <w:p>
            <w:pPr>
              <w:ind w:left="80"/>
              <w:spacing w:after="0"/>
              <w:rPr>
                <w:sz w:val="20"/>
                <w:szCs w:val="20"/>
                <w:color w:val="auto"/>
              </w:rPr>
            </w:pPr>
            <w:r>
              <w:rPr>
                <w:rFonts w:ascii="Arial" w:cs="Arial" w:eastAsia="Arial" w:hAnsi="Arial"/>
                <w:sz w:val="16"/>
                <w:szCs w:val="16"/>
                <w:color w:val="auto"/>
              </w:rPr>
              <w:t>Gruber, Vinzenz</w:t>
            </w:r>
          </w:p>
        </w:tc>
        <w:tc>
          <w:tcPr>
            <w:tcW w:w="144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42,320</w:t>
            </w:r>
          </w:p>
        </w:tc>
        <w:tc>
          <w:tcPr>
            <w:tcW w:w="1460" w:type="dxa"/>
            <w:vAlign w:val="bottom"/>
            <w:tcBorders>
              <w:top w:val="single" w:sz="8" w:color="572C83"/>
            </w:tcBorders>
          </w:tcPr>
          <w:p>
            <w:pPr>
              <w:jc w:val="right"/>
              <w:ind w:right="19"/>
              <w:spacing w:after="0"/>
              <w:rPr>
                <w:sz w:val="20"/>
                <w:szCs w:val="20"/>
                <w:color w:val="auto"/>
              </w:rPr>
            </w:pPr>
            <w:r>
              <w:rPr>
                <w:rFonts w:ascii="Arial" w:cs="Arial" w:eastAsia="Arial" w:hAnsi="Arial"/>
                <w:sz w:val="16"/>
                <w:szCs w:val="16"/>
                <w:color w:val="auto"/>
              </w:rPr>
              <w:t>1,602,898</w:t>
            </w:r>
          </w:p>
        </w:tc>
        <w:tc>
          <w:tcPr>
            <w:tcW w:w="200" w:type="dxa"/>
            <w:vAlign w:val="bottom"/>
            <w:tcBorders>
              <w:top w:val="single" w:sz="8" w:color="572C83"/>
            </w:tcBorders>
          </w:tcPr>
          <w:p>
            <w:pPr>
              <w:spacing w:after="0"/>
              <w:rPr>
                <w:sz w:val="21"/>
                <w:szCs w:val="21"/>
                <w:color w:val="auto"/>
              </w:rPr>
            </w:pPr>
          </w:p>
        </w:tc>
        <w:tc>
          <w:tcPr>
            <w:tcW w:w="146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44,161</w:t>
            </w:r>
          </w:p>
        </w:tc>
        <w:tc>
          <w:tcPr>
            <w:tcW w:w="134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3,119,975</w:t>
            </w:r>
          </w:p>
        </w:tc>
        <w:tc>
          <w:tcPr>
            <w:tcW w:w="0" w:type="dxa"/>
            <w:vAlign w:val="bottom"/>
          </w:tcPr>
          <w:p>
            <w:pPr>
              <w:spacing w:after="0"/>
              <w:rPr>
                <w:sz w:val="1"/>
                <w:szCs w:val="1"/>
                <w:color w:val="auto"/>
              </w:rPr>
            </w:pPr>
          </w:p>
        </w:tc>
      </w:tr>
      <w:tr>
        <w:trPr>
          <w:trHeight w:val="35"/>
        </w:trPr>
        <w:tc>
          <w:tcPr>
            <w:tcW w:w="5360" w:type="dxa"/>
            <w:vAlign w:val="bottom"/>
            <w:tcBorders>
              <w:bottom w:val="single" w:sz="8" w:color="572C83"/>
            </w:tcBorders>
          </w:tcPr>
          <w:p>
            <w:pPr>
              <w:spacing w:after="0"/>
              <w:rPr>
                <w:sz w:val="3"/>
                <w:szCs w:val="3"/>
                <w:color w:val="auto"/>
              </w:rPr>
            </w:pPr>
          </w:p>
        </w:tc>
        <w:tc>
          <w:tcPr>
            <w:tcW w:w="1440" w:type="dxa"/>
            <w:vAlign w:val="bottom"/>
            <w:tcBorders>
              <w:bottom w:val="single" w:sz="8" w:color="572C83"/>
            </w:tcBorders>
          </w:tcPr>
          <w:p>
            <w:pPr>
              <w:spacing w:after="0"/>
              <w:rPr>
                <w:sz w:val="3"/>
                <w:szCs w:val="3"/>
                <w:color w:val="auto"/>
              </w:rPr>
            </w:pPr>
          </w:p>
        </w:tc>
        <w:tc>
          <w:tcPr>
            <w:tcW w:w="1460" w:type="dxa"/>
            <w:vAlign w:val="bottom"/>
            <w:tcBorders>
              <w:bottom w:val="single" w:sz="8" w:color="572C83"/>
            </w:tcBorders>
          </w:tcPr>
          <w:p>
            <w:pPr>
              <w:spacing w:after="0"/>
              <w:rPr>
                <w:sz w:val="3"/>
                <w:szCs w:val="3"/>
                <w:color w:val="auto"/>
              </w:rPr>
            </w:pPr>
          </w:p>
        </w:tc>
        <w:tc>
          <w:tcPr>
            <w:tcW w:w="200" w:type="dxa"/>
            <w:vAlign w:val="bottom"/>
            <w:tcBorders>
              <w:bottom w:val="single" w:sz="8" w:color="572C83"/>
            </w:tcBorders>
          </w:tcPr>
          <w:p>
            <w:pPr>
              <w:spacing w:after="0"/>
              <w:rPr>
                <w:sz w:val="3"/>
                <w:szCs w:val="3"/>
                <w:color w:val="auto"/>
              </w:rPr>
            </w:pPr>
          </w:p>
        </w:tc>
        <w:tc>
          <w:tcPr>
            <w:tcW w:w="1460" w:type="dxa"/>
            <w:vAlign w:val="bottom"/>
            <w:tcBorders>
              <w:bottom w:val="single" w:sz="8" w:color="572C83"/>
            </w:tcBorders>
          </w:tcPr>
          <w:p>
            <w:pPr>
              <w:spacing w:after="0"/>
              <w:rPr>
                <w:sz w:val="3"/>
                <w:szCs w:val="3"/>
                <w:color w:val="auto"/>
              </w:rPr>
            </w:pPr>
          </w:p>
        </w:tc>
        <w:tc>
          <w:tcPr>
            <w:tcW w:w="1340" w:type="dxa"/>
            <w:vAlign w:val="bottom"/>
            <w:tcBorders>
              <w:bottom w:val="single" w:sz="8" w:color="572C83"/>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536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Valle, Gustavo</w:t>
            </w:r>
          </w:p>
        </w:tc>
        <w:tc>
          <w:tcPr>
            <w:tcW w:w="14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BE6F0"/>
            </w:tcBorders>
            <w:shd w:val="clear" w:color="auto" w:fill="EBE6F0"/>
          </w:tcPr>
          <w:p>
            <w:pPr>
              <w:spacing w:after="0"/>
              <w:rPr>
                <w:sz w:val="22"/>
                <w:szCs w:val="22"/>
                <w:color w:val="auto"/>
              </w:rPr>
            </w:pPr>
          </w:p>
        </w:tc>
        <w:tc>
          <w:tcPr>
            <w:tcW w:w="146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32,122</w:t>
            </w:r>
          </w:p>
        </w:tc>
        <w:tc>
          <w:tcPr>
            <w:tcW w:w="13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2,269,419</w:t>
            </w:r>
          </w:p>
        </w:tc>
        <w:tc>
          <w:tcPr>
            <w:tcW w:w="0" w:type="dxa"/>
            <w:vAlign w:val="bottom"/>
          </w:tcPr>
          <w:p>
            <w:pPr>
              <w:spacing w:after="0"/>
              <w:rPr>
                <w:sz w:val="1"/>
                <w:szCs w:val="1"/>
                <w:color w:val="auto"/>
              </w:rPr>
            </w:pPr>
          </w:p>
        </w:tc>
      </w:tr>
      <w:tr>
        <w:trPr>
          <w:trHeight w:val="20"/>
        </w:trPr>
        <w:tc>
          <w:tcPr>
            <w:tcW w:w="5360" w:type="dxa"/>
            <w:vAlign w:val="bottom"/>
            <w:tcBorders>
              <w:left w:val="single" w:sz="8" w:color="EBE6F0"/>
              <w:right w:val="single" w:sz="8" w:color="EBE6F0"/>
            </w:tcBorders>
            <w:shd w:val="clear" w:color="auto" w:fill="572C83"/>
          </w:tcPr>
          <w:p>
            <w:pPr>
              <w:spacing w:after="0" w:line="20" w:lineRule="exact"/>
              <w:rPr>
                <w:sz w:val="1"/>
                <w:szCs w:val="1"/>
                <w:color w:val="auto"/>
              </w:rPr>
            </w:pPr>
          </w:p>
        </w:tc>
        <w:tc>
          <w:tcPr>
            <w:tcW w:w="1440" w:type="dxa"/>
            <w:vAlign w:val="bottom"/>
            <w:shd w:val="clear" w:color="auto" w:fill="572C83"/>
          </w:tcPr>
          <w:p>
            <w:pPr>
              <w:spacing w:after="0" w:line="20" w:lineRule="exact"/>
              <w:rPr>
                <w:sz w:val="1"/>
                <w:szCs w:val="1"/>
                <w:color w:val="auto"/>
              </w:rPr>
            </w:pPr>
          </w:p>
        </w:tc>
        <w:tc>
          <w:tcPr>
            <w:tcW w:w="1460" w:type="dxa"/>
            <w:vAlign w:val="bottom"/>
            <w:tcBorders>
              <w:right w:val="single" w:sz="8" w:color="EBE6F0"/>
            </w:tcBorders>
            <w:shd w:val="clear" w:color="auto" w:fill="572C83"/>
          </w:tcPr>
          <w:p>
            <w:pPr>
              <w:spacing w:after="0" w:line="20" w:lineRule="exact"/>
              <w:rPr>
                <w:sz w:val="1"/>
                <w:szCs w:val="1"/>
                <w:color w:val="auto"/>
              </w:rPr>
            </w:pPr>
          </w:p>
        </w:tc>
        <w:tc>
          <w:tcPr>
            <w:tcW w:w="200" w:type="dxa"/>
            <w:vAlign w:val="bottom"/>
            <w:shd w:val="clear" w:color="auto" w:fill="572C83"/>
          </w:tcPr>
          <w:p>
            <w:pPr>
              <w:spacing w:after="0" w:line="20" w:lineRule="exact"/>
              <w:rPr>
                <w:sz w:val="1"/>
                <w:szCs w:val="1"/>
                <w:color w:val="auto"/>
              </w:rPr>
            </w:pPr>
          </w:p>
        </w:tc>
        <w:tc>
          <w:tcPr>
            <w:tcW w:w="1460" w:type="dxa"/>
            <w:vAlign w:val="bottom"/>
            <w:tcBorders>
              <w:right w:val="single" w:sz="8" w:color="EBE6F0"/>
            </w:tcBorders>
            <w:shd w:val="clear" w:color="auto" w:fill="572C83"/>
          </w:tcPr>
          <w:p>
            <w:pPr>
              <w:spacing w:after="0" w:line="20" w:lineRule="exact"/>
              <w:rPr>
                <w:sz w:val="1"/>
                <w:szCs w:val="1"/>
                <w:color w:val="auto"/>
              </w:rPr>
            </w:pPr>
          </w:p>
        </w:tc>
        <w:tc>
          <w:tcPr>
            <w:tcW w:w="1340" w:type="dxa"/>
            <w:vAlign w:val="bottom"/>
            <w:tcBorders>
              <w:right w:val="single" w:sz="8" w:color="EBE6F0"/>
            </w:tcBorders>
            <w:shd w:val="clear" w:color="auto" w:fill="572C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360" w:hanging="299"/>
        <w:spacing w:after="0"/>
        <w:tabs>
          <w:tab w:leader="none" w:pos="3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Amounts shown are calculated based on the fair market value of the Common Stock on the date of exercise.</w:t>
      </w:r>
    </w:p>
    <w:p>
      <w:pPr>
        <w:spacing w:after="0" w:line="38" w:lineRule="exact"/>
        <w:rPr>
          <w:rFonts w:ascii="Arial" w:cs="Arial" w:eastAsia="Arial" w:hAnsi="Arial"/>
          <w:sz w:val="15"/>
          <w:szCs w:val="15"/>
          <w:color w:val="auto"/>
        </w:rPr>
      </w:pPr>
    </w:p>
    <w:p>
      <w:pPr>
        <w:ind w:left="360" w:right="220" w:hanging="299"/>
        <w:spacing w:after="0" w:line="252" w:lineRule="auto"/>
        <w:tabs>
          <w:tab w:leader="none" w:pos="3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Amounts shown are calculated based on the fair market value of the Common Stock on the date of vesting and include the value of shares awarded for the 2020-2022 performance cycle based on actual performance for the cycle, which ended on December 31, 2022, and the December 30, 2022 closing price of $66.65. The amounts also include accrued dividend equivalents for PSUs based on the actual share award for the 2020-2022 performance cycle as follows:</w:t>
      </w:r>
    </w:p>
    <w:p>
      <w:pPr>
        <w:spacing w:after="0" w:line="15" w:lineRule="exact"/>
        <w:rPr>
          <w:rFonts w:ascii="Arial" w:cs="Arial" w:eastAsia="Arial" w:hAnsi="Arial"/>
          <w:sz w:val="15"/>
          <w:szCs w:val="15"/>
          <w:color w:val="auto"/>
        </w:rPr>
      </w:pPr>
    </w:p>
    <w:p>
      <w:pPr>
        <w:ind w:left="440" w:hanging="81"/>
        <w:spacing w:after="0"/>
        <w:tabs>
          <w:tab w:leader="none" w:pos="440" w:val="left"/>
        </w:tabs>
        <w:numPr>
          <w:ilvl w:val="1"/>
          <w:numId w:val="87"/>
        </w:numPr>
        <w:rPr>
          <w:rFonts w:ascii="Arial" w:cs="Arial" w:eastAsia="Arial" w:hAnsi="Arial"/>
          <w:sz w:val="15"/>
          <w:szCs w:val="15"/>
          <w:color w:val="582C83"/>
        </w:rPr>
      </w:pPr>
      <w:r>
        <w:rPr>
          <w:rFonts w:ascii="Arial" w:cs="Arial" w:eastAsia="Arial" w:hAnsi="Arial"/>
          <w:sz w:val="15"/>
          <w:szCs w:val="15"/>
          <w:color w:val="auto"/>
        </w:rPr>
        <w:t>Mr. Van de Put: $883,160</w:t>
      </w:r>
    </w:p>
    <w:p>
      <w:pPr>
        <w:spacing w:after="0" w:line="38" w:lineRule="exact"/>
        <w:rPr>
          <w:rFonts w:ascii="Arial" w:cs="Arial" w:eastAsia="Arial" w:hAnsi="Arial"/>
          <w:sz w:val="15"/>
          <w:szCs w:val="15"/>
          <w:color w:val="582C83"/>
        </w:rPr>
      </w:pPr>
    </w:p>
    <w:p>
      <w:pPr>
        <w:ind w:left="440" w:hanging="81"/>
        <w:spacing w:after="0"/>
        <w:tabs>
          <w:tab w:leader="none" w:pos="440" w:val="left"/>
        </w:tabs>
        <w:numPr>
          <w:ilvl w:val="1"/>
          <w:numId w:val="87"/>
        </w:numPr>
        <w:rPr>
          <w:rFonts w:ascii="Arial" w:cs="Arial" w:eastAsia="Arial" w:hAnsi="Arial"/>
          <w:sz w:val="15"/>
          <w:szCs w:val="15"/>
          <w:color w:val="582C83"/>
        </w:rPr>
      </w:pPr>
      <w:r>
        <w:rPr>
          <w:rFonts w:ascii="Arial" w:cs="Arial" w:eastAsia="Arial" w:hAnsi="Arial"/>
          <w:sz w:val="15"/>
          <w:szCs w:val="15"/>
          <w:color w:val="auto"/>
        </w:rPr>
        <w:t>Mr. Zaramella: $248,948</w:t>
      </w:r>
    </w:p>
    <w:p>
      <w:pPr>
        <w:spacing w:after="0" w:line="24" w:lineRule="exact"/>
        <w:rPr>
          <w:rFonts w:ascii="Arial" w:cs="Arial" w:eastAsia="Arial" w:hAnsi="Arial"/>
          <w:sz w:val="15"/>
          <w:szCs w:val="15"/>
          <w:color w:val="582C83"/>
        </w:rPr>
      </w:pPr>
    </w:p>
    <w:p>
      <w:pPr>
        <w:ind w:left="440" w:hanging="81"/>
        <w:spacing w:after="0"/>
        <w:tabs>
          <w:tab w:leader="none" w:pos="440" w:val="left"/>
        </w:tabs>
        <w:numPr>
          <w:ilvl w:val="1"/>
          <w:numId w:val="87"/>
        </w:numPr>
        <w:rPr>
          <w:rFonts w:ascii="Arial" w:cs="Arial" w:eastAsia="Arial" w:hAnsi="Arial"/>
          <w:sz w:val="15"/>
          <w:szCs w:val="15"/>
          <w:color w:val="582C83"/>
        </w:rPr>
      </w:pPr>
      <w:r>
        <w:rPr>
          <w:rFonts w:ascii="Arial" w:cs="Arial" w:eastAsia="Arial" w:hAnsi="Arial"/>
          <w:sz w:val="15"/>
          <w:szCs w:val="15"/>
          <w:color w:val="auto"/>
        </w:rPr>
        <w:t>Mr. Brusadelli: $184,672</w:t>
      </w:r>
    </w:p>
    <w:p>
      <w:pPr>
        <w:spacing w:after="0" w:line="28" w:lineRule="exact"/>
        <w:rPr>
          <w:rFonts w:ascii="Arial" w:cs="Arial" w:eastAsia="Arial" w:hAnsi="Arial"/>
          <w:sz w:val="15"/>
          <w:szCs w:val="15"/>
          <w:color w:val="582C83"/>
        </w:rPr>
      </w:pPr>
    </w:p>
    <w:p>
      <w:pPr>
        <w:ind w:left="440" w:hanging="81"/>
        <w:spacing w:after="0"/>
        <w:tabs>
          <w:tab w:leader="none" w:pos="440" w:val="left"/>
        </w:tabs>
        <w:numPr>
          <w:ilvl w:val="1"/>
          <w:numId w:val="87"/>
        </w:numPr>
        <w:rPr>
          <w:rFonts w:ascii="Arial" w:cs="Arial" w:eastAsia="Arial" w:hAnsi="Arial"/>
          <w:sz w:val="15"/>
          <w:szCs w:val="15"/>
          <w:color w:val="582C83"/>
        </w:rPr>
      </w:pPr>
      <w:r>
        <w:rPr>
          <w:rFonts w:ascii="Arial" w:cs="Arial" w:eastAsia="Arial" w:hAnsi="Arial"/>
          <w:sz w:val="15"/>
          <w:szCs w:val="15"/>
          <w:color w:val="auto"/>
        </w:rPr>
        <w:t>Mr. Gruber: $176,644</w:t>
      </w:r>
    </w:p>
    <w:p>
      <w:pPr>
        <w:spacing w:after="0" w:line="38" w:lineRule="exact"/>
        <w:rPr>
          <w:rFonts w:ascii="Arial" w:cs="Arial" w:eastAsia="Arial" w:hAnsi="Arial"/>
          <w:sz w:val="15"/>
          <w:szCs w:val="15"/>
          <w:color w:val="582C83"/>
        </w:rPr>
      </w:pPr>
    </w:p>
    <w:p>
      <w:pPr>
        <w:ind w:left="440" w:hanging="81"/>
        <w:spacing w:after="0"/>
        <w:tabs>
          <w:tab w:leader="none" w:pos="440" w:val="left"/>
        </w:tabs>
        <w:numPr>
          <w:ilvl w:val="1"/>
          <w:numId w:val="87"/>
        </w:numPr>
        <w:rPr>
          <w:rFonts w:ascii="Arial" w:cs="Arial" w:eastAsia="Arial" w:hAnsi="Arial"/>
          <w:sz w:val="15"/>
          <w:szCs w:val="15"/>
          <w:color w:val="582C83"/>
        </w:rPr>
      </w:pPr>
      <w:r>
        <w:rPr>
          <w:rFonts w:ascii="Arial" w:cs="Arial" w:eastAsia="Arial" w:hAnsi="Arial"/>
          <w:sz w:val="15"/>
          <w:szCs w:val="15"/>
          <w:color w:val="auto"/>
        </w:rPr>
        <w:t>Mr. Valle: $128,488</w:t>
      </w: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2022 Pension Benefits</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Present Value of</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7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 Years of</w:t>
            </w: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Accumulated</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Payments During</w:t>
            </w:r>
          </w:p>
        </w:tc>
        <w:tc>
          <w:tcPr>
            <w:tcW w:w="0" w:type="dxa"/>
            <w:vAlign w:val="bottom"/>
          </w:tcPr>
          <w:p>
            <w:pPr>
              <w:spacing w:after="0"/>
              <w:rPr>
                <w:sz w:val="1"/>
                <w:szCs w:val="1"/>
                <w:color w:val="auto"/>
              </w:rPr>
            </w:pPr>
          </w:p>
        </w:tc>
      </w:tr>
      <w:tr>
        <w:trPr>
          <w:trHeight w:val="248"/>
        </w:trPr>
        <w:tc>
          <w:tcPr>
            <w:tcW w:w="17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Name</w:t>
            </w:r>
            <w:r>
              <w:rPr>
                <w:rFonts w:ascii="Arial" w:cs="Arial" w:eastAsia="Arial" w:hAnsi="Arial"/>
                <w:sz w:val="26"/>
                <w:szCs w:val="26"/>
                <w:b w:val="1"/>
                <w:bCs w:val="1"/>
                <w:color w:val="auto"/>
                <w:vertAlign w:val="superscript"/>
              </w:rPr>
              <w:t>(1)</w:t>
            </w:r>
          </w:p>
        </w:tc>
        <w:tc>
          <w:tcPr>
            <w:tcW w:w="4180" w:type="dxa"/>
            <w:vAlign w:val="bottom"/>
          </w:tcPr>
          <w:p>
            <w:pPr>
              <w:spacing w:after="0"/>
              <w:rPr>
                <w:sz w:val="21"/>
                <w:szCs w:val="21"/>
                <w:color w:val="auto"/>
              </w:rPr>
            </w:pPr>
          </w:p>
        </w:tc>
        <w:tc>
          <w:tcPr>
            <w:tcW w:w="1800" w:type="dxa"/>
            <w:vAlign w:val="bottom"/>
          </w:tcPr>
          <w:p>
            <w:pPr>
              <w:jc w:val="right"/>
              <w:ind w:right="19"/>
              <w:spacing w:after="0" w:line="247" w:lineRule="exact"/>
              <w:rPr>
                <w:sz w:val="20"/>
                <w:szCs w:val="20"/>
                <w:color w:val="auto"/>
              </w:rPr>
            </w:pPr>
            <w:r>
              <w:rPr>
                <w:rFonts w:ascii="Arial" w:cs="Arial" w:eastAsia="Arial" w:hAnsi="Arial"/>
                <w:sz w:val="16"/>
                <w:szCs w:val="16"/>
                <w:b w:val="1"/>
                <w:bCs w:val="1"/>
                <w:color w:val="auto"/>
              </w:rPr>
              <w:t>Credited Service</w:t>
            </w:r>
            <w:r>
              <w:rPr>
                <w:rFonts w:ascii="Arial" w:cs="Arial" w:eastAsia="Arial" w:hAnsi="Arial"/>
                <w:sz w:val="26"/>
                <w:szCs w:val="26"/>
                <w:b w:val="1"/>
                <w:bCs w:val="1"/>
                <w:color w:val="auto"/>
                <w:vertAlign w:val="superscript"/>
              </w:rPr>
              <w:t>(2)</w:t>
            </w:r>
          </w:p>
        </w:tc>
        <w:tc>
          <w:tcPr>
            <w:tcW w:w="1800" w:type="dxa"/>
            <w:vAlign w:val="bottom"/>
          </w:tcPr>
          <w:p>
            <w:pPr>
              <w:jc w:val="right"/>
              <w:ind w:right="19"/>
              <w:spacing w:after="0" w:line="247" w:lineRule="exact"/>
              <w:rPr>
                <w:sz w:val="20"/>
                <w:szCs w:val="20"/>
                <w:color w:val="auto"/>
              </w:rPr>
            </w:pPr>
            <w:r>
              <w:rPr>
                <w:rFonts w:ascii="Arial" w:cs="Arial" w:eastAsia="Arial" w:hAnsi="Arial"/>
                <w:sz w:val="16"/>
                <w:szCs w:val="16"/>
                <w:b w:val="1"/>
                <w:bCs w:val="1"/>
                <w:color w:val="auto"/>
              </w:rPr>
              <w:t>Benefit</w:t>
            </w:r>
            <w:r>
              <w:rPr>
                <w:rFonts w:ascii="Arial" w:cs="Arial" w:eastAsia="Arial" w:hAnsi="Arial"/>
                <w:sz w:val="26"/>
                <w:szCs w:val="26"/>
                <w:b w:val="1"/>
                <w:bCs w:val="1"/>
                <w:color w:val="auto"/>
                <w:vertAlign w:val="superscript"/>
              </w:rPr>
              <w:t>(3)</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Last Fiscal Year</w:t>
            </w:r>
          </w:p>
        </w:tc>
        <w:tc>
          <w:tcPr>
            <w:tcW w:w="0" w:type="dxa"/>
            <w:vAlign w:val="bottom"/>
          </w:tcPr>
          <w:p>
            <w:pPr>
              <w:spacing w:after="0"/>
              <w:rPr>
                <w:sz w:val="1"/>
                <w:szCs w:val="1"/>
                <w:color w:val="auto"/>
              </w:rPr>
            </w:pPr>
          </w:p>
        </w:tc>
      </w:tr>
      <w:tr>
        <w:trPr>
          <w:trHeight w:val="241"/>
        </w:trPr>
        <w:tc>
          <w:tcPr>
            <w:tcW w:w="1700" w:type="dxa"/>
            <w:vAlign w:val="bottom"/>
            <w:tcBorders>
              <w:bottom w:val="single" w:sz="8" w:color="582C83"/>
            </w:tcBorders>
            <w:vMerge w:val="continue"/>
          </w:tcPr>
          <w:p>
            <w:pPr>
              <w:spacing w:after="0"/>
              <w:rPr>
                <w:sz w:val="20"/>
                <w:szCs w:val="20"/>
                <w:color w:val="auto"/>
              </w:rPr>
            </w:pPr>
          </w:p>
        </w:tc>
        <w:tc>
          <w:tcPr>
            <w:tcW w:w="418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Plan Name</w:t>
            </w:r>
          </w:p>
        </w:tc>
        <w:tc>
          <w:tcPr>
            <w:tcW w:w="1800" w:type="dxa"/>
            <w:vAlign w:val="bottom"/>
            <w:tcBorders>
              <w:bottom w:val="single" w:sz="8" w:color="582C83"/>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582C83"/>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6"/>
        </w:trPr>
        <w:tc>
          <w:tcPr>
            <w:tcW w:w="170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Gruber, Vinzenz</w:t>
            </w:r>
          </w:p>
        </w:tc>
        <w:tc>
          <w:tcPr>
            <w:tcW w:w="4180" w:type="dxa"/>
            <w:vAlign w:val="bottom"/>
            <w:tcBorders>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Pension Fund Mondelēz Switzerland</w:t>
            </w:r>
          </w:p>
        </w:tc>
        <w:tc>
          <w:tcPr>
            <w:tcW w:w="1800" w:type="dxa"/>
            <w:vAlign w:val="bottom"/>
            <w:tcBorders>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33.0</w:t>
            </w:r>
          </w:p>
        </w:tc>
        <w:tc>
          <w:tcPr>
            <w:tcW w:w="1800" w:type="dxa"/>
            <w:vAlign w:val="bottom"/>
            <w:tcBorders>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8,362,826</w:t>
            </w:r>
          </w:p>
        </w:tc>
        <w:tc>
          <w:tcPr>
            <w:tcW w:w="17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700" w:type="dxa"/>
            <w:vAlign w:val="bottom"/>
            <w:tcBorders>
              <w:left w:val="single" w:sz="8" w:color="EBE6F0"/>
              <w:right w:val="single" w:sz="8" w:color="EBE6F0"/>
            </w:tcBorders>
            <w:shd w:val="clear" w:color="auto" w:fill="572C83"/>
          </w:tcPr>
          <w:p>
            <w:pPr>
              <w:spacing w:after="0" w:line="20" w:lineRule="exact"/>
              <w:rPr>
                <w:sz w:val="1"/>
                <w:szCs w:val="1"/>
                <w:color w:val="auto"/>
              </w:rPr>
            </w:pPr>
          </w:p>
        </w:tc>
        <w:tc>
          <w:tcPr>
            <w:tcW w:w="4180" w:type="dxa"/>
            <w:vAlign w:val="bottom"/>
            <w:tcBorders>
              <w:right w:val="single" w:sz="8" w:color="EBE6F0"/>
            </w:tcBorders>
            <w:shd w:val="clear" w:color="auto" w:fill="572C83"/>
          </w:tcPr>
          <w:p>
            <w:pPr>
              <w:spacing w:after="0" w:line="20" w:lineRule="exact"/>
              <w:rPr>
                <w:sz w:val="1"/>
                <w:szCs w:val="1"/>
                <w:color w:val="auto"/>
              </w:rPr>
            </w:pPr>
          </w:p>
        </w:tc>
        <w:tc>
          <w:tcPr>
            <w:tcW w:w="1800" w:type="dxa"/>
            <w:vAlign w:val="bottom"/>
            <w:tcBorders>
              <w:right w:val="single" w:sz="8" w:color="EBE6F0"/>
            </w:tcBorders>
            <w:shd w:val="clear" w:color="auto" w:fill="572C83"/>
          </w:tcPr>
          <w:p>
            <w:pPr>
              <w:spacing w:after="0" w:line="20" w:lineRule="exact"/>
              <w:rPr>
                <w:sz w:val="1"/>
                <w:szCs w:val="1"/>
                <w:color w:val="auto"/>
              </w:rPr>
            </w:pPr>
          </w:p>
        </w:tc>
        <w:tc>
          <w:tcPr>
            <w:tcW w:w="1800" w:type="dxa"/>
            <w:vAlign w:val="bottom"/>
            <w:tcBorders>
              <w:right w:val="single" w:sz="8" w:color="EBE6F0"/>
            </w:tcBorders>
            <w:shd w:val="clear" w:color="auto" w:fill="572C83"/>
          </w:tcPr>
          <w:p>
            <w:pPr>
              <w:spacing w:after="0" w:line="20" w:lineRule="exact"/>
              <w:rPr>
                <w:sz w:val="1"/>
                <w:szCs w:val="1"/>
                <w:color w:val="auto"/>
              </w:rPr>
            </w:pPr>
          </w:p>
        </w:tc>
        <w:tc>
          <w:tcPr>
            <w:tcW w:w="1780" w:type="dxa"/>
            <w:vAlign w:val="bottom"/>
            <w:tcBorders>
              <w:right w:val="single" w:sz="8" w:color="EBE6F0"/>
            </w:tcBorders>
            <w:shd w:val="clear" w:color="auto" w:fill="572C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both"/>
        <w:ind w:left="360" w:right="160" w:hanging="299"/>
        <w:spacing w:after="0" w:line="258" w:lineRule="auto"/>
        <w:tabs>
          <w:tab w:leader="none" w:pos="3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No U.S.-based salaried employee hired after 2008 or localized to the United States after 2015 is eligible to participate in the Mondelēz Global LLC Retirement Plan. Therefore, no amounts are shown for Mr. Van de Put, Mr. Zaramella and Mr. Valle. Mr. Brusadelli’s compensation and benefits are Italy-based and is not eligible for a defined benefit pension.</w:t>
      </w:r>
    </w:p>
    <w:p>
      <w:pPr>
        <w:spacing w:after="0" w:line="2" w:lineRule="exact"/>
        <w:rPr>
          <w:rFonts w:ascii="Arial" w:cs="Arial" w:eastAsia="Arial" w:hAnsi="Arial"/>
          <w:sz w:val="15"/>
          <w:szCs w:val="15"/>
          <w:color w:val="auto"/>
        </w:rPr>
      </w:pPr>
    </w:p>
    <w:p>
      <w:pPr>
        <w:ind w:left="360" w:hanging="299"/>
        <w:spacing w:after="0"/>
        <w:tabs>
          <w:tab w:leader="none" w:pos="3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years of credited service under the plan are equivalent to the years of total service.</w:t>
      </w:r>
    </w:p>
    <w:p>
      <w:pPr>
        <w:spacing w:after="0" w:line="38" w:lineRule="exact"/>
        <w:rPr>
          <w:rFonts w:ascii="Arial" w:cs="Arial" w:eastAsia="Arial" w:hAnsi="Arial"/>
          <w:sz w:val="15"/>
          <w:szCs w:val="15"/>
          <w:color w:val="auto"/>
        </w:rPr>
      </w:pPr>
    </w:p>
    <w:p>
      <w:pPr>
        <w:ind w:left="360" w:right="320" w:hanging="299"/>
        <w:spacing w:after="0" w:line="252" w:lineRule="auto"/>
        <w:tabs>
          <w:tab w:leader="none" w:pos="3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amount reflects the actuarial present value of benefits accumulated under the retirement plan, in accordance with the same assumptions and measurement dates disclosed in Note 11 to the consolidated financial statements in our 2022 Form 10-K. Plan assumptions specific to the Pension Fund Mondelēz Switzerland include:</w:t>
      </w:r>
    </w:p>
    <w:p>
      <w:pPr>
        <w:spacing w:after="0" w:line="15" w:lineRule="exact"/>
        <w:rPr>
          <w:rFonts w:ascii="Arial" w:cs="Arial" w:eastAsia="Arial" w:hAnsi="Arial"/>
          <w:sz w:val="15"/>
          <w:szCs w:val="15"/>
          <w:color w:val="auto"/>
        </w:rPr>
      </w:pPr>
    </w:p>
    <w:p>
      <w:pPr>
        <w:ind w:left="440" w:right="360" w:hanging="81"/>
        <w:spacing w:after="0" w:line="257" w:lineRule="auto"/>
        <w:tabs>
          <w:tab w:leader="none" w:pos="442" w:val="left"/>
        </w:tabs>
        <w:numPr>
          <w:ilvl w:val="1"/>
          <w:numId w:val="88"/>
        </w:numPr>
        <w:rPr>
          <w:rFonts w:ascii="Arial" w:cs="Arial" w:eastAsia="Arial" w:hAnsi="Arial"/>
          <w:sz w:val="15"/>
          <w:szCs w:val="15"/>
          <w:color w:val="582C83"/>
        </w:rPr>
      </w:pPr>
      <w:r>
        <w:rPr>
          <w:rFonts w:ascii="Arial" w:cs="Arial" w:eastAsia="Arial" w:hAnsi="Arial"/>
          <w:sz w:val="15"/>
          <w:szCs w:val="15"/>
          <w:color w:val="auto"/>
        </w:rPr>
        <w:t>Assumes commencement at the earliest age that participants would be eligible for an unreduced pension benefit, which is age 65, and is discounted for current age;</w:t>
      </w:r>
    </w:p>
    <w:p>
      <w:pPr>
        <w:spacing w:after="0" w:line="15" w:lineRule="exact"/>
        <w:rPr>
          <w:rFonts w:ascii="Arial" w:cs="Arial" w:eastAsia="Arial" w:hAnsi="Arial"/>
          <w:sz w:val="15"/>
          <w:szCs w:val="15"/>
          <w:color w:val="582C83"/>
        </w:rPr>
      </w:pPr>
    </w:p>
    <w:p>
      <w:pPr>
        <w:ind w:left="440" w:hanging="81"/>
        <w:spacing w:after="0"/>
        <w:tabs>
          <w:tab w:leader="none" w:pos="440" w:val="left"/>
        </w:tabs>
        <w:numPr>
          <w:ilvl w:val="1"/>
          <w:numId w:val="88"/>
        </w:numPr>
        <w:rPr>
          <w:rFonts w:ascii="Arial" w:cs="Arial" w:eastAsia="Arial" w:hAnsi="Arial"/>
          <w:sz w:val="15"/>
          <w:szCs w:val="15"/>
          <w:color w:val="582C83"/>
        </w:rPr>
      </w:pPr>
      <w:r>
        <w:rPr>
          <w:rFonts w:ascii="Arial" w:cs="Arial" w:eastAsia="Arial" w:hAnsi="Arial"/>
          <w:sz w:val="15"/>
          <w:szCs w:val="15"/>
          <w:color w:val="auto"/>
        </w:rPr>
        <w:t>Measurement date of December 31, 2022;</w:t>
      </w:r>
    </w:p>
    <w:p>
      <w:pPr>
        <w:spacing w:after="0" w:line="38" w:lineRule="exact"/>
        <w:rPr>
          <w:rFonts w:ascii="Arial" w:cs="Arial" w:eastAsia="Arial" w:hAnsi="Arial"/>
          <w:sz w:val="15"/>
          <w:szCs w:val="15"/>
          <w:color w:val="582C83"/>
        </w:rPr>
      </w:pPr>
    </w:p>
    <w:p>
      <w:pPr>
        <w:ind w:left="440" w:hanging="81"/>
        <w:spacing w:after="0"/>
        <w:tabs>
          <w:tab w:leader="none" w:pos="440" w:val="left"/>
        </w:tabs>
        <w:numPr>
          <w:ilvl w:val="1"/>
          <w:numId w:val="88"/>
        </w:numPr>
        <w:rPr>
          <w:rFonts w:ascii="Arial" w:cs="Arial" w:eastAsia="Arial" w:hAnsi="Arial"/>
          <w:sz w:val="15"/>
          <w:szCs w:val="15"/>
          <w:color w:val="582C83"/>
        </w:rPr>
      </w:pPr>
      <w:r>
        <w:rPr>
          <w:rFonts w:ascii="Arial" w:cs="Arial" w:eastAsia="Arial" w:hAnsi="Arial"/>
          <w:sz w:val="15"/>
          <w:szCs w:val="15"/>
          <w:color w:val="auto"/>
        </w:rPr>
        <w:t>Discount rate of 2.17%; and</w:t>
      </w:r>
    </w:p>
    <w:p>
      <w:pPr>
        <w:spacing w:after="0" w:line="38" w:lineRule="exact"/>
        <w:rPr>
          <w:rFonts w:ascii="Arial" w:cs="Arial" w:eastAsia="Arial" w:hAnsi="Arial"/>
          <w:sz w:val="15"/>
          <w:szCs w:val="15"/>
          <w:color w:val="582C83"/>
        </w:rPr>
      </w:pPr>
    </w:p>
    <w:p>
      <w:pPr>
        <w:ind w:left="440" w:hanging="81"/>
        <w:spacing w:after="0"/>
        <w:tabs>
          <w:tab w:leader="none" w:pos="440" w:val="left"/>
        </w:tabs>
        <w:numPr>
          <w:ilvl w:val="1"/>
          <w:numId w:val="88"/>
        </w:numPr>
        <w:rPr>
          <w:rFonts w:ascii="Arial" w:cs="Arial" w:eastAsia="Arial" w:hAnsi="Arial"/>
          <w:sz w:val="15"/>
          <w:szCs w:val="15"/>
          <w:color w:val="582C83"/>
        </w:rPr>
      </w:pPr>
      <w:r>
        <w:rPr>
          <w:rFonts w:ascii="Arial" w:cs="Arial" w:eastAsia="Arial" w:hAnsi="Arial"/>
          <w:sz w:val="15"/>
          <w:szCs w:val="15"/>
          <w:color w:val="auto"/>
        </w:rPr>
        <w:t>Statutory Mortality Table BVG2015.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143115"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92" w:lineRule="exact"/>
        <w:rPr>
          <w:sz w:val="20"/>
          <w:szCs w:val="20"/>
          <w:color w:val="auto"/>
        </w:rPr>
      </w:pPr>
    </w:p>
    <w:p>
      <w:pPr>
        <w:ind w:left="9060"/>
        <w:spacing w:after="0"/>
        <w:rPr>
          <w:sz w:val="20"/>
          <w:szCs w:val="20"/>
          <w:color w:val="auto"/>
        </w:rPr>
      </w:pPr>
      <w:r>
        <w:rPr>
          <w:rFonts w:ascii="Arial" w:cs="Arial" w:eastAsia="Arial" w:hAnsi="Arial"/>
          <w:sz w:val="15"/>
          <w:szCs w:val="15"/>
          <w:b w:val="1"/>
          <w:bCs w:val="1"/>
          <w:color w:val="58358F"/>
        </w:rPr>
        <w:t>2023 PROXY STATEMENT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04" w:name="page105"/>
    <w:bookmarkEnd w:id="104"/>
    <w:p>
      <w:pPr>
        <w:ind w:left="20"/>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39445"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sz w:val="1"/>
          <w:szCs w:val="1"/>
          <w:color w:val="auto"/>
        </w:rPr>
        <w:drawing>
          <wp:inline distT="0" distB="0" distL="0" distR="0">
            <wp:extent cx="157480" cy="157480"/>
            <wp:effectExtent l="0" t="0" r="0" b="0"/>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Retirement Benefit Plan Description</w:t>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2C83"/>
        </w:rPr>
        <w:t>PENSION FUND MONDELĒZ SWITZERLAND – MR. GRUBER</w:t>
      </w:r>
    </w:p>
    <w:p>
      <w:pPr>
        <w:spacing w:after="0" w:line="94" w:lineRule="exact"/>
        <w:rPr>
          <w:sz w:val="20"/>
          <w:szCs w:val="20"/>
          <w:color w:val="auto"/>
        </w:rPr>
      </w:pPr>
    </w:p>
    <w:p>
      <w:pPr>
        <w:ind w:left="20" w:right="40"/>
        <w:spacing w:after="0" w:line="244" w:lineRule="auto"/>
        <w:rPr>
          <w:sz w:val="20"/>
          <w:szCs w:val="20"/>
          <w:color w:val="auto"/>
        </w:rPr>
      </w:pPr>
      <w:r>
        <w:rPr>
          <w:rFonts w:ascii="Arial" w:cs="Arial" w:eastAsia="Arial" w:hAnsi="Arial"/>
          <w:sz w:val="20"/>
          <w:szCs w:val="20"/>
          <w:color w:val="auto"/>
        </w:rPr>
        <w:t>Eligibility for this funded contributory, tax-qualified defined benefit plan is limited to full-time and part-time employees with a Swiss employment contract signed before January 1, 2011. Benefits are payable upon normal retirement (defined as age 65) in the form of an annuity or lump sum. If a participant elects to receive a distribution prior to normal retirement, benefits are subject to reduction.</w:t>
      </w:r>
    </w:p>
    <w:p>
      <w:pPr>
        <w:spacing w:after="0" w:line="133" w:lineRule="exact"/>
        <w:rPr>
          <w:sz w:val="20"/>
          <w:szCs w:val="20"/>
          <w:color w:val="auto"/>
        </w:rPr>
      </w:pPr>
    </w:p>
    <w:p>
      <w:pPr>
        <w:ind w:left="20" w:right="160"/>
        <w:spacing w:after="0" w:line="242" w:lineRule="auto"/>
        <w:rPr>
          <w:sz w:val="20"/>
          <w:szCs w:val="20"/>
          <w:color w:val="auto"/>
        </w:rPr>
      </w:pPr>
      <w:r>
        <w:rPr>
          <w:rFonts w:ascii="Arial" w:cs="Arial" w:eastAsia="Arial" w:hAnsi="Arial"/>
          <w:sz w:val="20"/>
          <w:szCs w:val="20"/>
          <w:color w:val="auto"/>
        </w:rPr>
        <w:t>Benefits generally accrue based on 1.85% of pensionable salary (defined as annual base salary minus a coordination deduction) up to 37 years. The coordination deduction is limited to 40% of salary, up to 100% of the maximum full Federal Old Age and Survivors’ Insurance pension (for 2022: CHF28,680). The maximum pensionable salary corresponds to ten times the upper limit under Article 8 Paragraph 1 of the Swiss Federal Act on Occupational Retirement, Survivors’ and Disability Pension Plans (for 2022: CHF860,400).</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Participating employees contribute 10% of pensionable salary to the plan.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sz w:val="1"/>
          <w:szCs w:val="1"/>
          <w:color w:val="auto"/>
        </w:rPr>
        <w:drawing>
          <wp:inline distT="0" distB="0" distL="0" distR="0">
            <wp:extent cx="157480" cy="157480"/>
            <wp:effectExtent l="0" t="0" r="0" b="0"/>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2022 Non-Qualified Deferred Compensation Benefits</w:t>
      </w:r>
    </w:p>
    <w:p>
      <w:pPr>
        <w:spacing w:after="0" w:line="239" w:lineRule="exact"/>
        <w:rPr>
          <w:sz w:val="20"/>
          <w:szCs w:val="20"/>
          <w:color w:val="auto"/>
        </w:rPr>
      </w:pPr>
    </w:p>
    <w:tbl>
      <w:tblPr>
        <w:tblLayout w:type="fixed"/>
        <w:tblInd w:w="3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40" w:type="dxa"/>
            <w:vAlign w:val="bottom"/>
          </w:tcPr>
          <w:p>
            <w:pPr>
              <w:jc w:val="right"/>
              <w:ind w:right="2"/>
              <w:spacing w:after="0"/>
              <w:rPr>
                <w:sz w:val="20"/>
                <w:szCs w:val="20"/>
                <w:color w:val="auto"/>
              </w:rPr>
            </w:pPr>
            <w:r>
              <w:rPr>
                <w:rFonts w:ascii="Arial" w:cs="Arial" w:eastAsia="Arial" w:hAnsi="Arial"/>
                <w:sz w:val="15"/>
                <w:szCs w:val="15"/>
                <w:b w:val="1"/>
                <w:bCs w:val="1"/>
                <w:color w:val="auto"/>
              </w:rPr>
              <w:t>Executive</w:t>
            </w:r>
          </w:p>
        </w:tc>
        <w:tc>
          <w:tcPr>
            <w:tcW w:w="1240" w:type="dxa"/>
            <w:vAlign w:val="bottom"/>
          </w:tcPr>
          <w:p>
            <w:pPr>
              <w:jc w:val="right"/>
              <w:ind w:right="2"/>
              <w:spacing w:after="0"/>
              <w:rPr>
                <w:sz w:val="20"/>
                <w:szCs w:val="20"/>
                <w:color w:val="auto"/>
              </w:rPr>
            </w:pPr>
            <w:r>
              <w:rPr>
                <w:rFonts w:ascii="Arial" w:cs="Arial" w:eastAsia="Arial" w:hAnsi="Arial"/>
                <w:sz w:val="15"/>
                <w:szCs w:val="15"/>
                <w:b w:val="1"/>
                <w:bCs w:val="1"/>
                <w:color w:val="auto"/>
              </w:rPr>
              <w:t>Registrant</w:t>
            </w:r>
          </w:p>
        </w:tc>
        <w:tc>
          <w:tcPr>
            <w:tcW w:w="1000" w:type="dxa"/>
            <w:vAlign w:val="bottom"/>
          </w:tcPr>
          <w:p>
            <w:pPr>
              <w:jc w:val="right"/>
              <w:ind w:right="2"/>
              <w:spacing w:after="0"/>
              <w:rPr>
                <w:sz w:val="20"/>
                <w:szCs w:val="20"/>
                <w:color w:val="auto"/>
              </w:rPr>
            </w:pPr>
            <w:r>
              <w:rPr>
                <w:rFonts w:ascii="Arial" w:cs="Arial" w:eastAsia="Arial" w:hAnsi="Arial"/>
                <w:sz w:val="15"/>
                <w:szCs w:val="15"/>
                <w:b w:val="1"/>
                <w:bCs w:val="1"/>
                <w:color w:val="auto"/>
              </w:rPr>
              <w:t>Aggregate</w:t>
            </w:r>
          </w:p>
        </w:tc>
        <w:tc>
          <w:tcPr>
            <w:tcW w:w="1680" w:type="dxa"/>
            <w:vAlign w:val="bottom"/>
          </w:tcPr>
          <w:p>
            <w:pPr>
              <w:jc w:val="right"/>
              <w:ind w:right="2"/>
              <w:spacing w:after="0"/>
              <w:rPr>
                <w:sz w:val="20"/>
                <w:szCs w:val="20"/>
                <w:color w:val="auto"/>
              </w:rPr>
            </w:pPr>
            <w:r>
              <w:rPr>
                <w:rFonts w:ascii="Arial" w:cs="Arial" w:eastAsia="Arial" w:hAnsi="Arial"/>
                <w:sz w:val="15"/>
                <w:szCs w:val="15"/>
                <w:b w:val="1"/>
                <w:bCs w:val="1"/>
                <w:color w:val="auto"/>
              </w:rPr>
              <w:t>Aggregate</w:t>
            </w:r>
          </w:p>
        </w:tc>
        <w:tc>
          <w:tcPr>
            <w:tcW w:w="2020" w:type="dxa"/>
            <w:vAlign w:val="bottom"/>
          </w:tcPr>
          <w:p>
            <w:pPr>
              <w:spacing w:after="0"/>
              <w:rPr>
                <w:sz w:val="16"/>
                <w:szCs w:val="16"/>
                <w:color w:val="auto"/>
              </w:rPr>
            </w:pPr>
          </w:p>
        </w:tc>
      </w:tr>
      <w:tr>
        <w:trPr>
          <w:trHeight w:val="174"/>
        </w:trPr>
        <w:tc>
          <w:tcPr>
            <w:tcW w:w="17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40" w:type="dxa"/>
            <w:vAlign w:val="bottom"/>
          </w:tcPr>
          <w:p>
            <w:pPr>
              <w:jc w:val="right"/>
              <w:ind w:right="2"/>
              <w:spacing w:after="0"/>
              <w:rPr>
                <w:sz w:val="20"/>
                <w:szCs w:val="20"/>
                <w:color w:val="auto"/>
              </w:rPr>
            </w:pPr>
            <w:r>
              <w:rPr>
                <w:rFonts w:ascii="Arial" w:cs="Arial" w:eastAsia="Arial" w:hAnsi="Arial"/>
                <w:sz w:val="15"/>
                <w:szCs w:val="15"/>
                <w:b w:val="1"/>
                <w:bCs w:val="1"/>
                <w:color w:val="auto"/>
              </w:rPr>
              <w:t>Contributions</w:t>
            </w:r>
          </w:p>
        </w:tc>
        <w:tc>
          <w:tcPr>
            <w:tcW w:w="1240" w:type="dxa"/>
            <w:vAlign w:val="bottom"/>
          </w:tcPr>
          <w:p>
            <w:pPr>
              <w:jc w:val="right"/>
              <w:ind w:right="2"/>
              <w:spacing w:after="0"/>
              <w:rPr>
                <w:sz w:val="20"/>
                <w:szCs w:val="20"/>
                <w:color w:val="auto"/>
              </w:rPr>
            </w:pPr>
            <w:r>
              <w:rPr>
                <w:rFonts w:ascii="Arial" w:cs="Arial" w:eastAsia="Arial" w:hAnsi="Arial"/>
                <w:sz w:val="15"/>
                <w:szCs w:val="15"/>
                <w:b w:val="1"/>
                <w:bCs w:val="1"/>
                <w:color w:val="auto"/>
              </w:rPr>
              <w:t>Contributions</w:t>
            </w:r>
          </w:p>
        </w:tc>
        <w:tc>
          <w:tcPr>
            <w:tcW w:w="1000" w:type="dxa"/>
            <w:vAlign w:val="bottom"/>
          </w:tcPr>
          <w:p>
            <w:pPr>
              <w:jc w:val="right"/>
              <w:ind w:right="2"/>
              <w:spacing w:after="0"/>
              <w:rPr>
                <w:sz w:val="20"/>
                <w:szCs w:val="20"/>
                <w:color w:val="auto"/>
              </w:rPr>
            </w:pPr>
            <w:r>
              <w:rPr>
                <w:rFonts w:ascii="Arial" w:cs="Arial" w:eastAsia="Arial" w:hAnsi="Arial"/>
                <w:sz w:val="15"/>
                <w:szCs w:val="15"/>
                <w:b w:val="1"/>
                <w:bCs w:val="1"/>
                <w:color w:val="auto"/>
              </w:rPr>
              <w:t>Earnings</w:t>
            </w:r>
          </w:p>
        </w:tc>
        <w:tc>
          <w:tcPr>
            <w:tcW w:w="1680" w:type="dxa"/>
            <w:vAlign w:val="bottom"/>
          </w:tcPr>
          <w:p>
            <w:pPr>
              <w:jc w:val="right"/>
              <w:ind w:right="2"/>
              <w:spacing w:after="0"/>
              <w:rPr>
                <w:sz w:val="20"/>
                <w:szCs w:val="20"/>
                <w:color w:val="auto"/>
              </w:rPr>
            </w:pPr>
            <w:r>
              <w:rPr>
                <w:rFonts w:ascii="Arial" w:cs="Arial" w:eastAsia="Arial" w:hAnsi="Arial"/>
                <w:sz w:val="15"/>
                <w:szCs w:val="15"/>
                <w:b w:val="1"/>
                <w:bCs w:val="1"/>
                <w:color w:val="auto"/>
              </w:rPr>
              <w:t>Withdrawals/</w:t>
            </w:r>
          </w:p>
        </w:tc>
        <w:tc>
          <w:tcPr>
            <w:tcW w:w="2020" w:type="dxa"/>
            <w:vAlign w:val="bottom"/>
          </w:tcPr>
          <w:p>
            <w:pPr>
              <w:jc w:val="right"/>
              <w:ind w:right="2"/>
              <w:spacing w:after="0"/>
              <w:rPr>
                <w:sz w:val="20"/>
                <w:szCs w:val="20"/>
                <w:color w:val="auto"/>
              </w:rPr>
            </w:pPr>
            <w:r>
              <w:rPr>
                <w:rFonts w:ascii="Arial" w:cs="Arial" w:eastAsia="Arial" w:hAnsi="Arial"/>
                <w:sz w:val="15"/>
                <w:szCs w:val="15"/>
                <w:b w:val="1"/>
                <w:bCs w:val="1"/>
                <w:color w:val="auto"/>
              </w:rPr>
              <w:t>Aggregate Balance as of</w:t>
            </w:r>
          </w:p>
        </w:tc>
      </w:tr>
      <w:tr>
        <w:trPr>
          <w:trHeight w:val="236"/>
        </w:trPr>
        <w:tc>
          <w:tcPr>
            <w:tcW w:w="1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40" w:type="dxa"/>
            <w:vAlign w:val="bottom"/>
          </w:tcPr>
          <w:p>
            <w:pPr>
              <w:jc w:val="right"/>
              <w:ind w:right="2"/>
              <w:spacing w:after="0" w:line="236" w:lineRule="exact"/>
              <w:rPr>
                <w:sz w:val="20"/>
                <w:szCs w:val="20"/>
                <w:color w:val="auto"/>
              </w:rPr>
            </w:pPr>
            <w:r>
              <w:rPr>
                <w:rFonts w:ascii="Arial" w:cs="Arial" w:eastAsia="Arial" w:hAnsi="Arial"/>
                <w:sz w:val="15"/>
                <w:szCs w:val="15"/>
                <w:b w:val="1"/>
                <w:bCs w:val="1"/>
                <w:color w:val="auto"/>
              </w:rPr>
              <w:t>in 2022</w:t>
            </w:r>
            <w:r>
              <w:rPr>
                <w:rFonts w:ascii="Arial" w:cs="Arial" w:eastAsia="Arial" w:hAnsi="Arial"/>
                <w:sz w:val="24"/>
                <w:szCs w:val="24"/>
                <w:b w:val="1"/>
                <w:bCs w:val="1"/>
                <w:color w:val="auto"/>
                <w:vertAlign w:val="superscript"/>
              </w:rPr>
              <w:t>(1)</w:t>
            </w:r>
          </w:p>
        </w:tc>
        <w:tc>
          <w:tcPr>
            <w:tcW w:w="1240" w:type="dxa"/>
            <w:vAlign w:val="bottom"/>
          </w:tcPr>
          <w:p>
            <w:pPr>
              <w:jc w:val="right"/>
              <w:ind w:right="2"/>
              <w:spacing w:after="0" w:line="236" w:lineRule="exact"/>
              <w:rPr>
                <w:sz w:val="20"/>
                <w:szCs w:val="20"/>
                <w:color w:val="auto"/>
              </w:rPr>
            </w:pPr>
            <w:r>
              <w:rPr>
                <w:rFonts w:ascii="Arial" w:cs="Arial" w:eastAsia="Arial" w:hAnsi="Arial"/>
                <w:sz w:val="15"/>
                <w:szCs w:val="15"/>
                <w:b w:val="1"/>
                <w:bCs w:val="1"/>
                <w:color w:val="auto"/>
              </w:rPr>
              <w:t>in 2022</w:t>
            </w:r>
            <w:r>
              <w:rPr>
                <w:rFonts w:ascii="Arial" w:cs="Arial" w:eastAsia="Arial" w:hAnsi="Arial"/>
                <w:sz w:val="24"/>
                <w:szCs w:val="24"/>
                <w:b w:val="1"/>
                <w:bCs w:val="1"/>
                <w:color w:val="auto"/>
                <w:vertAlign w:val="superscript"/>
              </w:rPr>
              <w:t>(2)</w:t>
            </w:r>
          </w:p>
        </w:tc>
        <w:tc>
          <w:tcPr>
            <w:tcW w:w="1000" w:type="dxa"/>
            <w:vAlign w:val="bottom"/>
          </w:tcPr>
          <w:p>
            <w:pPr>
              <w:jc w:val="right"/>
              <w:ind w:right="2"/>
              <w:spacing w:after="0" w:line="236" w:lineRule="exact"/>
              <w:rPr>
                <w:sz w:val="20"/>
                <w:szCs w:val="20"/>
                <w:color w:val="auto"/>
              </w:rPr>
            </w:pPr>
            <w:r>
              <w:rPr>
                <w:rFonts w:ascii="Arial" w:cs="Arial" w:eastAsia="Arial" w:hAnsi="Arial"/>
                <w:sz w:val="15"/>
                <w:szCs w:val="15"/>
                <w:b w:val="1"/>
                <w:bCs w:val="1"/>
                <w:color w:val="auto"/>
              </w:rPr>
              <w:t>in 2022</w:t>
            </w:r>
            <w:r>
              <w:rPr>
                <w:rFonts w:ascii="Arial" w:cs="Arial" w:eastAsia="Arial" w:hAnsi="Arial"/>
                <w:sz w:val="24"/>
                <w:szCs w:val="24"/>
                <w:b w:val="1"/>
                <w:bCs w:val="1"/>
                <w:color w:val="auto"/>
                <w:vertAlign w:val="superscript"/>
              </w:rPr>
              <w:t>(3)</w:t>
            </w:r>
          </w:p>
        </w:tc>
        <w:tc>
          <w:tcPr>
            <w:tcW w:w="1680" w:type="dxa"/>
            <w:vAlign w:val="bottom"/>
          </w:tcPr>
          <w:p>
            <w:pPr>
              <w:jc w:val="right"/>
              <w:ind w:right="2"/>
              <w:spacing w:after="0"/>
              <w:rPr>
                <w:sz w:val="20"/>
                <w:szCs w:val="20"/>
                <w:color w:val="auto"/>
              </w:rPr>
            </w:pPr>
            <w:r>
              <w:rPr>
                <w:rFonts w:ascii="Arial" w:cs="Arial" w:eastAsia="Arial" w:hAnsi="Arial"/>
                <w:sz w:val="15"/>
                <w:szCs w:val="15"/>
                <w:b w:val="1"/>
                <w:bCs w:val="1"/>
                <w:color w:val="auto"/>
              </w:rPr>
              <w:t>Distributions in 2022</w:t>
            </w:r>
          </w:p>
        </w:tc>
        <w:tc>
          <w:tcPr>
            <w:tcW w:w="2020" w:type="dxa"/>
            <w:vAlign w:val="bottom"/>
          </w:tcPr>
          <w:p>
            <w:pPr>
              <w:jc w:val="right"/>
              <w:ind w:right="2"/>
              <w:spacing w:after="0" w:line="236" w:lineRule="exact"/>
              <w:rPr>
                <w:sz w:val="20"/>
                <w:szCs w:val="20"/>
                <w:color w:val="auto"/>
              </w:rPr>
            </w:pPr>
            <w:r>
              <w:rPr>
                <w:rFonts w:ascii="Arial" w:cs="Arial" w:eastAsia="Arial" w:hAnsi="Arial"/>
                <w:sz w:val="15"/>
                <w:szCs w:val="15"/>
                <w:b w:val="1"/>
                <w:bCs w:val="1"/>
                <w:color w:val="auto"/>
              </w:rPr>
              <w:t>December 31, 2022</w:t>
            </w:r>
            <w:r>
              <w:rPr>
                <w:rFonts w:ascii="Arial" w:cs="Arial" w:eastAsia="Arial" w:hAnsi="Arial"/>
                <w:sz w:val="24"/>
                <w:szCs w:val="24"/>
                <w:b w:val="1"/>
                <w:bCs w:val="1"/>
                <w:color w:val="auto"/>
                <w:vertAlign w:val="superscript"/>
              </w:rPr>
              <w:t>(4)</w:t>
            </w:r>
          </w:p>
        </w:tc>
      </w:tr>
      <w:tr>
        <w:trPr>
          <w:trHeight w:val="228"/>
        </w:trPr>
        <w:tc>
          <w:tcPr>
            <w:tcW w:w="1700" w:type="dxa"/>
            <w:vAlign w:val="bottom"/>
            <w:tcBorders>
              <w:bottom w:val="single" w:sz="8" w:color="582C83"/>
            </w:tcBorders>
          </w:tcPr>
          <w:p>
            <w:pPr>
              <w:ind w:left="60"/>
              <w:spacing w:after="0"/>
              <w:rPr>
                <w:sz w:val="20"/>
                <w:szCs w:val="20"/>
                <w:color w:val="auto"/>
              </w:rPr>
            </w:pPr>
            <w:r>
              <w:rPr>
                <w:rFonts w:ascii="Arial" w:cs="Arial" w:eastAsia="Arial" w:hAnsi="Arial"/>
                <w:sz w:val="15"/>
                <w:szCs w:val="15"/>
                <w:b w:val="1"/>
                <w:bCs w:val="1"/>
                <w:color w:val="auto"/>
              </w:rPr>
              <w:t>Name</w:t>
            </w:r>
          </w:p>
        </w:tc>
        <w:tc>
          <w:tcPr>
            <w:tcW w:w="2380" w:type="dxa"/>
            <w:vAlign w:val="bottom"/>
            <w:tcBorders>
              <w:bottom w:val="single" w:sz="8" w:color="582C83"/>
            </w:tcBorders>
          </w:tcPr>
          <w:p>
            <w:pPr>
              <w:ind w:left="60"/>
              <w:spacing w:after="0"/>
              <w:rPr>
                <w:sz w:val="20"/>
                <w:szCs w:val="20"/>
                <w:color w:val="auto"/>
              </w:rPr>
            </w:pPr>
            <w:r>
              <w:rPr>
                <w:rFonts w:ascii="Arial" w:cs="Arial" w:eastAsia="Arial" w:hAnsi="Arial"/>
                <w:sz w:val="15"/>
                <w:szCs w:val="15"/>
                <w:b w:val="1"/>
                <w:bCs w:val="1"/>
                <w:color w:val="auto"/>
              </w:rPr>
              <w:t>Plan</w:t>
            </w:r>
          </w:p>
        </w:tc>
        <w:tc>
          <w:tcPr>
            <w:tcW w:w="1240" w:type="dxa"/>
            <w:vAlign w:val="bottom"/>
            <w:tcBorders>
              <w:bottom w:val="single" w:sz="8" w:color="582C83"/>
            </w:tcBorders>
          </w:tcPr>
          <w:p>
            <w:pPr>
              <w:jc w:val="right"/>
              <w:ind w:right="2"/>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582C83"/>
            </w:tcBorders>
          </w:tcPr>
          <w:p>
            <w:pPr>
              <w:jc w:val="right"/>
              <w:ind w:right="2"/>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582C83"/>
            </w:tcBorders>
          </w:tcPr>
          <w:p>
            <w:pPr>
              <w:jc w:val="right"/>
              <w:ind w:right="2"/>
              <w:spacing w:after="0"/>
              <w:rPr>
                <w:sz w:val="20"/>
                <w:szCs w:val="20"/>
                <w:color w:val="auto"/>
              </w:rPr>
            </w:pPr>
            <w:r>
              <w:rPr>
                <w:rFonts w:ascii="Arial" w:cs="Arial" w:eastAsia="Arial" w:hAnsi="Arial"/>
                <w:sz w:val="15"/>
                <w:szCs w:val="15"/>
                <w:b w:val="1"/>
                <w:bCs w:val="1"/>
                <w:color w:val="auto"/>
              </w:rPr>
              <w:t>($)</w:t>
            </w:r>
          </w:p>
        </w:tc>
        <w:tc>
          <w:tcPr>
            <w:tcW w:w="1680" w:type="dxa"/>
            <w:vAlign w:val="bottom"/>
            <w:tcBorders>
              <w:bottom w:val="single" w:sz="8" w:color="582C83"/>
            </w:tcBorders>
          </w:tcPr>
          <w:p>
            <w:pPr>
              <w:jc w:val="right"/>
              <w:ind w:right="2"/>
              <w:spacing w:after="0"/>
              <w:rPr>
                <w:sz w:val="20"/>
                <w:szCs w:val="20"/>
                <w:color w:val="auto"/>
              </w:rPr>
            </w:pPr>
            <w:r>
              <w:rPr>
                <w:rFonts w:ascii="Arial" w:cs="Arial" w:eastAsia="Arial" w:hAnsi="Arial"/>
                <w:sz w:val="15"/>
                <w:szCs w:val="15"/>
                <w:b w:val="1"/>
                <w:bCs w:val="1"/>
                <w:color w:val="auto"/>
              </w:rPr>
              <w:t>($)</w:t>
            </w:r>
          </w:p>
        </w:tc>
        <w:tc>
          <w:tcPr>
            <w:tcW w:w="2020" w:type="dxa"/>
            <w:vAlign w:val="bottom"/>
            <w:tcBorders>
              <w:bottom w:val="single" w:sz="8" w:color="582C83"/>
            </w:tcBorders>
          </w:tcPr>
          <w:p>
            <w:pPr>
              <w:jc w:val="right"/>
              <w:ind w:right="2"/>
              <w:spacing w:after="0"/>
              <w:rPr>
                <w:sz w:val="20"/>
                <w:szCs w:val="20"/>
                <w:color w:val="auto"/>
              </w:rPr>
            </w:pPr>
            <w:r>
              <w:rPr>
                <w:rFonts w:ascii="Arial" w:cs="Arial" w:eastAsia="Arial" w:hAnsi="Arial"/>
                <w:sz w:val="15"/>
                <w:szCs w:val="15"/>
                <w:b w:val="1"/>
                <w:bCs w:val="1"/>
                <w:color w:val="auto"/>
              </w:rPr>
              <w:t>($)</w:t>
            </w:r>
          </w:p>
        </w:tc>
      </w:tr>
      <w:tr>
        <w:trPr>
          <w:trHeight w:val="291"/>
        </w:trPr>
        <w:tc>
          <w:tcPr>
            <w:tcW w:w="170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Van de Put, Dirk</w:t>
            </w:r>
          </w:p>
        </w:tc>
        <w:tc>
          <w:tcPr>
            <w:tcW w:w="2380" w:type="dxa"/>
            <w:vAlign w:val="bottom"/>
            <w:tcBorders>
              <w:bottom w:val="single" w:sz="8" w:color="EBE6F0"/>
              <w:right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Supplemental Benefits Plan</w:t>
            </w:r>
          </w:p>
        </w:tc>
        <w:tc>
          <w:tcPr>
            <w:tcW w:w="1240" w:type="dxa"/>
            <w:vAlign w:val="bottom"/>
            <w:tcBorders>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225,476</w:t>
            </w:r>
          </w:p>
        </w:tc>
        <w:tc>
          <w:tcPr>
            <w:tcW w:w="1240" w:type="dxa"/>
            <w:vAlign w:val="bottom"/>
            <w:tcBorders>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338,215</w:t>
            </w:r>
          </w:p>
        </w:tc>
        <w:tc>
          <w:tcPr>
            <w:tcW w:w="1000" w:type="dxa"/>
            <w:vAlign w:val="bottom"/>
            <w:tcBorders>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45,222</w:t>
            </w:r>
          </w:p>
        </w:tc>
        <w:tc>
          <w:tcPr>
            <w:tcW w:w="1680" w:type="dxa"/>
            <w:vAlign w:val="bottom"/>
            <w:tcBorders>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2,562,736</w:t>
            </w:r>
          </w:p>
        </w:tc>
      </w:tr>
      <w:tr>
        <w:trPr>
          <w:trHeight w:val="283"/>
        </w:trPr>
        <w:tc>
          <w:tcPr>
            <w:tcW w:w="1700" w:type="dxa"/>
            <w:vAlign w:val="bottom"/>
            <w:tcBorders>
              <w:top w:val="single" w:sz="8" w:color="EBE6F0"/>
              <w:left w:val="single" w:sz="8" w:color="EBE6F0"/>
              <w:bottom w:val="single" w:sz="8" w:color="EBE6F0"/>
              <w:right w:val="single" w:sz="8" w:color="EBE6F0"/>
            </w:tcBorders>
            <w:shd w:val="clear" w:color="auto" w:fill="EBE6F0"/>
          </w:tcPr>
          <w:p>
            <w:pPr>
              <w:spacing w:after="0"/>
              <w:rPr>
                <w:sz w:val="24"/>
                <w:szCs w:val="24"/>
                <w:color w:val="auto"/>
              </w:rPr>
            </w:pPr>
          </w:p>
        </w:tc>
        <w:tc>
          <w:tcPr>
            <w:tcW w:w="2380" w:type="dxa"/>
            <w:vAlign w:val="bottom"/>
            <w:tcBorders>
              <w:top w:val="single" w:sz="8" w:color="572C83"/>
              <w:bottom w:val="single" w:sz="8" w:color="EBE6F0"/>
              <w:right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MEDCP</w:t>
            </w:r>
          </w:p>
        </w:tc>
        <w:tc>
          <w:tcPr>
            <w:tcW w:w="1240" w:type="dxa"/>
            <w:vAlign w:val="bottom"/>
            <w:tcBorders>
              <w:top w:val="single" w:sz="8" w:color="572C83"/>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572C83"/>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572C83"/>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-1,350,185</w:t>
            </w:r>
          </w:p>
        </w:tc>
        <w:tc>
          <w:tcPr>
            <w:tcW w:w="1680" w:type="dxa"/>
            <w:vAlign w:val="bottom"/>
            <w:tcBorders>
              <w:top w:val="single" w:sz="8" w:color="572C83"/>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w:t>
            </w:r>
          </w:p>
        </w:tc>
        <w:tc>
          <w:tcPr>
            <w:tcW w:w="2020" w:type="dxa"/>
            <w:vAlign w:val="bottom"/>
            <w:tcBorders>
              <w:top w:val="single" w:sz="8" w:color="572C83"/>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10,040,550</w:t>
            </w:r>
          </w:p>
        </w:tc>
      </w:tr>
      <w:tr>
        <w:trPr>
          <w:trHeight w:val="251"/>
        </w:trPr>
        <w:tc>
          <w:tcPr>
            <w:tcW w:w="1700" w:type="dxa"/>
            <w:vAlign w:val="bottom"/>
            <w:tcBorders>
              <w:top w:val="single" w:sz="8" w:color="572C83"/>
            </w:tcBorders>
          </w:tcPr>
          <w:p>
            <w:pPr>
              <w:ind w:left="60"/>
              <w:spacing w:after="0"/>
              <w:rPr>
                <w:sz w:val="20"/>
                <w:szCs w:val="20"/>
                <w:color w:val="auto"/>
              </w:rPr>
            </w:pPr>
            <w:r>
              <w:rPr>
                <w:rFonts w:ascii="Arial" w:cs="Arial" w:eastAsia="Arial" w:hAnsi="Arial"/>
                <w:sz w:val="16"/>
                <w:szCs w:val="16"/>
                <w:b w:val="1"/>
                <w:bCs w:val="1"/>
                <w:color w:val="auto"/>
              </w:rPr>
              <w:t>Zaramella, Luca</w:t>
            </w:r>
          </w:p>
        </w:tc>
        <w:tc>
          <w:tcPr>
            <w:tcW w:w="2380" w:type="dxa"/>
            <w:vAlign w:val="bottom"/>
            <w:tcBorders>
              <w:top w:val="single" w:sz="8" w:color="572C83"/>
            </w:tcBorders>
          </w:tcPr>
          <w:p>
            <w:pPr>
              <w:ind w:left="60"/>
              <w:spacing w:after="0"/>
              <w:rPr>
                <w:sz w:val="20"/>
                <w:szCs w:val="20"/>
                <w:color w:val="auto"/>
              </w:rPr>
            </w:pPr>
            <w:r>
              <w:rPr>
                <w:rFonts w:ascii="Arial" w:cs="Arial" w:eastAsia="Arial" w:hAnsi="Arial"/>
                <w:sz w:val="16"/>
                <w:szCs w:val="16"/>
                <w:color w:val="auto"/>
              </w:rPr>
              <w:t>Supplemental Benefits Plan</w:t>
            </w:r>
          </w:p>
        </w:tc>
        <w:tc>
          <w:tcPr>
            <w:tcW w:w="1240" w:type="dxa"/>
            <w:vAlign w:val="bottom"/>
            <w:tcBorders>
              <w:top w:val="single" w:sz="8" w:color="572C83"/>
            </w:tcBorders>
          </w:tcPr>
          <w:p>
            <w:pPr>
              <w:jc w:val="right"/>
              <w:ind w:right="2"/>
              <w:spacing w:after="0"/>
              <w:rPr>
                <w:sz w:val="20"/>
                <w:szCs w:val="20"/>
                <w:color w:val="auto"/>
              </w:rPr>
            </w:pPr>
            <w:r>
              <w:rPr>
                <w:rFonts w:ascii="Arial" w:cs="Arial" w:eastAsia="Arial" w:hAnsi="Arial"/>
                <w:sz w:val="16"/>
                <w:szCs w:val="16"/>
                <w:color w:val="auto"/>
              </w:rPr>
              <w:t>75,231</w:t>
            </w:r>
          </w:p>
        </w:tc>
        <w:tc>
          <w:tcPr>
            <w:tcW w:w="1240" w:type="dxa"/>
            <w:vAlign w:val="bottom"/>
            <w:tcBorders>
              <w:top w:val="single" w:sz="8" w:color="572C83"/>
            </w:tcBorders>
          </w:tcPr>
          <w:p>
            <w:pPr>
              <w:jc w:val="right"/>
              <w:ind w:right="2"/>
              <w:spacing w:after="0"/>
              <w:rPr>
                <w:sz w:val="20"/>
                <w:szCs w:val="20"/>
                <w:color w:val="auto"/>
              </w:rPr>
            </w:pPr>
            <w:r>
              <w:rPr>
                <w:rFonts w:ascii="Arial" w:cs="Arial" w:eastAsia="Arial" w:hAnsi="Arial"/>
                <w:sz w:val="16"/>
                <w:szCs w:val="16"/>
                <w:color w:val="auto"/>
              </w:rPr>
              <w:t>120,701</w:t>
            </w:r>
          </w:p>
        </w:tc>
        <w:tc>
          <w:tcPr>
            <w:tcW w:w="1000" w:type="dxa"/>
            <w:vAlign w:val="bottom"/>
            <w:tcBorders>
              <w:top w:val="single" w:sz="8" w:color="572C83"/>
            </w:tcBorders>
          </w:tcPr>
          <w:p>
            <w:pPr>
              <w:jc w:val="right"/>
              <w:ind w:right="2"/>
              <w:spacing w:after="0"/>
              <w:rPr>
                <w:sz w:val="20"/>
                <w:szCs w:val="20"/>
                <w:color w:val="auto"/>
              </w:rPr>
            </w:pPr>
            <w:r>
              <w:rPr>
                <w:rFonts w:ascii="Arial" w:cs="Arial" w:eastAsia="Arial" w:hAnsi="Arial"/>
                <w:sz w:val="16"/>
                <w:szCs w:val="16"/>
                <w:color w:val="auto"/>
              </w:rPr>
              <w:t>13,988</w:t>
            </w:r>
          </w:p>
        </w:tc>
        <w:tc>
          <w:tcPr>
            <w:tcW w:w="1680" w:type="dxa"/>
            <w:vAlign w:val="bottom"/>
            <w:tcBorders>
              <w:top w:val="single" w:sz="8" w:color="572C83"/>
            </w:tcBorders>
          </w:tcPr>
          <w:p>
            <w:pPr>
              <w:jc w:val="right"/>
              <w:ind w:right="2"/>
              <w:spacing w:after="0"/>
              <w:rPr>
                <w:sz w:val="20"/>
                <w:szCs w:val="20"/>
                <w:color w:val="auto"/>
              </w:rPr>
            </w:pPr>
            <w:r>
              <w:rPr>
                <w:rFonts w:ascii="Arial" w:cs="Arial" w:eastAsia="Arial" w:hAnsi="Arial"/>
                <w:sz w:val="16"/>
                <w:szCs w:val="16"/>
                <w:color w:val="auto"/>
              </w:rPr>
              <w:t>–</w:t>
            </w:r>
          </w:p>
        </w:tc>
        <w:tc>
          <w:tcPr>
            <w:tcW w:w="2020" w:type="dxa"/>
            <w:vAlign w:val="bottom"/>
            <w:tcBorders>
              <w:top w:val="single" w:sz="8" w:color="572C83"/>
            </w:tcBorders>
          </w:tcPr>
          <w:p>
            <w:pPr>
              <w:jc w:val="right"/>
              <w:ind w:right="2"/>
              <w:spacing w:after="0"/>
              <w:rPr>
                <w:sz w:val="20"/>
                <w:szCs w:val="20"/>
                <w:color w:val="auto"/>
              </w:rPr>
            </w:pPr>
            <w:r>
              <w:rPr>
                <w:rFonts w:ascii="Arial" w:cs="Arial" w:eastAsia="Arial" w:hAnsi="Arial"/>
                <w:sz w:val="16"/>
                <w:szCs w:val="16"/>
                <w:color w:val="auto"/>
              </w:rPr>
              <w:t>813,944</w:t>
            </w:r>
          </w:p>
        </w:tc>
      </w:tr>
      <w:tr>
        <w:trPr>
          <w:trHeight w:val="27"/>
        </w:trPr>
        <w:tc>
          <w:tcPr>
            <w:tcW w:w="1700" w:type="dxa"/>
            <w:vAlign w:val="bottom"/>
          </w:tcPr>
          <w:p>
            <w:pPr>
              <w:spacing w:after="0"/>
              <w:rPr>
                <w:sz w:val="2"/>
                <w:szCs w:val="2"/>
                <w:color w:val="auto"/>
              </w:rPr>
            </w:pPr>
          </w:p>
        </w:tc>
        <w:tc>
          <w:tcPr>
            <w:tcW w:w="2380" w:type="dxa"/>
            <w:vAlign w:val="bottom"/>
            <w:tcBorders>
              <w:bottom w:val="single" w:sz="8" w:color="572C83"/>
            </w:tcBorders>
          </w:tcPr>
          <w:p>
            <w:pPr>
              <w:spacing w:after="0"/>
              <w:rPr>
                <w:sz w:val="2"/>
                <w:szCs w:val="2"/>
                <w:color w:val="auto"/>
              </w:rPr>
            </w:pPr>
          </w:p>
        </w:tc>
        <w:tc>
          <w:tcPr>
            <w:tcW w:w="1240" w:type="dxa"/>
            <w:vAlign w:val="bottom"/>
            <w:tcBorders>
              <w:bottom w:val="single" w:sz="8" w:color="572C83"/>
            </w:tcBorders>
          </w:tcPr>
          <w:p>
            <w:pPr>
              <w:spacing w:after="0"/>
              <w:rPr>
                <w:sz w:val="2"/>
                <w:szCs w:val="2"/>
                <w:color w:val="auto"/>
              </w:rPr>
            </w:pPr>
          </w:p>
        </w:tc>
        <w:tc>
          <w:tcPr>
            <w:tcW w:w="1240" w:type="dxa"/>
            <w:vAlign w:val="bottom"/>
            <w:tcBorders>
              <w:bottom w:val="single" w:sz="8" w:color="572C83"/>
            </w:tcBorders>
          </w:tcPr>
          <w:p>
            <w:pPr>
              <w:spacing w:after="0"/>
              <w:rPr>
                <w:sz w:val="2"/>
                <w:szCs w:val="2"/>
                <w:color w:val="auto"/>
              </w:rPr>
            </w:pPr>
          </w:p>
        </w:tc>
        <w:tc>
          <w:tcPr>
            <w:tcW w:w="1000" w:type="dxa"/>
            <w:vAlign w:val="bottom"/>
            <w:tcBorders>
              <w:bottom w:val="single" w:sz="8" w:color="572C83"/>
            </w:tcBorders>
          </w:tcPr>
          <w:p>
            <w:pPr>
              <w:spacing w:after="0"/>
              <w:rPr>
                <w:sz w:val="2"/>
                <w:szCs w:val="2"/>
                <w:color w:val="auto"/>
              </w:rPr>
            </w:pPr>
          </w:p>
        </w:tc>
        <w:tc>
          <w:tcPr>
            <w:tcW w:w="1680" w:type="dxa"/>
            <w:vAlign w:val="bottom"/>
            <w:tcBorders>
              <w:bottom w:val="single" w:sz="8" w:color="572C83"/>
            </w:tcBorders>
          </w:tcPr>
          <w:p>
            <w:pPr>
              <w:spacing w:after="0"/>
              <w:rPr>
                <w:sz w:val="2"/>
                <w:szCs w:val="2"/>
                <w:color w:val="auto"/>
              </w:rPr>
            </w:pPr>
          </w:p>
        </w:tc>
        <w:tc>
          <w:tcPr>
            <w:tcW w:w="2020" w:type="dxa"/>
            <w:vAlign w:val="bottom"/>
            <w:tcBorders>
              <w:bottom w:val="single" w:sz="8" w:color="572C83"/>
            </w:tcBorders>
          </w:tcPr>
          <w:p>
            <w:pPr>
              <w:spacing w:after="0"/>
              <w:rPr>
                <w:sz w:val="2"/>
                <w:szCs w:val="2"/>
                <w:color w:val="auto"/>
              </w:rPr>
            </w:pPr>
          </w:p>
        </w:tc>
      </w:tr>
      <w:tr>
        <w:trPr>
          <w:trHeight w:val="243"/>
        </w:trPr>
        <w:tc>
          <w:tcPr>
            <w:tcW w:w="1700" w:type="dxa"/>
            <w:vAlign w:val="bottom"/>
          </w:tcPr>
          <w:p>
            <w:pPr>
              <w:spacing w:after="0"/>
              <w:rPr>
                <w:sz w:val="21"/>
                <w:szCs w:val="21"/>
                <w:color w:val="auto"/>
              </w:rPr>
            </w:pPr>
          </w:p>
        </w:tc>
        <w:tc>
          <w:tcPr>
            <w:tcW w:w="2380" w:type="dxa"/>
            <w:vAlign w:val="bottom"/>
          </w:tcPr>
          <w:p>
            <w:pPr>
              <w:ind w:left="60"/>
              <w:spacing w:after="0"/>
              <w:rPr>
                <w:sz w:val="20"/>
                <w:szCs w:val="20"/>
                <w:color w:val="auto"/>
              </w:rPr>
            </w:pPr>
            <w:r>
              <w:rPr>
                <w:rFonts w:ascii="Arial" w:cs="Arial" w:eastAsia="Arial" w:hAnsi="Arial"/>
                <w:sz w:val="16"/>
                <w:szCs w:val="16"/>
                <w:color w:val="auto"/>
              </w:rPr>
              <w:t>MEDCP</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87,262</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-3,876</w:t>
            </w:r>
          </w:p>
        </w:tc>
        <w:tc>
          <w:tcPr>
            <w:tcW w:w="16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2"/>
              <w:spacing w:after="0"/>
              <w:rPr>
                <w:sz w:val="20"/>
                <w:szCs w:val="20"/>
                <w:color w:val="auto"/>
              </w:rPr>
            </w:pPr>
            <w:r>
              <w:rPr>
                <w:rFonts w:ascii="Arial" w:cs="Arial" w:eastAsia="Arial" w:hAnsi="Arial"/>
                <w:sz w:val="16"/>
                <w:szCs w:val="16"/>
                <w:color w:val="auto"/>
              </w:rPr>
              <w:t>83,385</w:t>
            </w:r>
          </w:p>
        </w:tc>
      </w:tr>
      <w:tr>
        <w:trPr>
          <w:trHeight w:val="35"/>
        </w:trPr>
        <w:tc>
          <w:tcPr>
            <w:tcW w:w="1700" w:type="dxa"/>
            <w:vAlign w:val="bottom"/>
            <w:tcBorders>
              <w:bottom w:val="single" w:sz="8" w:color="572C83"/>
            </w:tcBorders>
          </w:tcPr>
          <w:p>
            <w:pPr>
              <w:spacing w:after="0"/>
              <w:rPr>
                <w:sz w:val="3"/>
                <w:szCs w:val="3"/>
                <w:color w:val="auto"/>
              </w:rPr>
            </w:pPr>
          </w:p>
        </w:tc>
        <w:tc>
          <w:tcPr>
            <w:tcW w:w="238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680" w:type="dxa"/>
            <w:vAlign w:val="bottom"/>
            <w:tcBorders>
              <w:bottom w:val="single" w:sz="8" w:color="572C83"/>
            </w:tcBorders>
          </w:tcPr>
          <w:p>
            <w:pPr>
              <w:spacing w:after="0"/>
              <w:rPr>
                <w:sz w:val="3"/>
                <w:szCs w:val="3"/>
                <w:color w:val="auto"/>
              </w:rPr>
            </w:pPr>
          </w:p>
        </w:tc>
        <w:tc>
          <w:tcPr>
            <w:tcW w:w="2020" w:type="dxa"/>
            <w:vAlign w:val="bottom"/>
            <w:tcBorders>
              <w:bottom w:val="single" w:sz="8" w:color="572C83"/>
            </w:tcBorders>
          </w:tcPr>
          <w:p>
            <w:pPr>
              <w:spacing w:after="0"/>
              <w:rPr>
                <w:sz w:val="3"/>
                <w:szCs w:val="3"/>
                <w:color w:val="auto"/>
              </w:rPr>
            </w:pPr>
          </w:p>
        </w:tc>
      </w:tr>
      <w:tr>
        <w:trPr>
          <w:trHeight w:val="258"/>
        </w:trPr>
        <w:tc>
          <w:tcPr>
            <w:tcW w:w="170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Valle, Gustavo</w:t>
            </w:r>
          </w:p>
        </w:tc>
        <w:tc>
          <w:tcPr>
            <w:tcW w:w="2380" w:type="dxa"/>
            <w:vAlign w:val="bottom"/>
            <w:tcBorders>
              <w:bottom w:val="single" w:sz="8" w:color="EBE6F0"/>
              <w:right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Supplemental Benefits Plan</w:t>
            </w:r>
          </w:p>
        </w:tc>
        <w:tc>
          <w:tcPr>
            <w:tcW w:w="1240" w:type="dxa"/>
            <w:vAlign w:val="bottom"/>
            <w:tcBorders>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73,485</w:t>
            </w:r>
          </w:p>
        </w:tc>
        <w:tc>
          <w:tcPr>
            <w:tcW w:w="1240" w:type="dxa"/>
            <w:vAlign w:val="bottom"/>
            <w:tcBorders>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110,227</w:t>
            </w:r>
          </w:p>
        </w:tc>
        <w:tc>
          <w:tcPr>
            <w:tcW w:w="1000" w:type="dxa"/>
            <w:vAlign w:val="bottom"/>
            <w:tcBorders>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3,126</w:t>
            </w:r>
          </w:p>
        </w:tc>
        <w:tc>
          <w:tcPr>
            <w:tcW w:w="1680" w:type="dxa"/>
            <w:vAlign w:val="bottom"/>
            <w:tcBorders>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EBE6F0"/>
              <w:right w:val="single" w:sz="8" w:color="EBE6F0"/>
            </w:tcBorders>
            <w:shd w:val="clear" w:color="auto" w:fill="EBE6F0"/>
          </w:tcPr>
          <w:p>
            <w:pPr>
              <w:jc w:val="right"/>
              <w:ind w:right="2"/>
              <w:spacing w:after="0"/>
              <w:rPr>
                <w:sz w:val="20"/>
                <w:szCs w:val="20"/>
                <w:color w:val="auto"/>
              </w:rPr>
            </w:pPr>
            <w:r>
              <w:rPr>
                <w:rFonts w:ascii="Arial" w:cs="Arial" w:eastAsia="Arial" w:hAnsi="Arial"/>
                <w:sz w:val="16"/>
                <w:szCs w:val="16"/>
                <w:color w:val="auto"/>
              </w:rPr>
              <w:t>232,729</w:t>
            </w:r>
          </w:p>
        </w:tc>
      </w:tr>
      <w:tr>
        <w:trPr>
          <w:trHeight w:val="20"/>
        </w:trPr>
        <w:tc>
          <w:tcPr>
            <w:tcW w:w="1700" w:type="dxa"/>
            <w:vAlign w:val="bottom"/>
            <w:tcBorders>
              <w:left w:val="single" w:sz="8" w:color="EBE6F0"/>
              <w:right w:val="single" w:sz="8" w:color="EBE6F0"/>
            </w:tcBorders>
            <w:shd w:val="clear" w:color="auto" w:fill="572C83"/>
          </w:tcPr>
          <w:p>
            <w:pPr>
              <w:spacing w:after="0" w:line="20" w:lineRule="exact"/>
              <w:rPr>
                <w:sz w:val="1"/>
                <w:szCs w:val="1"/>
                <w:color w:val="auto"/>
              </w:rPr>
            </w:pPr>
          </w:p>
        </w:tc>
        <w:tc>
          <w:tcPr>
            <w:tcW w:w="2380" w:type="dxa"/>
            <w:vAlign w:val="bottom"/>
            <w:tcBorders>
              <w:right w:val="single" w:sz="8" w:color="EBE6F0"/>
            </w:tcBorders>
            <w:shd w:val="clear" w:color="auto" w:fill="572C83"/>
          </w:tcPr>
          <w:p>
            <w:pPr>
              <w:spacing w:after="0" w:line="20" w:lineRule="exact"/>
              <w:rPr>
                <w:sz w:val="1"/>
                <w:szCs w:val="1"/>
                <w:color w:val="auto"/>
              </w:rPr>
            </w:pPr>
          </w:p>
        </w:tc>
        <w:tc>
          <w:tcPr>
            <w:tcW w:w="1240" w:type="dxa"/>
            <w:vAlign w:val="bottom"/>
            <w:tcBorders>
              <w:right w:val="single" w:sz="8" w:color="EBE6F0"/>
            </w:tcBorders>
            <w:shd w:val="clear" w:color="auto" w:fill="572C83"/>
          </w:tcPr>
          <w:p>
            <w:pPr>
              <w:spacing w:after="0" w:line="20" w:lineRule="exact"/>
              <w:rPr>
                <w:sz w:val="1"/>
                <w:szCs w:val="1"/>
                <w:color w:val="auto"/>
              </w:rPr>
            </w:pPr>
          </w:p>
        </w:tc>
        <w:tc>
          <w:tcPr>
            <w:tcW w:w="1240" w:type="dxa"/>
            <w:vAlign w:val="bottom"/>
            <w:tcBorders>
              <w:right w:val="single" w:sz="8" w:color="EBE6F0"/>
            </w:tcBorders>
            <w:shd w:val="clear" w:color="auto" w:fill="572C83"/>
          </w:tcPr>
          <w:p>
            <w:pPr>
              <w:spacing w:after="0" w:line="20" w:lineRule="exact"/>
              <w:rPr>
                <w:sz w:val="1"/>
                <w:szCs w:val="1"/>
                <w:color w:val="auto"/>
              </w:rPr>
            </w:pPr>
          </w:p>
        </w:tc>
        <w:tc>
          <w:tcPr>
            <w:tcW w:w="1000" w:type="dxa"/>
            <w:vAlign w:val="bottom"/>
            <w:tcBorders>
              <w:right w:val="single" w:sz="8" w:color="EBE6F0"/>
            </w:tcBorders>
            <w:shd w:val="clear" w:color="auto" w:fill="572C83"/>
          </w:tcPr>
          <w:p>
            <w:pPr>
              <w:spacing w:after="0" w:line="20" w:lineRule="exact"/>
              <w:rPr>
                <w:sz w:val="1"/>
                <w:szCs w:val="1"/>
                <w:color w:val="auto"/>
              </w:rPr>
            </w:pPr>
          </w:p>
        </w:tc>
        <w:tc>
          <w:tcPr>
            <w:tcW w:w="1680" w:type="dxa"/>
            <w:vAlign w:val="bottom"/>
            <w:tcBorders>
              <w:right w:val="single" w:sz="8" w:color="EBE6F0"/>
            </w:tcBorders>
            <w:shd w:val="clear" w:color="auto" w:fill="572C83"/>
          </w:tcPr>
          <w:p>
            <w:pPr>
              <w:spacing w:after="0" w:line="20" w:lineRule="exact"/>
              <w:rPr>
                <w:sz w:val="1"/>
                <w:szCs w:val="1"/>
                <w:color w:val="auto"/>
              </w:rPr>
            </w:pPr>
          </w:p>
        </w:tc>
        <w:tc>
          <w:tcPr>
            <w:tcW w:w="2020" w:type="dxa"/>
            <w:vAlign w:val="bottom"/>
            <w:tcBorders>
              <w:right w:val="single" w:sz="8" w:color="EBE6F0"/>
            </w:tcBorders>
            <w:shd w:val="clear" w:color="auto" w:fill="572C83"/>
          </w:tcPr>
          <w:p>
            <w:pPr>
              <w:spacing w:after="0" w:line="20" w:lineRule="exact"/>
              <w:rPr>
                <w:sz w:val="1"/>
                <w:szCs w:val="1"/>
                <w:color w:val="auto"/>
              </w:rPr>
            </w:pPr>
          </w:p>
        </w:tc>
      </w:tr>
    </w:tbl>
    <w:p>
      <w:pPr>
        <w:spacing w:after="0" w:line="75" w:lineRule="exact"/>
        <w:rPr>
          <w:sz w:val="20"/>
          <w:szCs w:val="20"/>
          <w:color w:val="auto"/>
        </w:rPr>
      </w:pPr>
    </w:p>
    <w:p>
      <w:pPr>
        <w:ind w:left="380" w:right="380" w:hanging="299"/>
        <w:spacing w:after="0" w:line="275" w:lineRule="auto"/>
        <w:tabs>
          <w:tab w:leader="none" w:pos="3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Base salary and 2022 AIP award are included in the 2022 Summary Compensation Table. The 2022 deferred compensation amounts attributable to base salary and 2022 AIP awards for participating NEOs are as follows:</w:t>
      </w:r>
    </w:p>
    <w:p>
      <w:pPr>
        <w:spacing w:after="0" w:line="52"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3240" w:type="dxa"/>
            <w:vAlign w:val="bottom"/>
            <w:tcBorders>
              <w:bottom w:val="single" w:sz="8" w:color="582C83"/>
            </w:tcBorders>
          </w:tcPr>
          <w:p>
            <w:pPr>
              <w:ind w:left="40"/>
              <w:spacing w:after="0"/>
              <w:rPr>
                <w:sz w:val="20"/>
                <w:szCs w:val="20"/>
                <w:color w:val="auto"/>
              </w:rPr>
            </w:pPr>
            <w:r>
              <w:rPr>
                <w:rFonts w:ascii="Arial" w:cs="Arial" w:eastAsia="Arial" w:hAnsi="Arial"/>
                <w:sz w:val="15"/>
                <w:szCs w:val="15"/>
                <w:b w:val="1"/>
                <w:bCs w:val="1"/>
                <w:color w:val="auto"/>
              </w:rPr>
              <w:t>Name</w:t>
            </w:r>
          </w:p>
        </w:tc>
        <w:tc>
          <w:tcPr>
            <w:tcW w:w="3440" w:type="dxa"/>
            <w:vAlign w:val="bottom"/>
            <w:tcBorders>
              <w:bottom w:val="single" w:sz="8" w:color="582C83"/>
            </w:tcBorders>
          </w:tcPr>
          <w:p>
            <w:pPr>
              <w:spacing w:after="0"/>
              <w:rPr>
                <w:sz w:val="20"/>
                <w:szCs w:val="20"/>
                <w:color w:val="auto"/>
              </w:rPr>
            </w:pPr>
            <w:r>
              <w:rPr>
                <w:rFonts w:ascii="Arial" w:cs="Arial" w:eastAsia="Arial" w:hAnsi="Arial"/>
                <w:sz w:val="15"/>
                <w:szCs w:val="15"/>
                <w:b w:val="1"/>
                <w:bCs w:val="1"/>
                <w:color w:val="auto"/>
              </w:rPr>
              <w:t>Plan</w:t>
            </w:r>
          </w:p>
        </w:tc>
        <w:tc>
          <w:tcPr>
            <w:tcW w:w="20" w:type="dxa"/>
            <w:vAlign w:val="bottom"/>
            <w:tcBorders>
              <w:bottom w:val="single" w:sz="8" w:color="582C83"/>
            </w:tcBorders>
          </w:tcPr>
          <w:p>
            <w:pPr>
              <w:spacing w:after="0"/>
              <w:rPr>
                <w:sz w:val="19"/>
                <w:szCs w:val="19"/>
                <w:color w:val="auto"/>
              </w:rPr>
            </w:pPr>
          </w:p>
        </w:tc>
        <w:tc>
          <w:tcPr>
            <w:tcW w:w="204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b w:val="1"/>
                <w:bCs w:val="1"/>
                <w:color w:val="auto"/>
              </w:rPr>
              <w:t>Base Salary ($)</w:t>
            </w:r>
          </w:p>
        </w:tc>
        <w:tc>
          <w:tcPr>
            <w:tcW w:w="204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b w:val="1"/>
                <w:bCs w:val="1"/>
                <w:color w:val="auto"/>
              </w:rPr>
              <w:t>AIP Award ($)</w:t>
            </w:r>
          </w:p>
        </w:tc>
        <w:tc>
          <w:tcPr>
            <w:tcW w:w="20" w:type="dxa"/>
            <w:vAlign w:val="bottom"/>
            <w:tcBorders>
              <w:bottom w:val="single" w:sz="8" w:color="582C83"/>
            </w:tcBorders>
          </w:tcPr>
          <w:p>
            <w:pPr>
              <w:spacing w:after="0"/>
              <w:rPr>
                <w:sz w:val="19"/>
                <w:szCs w:val="19"/>
                <w:color w:val="auto"/>
              </w:rPr>
            </w:pPr>
          </w:p>
        </w:tc>
      </w:tr>
      <w:tr>
        <w:trPr>
          <w:trHeight w:val="278"/>
        </w:trPr>
        <w:tc>
          <w:tcPr>
            <w:tcW w:w="324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5"/>
                <w:szCs w:val="15"/>
                <w:color w:val="auto"/>
              </w:rPr>
              <w:t>Van de Put, Dirk</w:t>
            </w:r>
          </w:p>
        </w:tc>
        <w:tc>
          <w:tcPr>
            <w:tcW w:w="3440" w:type="dxa"/>
            <w:vAlign w:val="bottom"/>
            <w:tcBorders>
              <w:bottom w:val="single" w:sz="8" w:color="EBE6F0"/>
            </w:tcBorders>
            <w:shd w:val="clear" w:color="auto" w:fill="EBE6F0"/>
          </w:tcPr>
          <w:p>
            <w:pPr>
              <w:ind w:left="20"/>
              <w:spacing w:after="0"/>
              <w:rPr>
                <w:sz w:val="20"/>
                <w:szCs w:val="20"/>
                <w:color w:val="auto"/>
              </w:rPr>
            </w:pPr>
            <w:r>
              <w:rPr>
                <w:rFonts w:ascii="Arial" w:cs="Arial" w:eastAsia="Arial" w:hAnsi="Arial"/>
                <w:sz w:val="15"/>
                <w:szCs w:val="15"/>
                <w:color w:val="auto"/>
              </w:rPr>
              <w:t>Supplemental Benefits Plan</w:t>
            </w:r>
          </w:p>
        </w:tc>
        <w:tc>
          <w:tcPr>
            <w:tcW w:w="20" w:type="dxa"/>
            <w:vAlign w:val="bottom"/>
            <w:tcBorders>
              <w:bottom w:val="single" w:sz="8" w:color="EBE6F0"/>
            </w:tcBorders>
            <w:shd w:val="clear" w:color="auto" w:fill="EBE6F0"/>
          </w:tcPr>
          <w:p>
            <w:pPr>
              <w:spacing w:after="0"/>
              <w:rPr>
                <w:sz w:val="23"/>
                <w:szCs w:val="23"/>
                <w:color w:val="auto"/>
              </w:rPr>
            </w:pPr>
          </w:p>
        </w:tc>
        <w:tc>
          <w:tcPr>
            <w:tcW w:w="2040" w:type="dxa"/>
            <w:vAlign w:val="bottom"/>
            <w:tcBorders>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74,954</w:t>
            </w:r>
          </w:p>
        </w:tc>
        <w:tc>
          <w:tcPr>
            <w:tcW w:w="2040" w:type="dxa"/>
            <w:vAlign w:val="bottom"/>
            <w:tcBorders>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150,523</w:t>
            </w:r>
          </w:p>
        </w:tc>
        <w:tc>
          <w:tcPr>
            <w:tcW w:w="20" w:type="dxa"/>
            <w:vAlign w:val="bottom"/>
            <w:tcBorders>
              <w:bottom w:val="single" w:sz="8" w:color="EBE6F0"/>
            </w:tcBorders>
            <w:shd w:val="clear" w:color="auto" w:fill="EBE6F0"/>
          </w:tcPr>
          <w:p>
            <w:pPr>
              <w:spacing w:after="0"/>
              <w:rPr>
                <w:sz w:val="23"/>
                <w:szCs w:val="23"/>
                <w:color w:val="auto"/>
              </w:rPr>
            </w:pPr>
          </w:p>
        </w:tc>
      </w:tr>
      <w:tr>
        <w:trPr>
          <w:trHeight w:val="271"/>
        </w:trPr>
        <w:tc>
          <w:tcPr>
            <w:tcW w:w="3240" w:type="dxa"/>
            <w:vAlign w:val="bottom"/>
            <w:tcBorders>
              <w:top w:val="single" w:sz="8" w:color="EBE6F0"/>
              <w:bottom w:val="single" w:sz="8" w:color="EBE6F0"/>
            </w:tcBorders>
            <w:shd w:val="clear" w:color="auto" w:fill="EBE6F0"/>
          </w:tcPr>
          <w:p>
            <w:pPr>
              <w:spacing w:after="0"/>
              <w:rPr>
                <w:sz w:val="23"/>
                <w:szCs w:val="23"/>
                <w:color w:val="auto"/>
              </w:rPr>
            </w:pPr>
          </w:p>
        </w:tc>
        <w:tc>
          <w:tcPr>
            <w:tcW w:w="3440" w:type="dxa"/>
            <w:vAlign w:val="bottom"/>
            <w:tcBorders>
              <w:top w:val="single" w:sz="8" w:color="572C83"/>
              <w:bottom w:val="single" w:sz="8" w:color="EBE6F0"/>
            </w:tcBorders>
            <w:shd w:val="clear" w:color="auto" w:fill="EBE6F0"/>
          </w:tcPr>
          <w:p>
            <w:pPr>
              <w:ind w:left="20"/>
              <w:spacing w:after="0"/>
              <w:rPr>
                <w:sz w:val="20"/>
                <w:szCs w:val="20"/>
                <w:color w:val="auto"/>
              </w:rPr>
            </w:pPr>
            <w:r>
              <w:rPr>
                <w:rFonts w:ascii="Arial" w:cs="Arial" w:eastAsia="Arial" w:hAnsi="Arial"/>
                <w:sz w:val="15"/>
                <w:szCs w:val="15"/>
                <w:color w:val="auto"/>
              </w:rPr>
              <w:t>MEDCP</w:t>
            </w:r>
          </w:p>
        </w:tc>
        <w:tc>
          <w:tcPr>
            <w:tcW w:w="20" w:type="dxa"/>
            <w:vAlign w:val="bottom"/>
            <w:tcBorders>
              <w:top w:val="single" w:sz="8" w:color="EBE6F0"/>
              <w:bottom w:val="single" w:sz="8" w:color="EBE6F0"/>
            </w:tcBorders>
            <w:shd w:val="clear" w:color="auto" w:fill="EBE6F0"/>
          </w:tcPr>
          <w:p>
            <w:pPr>
              <w:spacing w:after="0"/>
              <w:rPr>
                <w:sz w:val="23"/>
                <w:szCs w:val="23"/>
                <w:color w:val="auto"/>
              </w:rPr>
            </w:pPr>
          </w:p>
        </w:tc>
        <w:tc>
          <w:tcPr>
            <w:tcW w:w="2040" w:type="dxa"/>
            <w:vAlign w:val="bottom"/>
            <w:tcBorders>
              <w:top w:val="single" w:sz="8" w:color="572C83"/>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w:t>
            </w:r>
          </w:p>
        </w:tc>
        <w:tc>
          <w:tcPr>
            <w:tcW w:w="2040" w:type="dxa"/>
            <w:vAlign w:val="bottom"/>
            <w:tcBorders>
              <w:top w:val="single" w:sz="8" w:color="572C83"/>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w:t>
            </w:r>
          </w:p>
        </w:tc>
        <w:tc>
          <w:tcPr>
            <w:tcW w:w="20" w:type="dxa"/>
            <w:vAlign w:val="bottom"/>
            <w:tcBorders>
              <w:top w:val="single" w:sz="8" w:color="EBE6F0"/>
              <w:bottom w:val="single" w:sz="8" w:color="EBE6F0"/>
            </w:tcBorders>
            <w:shd w:val="clear" w:color="auto" w:fill="EBE6F0"/>
          </w:tcPr>
          <w:p>
            <w:pPr>
              <w:spacing w:after="0"/>
              <w:rPr>
                <w:sz w:val="23"/>
                <w:szCs w:val="23"/>
                <w:color w:val="auto"/>
              </w:rPr>
            </w:pPr>
          </w:p>
        </w:tc>
      </w:tr>
      <w:tr>
        <w:trPr>
          <w:trHeight w:val="227"/>
        </w:trPr>
        <w:tc>
          <w:tcPr>
            <w:tcW w:w="3240" w:type="dxa"/>
            <w:vAlign w:val="bottom"/>
            <w:tcBorders>
              <w:top w:val="single" w:sz="8" w:color="572C83"/>
            </w:tcBorders>
          </w:tcPr>
          <w:p>
            <w:pPr>
              <w:ind w:left="40"/>
              <w:spacing w:after="0"/>
              <w:rPr>
                <w:sz w:val="20"/>
                <w:szCs w:val="20"/>
                <w:color w:val="auto"/>
              </w:rPr>
            </w:pPr>
            <w:r>
              <w:rPr>
                <w:rFonts w:ascii="Arial" w:cs="Arial" w:eastAsia="Arial" w:hAnsi="Arial"/>
                <w:sz w:val="15"/>
                <w:szCs w:val="15"/>
                <w:color w:val="auto"/>
              </w:rPr>
              <w:t>Zaramella, Luca</w:t>
            </w:r>
          </w:p>
        </w:tc>
        <w:tc>
          <w:tcPr>
            <w:tcW w:w="3440" w:type="dxa"/>
            <w:vAlign w:val="bottom"/>
            <w:tcBorders>
              <w:top w:val="single" w:sz="8" w:color="572C83"/>
            </w:tcBorders>
          </w:tcPr>
          <w:p>
            <w:pPr>
              <w:spacing w:after="0"/>
              <w:rPr>
                <w:sz w:val="20"/>
                <w:szCs w:val="20"/>
                <w:color w:val="auto"/>
              </w:rPr>
            </w:pPr>
            <w:r>
              <w:rPr>
                <w:rFonts w:ascii="Arial" w:cs="Arial" w:eastAsia="Arial" w:hAnsi="Arial"/>
                <w:sz w:val="15"/>
                <w:szCs w:val="15"/>
                <w:color w:val="auto"/>
              </w:rPr>
              <w:t>Supplemental Benefits Plan</w:t>
            </w:r>
          </w:p>
        </w:tc>
        <w:tc>
          <w:tcPr>
            <w:tcW w:w="2060" w:type="dxa"/>
            <w:vAlign w:val="bottom"/>
            <w:tcBorders>
              <w:top w:val="single" w:sz="8" w:color="572C83"/>
            </w:tcBorders>
            <w:gridSpan w:val="2"/>
          </w:tcPr>
          <w:p>
            <w:pPr>
              <w:jc w:val="right"/>
              <w:ind w:right="6"/>
              <w:spacing w:after="0"/>
              <w:rPr>
                <w:sz w:val="20"/>
                <w:szCs w:val="20"/>
                <w:color w:val="auto"/>
              </w:rPr>
            </w:pPr>
            <w:r>
              <w:rPr>
                <w:rFonts w:ascii="Arial" w:cs="Arial" w:eastAsia="Arial" w:hAnsi="Arial"/>
                <w:sz w:val="15"/>
                <w:szCs w:val="15"/>
                <w:color w:val="auto"/>
              </w:rPr>
              <w:t>38,294</w:t>
            </w:r>
          </w:p>
        </w:tc>
        <w:tc>
          <w:tcPr>
            <w:tcW w:w="2040" w:type="dxa"/>
            <w:vAlign w:val="bottom"/>
            <w:tcBorders>
              <w:top w:val="single" w:sz="8" w:color="572C83"/>
            </w:tcBorders>
          </w:tcPr>
          <w:p>
            <w:pPr>
              <w:jc w:val="right"/>
              <w:ind w:right="6"/>
              <w:spacing w:after="0"/>
              <w:rPr>
                <w:sz w:val="20"/>
                <w:szCs w:val="20"/>
                <w:color w:val="auto"/>
              </w:rPr>
            </w:pPr>
            <w:r>
              <w:rPr>
                <w:rFonts w:ascii="Arial" w:cs="Arial" w:eastAsia="Arial" w:hAnsi="Arial"/>
                <w:sz w:val="15"/>
                <w:szCs w:val="15"/>
                <w:color w:val="auto"/>
              </w:rPr>
              <w:t>36,937</w:t>
            </w:r>
          </w:p>
        </w:tc>
        <w:tc>
          <w:tcPr>
            <w:tcW w:w="20" w:type="dxa"/>
            <w:vAlign w:val="bottom"/>
            <w:tcBorders>
              <w:top w:val="single" w:sz="8" w:color="572C83"/>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24765</wp:posOffset>
            </wp:positionV>
            <wp:extent cx="4793615"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4793615" cy="7620"/>
                    </a:xfrm>
                    <a:prstGeom prst="rect">
                      <a:avLst/>
                    </a:prstGeom>
                    <a:noFill/>
                  </pic:spPr>
                </pic:pic>
              </a:graphicData>
            </a:graphic>
          </wp:anchor>
        </w:drawing>
      </w:r>
    </w:p>
    <w:p>
      <w:pPr>
        <w:spacing w:after="0" w:line="68"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32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MEDCP</w:t>
            </w:r>
          </w:p>
        </w:tc>
        <w:tc>
          <w:tcPr>
            <w:tcW w:w="2040" w:type="dxa"/>
            <w:vAlign w:val="bottom"/>
          </w:tcPr>
          <w:p>
            <w:pPr>
              <w:jc w:val="right"/>
              <w:ind w:right="2"/>
              <w:spacing w:after="0"/>
              <w:rPr>
                <w:sz w:val="20"/>
                <w:szCs w:val="20"/>
                <w:color w:val="auto"/>
              </w:rPr>
            </w:pPr>
            <w:r>
              <w:rPr>
                <w:rFonts w:ascii="Arial" w:cs="Arial" w:eastAsia="Arial" w:hAnsi="Arial"/>
                <w:sz w:val="16"/>
                <w:szCs w:val="16"/>
                <w:color w:val="auto"/>
              </w:rPr>
              <w:t>87,262</w:t>
            </w:r>
          </w:p>
        </w:tc>
        <w:tc>
          <w:tcPr>
            <w:tcW w:w="206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35"/>
        </w:trPr>
        <w:tc>
          <w:tcPr>
            <w:tcW w:w="3240" w:type="dxa"/>
            <w:vAlign w:val="bottom"/>
            <w:tcBorders>
              <w:bottom w:val="single" w:sz="8" w:color="572C83"/>
            </w:tcBorders>
          </w:tcPr>
          <w:p>
            <w:pPr>
              <w:spacing w:after="0"/>
              <w:rPr>
                <w:sz w:val="3"/>
                <w:szCs w:val="3"/>
                <w:color w:val="auto"/>
              </w:rPr>
            </w:pPr>
          </w:p>
        </w:tc>
        <w:tc>
          <w:tcPr>
            <w:tcW w:w="3460" w:type="dxa"/>
            <w:vAlign w:val="bottom"/>
            <w:tcBorders>
              <w:bottom w:val="single" w:sz="8" w:color="572C83"/>
            </w:tcBorders>
          </w:tcPr>
          <w:p>
            <w:pPr>
              <w:spacing w:after="0"/>
              <w:rPr>
                <w:sz w:val="3"/>
                <w:szCs w:val="3"/>
                <w:color w:val="auto"/>
              </w:rPr>
            </w:pPr>
          </w:p>
        </w:tc>
        <w:tc>
          <w:tcPr>
            <w:tcW w:w="2040" w:type="dxa"/>
            <w:vAlign w:val="bottom"/>
            <w:tcBorders>
              <w:bottom w:val="single" w:sz="8" w:color="572C83"/>
            </w:tcBorders>
          </w:tcPr>
          <w:p>
            <w:pPr>
              <w:spacing w:after="0"/>
              <w:rPr>
                <w:sz w:val="3"/>
                <w:szCs w:val="3"/>
                <w:color w:val="auto"/>
              </w:rPr>
            </w:pPr>
          </w:p>
        </w:tc>
        <w:tc>
          <w:tcPr>
            <w:tcW w:w="2060" w:type="dxa"/>
            <w:vAlign w:val="bottom"/>
            <w:tcBorders>
              <w:bottom w:val="single" w:sz="8" w:color="572C83"/>
            </w:tcBorders>
          </w:tcPr>
          <w:p>
            <w:pPr>
              <w:spacing w:after="0"/>
              <w:rPr>
                <w:sz w:val="3"/>
                <w:szCs w:val="3"/>
                <w:color w:val="auto"/>
              </w:rPr>
            </w:pPr>
          </w:p>
        </w:tc>
      </w:tr>
      <w:tr>
        <w:trPr>
          <w:trHeight w:val="246"/>
        </w:trPr>
        <w:tc>
          <w:tcPr>
            <w:tcW w:w="324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5"/>
                <w:szCs w:val="15"/>
                <w:color w:val="auto"/>
              </w:rPr>
              <w:t>Valle, Gustavo</w:t>
            </w:r>
          </w:p>
        </w:tc>
        <w:tc>
          <w:tcPr>
            <w:tcW w:w="3460" w:type="dxa"/>
            <w:vAlign w:val="bottom"/>
            <w:tcBorders>
              <w:bottom w:val="single" w:sz="8" w:color="EBE6F0"/>
              <w:right w:val="single" w:sz="8" w:color="EBE6F0"/>
            </w:tcBorders>
            <w:shd w:val="clear" w:color="auto" w:fill="EBE6F0"/>
          </w:tcPr>
          <w:p>
            <w:pPr>
              <w:ind w:left="20"/>
              <w:spacing w:after="0"/>
              <w:rPr>
                <w:sz w:val="20"/>
                <w:szCs w:val="20"/>
                <w:color w:val="auto"/>
              </w:rPr>
            </w:pPr>
            <w:r>
              <w:rPr>
                <w:rFonts w:ascii="Arial" w:cs="Arial" w:eastAsia="Arial" w:hAnsi="Arial"/>
                <w:sz w:val="15"/>
                <w:szCs w:val="15"/>
                <w:color w:val="auto"/>
              </w:rPr>
              <w:t>Supplemental Benefits Plan</w:t>
            </w:r>
          </w:p>
        </w:tc>
        <w:tc>
          <w:tcPr>
            <w:tcW w:w="2040" w:type="dxa"/>
            <w:vAlign w:val="bottom"/>
            <w:tcBorders>
              <w:bottom w:val="single" w:sz="8" w:color="EBE6F0"/>
            </w:tcBorders>
            <w:shd w:val="clear" w:color="auto" w:fill="EBE6F0"/>
          </w:tcPr>
          <w:p>
            <w:pPr>
              <w:jc w:val="right"/>
              <w:ind w:right="2"/>
              <w:spacing w:after="0"/>
              <w:rPr>
                <w:sz w:val="20"/>
                <w:szCs w:val="20"/>
                <w:color w:val="auto"/>
              </w:rPr>
            </w:pPr>
            <w:r>
              <w:rPr>
                <w:rFonts w:ascii="Arial" w:cs="Arial" w:eastAsia="Arial" w:hAnsi="Arial"/>
                <w:sz w:val="15"/>
                <w:szCs w:val="15"/>
                <w:color w:val="auto"/>
              </w:rPr>
              <w:t>34,666</w:t>
            </w:r>
          </w:p>
        </w:tc>
        <w:tc>
          <w:tcPr>
            <w:tcW w:w="2060" w:type="dxa"/>
            <w:vAlign w:val="bottom"/>
            <w:tcBorders>
              <w:bottom w:val="single" w:sz="8" w:color="EBE6F0"/>
              <w:right w:val="single" w:sz="8" w:color="EBE6F0"/>
            </w:tcBorders>
            <w:shd w:val="clear" w:color="auto" w:fill="EBE6F0"/>
          </w:tcPr>
          <w:p>
            <w:pPr>
              <w:jc w:val="right"/>
              <w:ind w:right="22"/>
              <w:spacing w:after="0"/>
              <w:rPr>
                <w:sz w:val="20"/>
                <w:szCs w:val="20"/>
                <w:color w:val="auto"/>
              </w:rPr>
            </w:pPr>
            <w:r>
              <w:rPr>
                <w:rFonts w:ascii="Arial" w:cs="Arial" w:eastAsia="Arial" w:hAnsi="Arial"/>
                <w:sz w:val="15"/>
                <w:szCs w:val="15"/>
                <w:color w:val="auto"/>
              </w:rPr>
              <w:t>38,819</w:t>
            </w:r>
          </w:p>
        </w:tc>
      </w:tr>
      <w:tr>
        <w:trPr>
          <w:trHeight w:val="20"/>
        </w:trPr>
        <w:tc>
          <w:tcPr>
            <w:tcW w:w="3240" w:type="dxa"/>
            <w:vAlign w:val="bottom"/>
            <w:shd w:val="clear" w:color="auto" w:fill="572C83"/>
          </w:tcPr>
          <w:p>
            <w:pPr>
              <w:spacing w:after="0" w:line="20" w:lineRule="exact"/>
              <w:rPr>
                <w:sz w:val="1"/>
                <w:szCs w:val="1"/>
                <w:color w:val="auto"/>
              </w:rPr>
            </w:pPr>
          </w:p>
        </w:tc>
        <w:tc>
          <w:tcPr>
            <w:tcW w:w="3460" w:type="dxa"/>
            <w:vAlign w:val="bottom"/>
            <w:tcBorders>
              <w:right w:val="single" w:sz="8" w:color="EBE6F0"/>
            </w:tcBorders>
            <w:shd w:val="clear" w:color="auto" w:fill="572C83"/>
          </w:tcPr>
          <w:p>
            <w:pPr>
              <w:spacing w:after="0" w:line="20" w:lineRule="exact"/>
              <w:rPr>
                <w:sz w:val="1"/>
                <w:szCs w:val="1"/>
                <w:color w:val="auto"/>
              </w:rPr>
            </w:pPr>
          </w:p>
        </w:tc>
        <w:tc>
          <w:tcPr>
            <w:tcW w:w="2040" w:type="dxa"/>
            <w:vAlign w:val="bottom"/>
            <w:shd w:val="clear" w:color="auto" w:fill="572C83"/>
          </w:tcPr>
          <w:p>
            <w:pPr>
              <w:spacing w:after="0" w:line="20" w:lineRule="exact"/>
              <w:rPr>
                <w:sz w:val="1"/>
                <w:szCs w:val="1"/>
                <w:color w:val="auto"/>
              </w:rPr>
            </w:pPr>
          </w:p>
        </w:tc>
        <w:tc>
          <w:tcPr>
            <w:tcW w:w="2060" w:type="dxa"/>
            <w:vAlign w:val="bottom"/>
            <w:tcBorders>
              <w:right w:val="single" w:sz="8" w:color="EBE6F0"/>
            </w:tcBorders>
            <w:shd w:val="clear" w:color="auto" w:fill="572C83"/>
          </w:tcPr>
          <w:p>
            <w:pPr>
              <w:spacing w:after="0" w:line="20" w:lineRule="exact"/>
              <w:rPr>
                <w:sz w:val="1"/>
                <w:szCs w:val="1"/>
                <w:color w:val="auto"/>
              </w:rPr>
            </w:pPr>
          </w:p>
        </w:tc>
      </w:tr>
    </w:tbl>
    <w:p>
      <w:pPr>
        <w:spacing w:after="0" w:line="75" w:lineRule="exact"/>
        <w:rPr>
          <w:sz w:val="20"/>
          <w:szCs w:val="20"/>
          <w:color w:val="auto"/>
        </w:rPr>
      </w:pPr>
    </w:p>
    <w:p>
      <w:pPr>
        <w:ind w:left="820" w:hanging="292"/>
        <w:spacing w:after="0"/>
        <w:tabs>
          <w:tab w:leader="none" w:pos="8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Amounts in this column are also included in the “All Other Compensation” column in the 2022 Summary Compensation Table.</w:t>
      </w:r>
    </w:p>
    <w:p>
      <w:pPr>
        <w:spacing w:after="0" w:line="38" w:lineRule="exact"/>
        <w:rPr>
          <w:rFonts w:ascii="Arial" w:cs="Arial" w:eastAsia="Arial" w:hAnsi="Arial"/>
          <w:sz w:val="15"/>
          <w:szCs w:val="15"/>
          <w:color w:val="auto"/>
        </w:rPr>
      </w:pPr>
    </w:p>
    <w:p>
      <w:pPr>
        <w:ind w:left="820" w:hanging="292"/>
        <w:spacing w:after="0"/>
        <w:tabs>
          <w:tab w:leader="none" w:pos="8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Amounts in this column are at market rates and are not reflected in the 2022 Summary Compensation Table.</w:t>
      </w:r>
    </w:p>
    <w:p>
      <w:pPr>
        <w:spacing w:after="0" w:line="38" w:lineRule="exact"/>
        <w:rPr>
          <w:rFonts w:ascii="Arial" w:cs="Arial" w:eastAsia="Arial" w:hAnsi="Arial"/>
          <w:sz w:val="15"/>
          <w:szCs w:val="15"/>
          <w:color w:val="auto"/>
        </w:rPr>
      </w:pPr>
    </w:p>
    <w:p>
      <w:pPr>
        <w:ind w:left="820" w:right="300" w:hanging="292"/>
        <w:spacing w:after="0" w:line="258" w:lineRule="auto"/>
        <w:tabs>
          <w:tab w:leader="none" w:pos="8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aggregate balance includes amounts reported as compensation for our NEOs in prior years. Amounts reported attributable to base salary, AIP awards or all other compensation that were reported in the Summary Compensation Table of previously filed proxy statements for the participating NEOs are as follows: Mr. Van de Put – $1,871,275; Mr. Zaramella – $588,310 and Mr. Valle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143115"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68"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58358F"/>
        </w:rPr>
        <w:t>2023 PROXY STATEMENT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43115" cy="1587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-100965</wp:posOffset>
            </wp:positionV>
            <wp:extent cx="906780" cy="22098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MONDELĒZ GLOBAL LLC SUPPLEMENTAL BENEFITS PLAN</w:t>
      </w:r>
    </w:p>
    <w:p>
      <w:pPr>
        <w:spacing w:after="0" w:line="94"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color w:val="auto"/>
        </w:rPr>
        <w:t>Because IRS Code Sections 401(a)(17) and 415 limits the amount that may be contributed to our U.S. tax-qualified defined contribution plan on behalf of an employee, we offer our U.S.-based NEOs a supplemental defined contribution program under the Supplemental Plan. This is an unfunded non-qualified plan that allows eligible employees to defer a portion of their annual compensation (base salary and AIP awards) and receive corresponding matching amounts to the extent that their contributions to the tax-qualified defined contribution plan (and the corresponding matching contributions) are limited by Code</w:t>
      </w:r>
    </w:p>
    <w:p>
      <w:pPr>
        <w:spacing w:after="0" w:line="2" w:lineRule="exact"/>
        <w:rPr>
          <w:sz w:val="20"/>
          <w:szCs w:val="20"/>
          <w:color w:val="auto"/>
        </w:rPr>
      </w:pPr>
    </w:p>
    <w:p>
      <w:pPr>
        <w:ind w:right="400"/>
        <w:spacing w:after="0"/>
        <w:rPr>
          <w:sz w:val="20"/>
          <w:szCs w:val="20"/>
          <w:color w:val="auto"/>
        </w:rPr>
      </w:pPr>
      <w:r>
        <w:rPr>
          <w:rFonts w:ascii="Arial" w:cs="Arial" w:eastAsia="Arial" w:hAnsi="Arial"/>
          <w:sz w:val="20"/>
          <w:szCs w:val="20"/>
          <w:color w:val="auto"/>
        </w:rPr>
        <w:t>Sections 401(a)(17) or 415. In addition, employees hired after 2008 or localized to the United States after 2015, who are not otherwise eligible to participate in the Mondelēz Global LLC Retirement Plan, receive an additional non-elective Company contribution to the Supplemental Plan equal to 4.5% of eligible compensation.</w:t>
      </w:r>
    </w:p>
    <w:p>
      <w:pPr>
        <w:spacing w:after="0" w:line="134"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auto"/>
        </w:rPr>
        <w:t xml:space="preserve">The timing of distributions depends on whether the amount distributed is subject to Code Section 409A. For distributions not subject to Code Section 409A, the distribution will be made in accordance with the employee’s distribution election. For distributions subject to Code Section 409A, employees will receive their account balances in a lump sum within 90 </w:t>
      </w:r>
      <w:r>
        <w:rPr>
          <w:rFonts w:ascii="Times New Roman" w:cs="Times New Roman" w:eastAsia="Times New Roman" w:hAnsi="Times New Roman"/>
          <w:sz w:val="20"/>
          <w:szCs w:val="20"/>
          <w:color w:val="auto"/>
        </w:rPr>
        <w:t> </w:t>
      </w:r>
      <w:r>
        <w:rPr>
          <w:rFonts w:ascii="Arial" w:cs="Arial" w:eastAsia="Arial" w:hAnsi="Arial"/>
          <w:sz w:val="20"/>
          <w:szCs w:val="20"/>
          <w:color w:val="auto"/>
        </w:rPr>
        <w:t>days after separation from service. An employee who is a “specified employee” for purposes of Code Section 409A will have the lump sum delayed for six months. Amounts deferred and notional employer matching contributions earn the same notional rate of return as the Income Fund, which is a market rate investment option available to participants in the U.S. tax-qualified defined contribution plan. The rate of return under this investment option in 2022 was 1.93%.</w:t>
      </w:r>
    </w:p>
    <w:p>
      <w:pPr>
        <w:spacing w:after="0" w:line="134" w:lineRule="exact"/>
        <w:rPr>
          <w:sz w:val="20"/>
          <w:szCs w:val="20"/>
          <w:color w:val="auto"/>
        </w:rPr>
      </w:pPr>
    </w:p>
    <w:p>
      <w:pPr>
        <w:ind w:right="740"/>
        <w:spacing w:after="0" w:line="268" w:lineRule="auto"/>
        <w:rPr>
          <w:sz w:val="20"/>
          <w:szCs w:val="20"/>
          <w:color w:val="auto"/>
        </w:rPr>
      </w:pPr>
      <w:r>
        <w:rPr>
          <w:rFonts w:ascii="Arial" w:cs="Arial" w:eastAsia="Arial" w:hAnsi="Arial"/>
          <w:sz w:val="20"/>
          <w:szCs w:val="20"/>
          <w:color w:val="auto"/>
        </w:rPr>
        <w:t>Beginning January 1, 2020, all eligible U.S.-based employees receive a non-elective Company contribution because the Mondelēz Global LLC Retirement Plan is frozen as of January 1, 2020.</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MONDELĒZ GLOBAL LLC MEDCP</w:t>
      </w:r>
    </w:p>
    <w:p>
      <w:pPr>
        <w:spacing w:after="0" w:line="94"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color w:val="auto"/>
        </w:rPr>
        <w:t>The MEDCP is a non-qualified plan that allows U.S.-based participants to defer, on a pre-tax basis, up to 50% of salary and up to 100% of their AIP award. The notional investment options are similar to those offered to participants in our U.S. tax-qualified defined contribution plan. A participant who elects to defer compensation must decide whether to defer receipt of the compensation until separation from service, as determined under Code Section 409A, or to receive a distribution while still employed with the Company. Distributions may be made in a lump sum or annual installments of between two and ten years. Any participant who is a specified employee for purposes of Code Section 409A will have the distribution delayed for six months following a separation from service.</w:t>
      </w:r>
    </w:p>
    <w:p>
      <w:pPr>
        <w:spacing w:after="0" w:line="135"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The notional investment options available to participants in the MEDCP are selected by the Company and may be changed from time to time. Participants are permitted to change their investment elections at any time on a prospective basis. The table below shows the available notional investment options under the MEDCP and their annual rate of return for the calendar year ended December 31,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Borders>
              <w:bottom w:val="single" w:sz="8" w:color="582C83"/>
            </w:tcBorders>
          </w:tcPr>
          <w:p>
            <w:pPr>
              <w:spacing w:after="0"/>
              <w:rPr>
                <w:sz w:val="20"/>
                <w:szCs w:val="20"/>
                <w:color w:val="auto"/>
              </w:rPr>
            </w:pPr>
          </w:p>
        </w:tc>
        <w:tc>
          <w:tcPr>
            <w:tcW w:w="8420" w:type="dxa"/>
            <w:vAlign w:val="bottom"/>
            <w:tcBorders>
              <w:bottom w:val="single" w:sz="8" w:color="582C83"/>
            </w:tcBorders>
          </w:tcPr>
          <w:p>
            <w:pPr>
              <w:ind w:left="40"/>
              <w:spacing w:after="0"/>
              <w:rPr>
                <w:sz w:val="20"/>
                <w:szCs w:val="20"/>
                <w:color w:val="auto"/>
              </w:rPr>
            </w:pPr>
            <w:r>
              <w:rPr>
                <w:rFonts w:ascii="Arial" w:cs="Arial" w:eastAsia="Arial" w:hAnsi="Arial"/>
                <w:sz w:val="16"/>
                <w:szCs w:val="16"/>
                <w:b w:val="1"/>
                <w:bCs w:val="1"/>
                <w:color w:val="auto"/>
              </w:rPr>
              <w:t>Name of Fund</w:t>
            </w:r>
          </w:p>
        </w:tc>
        <w:tc>
          <w:tcPr>
            <w:tcW w:w="20" w:type="dxa"/>
            <w:vAlign w:val="bottom"/>
            <w:tcBorders>
              <w:bottom w:val="single" w:sz="8" w:color="582C83"/>
            </w:tcBorders>
          </w:tcPr>
          <w:p>
            <w:pPr>
              <w:spacing w:after="0"/>
              <w:rPr>
                <w:sz w:val="20"/>
                <w:szCs w:val="20"/>
                <w:color w:val="auto"/>
              </w:rPr>
            </w:pPr>
          </w:p>
        </w:tc>
        <w:tc>
          <w:tcPr>
            <w:tcW w:w="27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Annual Return</w:t>
            </w:r>
          </w:p>
        </w:tc>
        <w:tc>
          <w:tcPr>
            <w:tcW w:w="20" w:type="dxa"/>
            <w:vAlign w:val="bottom"/>
            <w:tcBorders>
              <w:bottom w:val="single" w:sz="8" w:color="582C83"/>
            </w:tcBorders>
          </w:tcPr>
          <w:p>
            <w:pPr>
              <w:spacing w:after="0"/>
              <w:rPr>
                <w:sz w:val="20"/>
                <w:szCs w:val="20"/>
                <w:color w:val="auto"/>
              </w:rPr>
            </w:pPr>
          </w:p>
        </w:tc>
      </w:tr>
      <w:tr>
        <w:trPr>
          <w:trHeight w:val="291"/>
        </w:trPr>
        <w:tc>
          <w:tcPr>
            <w:tcW w:w="20" w:type="dxa"/>
            <w:vAlign w:val="bottom"/>
            <w:tcBorders>
              <w:bottom w:val="single" w:sz="8" w:color="EBE6F0"/>
            </w:tcBorders>
            <w:shd w:val="clear" w:color="auto" w:fill="EBE6F0"/>
          </w:tcPr>
          <w:p>
            <w:pPr>
              <w:spacing w:after="0"/>
              <w:rPr>
                <w:sz w:val="24"/>
                <w:szCs w:val="24"/>
                <w:color w:val="auto"/>
              </w:rPr>
            </w:pPr>
          </w:p>
        </w:tc>
        <w:tc>
          <w:tcPr>
            <w:tcW w:w="842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SSgA S&amp;P 500 Index (SVSPX)</w:t>
            </w:r>
          </w:p>
        </w:tc>
        <w:tc>
          <w:tcPr>
            <w:tcW w:w="20" w:type="dxa"/>
            <w:vAlign w:val="bottom"/>
            <w:tcBorders>
              <w:bottom w:val="single" w:sz="8" w:color="EBE6F0"/>
            </w:tcBorders>
            <w:shd w:val="clear" w:color="auto" w:fill="EBE6F0"/>
          </w:tcPr>
          <w:p>
            <w:pPr>
              <w:spacing w:after="0"/>
              <w:rPr>
                <w:sz w:val="24"/>
                <w:szCs w:val="24"/>
                <w:color w:val="auto"/>
              </w:rPr>
            </w:pPr>
          </w:p>
        </w:tc>
        <w:tc>
          <w:tcPr>
            <w:tcW w:w="2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-18.25%</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8420" w:type="dxa"/>
            <w:vAlign w:val="bottom"/>
            <w:tcBorders>
              <w:top w:val="single" w:sz="8" w:color="572C83"/>
            </w:tcBorders>
          </w:tcPr>
          <w:p>
            <w:pPr>
              <w:ind w:left="40"/>
              <w:spacing w:after="0"/>
              <w:rPr>
                <w:sz w:val="20"/>
                <w:szCs w:val="20"/>
                <w:color w:val="auto"/>
              </w:rPr>
            </w:pPr>
            <w:r>
              <w:rPr>
                <w:rFonts w:ascii="Arial" w:cs="Arial" w:eastAsia="Arial" w:hAnsi="Arial"/>
                <w:sz w:val="16"/>
                <w:szCs w:val="16"/>
                <w:color w:val="auto"/>
              </w:rPr>
              <w:t>Vanguard Developed Markets Index Admiral (VTMGX)</w:t>
            </w:r>
          </w:p>
        </w:tc>
        <w:tc>
          <w:tcPr>
            <w:tcW w:w="20" w:type="dxa"/>
            <w:vAlign w:val="bottom"/>
            <w:tcBorders>
              <w:top w:val="single" w:sz="8" w:color="EBE6F0"/>
            </w:tcBorders>
          </w:tcPr>
          <w:p>
            <w:pPr>
              <w:spacing w:after="0"/>
              <w:rPr>
                <w:sz w:val="21"/>
                <w:szCs w:val="21"/>
                <w:color w:val="auto"/>
              </w:rPr>
            </w:pPr>
          </w:p>
        </w:tc>
        <w:tc>
          <w:tcPr>
            <w:tcW w:w="278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-15.32%</w:t>
            </w:r>
          </w:p>
        </w:tc>
        <w:tc>
          <w:tcPr>
            <w:tcW w:w="20" w:type="dxa"/>
            <w:vAlign w:val="bottom"/>
            <w:tcBorders>
              <w:top w:val="single" w:sz="8" w:color="EBE6F0"/>
            </w:tcBorders>
          </w:tcPr>
          <w:p>
            <w:pPr>
              <w:spacing w:after="0"/>
              <w:rPr>
                <w:sz w:val="21"/>
                <w:szCs w:val="21"/>
                <w:color w:val="auto"/>
              </w:rPr>
            </w:pPr>
          </w:p>
        </w:tc>
      </w:tr>
      <w:tr>
        <w:trPr>
          <w:trHeight w:val="35"/>
        </w:trPr>
        <w:tc>
          <w:tcPr>
            <w:tcW w:w="20" w:type="dxa"/>
            <w:vAlign w:val="bottom"/>
            <w:tcBorders>
              <w:bottom w:val="single" w:sz="8" w:color="572C83"/>
            </w:tcBorders>
          </w:tcPr>
          <w:p>
            <w:pPr>
              <w:spacing w:after="0"/>
              <w:rPr>
                <w:sz w:val="3"/>
                <w:szCs w:val="3"/>
                <w:color w:val="auto"/>
              </w:rPr>
            </w:pPr>
          </w:p>
        </w:tc>
        <w:tc>
          <w:tcPr>
            <w:tcW w:w="8420" w:type="dxa"/>
            <w:vAlign w:val="bottom"/>
            <w:tcBorders>
              <w:bottom w:val="single" w:sz="8" w:color="572C83"/>
            </w:tcBorders>
          </w:tcPr>
          <w:p>
            <w:pPr>
              <w:spacing w:after="0"/>
              <w:rPr>
                <w:sz w:val="3"/>
                <w:szCs w:val="3"/>
                <w:color w:val="auto"/>
              </w:rPr>
            </w:pPr>
          </w:p>
        </w:tc>
        <w:tc>
          <w:tcPr>
            <w:tcW w:w="20" w:type="dxa"/>
            <w:vAlign w:val="bottom"/>
            <w:tcBorders>
              <w:bottom w:val="single" w:sz="8" w:color="572C83"/>
            </w:tcBorders>
          </w:tcPr>
          <w:p>
            <w:pPr>
              <w:spacing w:after="0"/>
              <w:rPr>
                <w:sz w:val="3"/>
                <w:szCs w:val="3"/>
                <w:color w:val="auto"/>
              </w:rPr>
            </w:pPr>
          </w:p>
        </w:tc>
        <w:tc>
          <w:tcPr>
            <w:tcW w:w="2780" w:type="dxa"/>
            <w:vAlign w:val="bottom"/>
            <w:tcBorders>
              <w:bottom w:val="single" w:sz="8" w:color="572C83"/>
            </w:tcBorders>
          </w:tcPr>
          <w:p>
            <w:pPr>
              <w:spacing w:after="0"/>
              <w:rPr>
                <w:sz w:val="3"/>
                <w:szCs w:val="3"/>
                <w:color w:val="auto"/>
              </w:rPr>
            </w:pPr>
          </w:p>
        </w:tc>
        <w:tc>
          <w:tcPr>
            <w:tcW w:w="20" w:type="dxa"/>
            <w:vAlign w:val="bottom"/>
            <w:tcBorders>
              <w:bottom w:val="single" w:sz="8" w:color="572C83"/>
            </w:tcBorders>
          </w:tcPr>
          <w:p>
            <w:pPr>
              <w:spacing w:after="0"/>
              <w:rPr>
                <w:sz w:val="3"/>
                <w:szCs w:val="3"/>
                <w:color w:val="auto"/>
              </w:rPr>
            </w:pPr>
          </w:p>
        </w:tc>
      </w:tr>
      <w:tr>
        <w:trPr>
          <w:trHeight w:val="283"/>
        </w:trPr>
        <w:tc>
          <w:tcPr>
            <w:tcW w:w="20" w:type="dxa"/>
            <w:vAlign w:val="bottom"/>
            <w:tcBorders>
              <w:bottom w:val="single" w:sz="8" w:color="EBE6F0"/>
            </w:tcBorders>
            <w:shd w:val="clear" w:color="auto" w:fill="EBE6F0"/>
          </w:tcPr>
          <w:p>
            <w:pPr>
              <w:spacing w:after="0"/>
              <w:rPr>
                <w:sz w:val="24"/>
                <w:szCs w:val="24"/>
                <w:color w:val="auto"/>
              </w:rPr>
            </w:pPr>
          </w:p>
        </w:tc>
        <w:tc>
          <w:tcPr>
            <w:tcW w:w="842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Vanguard Emerging Mkts Stock Index Admiral (VEMAX)</w:t>
            </w:r>
          </w:p>
        </w:tc>
        <w:tc>
          <w:tcPr>
            <w:tcW w:w="20" w:type="dxa"/>
            <w:vAlign w:val="bottom"/>
            <w:tcBorders>
              <w:bottom w:val="single" w:sz="8" w:color="EBE6F0"/>
            </w:tcBorders>
            <w:shd w:val="clear" w:color="auto" w:fill="EBE6F0"/>
          </w:tcPr>
          <w:p>
            <w:pPr>
              <w:spacing w:after="0"/>
              <w:rPr>
                <w:sz w:val="24"/>
                <w:szCs w:val="24"/>
                <w:color w:val="auto"/>
              </w:rPr>
            </w:pPr>
          </w:p>
        </w:tc>
        <w:tc>
          <w:tcPr>
            <w:tcW w:w="2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-17.78%</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8420" w:type="dxa"/>
            <w:vAlign w:val="bottom"/>
            <w:tcBorders>
              <w:top w:val="single" w:sz="8" w:color="572C83"/>
            </w:tcBorders>
          </w:tcPr>
          <w:p>
            <w:pPr>
              <w:ind w:left="40"/>
              <w:spacing w:after="0"/>
              <w:rPr>
                <w:sz w:val="20"/>
                <w:szCs w:val="20"/>
                <w:color w:val="auto"/>
              </w:rPr>
            </w:pPr>
            <w:r>
              <w:rPr>
                <w:rFonts w:ascii="Arial" w:cs="Arial" w:eastAsia="Arial" w:hAnsi="Arial"/>
                <w:sz w:val="16"/>
                <w:szCs w:val="16"/>
                <w:color w:val="auto"/>
              </w:rPr>
              <w:t>Vanguard Extended Market Index Admiral (VEXAX)</w:t>
            </w:r>
          </w:p>
        </w:tc>
        <w:tc>
          <w:tcPr>
            <w:tcW w:w="20" w:type="dxa"/>
            <w:vAlign w:val="bottom"/>
            <w:tcBorders>
              <w:top w:val="single" w:sz="8" w:color="EBE6F0"/>
            </w:tcBorders>
          </w:tcPr>
          <w:p>
            <w:pPr>
              <w:spacing w:after="0"/>
              <w:rPr>
                <w:sz w:val="21"/>
                <w:szCs w:val="21"/>
                <w:color w:val="auto"/>
              </w:rPr>
            </w:pPr>
          </w:p>
        </w:tc>
        <w:tc>
          <w:tcPr>
            <w:tcW w:w="278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-26.47%</w:t>
            </w:r>
          </w:p>
        </w:tc>
        <w:tc>
          <w:tcPr>
            <w:tcW w:w="20" w:type="dxa"/>
            <w:vAlign w:val="bottom"/>
            <w:tcBorders>
              <w:top w:val="single" w:sz="8" w:color="EBE6F0"/>
            </w:tcBorders>
          </w:tcPr>
          <w:p>
            <w:pPr>
              <w:spacing w:after="0"/>
              <w:rPr>
                <w:sz w:val="21"/>
                <w:szCs w:val="21"/>
                <w:color w:val="auto"/>
              </w:rPr>
            </w:pPr>
          </w:p>
        </w:tc>
      </w:tr>
      <w:tr>
        <w:trPr>
          <w:trHeight w:val="35"/>
        </w:trPr>
        <w:tc>
          <w:tcPr>
            <w:tcW w:w="20" w:type="dxa"/>
            <w:vAlign w:val="bottom"/>
            <w:tcBorders>
              <w:bottom w:val="single" w:sz="8" w:color="572C83"/>
            </w:tcBorders>
          </w:tcPr>
          <w:p>
            <w:pPr>
              <w:spacing w:after="0"/>
              <w:rPr>
                <w:sz w:val="3"/>
                <w:szCs w:val="3"/>
                <w:color w:val="auto"/>
              </w:rPr>
            </w:pPr>
          </w:p>
        </w:tc>
        <w:tc>
          <w:tcPr>
            <w:tcW w:w="8420" w:type="dxa"/>
            <w:vAlign w:val="bottom"/>
            <w:tcBorders>
              <w:bottom w:val="single" w:sz="8" w:color="572C83"/>
            </w:tcBorders>
          </w:tcPr>
          <w:p>
            <w:pPr>
              <w:spacing w:after="0"/>
              <w:rPr>
                <w:sz w:val="3"/>
                <w:szCs w:val="3"/>
                <w:color w:val="auto"/>
              </w:rPr>
            </w:pPr>
          </w:p>
        </w:tc>
        <w:tc>
          <w:tcPr>
            <w:tcW w:w="20" w:type="dxa"/>
            <w:vAlign w:val="bottom"/>
            <w:tcBorders>
              <w:bottom w:val="single" w:sz="8" w:color="572C83"/>
            </w:tcBorders>
          </w:tcPr>
          <w:p>
            <w:pPr>
              <w:spacing w:after="0"/>
              <w:rPr>
                <w:sz w:val="3"/>
                <w:szCs w:val="3"/>
                <w:color w:val="auto"/>
              </w:rPr>
            </w:pPr>
          </w:p>
        </w:tc>
        <w:tc>
          <w:tcPr>
            <w:tcW w:w="2780" w:type="dxa"/>
            <w:vAlign w:val="bottom"/>
            <w:tcBorders>
              <w:bottom w:val="single" w:sz="8" w:color="572C83"/>
            </w:tcBorders>
          </w:tcPr>
          <w:p>
            <w:pPr>
              <w:spacing w:after="0"/>
              <w:rPr>
                <w:sz w:val="3"/>
                <w:szCs w:val="3"/>
                <w:color w:val="auto"/>
              </w:rPr>
            </w:pPr>
          </w:p>
        </w:tc>
        <w:tc>
          <w:tcPr>
            <w:tcW w:w="20" w:type="dxa"/>
            <w:vAlign w:val="bottom"/>
            <w:tcBorders>
              <w:bottom w:val="single" w:sz="8" w:color="572C83"/>
            </w:tcBorders>
          </w:tcPr>
          <w:p>
            <w:pPr>
              <w:spacing w:after="0"/>
              <w:rPr>
                <w:sz w:val="3"/>
                <w:szCs w:val="3"/>
                <w:color w:val="auto"/>
              </w:rPr>
            </w:pPr>
          </w:p>
        </w:tc>
      </w:tr>
      <w:tr>
        <w:trPr>
          <w:trHeight w:val="283"/>
        </w:trPr>
        <w:tc>
          <w:tcPr>
            <w:tcW w:w="20" w:type="dxa"/>
            <w:vAlign w:val="bottom"/>
            <w:tcBorders>
              <w:bottom w:val="single" w:sz="8" w:color="EBE6F0"/>
            </w:tcBorders>
            <w:shd w:val="clear" w:color="auto" w:fill="EBE6F0"/>
          </w:tcPr>
          <w:p>
            <w:pPr>
              <w:spacing w:after="0"/>
              <w:rPr>
                <w:sz w:val="24"/>
                <w:szCs w:val="24"/>
                <w:color w:val="auto"/>
              </w:rPr>
            </w:pPr>
          </w:p>
        </w:tc>
        <w:tc>
          <w:tcPr>
            <w:tcW w:w="842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Vanguard Federal Money Market Fund (VMFXX)</w:t>
            </w:r>
          </w:p>
        </w:tc>
        <w:tc>
          <w:tcPr>
            <w:tcW w:w="20" w:type="dxa"/>
            <w:vAlign w:val="bottom"/>
            <w:tcBorders>
              <w:bottom w:val="single" w:sz="8" w:color="EBE6F0"/>
            </w:tcBorders>
            <w:shd w:val="clear" w:color="auto" w:fill="EBE6F0"/>
          </w:tcPr>
          <w:p>
            <w:pPr>
              <w:spacing w:after="0"/>
              <w:rPr>
                <w:sz w:val="24"/>
                <w:szCs w:val="24"/>
                <w:color w:val="auto"/>
              </w:rPr>
            </w:pPr>
          </w:p>
        </w:tc>
        <w:tc>
          <w:tcPr>
            <w:tcW w:w="2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1.55%</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8420" w:type="dxa"/>
            <w:vAlign w:val="bottom"/>
            <w:tcBorders>
              <w:top w:val="single" w:sz="8" w:color="572C83"/>
            </w:tcBorders>
          </w:tcPr>
          <w:p>
            <w:pPr>
              <w:ind w:left="40"/>
              <w:spacing w:after="0"/>
              <w:rPr>
                <w:sz w:val="20"/>
                <w:szCs w:val="20"/>
                <w:color w:val="auto"/>
              </w:rPr>
            </w:pPr>
            <w:r>
              <w:rPr>
                <w:rFonts w:ascii="Arial" w:cs="Arial" w:eastAsia="Arial" w:hAnsi="Arial"/>
                <w:sz w:val="16"/>
                <w:szCs w:val="16"/>
                <w:color w:val="auto"/>
              </w:rPr>
              <w:t>Vanguard Inflation Protected Sec Admiral (VAIPX)</w:t>
            </w:r>
          </w:p>
        </w:tc>
        <w:tc>
          <w:tcPr>
            <w:tcW w:w="20" w:type="dxa"/>
            <w:vAlign w:val="bottom"/>
            <w:tcBorders>
              <w:top w:val="single" w:sz="8" w:color="EBE6F0"/>
            </w:tcBorders>
          </w:tcPr>
          <w:p>
            <w:pPr>
              <w:spacing w:after="0"/>
              <w:rPr>
                <w:sz w:val="21"/>
                <w:szCs w:val="21"/>
                <w:color w:val="auto"/>
              </w:rPr>
            </w:pPr>
          </w:p>
        </w:tc>
        <w:tc>
          <w:tcPr>
            <w:tcW w:w="278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-11.89%</w:t>
            </w:r>
          </w:p>
        </w:tc>
        <w:tc>
          <w:tcPr>
            <w:tcW w:w="20" w:type="dxa"/>
            <w:vAlign w:val="bottom"/>
            <w:tcBorders>
              <w:top w:val="single" w:sz="8" w:color="EBE6F0"/>
            </w:tcBorders>
          </w:tcPr>
          <w:p>
            <w:pPr>
              <w:spacing w:after="0"/>
              <w:rPr>
                <w:sz w:val="21"/>
                <w:szCs w:val="21"/>
                <w:color w:val="auto"/>
              </w:rPr>
            </w:pPr>
          </w:p>
        </w:tc>
      </w:tr>
      <w:tr>
        <w:trPr>
          <w:trHeight w:val="35"/>
        </w:trPr>
        <w:tc>
          <w:tcPr>
            <w:tcW w:w="20" w:type="dxa"/>
            <w:vAlign w:val="bottom"/>
            <w:tcBorders>
              <w:bottom w:val="single" w:sz="8" w:color="572C83"/>
            </w:tcBorders>
          </w:tcPr>
          <w:p>
            <w:pPr>
              <w:spacing w:after="0"/>
              <w:rPr>
                <w:sz w:val="3"/>
                <w:szCs w:val="3"/>
                <w:color w:val="auto"/>
              </w:rPr>
            </w:pPr>
          </w:p>
        </w:tc>
        <w:tc>
          <w:tcPr>
            <w:tcW w:w="8420" w:type="dxa"/>
            <w:vAlign w:val="bottom"/>
            <w:tcBorders>
              <w:bottom w:val="single" w:sz="8" w:color="572C83"/>
            </w:tcBorders>
          </w:tcPr>
          <w:p>
            <w:pPr>
              <w:spacing w:after="0"/>
              <w:rPr>
                <w:sz w:val="3"/>
                <w:szCs w:val="3"/>
                <w:color w:val="auto"/>
              </w:rPr>
            </w:pPr>
          </w:p>
        </w:tc>
        <w:tc>
          <w:tcPr>
            <w:tcW w:w="20" w:type="dxa"/>
            <w:vAlign w:val="bottom"/>
            <w:tcBorders>
              <w:bottom w:val="single" w:sz="8" w:color="572C83"/>
            </w:tcBorders>
          </w:tcPr>
          <w:p>
            <w:pPr>
              <w:spacing w:after="0"/>
              <w:rPr>
                <w:sz w:val="3"/>
                <w:szCs w:val="3"/>
                <w:color w:val="auto"/>
              </w:rPr>
            </w:pPr>
          </w:p>
        </w:tc>
        <w:tc>
          <w:tcPr>
            <w:tcW w:w="2780" w:type="dxa"/>
            <w:vAlign w:val="bottom"/>
            <w:tcBorders>
              <w:bottom w:val="single" w:sz="8" w:color="572C83"/>
            </w:tcBorders>
          </w:tcPr>
          <w:p>
            <w:pPr>
              <w:spacing w:after="0"/>
              <w:rPr>
                <w:sz w:val="3"/>
                <w:szCs w:val="3"/>
                <w:color w:val="auto"/>
              </w:rPr>
            </w:pPr>
          </w:p>
        </w:tc>
        <w:tc>
          <w:tcPr>
            <w:tcW w:w="20" w:type="dxa"/>
            <w:vAlign w:val="bottom"/>
            <w:tcBorders>
              <w:bottom w:val="single" w:sz="8" w:color="572C83"/>
            </w:tcBorders>
          </w:tcPr>
          <w:p>
            <w:pPr>
              <w:spacing w:after="0"/>
              <w:rPr>
                <w:sz w:val="3"/>
                <w:szCs w:val="3"/>
                <w:color w:val="auto"/>
              </w:rPr>
            </w:pPr>
          </w:p>
        </w:tc>
      </w:tr>
      <w:tr>
        <w:trPr>
          <w:trHeight w:val="283"/>
        </w:trPr>
        <w:tc>
          <w:tcPr>
            <w:tcW w:w="20" w:type="dxa"/>
            <w:vAlign w:val="bottom"/>
            <w:tcBorders>
              <w:bottom w:val="single" w:sz="8" w:color="EBE6F0"/>
            </w:tcBorders>
            <w:shd w:val="clear" w:color="auto" w:fill="EBE6F0"/>
          </w:tcPr>
          <w:p>
            <w:pPr>
              <w:spacing w:after="0"/>
              <w:rPr>
                <w:sz w:val="24"/>
                <w:szCs w:val="24"/>
                <w:color w:val="auto"/>
              </w:rPr>
            </w:pPr>
          </w:p>
        </w:tc>
        <w:tc>
          <w:tcPr>
            <w:tcW w:w="842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Vanguard LifeStrategy Moderate Growth Inv (VSMGX)</w:t>
            </w:r>
          </w:p>
        </w:tc>
        <w:tc>
          <w:tcPr>
            <w:tcW w:w="20" w:type="dxa"/>
            <w:vAlign w:val="bottom"/>
            <w:tcBorders>
              <w:bottom w:val="single" w:sz="8" w:color="EBE6F0"/>
            </w:tcBorders>
            <w:shd w:val="clear" w:color="auto" w:fill="EBE6F0"/>
          </w:tcPr>
          <w:p>
            <w:pPr>
              <w:spacing w:after="0"/>
              <w:rPr>
                <w:sz w:val="24"/>
                <w:szCs w:val="24"/>
                <w:color w:val="auto"/>
              </w:rPr>
            </w:pPr>
          </w:p>
        </w:tc>
        <w:tc>
          <w:tcPr>
            <w:tcW w:w="2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-16.00%</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43"/>
        </w:trPr>
        <w:tc>
          <w:tcPr>
            <w:tcW w:w="20" w:type="dxa"/>
            <w:vAlign w:val="bottom"/>
            <w:tcBorders>
              <w:top w:val="single" w:sz="8" w:color="EBE6F0"/>
            </w:tcBorders>
          </w:tcPr>
          <w:p>
            <w:pPr>
              <w:spacing w:after="0"/>
              <w:rPr>
                <w:sz w:val="21"/>
                <w:szCs w:val="21"/>
                <w:color w:val="auto"/>
              </w:rPr>
            </w:pPr>
          </w:p>
        </w:tc>
        <w:tc>
          <w:tcPr>
            <w:tcW w:w="8420" w:type="dxa"/>
            <w:vAlign w:val="bottom"/>
            <w:tcBorders>
              <w:top w:val="single" w:sz="8" w:color="572C83"/>
            </w:tcBorders>
          </w:tcPr>
          <w:p>
            <w:pPr>
              <w:ind w:left="40"/>
              <w:spacing w:after="0"/>
              <w:rPr>
                <w:sz w:val="20"/>
                <w:szCs w:val="20"/>
                <w:color w:val="auto"/>
              </w:rPr>
            </w:pPr>
            <w:r>
              <w:rPr>
                <w:rFonts w:ascii="Arial" w:cs="Arial" w:eastAsia="Arial" w:hAnsi="Arial"/>
                <w:sz w:val="16"/>
                <w:szCs w:val="16"/>
                <w:color w:val="auto"/>
              </w:rPr>
              <w:t>Vanguard Short Term Treasury Admiral (VFIRX)</w:t>
            </w:r>
          </w:p>
        </w:tc>
        <w:tc>
          <w:tcPr>
            <w:tcW w:w="20" w:type="dxa"/>
            <w:vAlign w:val="bottom"/>
            <w:tcBorders>
              <w:top w:val="single" w:sz="8" w:color="EBE6F0"/>
            </w:tcBorders>
          </w:tcPr>
          <w:p>
            <w:pPr>
              <w:spacing w:after="0"/>
              <w:rPr>
                <w:sz w:val="21"/>
                <w:szCs w:val="21"/>
                <w:color w:val="auto"/>
              </w:rPr>
            </w:pPr>
          </w:p>
        </w:tc>
        <w:tc>
          <w:tcPr>
            <w:tcW w:w="278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-4.62%</w:t>
            </w:r>
          </w:p>
        </w:tc>
        <w:tc>
          <w:tcPr>
            <w:tcW w:w="20" w:type="dxa"/>
            <w:vAlign w:val="bottom"/>
            <w:tcBorders>
              <w:top w:val="single" w:sz="8" w:color="EBE6F0"/>
            </w:tcBorders>
          </w:tcPr>
          <w:p>
            <w:pPr>
              <w:spacing w:after="0"/>
              <w:rPr>
                <w:sz w:val="21"/>
                <w:szCs w:val="21"/>
                <w:color w:val="auto"/>
              </w:rPr>
            </w:pPr>
          </w:p>
        </w:tc>
      </w:tr>
      <w:tr>
        <w:trPr>
          <w:trHeight w:val="35"/>
        </w:trPr>
        <w:tc>
          <w:tcPr>
            <w:tcW w:w="20" w:type="dxa"/>
            <w:vAlign w:val="bottom"/>
            <w:tcBorders>
              <w:bottom w:val="single" w:sz="8" w:color="572C83"/>
            </w:tcBorders>
          </w:tcPr>
          <w:p>
            <w:pPr>
              <w:spacing w:after="0"/>
              <w:rPr>
                <w:sz w:val="3"/>
                <w:szCs w:val="3"/>
                <w:color w:val="auto"/>
              </w:rPr>
            </w:pPr>
          </w:p>
        </w:tc>
        <w:tc>
          <w:tcPr>
            <w:tcW w:w="8420" w:type="dxa"/>
            <w:vAlign w:val="bottom"/>
            <w:tcBorders>
              <w:bottom w:val="single" w:sz="8" w:color="572C83"/>
            </w:tcBorders>
          </w:tcPr>
          <w:p>
            <w:pPr>
              <w:spacing w:after="0"/>
              <w:rPr>
                <w:sz w:val="3"/>
                <w:szCs w:val="3"/>
                <w:color w:val="auto"/>
              </w:rPr>
            </w:pPr>
          </w:p>
        </w:tc>
        <w:tc>
          <w:tcPr>
            <w:tcW w:w="20" w:type="dxa"/>
            <w:vAlign w:val="bottom"/>
            <w:tcBorders>
              <w:bottom w:val="single" w:sz="8" w:color="572C83"/>
            </w:tcBorders>
          </w:tcPr>
          <w:p>
            <w:pPr>
              <w:spacing w:after="0"/>
              <w:rPr>
                <w:sz w:val="3"/>
                <w:szCs w:val="3"/>
                <w:color w:val="auto"/>
              </w:rPr>
            </w:pPr>
          </w:p>
        </w:tc>
        <w:tc>
          <w:tcPr>
            <w:tcW w:w="2780" w:type="dxa"/>
            <w:vAlign w:val="bottom"/>
            <w:tcBorders>
              <w:bottom w:val="single" w:sz="8" w:color="572C8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7143115"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58358F"/>
        </w:rPr>
        <w:t>2023 PROXY STATEMENT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06" w:name="page107"/>
    <w:bookmarkEnd w:id="106"/>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1"/>
        <w:spacing w:after="0"/>
        <w:rPr>
          <w:sz w:val="20"/>
          <w:szCs w:val="20"/>
          <w:color w:val="auto"/>
        </w:rPr>
      </w:pPr>
      <w:r>
        <w:rPr>
          <w:sz w:val="1"/>
          <w:szCs w:val="1"/>
          <w:color w:val="auto"/>
        </w:rPr>
        <w:drawing>
          <wp:inline distT="0" distB="0" distL="0" distR="0">
            <wp:extent cx="157480" cy="157480"/>
            <wp:effectExtent l="0" t="0" r="0" b="0"/>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Potential Payments Upon Termination or Change in Control</w:t>
      </w:r>
    </w:p>
    <w:p>
      <w:pPr>
        <w:spacing w:after="0" w:line="213" w:lineRule="exact"/>
        <w:rPr>
          <w:sz w:val="20"/>
          <w:szCs w:val="20"/>
          <w:color w:val="auto"/>
        </w:rPr>
      </w:pPr>
    </w:p>
    <w:p>
      <w:pPr>
        <w:ind w:left="1" w:right="140"/>
        <w:spacing w:after="0" w:line="250" w:lineRule="auto"/>
        <w:rPr>
          <w:sz w:val="20"/>
          <w:szCs w:val="20"/>
          <w:color w:val="auto"/>
        </w:rPr>
      </w:pPr>
      <w:r>
        <w:rPr>
          <w:rFonts w:ascii="Arial" w:cs="Arial" w:eastAsia="Arial" w:hAnsi="Arial"/>
          <w:sz w:val="20"/>
          <w:szCs w:val="20"/>
          <w:color w:val="auto"/>
        </w:rPr>
        <w:t>The narrative and tables below describe the potential payments to each NEO upon certain terminations, including following a CIC. In accordance with SEC rules, all information described in this section is presented as if the triggering events occurred on December 31, 2022.</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582C83"/>
        </w:rPr>
        <w:t>INVOLUNTARY TERMINATION WITHOUT CAUSE (NON-CHANGE IN CONTROL EVENT)</w:t>
      </w:r>
    </w:p>
    <w:p>
      <w:pPr>
        <w:spacing w:after="0" w:line="94" w:lineRule="exact"/>
        <w:rPr>
          <w:sz w:val="20"/>
          <w:szCs w:val="20"/>
          <w:color w:val="auto"/>
        </w:rPr>
      </w:pPr>
    </w:p>
    <w:p>
      <w:pPr>
        <w:ind w:left="1" w:right="20"/>
        <w:spacing w:after="0" w:line="237" w:lineRule="auto"/>
        <w:rPr>
          <w:sz w:val="20"/>
          <w:szCs w:val="20"/>
          <w:color w:val="auto"/>
        </w:rPr>
      </w:pPr>
      <w:r>
        <w:rPr>
          <w:rFonts w:ascii="Arial" w:cs="Arial" w:eastAsia="Arial" w:hAnsi="Arial"/>
          <w:sz w:val="20"/>
          <w:szCs w:val="20"/>
          <w:color w:val="auto"/>
        </w:rPr>
        <w:t>Generally, we do not enter into ongoing agreements that provide for separation benefits on the NEO’s departure from the Company. However, if we involuntarily terminate an NEO without cause outside of a CIC event, we expect that in most cases, the People and Compensation Committee would offer separation benefits as consideration for protections we would likely seek, such as a release of claims and entering into non-compete, non-solicitation and confidentiality agreements. More specifically, we expect to treat our U.S. salaried NEOs (other than Mr. Van de Put) at least comparably to other U.S. salaried employees whom we involuntarily terminate without cause. For U.S. salaried employees such as our NEOs, our severance plan provides an employee whose job is eliminated with severance pay of up to 12 months based on length of service. Because Mr. Brusadelli is an employee of Mondelēz Italia Services, his separation benefits are comparable to those offered to our other Italian employees whom we involuntarily terminate without cause. Because Mr. Gruber is an employee of Mondelēz Europe GmbH, his separation benefits are comparable to those offered to our other Swiss employees whom we involuntarily terminate without cause.</w:t>
      </w:r>
    </w:p>
    <w:p>
      <w:pPr>
        <w:spacing w:after="0" w:line="134"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event of termination without Cause, Mr. Van de Put will be entitled to severance on terms no less favorable than:</w:t>
      </w:r>
    </w:p>
    <w:p>
      <w:pPr>
        <w:spacing w:after="0" w:line="167" w:lineRule="exact"/>
        <w:rPr>
          <w:sz w:val="20"/>
          <w:szCs w:val="20"/>
          <w:color w:val="auto"/>
        </w:rPr>
      </w:pPr>
    </w:p>
    <w:p>
      <w:pPr>
        <w:ind w:left="161" w:right="440" w:hanging="161"/>
        <w:spacing w:after="0" w:line="268" w:lineRule="auto"/>
        <w:tabs>
          <w:tab w:leader="none" w:pos="161" w:val="left"/>
        </w:tabs>
        <w:numPr>
          <w:ilvl w:val="0"/>
          <w:numId w:val="91"/>
        </w:numPr>
        <w:rPr>
          <w:rFonts w:ascii="Arial" w:cs="Arial" w:eastAsia="Arial" w:hAnsi="Arial"/>
          <w:sz w:val="20"/>
          <w:szCs w:val="20"/>
          <w:color w:val="582C83"/>
        </w:rPr>
      </w:pPr>
      <w:r>
        <w:rPr>
          <w:rFonts w:ascii="Arial" w:cs="Arial" w:eastAsia="Arial" w:hAnsi="Arial"/>
          <w:sz w:val="20"/>
          <w:szCs w:val="20"/>
          <w:color w:val="auto"/>
        </w:rPr>
        <w:t>a lump sum cash severance payment within sixty (60) days following termination date in the amount equal to two years of annual base salary; and</w:t>
      </w:r>
    </w:p>
    <w:p>
      <w:pPr>
        <w:spacing w:after="0" w:line="32" w:lineRule="exact"/>
        <w:rPr>
          <w:rFonts w:ascii="Arial" w:cs="Arial" w:eastAsia="Arial" w:hAnsi="Arial"/>
          <w:sz w:val="20"/>
          <w:szCs w:val="20"/>
          <w:color w:val="582C83"/>
        </w:rPr>
      </w:pPr>
    </w:p>
    <w:p>
      <w:pPr>
        <w:ind w:left="161" w:hanging="161"/>
        <w:spacing w:after="0"/>
        <w:tabs>
          <w:tab w:leader="none" w:pos="161" w:val="left"/>
        </w:tabs>
        <w:numPr>
          <w:ilvl w:val="0"/>
          <w:numId w:val="91"/>
        </w:numPr>
        <w:rPr>
          <w:rFonts w:ascii="Arial" w:cs="Arial" w:eastAsia="Arial" w:hAnsi="Arial"/>
          <w:sz w:val="20"/>
          <w:szCs w:val="20"/>
          <w:color w:val="582C83"/>
        </w:rPr>
      </w:pPr>
      <w:r>
        <w:rPr>
          <w:rFonts w:ascii="Arial" w:cs="Arial" w:eastAsia="Arial" w:hAnsi="Arial"/>
          <w:sz w:val="20"/>
          <w:szCs w:val="20"/>
          <w:color w:val="auto"/>
        </w:rPr>
        <w:t>a pro-rata AIP paid at the same time as generally paid to other employees based on actual performance.</w:t>
      </w:r>
    </w:p>
    <w:p>
      <w:pPr>
        <w:spacing w:after="0" w:line="93" w:lineRule="exact"/>
        <w:rPr>
          <w:sz w:val="20"/>
          <w:szCs w:val="20"/>
          <w:color w:val="auto"/>
        </w:rPr>
      </w:pPr>
    </w:p>
    <w:p>
      <w:pPr>
        <w:ind w:left="1"/>
        <w:spacing w:after="0"/>
        <w:rPr>
          <w:sz w:val="20"/>
          <w:szCs w:val="20"/>
          <w:color w:val="auto"/>
        </w:rPr>
      </w:pPr>
      <w:r>
        <w:rPr>
          <w:rFonts w:ascii="Arial" w:cs="Arial" w:eastAsia="Arial" w:hAnsi="Arial"/>
          <w:sz w:val="20"/>
          <w:szCs w:val="20"/>
          <w:color w:val="auto"/>
        </w:rPr>
        <w:t>A termination for “Cause” shall have occurred if a Mr. Van de Put is terminated because of:</w:t>
      </w:r>
    </w:p>
    <w:p>
      <w:pPr>
        <w:spacing w:after="0" w:line="167" w:lineRule="exact"/>
        <w:rPr>
          <w:sz w:val="20"/>
          <w:szCs w:val="20"/>
          <w:color w:val="auto"/>
        </w:rPr>
      </w:pPr>
    </w:p>
    <w:p>
      <w:pPr>
        <w:ind w:left="241" w:hanging="241"/>
        <w:spacing w:after="0"/>
        <w:tabs>
          <w:tab w:leader="none" w:pos="241" w:val="left"/>
        </w:tabs>
        <w:numPr>
          <w:ilvl w:val="0"/>
          <w:numId w:val="92"/>
        </w:numPr>
        <w:rPr>
          <w:rFonts w:ascii="Arial" w:cs="Arial" w:eastAsia="Arial" w:hAnsi="Arial"/>
          <w:sz w:val="20"/>
          <w:szCs w:val="20"/>
          <w:color w:val="auto"/>
        </w:rPr>
      </w:pPr>
      <w:r>
        <w:rPr>
          <w:rFonts w:ascii="Arial" w:cs="Arial" w:eastAsia="Arial" w:hAnsi="Arial"/>
          <w:sz w:val="20"/>
          <w:szCs w:val="20"/>
          <w:color w:val="auto"/>
        </w:rPr>
        <w:t>Continued failure to substantially perform Mr. Van de Put job duties (other than resulting from incapacity due to disability);</w:t>
      </w:r>
    </w:p>
    <w:p>
      <w:pPr>
        <w:spacing w:after="0" w:line="167" w:lineRule="exact"/>
        <w:rPr>
          <w:rFonts w:ascii="Arial" w:cs="Arial" w:eastAsia="Arial" w:hAnsi="Arial"/>
          <w:sz w:val="20"/>
          <w:szCs w:val="20"/>
          <w:color w:val="auto"/>
        </w:rPr>
      </w:pPr>
    </w:p>
    <w:p>
      <w:pPr>
        <w:ind w:left="1" w:right="380" w:hanging="1"/>
        <w:spacing w:after="0" w:line="268" w:lineRule="auto"/>
        <w:tabs>
          <w:tab w:leader="none" w:pos="232" w:val="left"/>
        </w:tabs>
        <w:numPr>
          <w:ilvl w:val="0"/>
          <w:numId w:val="92"/>
        </w:numPr>
        <w:rPr>
          <w:rFonts w:ascii="Arial" w:cs="Arial" w:eastAsia="Arial" w:hAnsi="Arial"/>
          <w:sz w:val="20"/>
          <w:szCs w:val="20"/>
          <w:color w:val="auto"/>
        </w:rPr>
      </w:pPr>
      <w:r>
        <w:rPr>
          <w:rFonts w:ascii="Arial" w:cs="Arial" w:eastAsia="Arial" w:hAnsi="Arial"/>
          <w:sz w:val="20"/>
          <w:szCs w:val="20"/>
          <w:color w:val="auto"/>
        </w:rPr>
        <w:t>Gross negligence, dishonesty, or violation of any reasonable rule or regulation of the Mondelez Group where the violation results in significant damage to the Mondelez Group; or</w:t>
      </w:r>
    </w:p>
    <w:p>
      <w:pPr>
        <w:spacing w:after="0" w:line="107" w:lineRule="exact"/>
        <w:rPr>
          <w:rFonts w:ascii="Arial" w:cs="Arial" w:eastAsia="Arial" w:hAnsi="Arial"/>
          <w:sz w:val="20"/>
          <w:szCs w:val="20"/>
          <w:color w:val="auto"/>
        </w:rPr>
      </w:pPr>
    </w:p>
    <w:p>
      <w:pPr>
        <w:jc w:val="both"/>
        <w:ind w:left="1" w:right="320" w:hanging="1"/>
        <w:spacing w:after="0" w:line="250" w:lineRule="auto"/>
        <w:tabs>
          <w:tab w:leader="none" w:pos="221" w:val="left"/>
        </w:tabs>
        <w:numPr>
          <w:ilvl w:val="0"/>
          <w:numId w:val="92"/>
        </w:numPr>
        <w:rPr>
          <w:rFonts w:ascii="Arial" w:cs="Arial" w:eastAsia="Arial" w:hAnsi="Arial"/>
          <w:sz w:val="20"/>
          <w:szCs w:val="20"/>
          <w:color w:val="auto"/>
        </w:rPr>
      </w:pPr>
      <w:r>
        <w:rPr>
          <w:rFonts w:ascii="Arial" w:cs="Arial" w:eastAsia="Arial" w:hAnsi="Arial"/>
          <w:sz w:val="20"/>
          <w:szCs w:val="20"/>
          <w:color w:val="auto"/>
        </w:rPr>
        <w:t>Willfully engaging in other conduct which damages the Company in any material respect (and for which purpose, no act or omission to act will be “willful” if conducted in good faith or with a reasonable belief that such act or omission was in the best interest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7143115"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The following chart reflects the typical separation benefits that may be offered to a U.S. NEO whom we involuntarily terminate without cause. The chart includes severance benefits included under Mr. Van de Put’s offer letter. Mr. Valle’s offer letter provides for severance arrangements no less favorable than those accorded recently terminated senior executives. The People and Compensation Committee would determine actual terms and conditions based on the particular facts in each specific case.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2250" w:type="dxa"/>
            <w:vAlign w:val="bottom"/>
            <w:tcBorders>
              <w:top w:val="single" w:sz="8" w:color="582C83"/>
            </w:tcBorders>
            <w:shd w:val="clear" w:color="auto" w:fill="EBE6F0"/>
          </w:tcPr>
          <w:p>
            <w:pPr>
              <w:ind w:left="80"/>
              <w:spacing w:after="0"/>
              <w:rPr>
                <w:sz w:val="20"/>
                <w:szCs w:val="20"/>
                <w:color w:val="auto"/>
              </w:rPr>
            </w:pPr>
            <w:r>
              <w:rPr>
                <w:rFonts w:ascii="Arial" w:cs="Arial" w:eastAsia="Arial" w:hAnsi="Arial"/>
                <w:sz w:val="20"/>
                <w:szCs w:val="20"/>
                <w:b w:val="1"/>
                <w:bCs w:val="1"/>
                <w:color w:val="auto"/>
              </w:rPr>
              <w:t>Severance Benefits</w:t>
            </w:r>
          </w:p>
        </w:tc>
        <w:tc>
          <w:tcPr>
            <w:tcW w:w="8990" w:type="dxa"/>
            <w:vAlign w:val="bottom"/>
            <w:tcBorders>
              <w:top w:val="single" w:sz="8" w:color="582C83"/>
            </w:tcBorders>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CEO: 24 months of base salary.</w:t>
            </w:r>
          </w:p>
        </w:tc>
      </w:tr>
      <w:tr>
        <w:trPr>
          <w:trHeight w:val="261"/>
        </w:trPr>
        <w:tc>
          <w:tcPr>
            <w:tcW w:w="2250" w:type="dxa"/>
            <w:vAlign w:val="bottom"/>
            <w:shd w:val="clear" w:color="auto" w:fill="EBE6F0"/>
          </w:tcPr>
          <w:p>
            <w:pPr>
              <w:spacing w:after="0"/>
              <w:rPr>
                <w:sz w:val="22"/>
                <w:szCs w:val="22"/>
                <w:color w:val="auto"/>
              </w:rPr>
            </w:pPr>
          </w:p>
        </w:tc>
        <w:tc>
          <w:tcPr>
            <w:tcW w:w="899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All other NEOs: 12 months of base salary.</w:t>
            </w:r>
          </w:p>
        </w:tc>
      </w:tr>
      <w:tr>
        <w:trPr>
          <w:trHeight w:val="292"/>
        </w:trPr>
        <w:tc>
          <w:tcPr>
            <w:tcW w:w="2250" w:type="dxa"/>
            <w:vAlign w:val="bottom"/>
            <w:tcBorders>
              <w:bottom w:val="single" w:sz="8" w:color="EBE6F0"/>
            </w:tcBorders>
            <w:shd w:val="clear" w:color="auto" w:fill="EBE6F0"/>
          </w:tcPr>
          <w:p>
            <w:pPr>
              <w:spacing w:after="0"/>
              <w:rPr>
                <w:sz w:val="24"/>
                <w:szCs w:val="24"/>
                <w:color w:val="auto"/>
              </w:rPr>
            </w:pPr>
          </w:p>
        </w:tc>
        <w:tc>
          <w:tcPr>
            <w:tcW w:w="8990" w:type="dxa"/>
            <w:vAlign w:val="bottom"/>
            <w:tcBorders>
              <w:bottom w:val="single" w:sz="8" w:color="EBE6F0"/>
            </w:tcBorders>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Payment in a lump sum.</w:t>
            </w:r>
          </w:p>
        </w:tc>
      </w:tr>
      <w:tr>
        <w:trPr>
          <w:trHeight w:val="247"/>
        </w:trPr>
        <w:tc>
          <w:tcPr>
            <w:tcW w:w="2250" w:type="dxa"/>
            <w:vAlign w:val="bottom"/>
          </w:tcPr>
          <w:p>
            <w:pPr>
              <w:ind w:left="60"/>
              <w:spacing w:after="0"/>
              <w:rPr>
                <w:sz w:val="20"/>
                <w:szCs w:val="20"/>
                <w:color w:val="auto"/>
              </w:rPr>
            </w:pPr>
            <w:r>
              <w:rPr>
                <w:rFonts w:ascii="Arial" w:cs="Arial" w:eastAsia="Arial" w:hAnsi="Arial"/>
                <w:sz w:val="20"/>
                <w:szCs w:val="20"/>
                <w:b w:val="1"/>
                <w:bCs w:val="1"/>
                <w:color w:val="auto"/>
              </w:rPr>
              <w:t>Health and</w:t>
            </w:r>
          </w:p>
        </w:tc>
        <w:tc>
          <w:tcPr>
            <w:tcW w:w="8990" w:type="dxa"/>
            <w:vAlign w:val="bottom"/>
          </w:tcPr>
          <w:p>
            <w:pPr>
              <w:ind w:left="5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No continuation of health and welfare benefits coverage.</w:t>
            </w:r>
          </w:p>
        </w:tc>
      </w:tr>
      <w:tr>
        <w:trPr>
          <w:trHeight w:val="274"/>
        </w:trPr>
        <w:tc>
          <w:tcPr>
            <w:tcW w:w="2250" w:type="dxa"/>
            <w:vAlign w:val="bottom"/>
          </w:tcPr>
          <w:p>
            <w:pPr>
              <w:ind w:left="60"/>
              <w:spacing w:after="0"/>
              <w:rPr>
                <w:sz w:val="20"/>
                <w:szCs w:val="20"/>
                <w:color w:val="auto"/>
              </w:rPr>
            </w:pPr>
            <w:r>
              <w:rPr>
                <w:rFonts w:ascii="Arial" w:cs="Arial" w:eastAsia="Arial" w:hAnsi="Arial"/>
                <w:sz w:val="20"/>
                <w:szCs w:val="20"/>
                <w:b w:val="1"/>
                <w:bCs w:val="1"/>
                <w:color w:val="auto"/>
              </w:rPr>
              <w:t>Welfare Benefits</w:t>
            </w:r>
          </w:p>
        </w:tc>
        <w:tc>
          <w:tcPr>
            <w:tcW w:w="8990" w:type="dxa"/>
            <w:vAlign w:val="bottom"/>
          </w:tcPr>
          <w:p>
            <w:pPr>
              <w:spacing w:after="0"/>
              <w:rPr>
                <w:sz w:val="23"/>
                <w:szCs w:val="23"/>
                <w:color w:val="auto"/>
              </w:rPr>
            </w:pPr>
          </w:p>
        </w:tc>
      </w:tr>
      <w:tr>
        <w:trPr>
          <w:trHeight w:val="25"/>
        </w:trPr>
        <w:tc>
          <w:tcPr>
            <w:tcW w:w="2250" w:type="dxa"/>
            <w:vAlign w:val="bottom"/>
          </w:tcPr>
          <w:p>
            <w:pPr>
              <w:spacing w:after="0"/>
              <w:rPr>
                <w:sz w:val="2"/>
                <w:szCs w:val="2"/>
                <w:color w:val="auto"/>
              </w:rPr>
            </w:pPr>
          </w:p>
        </w:tc>
        <w:tc>
          <w:tcPr>
            <w:tcW w:w="8990" w:type="dxa"/>
            <w:vAlign w:val="bottom"/>
          </w:tcPr>
          <w:p>
            <w:pPr>
              <w:spacing w:after="0"/>
              <w:rPr>
                <w:sz w:val="2"/>
                <w:szCs w:val="2"/>
                <w:color w:val="auto"/>
              </w:rPr>
            </w:pPr>
          </w:p>
        </w:tc>
      </w:tr>
      <w:tr>
        <w:trPr>
          <w:trHeight w:val="260"/>
        </w:trPr>
        <w:tc>
          <w:tcPr>
            <w:tcW w:w="225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auto"/>
              </w:rPr>
              <w:t>Outplacement</w:t>
            </w:r>
          </w:p>
        </w:tc>
        <w:tc>
          <w:tcPr>
            <w:tcW w:w="899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Outplacement services for up to 12 months.</w:t>
            </w:r>
          </w:p>
        </w:tc>
      </w:tr>
      <w:tr>
        <w:trPr>
          <w:trHeight w:val="292"/>
        </w:trPr>
        <w:tc>
          <w:tcPr>
            <w:tcW w:w="225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0"/>
                <w:szCs w:val="20"/>
                <w:b w:val="1"/>
                <w:bCs w:val="1"/>
                <w:color w:val="auto"/>
              </w:rPr>
              <w:t>Services</w:t>
            </w:r>
          </w:p>
        </w:tc>
        <w:tc>
          <w:tcPr>
            <w:tcW w:w="8990" w:type="dxa"/>
            <w:vAlign w:val="bottom"/>
            <w:tcBorders>
              <w:bottom w:val="single" w:sz="8" w:color="EBE6F0"/>
            </w:tcBorders>
            <w:shd w:val="clear" w:color="auto" w:fill="EBE6F0"/>
          </w:tcPr>
          <w:p>
            <w:pPr>
              <w:spacing w:after="0"/>
              <w:rPr>
                <w:sz w:val="24"/>
                <w:szCs w:val="24"/>
                <w:color w:val="auto"/>
              </w:rPr>
            </w:pPr>
          </w:p>
        </w:tc>
      </w:tr>
      <w:tr>
        <w:trPr>
          <w:trHeight w:val="247"/>
        </w:trPr>
        <w:tc>
          <w:tcPr>
            <w:tcW w:w="2250" w:type="dxa"/>
            <w:vAlign w:val="bottom"/>
          </w:tcPr>
          <w:p>
            <w:pPr>
              <w:ind w:left="60"/>
              <w:spacing w:after="0"/>
              <w:rPr>
                <w:sz w:val="20"/>
                <w:szCs w:val="20"/>
                <w:color w:val="auto"/>
              </w:rPr>
            </w:pPr>
            <w:r>
              <w:rPr>
                <w:rFonts w:ascii="Arial" w:cs="Arial" w:eastAsia="Arial" w:hAnsi="Arial"/>
                <w:sz w:val="20"/>
                <w:szCs w:val="20"/>
                <w:b w:val="1"/>
                <w:bCs w:val="1"/>
                <w:color w:val="auto"/>
              </w:rPr>
              <w:t>Treatment of AIP</w:t>
            </w:r>
          </w:p>
        </w:tc>
        <w:tc>
          <w:tcPr>
            <w:tcW w:w="8990" w:type="dxa"/>
            <w:vAlign w:val="bottom"/>
          </w:tcPr>
          <w:p>
            <w:pPr>
              <w:ind w:left="5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AIP award based on actual business performance results and prorated based on the number of</w:t>
            </w:r>
          </w:p>
        </w:tc>
      </w:tr>
      <w:tr>
        <w:trPr>
          <w:trHeight w:val="274"/>
        </w:trPr>
        <w:tc>
          <w:tcPr>
            <w:tcW w:w="2250" w:type="dxa"/>
            <w:vAlign w:val="bottom"/>
          </w:tcPr>
          <w:p>
            <w:pPr>
              <w:ind w:left="60"/>
              <w:spacing w:after="0"/>
              <w:rPr>
                <w:sz w:val="20"/>
                <w:szCs w:val="20"/>
                <w:color w:val="auto"/>
              </w:rPr>
            </w:pPr>
            <w:r>
              <w:rPr>
                <w:rFonts w:ascii="Arial" w:cs="Arial" w:eastAsia="Arial" w:hAnsi="Arial"/>
                <w:sz w:val="20"/>
                <w:szCs w:val="20"/>
                <w:b w:val="1"/>
                <w:bCs w:val="1"/>
                <w:color w:val="auto"/>
              </w:rPr>
              <w:t>Award</w:t>
            </w:r>
          </w:p>
        </w:tc>
        <w:tc>
          <w:tcPr>
            <w:tcW w:w="8990" w:type="dxa"/>
            <w:vAlign w:val="bottom"/>
          </w:tcPr>
          <w:p>
            <w:pPr>
              <w:ind w:left="230"/>
              <w:spacing w:after="0"/>
              <w:rPr>
                <w:sz w:val="20"/>
                <w:szCs w:val="20"/>
                <w:color w:val="auto"/>
              </w:rPr>
            </w:pPr>
            <w:r>
              <w:rPr>
                <w:rFonts w:ascii="Arial" w:cs="Arial" w:eastAsia="Arial" w:hAnsi="Arial"/>
                <w:sz w:val="20"/>
                <w:szCs w:val="20"/>
                <w:color w:val="auto"/>
              </w:rPr>
              <w:t>days of active employment during the performance period.</w:t>
            </w:r>
          </w:p>
        </w:tc>
      </w:tr>
      <w:tr>
        <w:trPr>
          <w:trHeight w:val="25"/>
        </w:trPr>
        <w:tc>
          <w:tcPr>
            <w:tcW w:w="2250" w:type="dxa"/>
            <w:vAlign w:val="bottom"/>
          </w:tcPr>
          <w:p>
            <w:pPr>
              <w:spacing w:after="0"/>
              <w:rPr>
                <w:sz w:val="2"/>
                <w:szCs w:val="2"/>
                <w:color w:val="auto"/>
              </w:rPr>
            </w:pPr>
          </w:p>
        </w:tc>
        <w:tc>
          <w:tcPr>
            <w:tcW w:w="8990" w:type="dxa"/>
            <w:vAlign w:val="bottom"/>
          </w:tcPr>
          <w:p>
            <w:pPr>
              <w:spacing w:after="0"/>
              <w:rPr>
                <w:sz w:val="2"/>
                <w:szCs w:val="2"/>
                <w:color w:val="auto"/>
              </w:rPr>
            </w:pPr>
          </w:p>
        </w:tc>
      </w:tr>
      <w:tr>
        <w:trPr>
          <w:trHeight w:val="260"/>
        </w:trPr>
        <w:tc>
          <w:tcPr>
            <w:tcW w:w="225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auto"/>
              </w:rPr>
              <w:t>Treatment of PSU</w:t>
            </w:r>
          </w:p>
        </w:tc>
        <w:tc>
          <w:tcPr>
            <w:tcW w:w="899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Outstanding PSU grants are generally forfeited; however, the People and Compensation</w:t>
            </w:r>
          </w:p>
        </w:tc>
      </w:tr>
      <w:tr>
        <w:trPr>
          <w:trHeight w:val="223"/>
        </w:trPr>
        <w:tc>
          <w:tcPr>
            <w:tcW w:w="225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b w:val="1"/>
                <w:bCs w:val="1"/>
                <w:color w:val="auto"/>
              </w:rPr>
              <w:t>Grants</w:t>
            </w:r>
          </w:p>
        </w:tc>
        <w:tc>
          <w:tcPr>
            <w:tcW w:w="8990" w:type="dxa"/>
            <w:vAlign w:val="bottom"/>
            <w:shd w:val="clear" w:color="auto" w:fill="EBE6F0"/>
          </w:tcPr>
          <w:p>
            <w:pPr>
              <w:ind w:left="230"/>
              <w:spacing w:after="0" w:line="224" w:lineRule="exact"/>
              <w:rPr>
                <w:sz w:val="20"/>
                <w:szCs w:val="20"/>
                <w:color w:val="auto"/>
              </w:rPr>
            </w:pPr>
            <w:r>
              <w:rPr>
                <w:rFonts w:ascii="Arial" w:cs="Arial" w:eastAsia="Arial" w:hAnsi="Arial"/>
                <w:sz w:val="20"/>
                <w:szCs w:val="20"/>
                <w:color w:val="auto"/>
              </w:rPr>
              <w:t>Committee may exercise discretion and has typically done so in company restructuring events, to</w:t>
            </w:r>
          </w:p>
        </w:tc>
      </w:tr>
      <w:tr>
        <w:trPr>
          <w:trHeight w:val="223"/>
        </w:trPr>
        <w:tc>
          <w:tcPr>
            <w:tcW w:w="2250" w:type="dxa"/>
            <w:vAlign w:val="bottom"/>
            <w:shd w:val="clear" w:color="auto" w:fill="EBE6F0"/>
          </w:tcPr>
          <w:p>
            <w:pPr>
              <w:spacing w:after="0"/>
              <w:rPr>
                <w:sz w:val="19"/>
                <w:szCs w:val="19"/>
                <w:color w:val="auto"/>
              </w:rPr>
            </w:pPr>
          </w:p>
        </w:tc>
        <w:tc>
          <w:tcPr>
            <w:tcW w:w="8990" w:type="dxa"/>
            <w:vAlign w:val="bottom"/>
            <w:shd w:val="clear" w:color="auto" w:fill="EBE6F0"/>
          </w:tcPr>
          <w:p>
            <w:pPr>
              <w:ind w:left="230"/>
              <w:spacing w:after="0" w:line="224" w:lineRule="exact"/>
              <w:rPr>
                <w:sz w:val="20"/>
                <w:szCs w:val="20"/>
                <w:color w:val="auto"/>
              </w:rPr>
            </w:pPr>
            <w:r>
              <w:rPr>
                <w:rFonts w:ascii="Arial" w:cs="Arial" w:eastAsia="Arial" w:hAnsi="Arial"/>
                <w:sz w:val="20"/>
                <w:szCs w:val="20"/>
                <w:color w:val="auto"/>
              </w:rPr>
              <w:t>pro rata vest grants subject to actual Company performance, based on the number of months of</w:t>
            </w:r>
          </w:p>
        </w:tc>
      </w:tr>
      <w:tr>
        <w:trPr>
          <w:trHeight w:val="261"/>
        </w:trPr>
        <w:tc>
          <w:tcPr>
            <w:tcW w:w="2250" w:type="dxa"/>
            <w:vAlign w:val="bottom"/>
            <w:shd w:val="clear" w:color="auto" w:fill="EBE6F0"/>
          </w:tcPr>
          <w:p>
            <w:pPr>
              <w:spacing w:after="0"/>
              <w:rPr>
                <w:sz w:val="22"/>
                <w:szCs w:val="22"/>
                <w:color w:val="auto"/>
              </w:rPr>
            </w:pPr>
          </w:p>
        </w:tc>
        <w:tc>
          <w:tcPr>
            <w:tcW w:w="8990" w:type="dxa"/>
            <w:vAlign w:val="bottom"/>
            <w:shd w:val="clear" w:color="auto" w:fill="EBE6F0"/>
          </w:tcPr>
          <w:p>
            <w:pPr>
              <w:ind w:left="230"/>
              <w:spacing w:after="0"/>
              <w:rPr>
                <w:sz w:val="20"/>
                <w:szCs w:val="20"/>
                <w:color w:val="auto"/>
              </w:rPr>
            </w:pPr>
            <w:r>
              <w:rPr>
                <w:rFonts w:ascii="Arial" w:cs="Arial" w:eastAsia="Arial" w:hAnsi="Arial"/>
                <w:sz w:val="20"/>
                <w:szCs w:val="20"/>
                <w:color w:val="auto"/>
              </w:rPr>
              <w:t>active employment during the performance cycle.</w:t>
            </w:r>
          </w:p>
        </w:tc>
      </w:tr>
      <w:tr>
        <w:trPr>
          <w:trHeight w:val="223"/>
        </w:trPr>
        <w:tc>
          <w:tcPr>
            <w:tcW w:w="2250" w:type="dxa"/>
            <w:vAlign w:val="bottom"/>
            <w:shd w:val="clear" w:color="auto" w:fill="EBE6F0"/>
          </w:tcPr>
          <w:p>
            <w:pPr>
              <w:spacing w:after="0"/>
              <w:rPr>
                <w:sz w:val="19"/>
                <w:szCs w:val="19"/>
                <w:color w:val="auto"/>
              </w:rPr>
            </w:pPr>
          </w:p>
        </w:tc>
        <w:tc>
          <w:tcPr>
            <w:tcW w:w="8990" w:type="dxa"/>
            <w:vAlign w:val="bottom"/>
            <w:shd w:val="clear" w:color="auto" w:fill="EBE6F0"/>
          </w:tcPr>
          <w:p>
            <w:pPr>
              <w:ind w:left="7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Generally, for employees, including NEOs, eligible for retirement, grants pro rata vest, subject to</w:t>
            </w:r>
          </w:p>
        </w:tc>
      </w:tr>
      <w:tr>
        <w:trPr>
          <w:trHeight w:val="223"/>
        </w:trPr>
        <w:tc>
          <w:tcPr>
            <w:tcW w:w="2250" w:type="dxa"/>
            <w:vAlign w:val="bottom"/>
            <w:shd w:val="clear" w:color="auto" w:fill="EBE6F0"/>
          </w:tcPr>
          <w:p>
            <w:pPr>
              <w:spacing w:after="0"/>
              <w:rPr>
                <w:sz w:val="19"/>
                <w:szCs w:val="19"/>
                <w:color w:val="auto"/>
              </w:rPr>
            </w:pPr>
          </w:p>
        </w:tc>
        <w:tc>
          <w:tcPr>
            <w:tcW w:w="8990" w:type="dxa"/>
            <w:vAlign w:val="bottom"/>
            <w:shd w:val="clear" w:color="auto" w:fill="EBE6F0"/>
          </w:tcPr>
          <w:p>
            <w:pPr>
              <w:ind w:left="230"/>
              <w:spacing w:after="0" w:line="224" w:lineRule="exact"/>
              <w:rPr>
                <w:sz w:val="20"/>
                <w:szCs w:val="20"/>
                <w:color w:val="auto"/>
              </w:rPr>
            </w:pPr>
            <w:r>
              <w:rPr>
                <w:rFonts w:ascii="Arial" w:cs="Arial" w:eastAsia="Arial" w:hAnsi="Arial"/>
                <w:sz w:val="20"/>
                <w:szCs w:val="20"/>
                <w:color w:val="auto"/>
              </w:rPr>
              <w:t>actual Company performance, based on the number of months of active employment during the</w:t>
            </w:r>
          </w:p>
        </w:tc>
      </w:tr>
      <w:tr>
        <w:trPr>
          <w:trHeight w:val="223"/>
        </w:trPr>
        <w:tc>
          <w:tcPr>
            <w:tcW w:w="2250" w:type="dxa"/>
            <w:vAlign w:val="bottom"/>
            <w:shd w:val="clear" w:color="auto" w:fill="EBE6F0"/>
          </w:tcPr>
          <w:p>
            <w:pPr>
              <w:spacing w:after="0"/>
              <w:rPr>
                <w:sz w:val="19"/>
                <w:szCs w:val="19"/>
                <w:color w:val="auto"/>
              </w:rPr>
            </w:pPr>
          </w:p>
        </w:tc>
        <w:tc>
          <w:tcPr>
            <w:tcW w:w="8990" w:type="dxa"/>
            <w:vAlign w:val="bottom"/>
            <w:shd w:val="clear" w:color="auto" w:fill="EBE6F0"/>
          </w:tcPr>
          <w:p>
            <w:pPr>
              <w:ind w:left="230"/>
              <w:spacing w:after="0" w:line="224" w:lineRule="exact"/>
              <w:rPr>
                <w:sz w:val="20"/>
                <w:szCs w:val="20"/>
                <w:color w:val="auto"/>
              </w:rPr>
            </w:pPr>
            <w:r>
              <w:rPr>
                <w:rFonts w:ascii="Arial" w:cs="Arial" w:eastAsia="Arial" w:hAnsi="Arial"/>
                <w:sz w:val="20"/>
                <w:szCs w:val="20"/>
                <w:color w:val="auto"/>
              </w:rPr>
              <w:t>performance cycle provided the employee is actively employed for at least 90 days following the</w:t>
            </w:r>
          </w:p>
        </w:tc>
      </w:tr>
      <w:tr>
        <w:trPr>
          <w:trHeight w:val="292"/>
        </w:trPr>
        <w:tc>
          <w:tcPr>
            <w:tcW w:w="2250" w:type="dxa"/>
            <w:vAlign w:val="bottom"/>
            <w:tcBorders>
              <w:bottom w:val="single" w:sz="8" w:color="EBE6F0"/>
            </w:tcBorders>
            <w:shd w:val="clear" w:color="auto" w:fill="EBE6F0"/>
          </w:tcPr>
          <w:p>
            <w:pPr>
              <w:spacing w:after="0"/>
              <w:rPr>
                <w:sz w:val="24"/>
                <w:szCs w:val="24"/>
                <w:color w:val="auto"/>
              </w:rPr>
            </w:pPr>
          </w:p>
        </w:tc>
        <w:tc>
          <w:tcPr>
            <w:tcW w:w="8990" w:type="dxa"/>
            <w:vAlign w:val="bottom"/>
            <w:tcBorders>
              <w:bottom w:val="single" w:sz="8" w:color="EBE6F0"/>
            </w:tcBorders>
            <w:shd w:val="clear" w:color="auto" w:fill="EBE6F0"/>
          </w:tcPr>
          <w:p>
            <w:pPr>
              <w:ind w:left="230"/>
              <w:spacing w:after="0"/>
              <w:rPr>
                <w:sz w:val="20"/>
                <w:szCs w:val="20"/>
                <w:color w:val="auto"/>
              </w:rPr>
            </w:pPr>
            <w:r>
              <w:rPr>
                <w:rFonts w:ascii="Arial" w:cs="Arial" w:eastAsia="Arial" w:hAnsi="Arial"/>
                <w:sz w:val="20"/>
                <w:szCs w:val="20"/>
                <w:color w:val="auto"/>
              </w:rPr>
              <w:t>grant date.</w:t>
            </w:r>
          </w:p>
        </w:tc>
      </w:tr>
      <w:tr>
        <w:trPr>
          <w:trHeight w:val="247"/>
        </w:trPr>
        <w:tc>
          <w:tcPr>
            <w:tcW w:w="2250" w:type="dxa"/>
            <w:vAlign w:val="bottom"/>
          </w:tcPr>
          <w:p>
            <w:pPr>
              <w:ind w:left="60"/>
              <w:spacing w:after="0"/>
              <w:rPr>
                <w:sz w:val="20"/>
                <w:szCs w:val="20"/>
                <w:color w:val="auto"/>
              </w:rPr>
            </w:pPr>
            <w:r>
              <w:rPr>
                <w:rFonts w:ascii="Arial" w:cs="Arial" w:eastAsia="Arial" w:hAnsi="Arial"/>
                <w:sz w:val="20"/>
                <w:szCs w:val="20"/>
                <w:b w:val="1"/>
                <w:bCs w:val="1"/>
                <w:color w:val="auto"/>
              </w:rPr>
              <w:t>Treatment of Stock</w:t>
            </w:r>
          </w:p>
        </w:tc>
        <w:tc>
          <w:tcPr>
            <w:tcW w:w="8990" w:type="dxa"/>
            <w:vAlign w:val="bottom"/>
          </w:tcPr>
          <w:p>
            <w:pPr>
              <w:ind w:left="5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Unvested stock option grants are generally forfeited; however, the People and Compensation</w:t>
            </w:r>
          </w:p>
        </w:tc>
      </w:tr>
      <w:tr>
        <w:trPr>
          <w:trHeight w:val="223"/>
        </w:trPr>
        <w:tc>
          <w:tcPr>
            <w:tcW w:w="2250" w:type="dxa"/>
            <w:vAlign w:val="bottom"/>
          </w:tcPr>
          <w:p>
            <w:pPr>
              <w:ind w:left="60"/>
              <w:spacing w:after="0" w:line="224" w:lineRule="exact"/>
              <w:rPr>
                <w:sz w:val="20"/>
                <w:szCs w:val="20"/>
                <w:color w:val="auto"/>
              </w:rPr>
            </w:pPr>
            <w:r>
              <w:rPr>
                <w:rFonts w:ascii="Arial" w:cs="Arial" w:eastAsia="Arial" w:hAnsi="Arial"/>
                <w:sz w:val="20"/>
                <w:szCs w:val="20"/>
                <w:b w:val="1"/>
                <w:bCs w:val="1"/>
                <w:color w:val="auto"/>
              </w:rPr>
              <w:t>Options</w:t>
            </w:r>
          </w:p>
        </w:tc>
        <w:tc>
          <w:tcPr>
            <w:tcW w:w="8990" w:type="dxa"/>
            <w:vAlign w:val="bottom"/>
          </w:tcPr>
          <w:p>
            <w:pPr>
              <w:ind w:left="230"/>
              <w:spacing w:after="0" w:line="224" w:lineRule="exact"/>
              <w:rPr>
                <w:sz w:val="20"/>
                <w:szCs w:val="20"/>
                <w:color w:val="auto"/>
              </w:rPr>
            </w:pPr>
            <w:r>
              <w:rPr>
                <w:rFonts w:ascii="Arial" w:cs="Arial" w:eastAsia="Arial" w:hAnsi="Arial"/>
                <w:sz w:val="20"/>
                <w:szCs w:val="20"/>
                <w:color w:val="auto"/>
              </w:rPr>
              <w:t>Committee may exercise discretion and has typically done so in company restructuring events, to</w:t>
            </w:r>
          </w:p>
        </w:tc>
      </w:tr>
      <w:tr>
        <w:trPr>
          <w:trHeight w:val="223"/>
        </w:trPr>
        <w:tc>
          <w:tcPr>
            <w:tcW w:w="2250" w:type="dxa"/>
            <w:vAlign w:val="bottom"/>
          </w:tcPr>
          <w:p>
            <w:pPr>
              <w:spacing w:after="0"/>
              <w:rPr>
                <w:sz w:val="19"/>
                <w:szCs w:val="19"/>
                <w:color w:val="auto"/>
              </w:rPr>
            </w:pPr>
          </w:p>
        </w:tc>
        <w:tc>
          <w:tcPr>
            <w:tcW w:w="8990" w:type="dxa"/>
            <w:vAlign w:val="bottom"/>
          </w:tcPr>
          <w:p>
            <w:pPr>
              <w:ind w:left="230"/>
              <w:spacing w:after="0" w:line="224" w:lineRule="exact"/>
              <w:rPr>
                <w:sz w:val="20"/>
                <w:szCs w:val="20"/>
                <w:color w:val="auto"/>
              </w:rPr>
            </w:pPr>
            <w:r>
              <w:rPr>
                <w:rFonts w:ascii="Arial" w:cs="Arial" w:eastAsia="Arial" w:hAnsi="Arial"/>
                <w:sz w:val="20"/>
                <w:szCs w:val="20"/>
                <w:color w:val="auto"/>
              </w:rPr>
              <w:t>prorate and accelerate the vesting of stock option grants based on the number of months of active</w:t>
            </w:r>
          </w:p>
        </w:tc>
      </w:tr>
      <w:tr>
        <w:trPr>
          <w:trHeight w:val="261"/>
        </w:trPr>
        <w:tc>
          <w:tcPr>
            <w:tcW w:w="2250" w:type="dxa"/>
            <w:vAlign w:val="bottom"/>
          </w:tcPr>
          <w:p>
            <w:pPr>
              <w:spacing w:after="0"/>
              <w:rPr>
                <w:sz w:val="22"/>
                <w:szCs w:val="22"/>
                <w:color w:val="auto"/>
              </w:rPr>
            </w:pPr>
          </w:p>
        </w:tc>
        <w:tc>
          <w:tcPr>
            <w:tcW w:w="8990" w:type="dxa"/>
            <w:vAlign w:val="bottom"/>
          </w:tcPr>
          <w:p>
            <w:pPr>
              <w:ind w:left="230"/>
              <w:spacing w:after="0"/>
              <w:rPr>
                <w:sz w:val="20"/>
                <w:szCs w:val="20"/>
                <w:color w:val="auto"/>
              </w:rPr>
            </w:pPr>
            <w:r>
              <w:rPr>
                <w:rFonts w:ascii="Arial" w:cs="Arial" w:eastAsia="Arial" w:hAnsi="Arial"/>
                <w:sz w:val="20"/>
                <w:szCs w:val="20"/>
                <w:color w:val="auto"/>
              </w:rPr>
              <w:t>employment during the vesting period.</w:t>
            </w:r>
          </w:p>
        </w:tc>
      </w:tr>
      <w:tr>
        <w:trPr>
          <w:trHeight w:val="223"/>
        </w:trPr>
        <w:tc>
          <w:tcPr>
            <w:tcW w:w="2250" w:type="dxa"/>
            <w:vAlign w:val="bottom"/>
          </w:tcPr>
          <w:p>
            <w:pPr>
              <w:spacing w:after="0"/>
              <w:rPr>
                <w:sz w:val="19"/>
                <w:szCs w:val="19"/>
                <w:color w:val="auto"/>
              </w:rPr>
            </w:pPr>
          </w:p>
        </w:tc>
        <w:tc>
          <w:tcPr>
            <w:tcW w:w="8990" w:type="dxa"/>
            <w:vAlign w:val="bottom"/>
          </w:tcPr>
          <w:p>
            <w:pPr>
              <w:ind w:left="5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Generally, for employees, including NEOs, eligible for retirement, stock option grants continue to</w:t>
            </w:r>
          </w:p>
        </w:tc>
      </w:tr>
      <w:tr>
        <w:trPr>
          <w:trHeight w:val="223"/>
        </w:trPr>
        <w:tc>
          <w:tcPr>
            <w:tcW w:w="2250" w:type="dxa"/>
            <w:vAlign w:val="bottom"/>
          </w:tcPr>
          <w:p>
            <w:pPr>
              <w:spacing w:after="0"/>
              <w:rPr>
                <w:sz w:val="19"/>
                <w:szCs w:val="19"/>
                <w:color w:val="auto"/>
              </w:rPr>
            </w:pPr>
          </w:p>
        </w:tc>
        <w:tc>
          <w:tcPr>
            <w:tcW w:w="8990" w:type="dxa"/>
            <w:vAlign w:val="bottom"/>
          </w:tcPr>
          <w:p>
            <w:pPr>
              <w:ind w:left="230"/>
              <w:spacing w:after="0" w:line="224" w:lineRule="exact"/>
              <w:rPr>
                <w:sz w:val="20"/>
                <w:szCs w:val="20"/>
                <w:color w:val="auto"/>
              </w:rPr>
            </w:pPr>
            <w:r>
              <w:rPr>
                <w:rFonts w:ascii="Arial" w:cs="Arial" w:eastAsia="Arial" w:hAnsi="Arial"/>
                <w:sz w:val="20"/>
                <w:szCs w:val="20"/>
                <w:color w:val="auto"/>
              </w:rPr>
              <w:t>vest under the original vesting schedule provided the employee is actively employed for at least 90</w:t>
            </w:r>
          </w:p>
        </w:tc>
      </w:tr>
      <w:tr>
        <w:trPr>
          <w:trHeight w:val="261"/>
        </w:trPr>
        <w:tc>
          <w:tcPr>
            <w:tcW w:w="2250" w:type="dxa"/>
            <w:vAlign w:val="bottom"/>
          </w:tcPr>
          <w:p>
            <w:pPr>
              <w:spacing w:after="0"/>
              <w:rPr>
                <w:sz w:val="22"/>
                <w:szCs w:val="22"/>
                <w:color w:val="auto"/>
              </w:rPr>
            </w:pPr>
          </w:p>
        </w:tc>
        <w:tc>
          <w:tcPr>
            <w:tcW w:w="8990" w:type="dxa"/>
            <w:vAlign w:val="bottom"/>
          </w:tcPr>
          <w:p>
            <w:pPr>
              <w:ind w:left="230"/>
              <w:spacing w:after="0"/>
              <w:rPr>
                <w:sz w:val="20"/>
                <w:szCs w:val="20"/>
                <w:color w:val="auto"/>
              </w:rPr>
            </w:pPr>
            <w:r>
              <w:rPr>
                <w:rFonts w:ascii="Arial" w:cs="Arial" w:eastAsia="Arial" w:hAnsi="Arial"/>
                <w:sz w:val="20"/>
                <w:szCs w:val="20"/>
                <w:color w:val="auto"/>
              </w:rPr>
              <w:t>days following the grant date.</w:t>
            </w:r>
          </w:p>
        </w:tc>
      </w:tr>
      <w:tr>
        <w:trPr>
          <w:trHeight w:val="223"/>
        </w:trPr>
        <w:tc>
          <w:tcPr>
            <w:tcW w:w="2250" w:type="dxa"/>
            <w:vAlign w:val="bottom"/>
          </w:tcPr>
          <w:p>
            <w:pPr>
              <w:spacing w:after="0"/>
              <w:rPr>
                <w:sz w:val="19"/>
                <w:szCs w:val="19"/>
                <w:color w:val="auto"/>
              </w:rPr>
            </w:pPr>
          </w:p>
        </w:tc>
        <w:tc>
          <w:tcPr>
            <w:tcW w:w="8990" w:type="dxa"/>
            <w:vAlign w:val="bottom"/>
          </w:tcPr>
          <w:p>
            <w:pPr>
              <w:ind w:left="5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An individual who is eligible for retirement has the remaining full term to exercise vested options.</w:t>
            </w:r>
          </w:p>
        </w:tc>
      </w:tr>
      <w:tr>
        <w:trPr>
          <w:trHeight w:val="223"/>
        </w:trPr>
        <w:tc>
          <w:tcPr>
            <w:tcW w:w="2250" w:type="dxa"/>
            <w:vAlign w:val="bottom"/>
          </w:tcPr>
          <w:p>
            <w:pPr>
              <w:spacing w:after="0"/>
              <w:rPr>
                <w:sz w:val="19"/>
                <w:szCs w:val="19"/>
                <w:color w:val="auto"/>
              </w:rPr>
            </w:pPr>
          </w:p>
        </w:tc>
        <w:tc>
          <w:tcPr>
            <w:tcW w:w="8990" w:type="dxa"/>
            <w:vAlign w:val="bottom"/>
          </w:tcPr>
          <w:p>
            <w:pPr>
              <w:ind w:left="230"/>
              <w:spacing w:after="0" w:line="224" w:lineRule="exact"/>
              <w:rPr>
                <w:sz w:val="20"/>
                <w:szCs w:val="20"/>
                <w:color w:val="auto"/>
              </w:rPr>
            </w:pPr>
            <w:r>
              <w:rPr>
                <w:rFonts w:ascii="Arial" w:cs="Arial" w:eastAsia="Arial" w:hAnsi="Arial"/>
                <w:sz w:val="20"/>
                <w:szCs w:val="20"/>
                <w:color w:val="auto"/>
              </w:rPr>
              <w:t>An individual who is involuntarily terminated without cause, who is not retirement eligible, has until</w:t>
            </w:r>
          </w:p>
        </w:tc>
      </w:tr>
      <w:tr>
        <w:trPr>
          <w:trHeight w:val="264"/>
        </w:trPr>
        <w:tc>
          <w:tcPr>
            <w:tcW w:w="2250" w:type="dxa"/>
            <w:vAlign w:val="bottom"/>
          </w:tcPr>
          <w:p>
            <w:pPr>
              <w:spacing w:after="0"/>
              <w:rPr>
                <w:sz w:val="22"/>
                <w:szCs w:val="22"/>
                <w:color w:val="auto"/>
              </w:rPr>
            </w:pPr>
          </w:p>
        </w:tc>
        <w:tc>
          <w:tcPr>
            <w:tcW w:w="8990" w:type="dxa"/>
            <w:vAlign w:val="bottom"/>
          </w:tcPr>
          <w:p>
            <w:pPr>
              <w:ind w:left="230"/>
              <w:spacing w:after="0"/>
              <w:rPr>
                <w:sz w:val="20"/>
                <w:szCs w:val="20"/>
                <w:color w:val="auto"/>
              </w:rPr>
            </w:pPr>
            <w:r>
              <w:rPr>
                <w:rFonts w:ascii="Arial" w:cs="Arial" w:eastAsia="Arial" w:hAnsi="Arial"/>
                <w:sz w:val="20"/>
                <w:szCs w:val="20"/>
                <w:color w:val="auto"/>
              </w:rPr>
              <w:t>the earlier of 12 months from termination or the end of the term to exercise vested stock options.</w:t>
            </w:r>
          </w:p>
        </w:tc>
      </w:tr>
      <w:tr>
        <w:trPr>
          <w:trHeight w:val="40"/>
        </w:trPr>
        <w:tc>
          <w:tcPr>
            <w:tcW w:w="2250" w:type="dxa"/>
            <w:vAlign w:val="bottom"/>
            <w:tcBorders>
              <w:bottom w:val="single" w:sz="8" w:color="582C83"/>
            </w:tcBorders>
          </w:tcPr>
          <w:p>
            <w:pPr>
              <w:spacing w:after="0"/>
              <w:rPr>
                <w:sz w:val="3"/>
                <w:szCs w:val="3"/>
                <w:color w:val="auto"/>
              </w:rPr>
            </w:pPr>
          </w:p>
        </w:tc>
        <w:tc>
          <w:tcPr>
            <w:tcW w:w="8990" w:type="dxa"/>
            <w:vAlign w:val="bottom"/>
            <w:tcBorders>
              <w:bottom w:val="single" w:sz="8" w:color="582C83"/>
            </w:tcBorders>
          </w:tcPr>
          <w:p>
            <w:pPr>
              <w:spacing w:after="0"/>
              <w:rPr>
                <w:sz w:val="3"/>
                <w:szCs w:val="3"/>
                <w:color w:val="auto"/>
              </w:rPr>
            </w:pPr>
          </w:p>
        </w:tc>
      </w:tr>
      <w:tr>
        <w:trPr>
          <w:trHeight w:val="348"/>
        </w:trPr>
        <w:tc>
          <w:tcPr>
            <w:tcW w:w="2250" w:type="dxa"/>
            <w:vAlign w:val="bottom"/>
            <w:tcBorders>
              <w:bottom w:val="single" w:sz="8" w:color="58358F"/>
            </w:tcBorders>
          </w:tcPr>
          <w:p>
            <w:pPr>
              <w:spacing w:after="0"/>
              <w:rPr>
                <w:sz w:val="24"/>
                <w:szCs w:val="24"/>
                <w:color w:val="auto"/>
              </w:rPr>
            </w:pPr>
          </w:p>
        </w:tc>
        <w:tc>
          <w:tcPr>
            <w:tcW w:w="8990" w:type="dxa"/>
            <w:vAlign w:val="bottom"/>
            <w:tcBorders>
              <w:bottom w:val="single" w:sz="8" w:color="58358F"/>
            </w:tcBorders>
          </w:tcPr>
          <w:p>
            <w:pPr>
              <w:spacing w:after="0"/>
              <w:rPr>
                <w:sz w:val="24"/>
                <w:szCs w:val="24"/>
                <w:color w:val="auto"/>
              </w:rPr>
            </w:pPr>
          </w:p>
        </w:tc>
      </w:tr>
      <w:tr>
        <w:trPr>
          <w:trHeight w:val="257"/>
        </w:trPr>
        <w:tc>
          <w:tcPr>
            <w:tcW w:w="2250" w:type="dxa"/>
            <w:vAlign w:val="bottom"/>
          </w:tcPr>
          <w:p>
            <w:pPr>
              <w:spacing w:after="0"/>
              <w:rPr>
                <w:sz w:val="22"/>
                <w:szCs w:val="22"/>
                <w:color w:val="auto"/>
              </w:rPr>
            </w:pPr>
          </w:p>
        </w:tc>
        <w:tc>
          <w:tcPr>
            <w:tcW w:w="8990" w:type="dxa"/>
            <w:vAlign w:val="bottom"/>
          </w:tcPr>
          <w:p>
            <w:pPr>
              <w:ind w:left="6710"/>
              <w:spacing w:after="0"/>
              <w:rPr>
                <w:sz w:val="20"/>
                <w:szCs w:val="20"/>
                <w:color w:val="auto"/>
              </w:rPr>
            </w:pPr>
            <w:r>
              <w:rPr>
                <w:rFonts w:ascii="Arial" w:cs="Arial" w:eastAsia="Arial" w:hAnsi="Arial"/>
                <w:sz w:val="15"/>
                <w:szCs w:val="15"/>
                <w:b w:val="1"/>
                <w:bCs w:val="1"/>
                <w:color w:val="58358F"/>
              </w:rPr>
              <w:t>2023 PROXY STATEMENT | 103</w:t>
            </w:r>
          </w:p>
        </w:tc>
      </w:tr>
      <w:tr>
        <w:trPr>
          <w:trHeight w:val="261"/>
        </w:trPr>
        <w:tc>
          <w:tcPr>
            <w:tcW w:w="2250" w:type="dxa"/>
            <w:vAlign w:val="bottom"/>
            <w:tcBorders>
              <w:bottom w:val="single" w:sz="8" w:color="808080"/>
            </w:tcBorders>
          </w:tcPr>
          <w:p>
            <w:pPr>
              <w:spacing w:after="0"/>
              <w:rPr>
                <w:sz w:val="22"/>
                <w:szCs w:val="22"/>
                <w:color w:val="auto"/>
              </w:rPr>
            </w:pPr>
          </w:p>
        </w:tc>
        <w:tc>
          <w:tcPr>
            <w:tcW w:w="899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906780" cy="22098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300"/>
        <w:spacing w:after="0" w:line="288" w:lineRule="auto"/>
        <w:rPr>
          <w:sz w:val="20"/>
          <w:szCs w:val="20"/>
          <w:color w:val="auto"/>
        </w:rPr>
      </w:pPr>
      <w:r>
        <w:rPr>
          <w:rFonts w:ascii="Arial" w:cs="Arial" w:eastAsia="Arial" w:hAnsi="Arial"/>
          <w:sz w:val="22"/>
          <w:szCs w:val="22"/>
          <w:b w:val="1"/>
          <w:bCs w:val="1"/>
          <w:color w:val="582C83"/>
        </w:rPr>
        <w:t>POTENTIAL PAYOUT UPON AN INVOLUNTARY TERMINATION WITHOUT CAUSE AT FISCAL YEAR-END 2022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was prepared as if each of the NEOs were involuntarily terminated without cause on December 31, 2022.</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Annual</w:t>
            </w:r>
          </w:p>
        </w:tc>
        <w:tc>
          <w:tcPr>
            <w:tcW w:w="19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8"/>
        </w:trPr>
        <w:tc>
          <w:tcPr>
            <w:tcW w:w="37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Separation</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Incentive</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Outplacement</w:t>
            </w:r>
          </w:p>
        </w:tc>
        <w:tc>
          <w:tcPr>
            <w:tcW w:w="1800" w:type="dxa"/>
            <w:vAlign w:val="bottom"/>
          </w:tcPr>
          <w:p>
            <w:pPr>
              <w:spacing w:after="0"/>
              <w:rPr>
                <w:sz w:val="16"/>
                <w:szCs w:val="16"/>
                <w:color w:val="auto"/>
              </w:rPr>
            </w:pPr>
          </w:p>
        </w:tc>
      </w:tr>
      <w:tr>
        <w:trPr>
          <w:trHeight w:val="222"/>
        </w:trPr>
        <w:tc>
          <w:tcPr>
            <w:tcW w:w="3720" w:type="dxa"/>
            <w:vAlign w:val="bottom"/>
          </w:tcPr>
          <w:p>
            <w:pPr>
              <w:spacing w:after="0"/>
              <w:rPr>
                <w:sz w:val="19"/>
                <w:szCs w:val="19"/>
                <w:color w:val="auto"/>
              </w:rPr>
            </w:pPr>
          </w:p>
        </w:tc>
        <w:tc>
          <w:tcPr>
            <w:tcW w:w="1920" w:type="dxa"/>
            <w:vAlign w:val="bottom"/>
          </w:tcPr>
          <w:p>
            <w:pPr>
              <w:jc w:val="right"/>
              <w:spacing w:after="0" w:line="222" w:lineRule="exact"/>
              <w:rPr>
                <w:sz w:val="20"/>
                <w:szCs w:val="20"/>
                <w:color w:val="auto"/>
              </w:rPr>
            </w:pPr>
            <w:r>
              <w:rPr>
                <w:rFonts w:ascii="Arial" w:cs="Arial" w:eastAsia="Arial" w:hAnsi="Arial"/>
                <w:sz w:val="16"/>
                <w:szCs w:val="16"/>
                <w:b w:val="1"/>
                <w:bCs w:val="1"/>
                <w:color w:val="auto"/>
              </w:rPr>
              <w:t>Pay</w:t>
            </w:r>
            <w:r>
              <w:rPr>
                <w:rFonts w:ascii="Arial" w:cs="Arial" w:eastAsia="Arial" w:hAnsi="Arial"/>
                <w:sz w:val="25"/>
                <w:szCs w:val="25"/>
                <w:b w:val="1"/>
                <w:bCs w:val="1"/>
                <w:color w:val="auto"/>
                <w:vertAlign w:val="superscript"/>
              </w:rPr>
              <w:t>(1)</w:t>
            </w:r>
          </w:p>
        </w:tc>
        <w:tc>
          <w:tcPr>
            <w:tcW w:w="1900" w:type="dxa"/>
            <w:vAlign w:val="bottom"/>
          </w:tcPr>
          <w:p>
            <w:pPr>
              <w:jc w:val="right"/>
              <w:spacing w:after="0" w:line="222" w:lineRule="exact"/>
              <w:rPr>
                <w:sz w:val="20"/>
                <w:szCs w:val="20"/>
                <w:color w:val="auto"/>
              </w:rPr>
            </w:pPr>
            <w:r>
              <w:rPr>
                <w:rFonts w:ascii="Arial" w:cs="Arial" w:eastAsia="Arial" w:hAnsi="Arial"/>
                <w:sz w:val="16"/>
                <w:szCs w:val="16"/>
                <w:b w:val="1"/>
                <w:bCs w:val="1"/>
                <w:color w:val="auto"/>
              </w:rPr>
              <w:t>Award</w:t>
            </w:r>
            <w:r>
              <w:rPr>
                <w:rFonts w:ascii="Arial" w:cs="Arial" w:eastAsia="Arial" w:hAnsi="Arial"/>
                <w:sz w:val="25"/>
                <w:szCs w:val="25"/>
                <w:b w:val="1"/>
                <w:bCs w:val="1"/>
                <w:color w:val="auto"/>
                <w:vertAlign w:val="superscript"/>
              </w:rPr>
              <w:t>(2)</w:t>
            </w:r>
          </w:p>
        </w:tc>
        <w:tc>
          <w:tcPr>
            <w:tcW w:w="1920" w:type="dxa"/>
            <w:vAlign w:val="bottom"/>
          </w:tcPr>
          <w:p>
            <w:pPr>
              <w:jc w:val="right"/>
              <w:spacing w:after="0" w:line="222" w:lineRule="exact"/>
              <w:rPr>
                <w:sz w:val="20"/>
                <w:szCs w:val="20"/>
                <w:color w:val="auto"/>
              </w:rPr>
            </w:pPr>
            <w:r>
              <w:rPr>
                <w:rFonts w:ascii="Arial" w:cs="Arial" w:eastAsia="Arial" w:hAnsi="Arial"/>
                <w:sz w:val="16"/>
                <w:szCs w:val="16"/>
                <w:b w:val="1"/>
                <w:bCs w:val="1"/>
                <w:color w:val="auto"/>
              </w:rPr>
              <w:t>Services</w:t>
            </w:r>
            <w:r>
              <w:rPr>
                <w:rFonts w:ascii="Arial" w:cs="Arial" w:eastAsia="Arial" w:hAnsi="Arial"/>
                <w:sz w:val="25"/>
                <w:szCs w:val="25"/>
                <w:b w:val="1"/>
                <w:bCs w:val="1"/>
                <w:color w:val="auto"/>
                <w:vertAlign w:val="superscript"/>
              </w:rPr>
              <w:t>(3)</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41"/>
        </w:trPr>
        <w:tc>
          <w:tcPr>
            <w:tcW w:w="372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Name</w:t>
            </w:r>
          </w:p>
        </w:tc>
        <w:tc>
          <w:tcPr>
            <w:tcW w:w="192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90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92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91"/>
        </w:trPr>
        <w:tc>
          <w:tcPr>
            <w:tcW w:w="372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Van de Put, Dirk</w:t>
            </w:r>
          </w:p>
        </w:tc>
        <w:tc>
          <w:tcPr>
            <w:tcW w:w="192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3,100,000</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4,446,950</w:t>
            </w:r>
          </w:p>
        </w:tc>
        <w:tc>
          <w:tcPr>
            <w:tcW w:w="192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12,500</w:t>
            </w:r>
          </w:p>
        </w:tc>
        <w:tc>
          <w:tcPr>
            <w:tcW w:w="180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7,559,450</w:t>
            </w:r>
          </w:p>
        </w:tc>
      </w:tr>
      <w:tr>
        <w:trPr>
          <w:trHeight w:val="243"/>
        </w:trPr>
        <w:tc>
          <w:tcPr>
            <w:tcW w:w="3720" w:type="dxa"/>
            <w:vAlign w:val="bottom"/>
            <w:tcBorders>
              <w:top w:val="single" w:sz="8" w:color="572C83"/>
            </w:tcBorders>
          </w:tcPr>
          <w:p>
            <w:pPr>
              <w:ind w:left="60"/>
              <w:spacing w:after="0"/>
              <w:rPr>
                <w:sz w:val="20"/>
                <w:szCs w:val="20"/>
                <w:color w:val="auto"/>
              </w:rPr>
            </w:pPr>
            <w:r>
              <w:rPr>
                <w:rFonts w:ascii="Arial" w:cs="Arial" w:eastAsia="Arial" w:hAnsi="Arial"/>
                <w:sz w:val="16"/>
                <w:szCs w:val="16"/>
                <w:color w:val="auto"/>
              </w:rPr>
              <w:t>Zaramella, Luca</w:t>
            </w:r>
          </w:p>
        </w:tc>
        <w:tc>
          <w:tcPr>
            <w:tcW w:w="192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880,000</w:t>
            </w:r>
          </w:p>
        </w:tc>
        <w:tc>
          <w:tcPr>
            <w:tcW w:w="190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1,461,680</w:t>
            </w:r>
          </w:p>
        </w:tc>
        <w:tc>
          <w:tcPr>
            <w:tcW w:w="192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12,500</w:t>
            </w:r>
          </w:p>
        </w:tc>
        <w:tc>
          <w:tcPr>
            <w:tcW w:w="180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2,354,180</w:t>
            </w:r>
          </w:p>
        </w:tc>
      </w:tr>
      <w:tr>
        <w:trPr>
          <w:trHeight w:val="35"/>
        </w:trPr>
        <w:tc>
          <w:tcPr>
            <w:tcW w:w="3720" w:type="dxa"/>
            <w:vAlign w:val="bottom"/>
            <w:tcBorders>
              <w:bottom w:val="single" w:sz="8" w:color="572C83"/>
            </w:tcBorders>
          </w:tcPr>
          <w:p>
            <w:pPr>
              <w:spacing w:after="0"/>
              <w:rPr>
                <w:sz w:val="3"/>
                <w:szCs w:val="3"/>
                <w:color w:val="auto"/>
              </w:rPr>
            </w:pPr>
          </w:p>
        </w:tc>
        <w:tc>
          <w:tcPr>
            <w:tcW w:w="1920" w:type="dxa"/>
            <w:vAlign w:val="bottom"/>
            <w:tcBorders>
              <w:bottom w:val="single" w:sz="8" w:color="572C83"/>
            </w:tcBorders>
          </w:tcPr>
          <w:p>
            <w:pPr>
              <w:spacing w:after="0"/>
              <w:rPr>
                <w:sz w:val="3"/>
                <w:szCs w:val="3"/>
                <w:color w:val="auto"/>
              </w:rPr>
            </w:pPr>
          </w:p>
        </w:tc>
        <w:tc>
          <w:tcPr>
            <w:tcW w:w="1900" w:type="dxa"/>
            <w:vAlign w:val="bottom"/>
            <w:tcBorders>
              <w:bottom w:val="single" w:sz="8" w:color="572C83"/>
            </w:tcBorders>
          </w:tcPr>
          <w:p>
            <w:pPr>
              <w:spacing w:after="0"/>
              <w:rPr>
                <w:sz w:val="3"/>
                <w:szCs w:val="3"/>
                <w:color w:val="auto"/>
              </w:rPr>
            </w:pPr>
          </w:p>
        </w:tc>
        <w:tc>
          <w:tcPr>
            <w:tcW w:w="1920" w:type="dxa"/>
            <w:vAlign w:val="bottom"/>
            <w:tcBorders>
              <w:bottom w:val="single" w:sz="8" w:color="572C83"/>
            </w:tcBorders>
          </w:tcPr>
          <w:p>
            <w:pPr>
              <w:spacing w:after="0"/>
              <w:rPr>
                <w:sz w:val="3"/>
                <w:szCs w:val="3"/>
                <w:color w:val="auto"/>
              </w:rPr>
            </w:pPr>
          </w:p>
        </w:tc>
        <w:tc>
          <w:tcPr>
            <w:tcW w:w="1800" w:type="dxa"/>
            <w:vAlign w:val="bottom"/>
            <w:tcBorders>
              <w:bottom w:val="single" w:sz="8" w:color="572C83"/>
            </w:tcBorders>
          </w:tcPr>
          <w:p>
            <w:pPr>
              <w:spacing w:after="0"/>
              <w:rPr>
                <w:sz w:val="3"/>
                <w:szCs w:val="3"/>
                <w:color w:val="auto"/>
              </w:rPr>
            </w:pPr>
          </w:p>
        </w:tc>
      </w:tr>
      <w:tr>
        <w:trPr>
          <w:trHeight w:val="283"/>
        </w:trPr>
        <w:tc>
          <w:tcPr>
            <w:tcW w:w="372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Brusadelli, Maurizio</w:t>
            </w:r>
          </w:p>
        </w:tc>
        <w:tc>
          <w:tcPr>
            <w:tcW w:w="192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15,893,403</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1,072,440</w:t>
            </w:r>
          </w:p>
        </w:tc>
        <w:tc>
          <w:tcPr>
            <w:tcW w:w="192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32,025</w:t>
            </w:r>
          </w:p>
        </w:tc>
        <w:tc>
          <w:tcPr>
            <w:tcW w:w="180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16,997,867</w:t>
            </w:r>
          </w:p>
        </w:tc>
      </w:tr>
      <w:tr>
        <w:trPr>
          <w:trHeight w:val="243"/>
        </w:trPr>
        <w:tc>
          <w:tcPr>
            <w:tcW w:w="3720" w:type="dxa"/>
            <w:vAlign w:val="bottom"/>
            <w:tcBorders>
              <w:top w:val="single" w:sz="8" w:color="572C83"/>
            </w:tcBorders>
          </w:tcPr>
          <w:p>
            <w:pPr>
              <w:ind w:left="60"/>
              <w:spacing w:after="0"/>
              <w:rPr>
                <w:sz w:val="20"/>
                <w:szCs w:val="20"/>
                <w:color w:val="auto"/>
              </w:rPr>
            </w:pPr>
            <w:r>
              <w:rPr>
                <w:rFonts w:ascii="Arial" w:cs="Arial" w:eastAsia="Arial" w:hAnsi="Arial"/>
                <w:sz w:val="16"/>
                <w:szCs w:val="16"/>
                <w:color w:val="auto"/>
              </w:rPr>
              <w:t>Gruber, Vinzenz</w:t>
            </w:r>
          </w:p>
        </w:tc>
        <w:tc>
          <w:tcPr>
            <w:tcW w:w="192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664,513</w:t>
            </w:r>
          </w:p>
        </w:tc>
        <w:tc>
          <w:tcPr>
            <w:tcW w:w="190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478,449</w:t>
            </w:r>
          </w:p>
        </w:tc>
        <w:tc>
          <w:tcPr>
            <w:tcW w:w="192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4,881</w:t>
            </w:r>
          </w:p>
        </w:tc>
        <w:tc>
          <w:tcPr>
            <w:tcW w:w="180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1,147,843</w:t>
            </w:r>
          </w:p>
        </w:tc>
      </w:tr>
      <w:tr>
        <w:trPr>
          <w:trHeight w:val="35"/>
        </w:trPr>
        <w:tc>
          <w:tcPr>
            <w:tcW w:w="3720" w:type="dxa"/>
            <w:vAlign w:val="bottom"/>
            <w:tcBorders>
              <w:bottom w:val="single" w:sz="8" w:color="572C83"/>
            </w:tcBorders>
          </w:tcPr>
          <w:p>
            <w:pPr>
              <w:spacing w:after="0"/>
              <w:rPr>
                <w:sz w:val="3"/>
                <w:szCs w:val="3"/>
                <w:color w:val="auto"/>
              </w:rPr>
            </w:pPr>
          </w:p>
        </w:tc>
        <w:tc>
          <w:tcPr>
            <w:tcW w:w="1920" w:type="dxa"/>
            <w:vAlign w:val="bottom"/>
            <w:tcBorders>
              <w:bottom w:val="single" w:sz="8" w:color="572C83"/>
            </w:tcBorders>
          </w:tcPr>
          <w:p>
            <w:pPr>
              <w:spacing w:after="0"/>
              <w:rPr>
                <w:sz w:val="3"/>
                <w:szCs w:val="3"/>
                <w:color w:val="auto"/>
              </w:rPr>
            </w:pPr>
          </w:p>
        </w:tc>
        <w:tc>
          <w:tcPr>
            <w:tcW w:w="1900" w:type="dxa"/>
            <w:vAlign w:val="bottom"/>
            <w:tcBorders>
              <w:bottom w:val="single" w:sz="8" w:color="572C83"/>
            </w:tcBorders>
          </w:tcPr>
          <w:p>
            <w:pPr>
              <w:spacing w:after="0"/>
              <w:rPr>
                <w:sz w:val="3"/>
                <w:szCs w:val="3"/>
                <w:color w:val="auto"/>
              </w:rPr>
            </w:pPr>
          </w:p>
        </w:tc>
        <w:tc>
          <w:tcPr>
            <w:tcW w:w="1920" w:type="dxa"/>
            <w:vAlign w:val="bottom"/>
            <w:tcBorders>
              <w:bottom w:val="single" w:sz="8" w:color="572C83"/>
            </w:tcBorders>
          </w:tcPr>
          <w:p>
            <w:pPr>
              <w:spacing w:after="0"/>
              <w:rPr>
                <w:sz w:val="3"/>
                <w:szCs w:val="3"/>
                <w:color w:val="auto"/>
              </w:rPr>
            </w:pPr>
          </w:p>
        </w:tc>
        <w:tc>
          <w:tcPr>
            <w:tcW w:w="1800" w:type="dxa"/>
            <w:vAlign w:val="bottom"/>
            <w:tcBorders>
              <w:bottom w:val="single" w:sz="8" w:color="572C83"/>
            </w:tcBorders>
          </w:tcPr>
          <w:p>
            <w:pPr>
              <w:spacing w:after="0"/>
              <w:rPr>
                <w:sz w:val="3"/>
                <w:szCs w:val="3"/>
                <w:color w:val="auto"/>
              </w:rPr>
            </w:pPr>
          </w:p>
        </w:tc>
      </w:tr>
      <w:tr>
        <w:trPr>
          <w:trHeight w:val="258"/>
        </w:trPr>
        <w:tc>
          <w:tcPr>
            <w:tcW w:w="372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Valle, Gustavo</w:t>
            </w:r>
          </w:p>
        </w:tc>
        <w:tc>
          <w:tcPr>
            <w:tcW w:w="192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720,000</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1,038,003</w:t>
            </w:r>
          </w:p>
        </w:tc>
        <w:tc>
          <w:tcPr>
            <w:tcW w:w="192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12,500</w:t>
            </w:r>
          </w:p>
        </w:tc>
        <w:tc>
          <w:tcPr>
            <w:tcW w:w="180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1,770,503</w:t>
            </w:r>
          </w:p>
        </w:tc>
      </w:tr>
      <w:tr>
        <w:trPr>
          <w:trHeight w:val="20"/>
        </w:trPr>
        <w:tc>
          <w:tcPr>
            <w:tcW w:w="3720" w:type="dxa"/>
            <w:vAlign w:val="bottom"/>
            <w:tcBorders>
              <w:left w:val="single" w:sz="8" w:color="EBE6F0"/>
            </w:tcBorders>
            <w:shd w:val="clear" w:color="auto" w:fill="572C83"/>
          </w:tcPr>
          <w:p>
            <w:pPr>
              <w:spacing w:after="0" w:line="20" w:lineRule="exact"/>
              <w:rPr>
                <w:sz w:val="1"/>
                <w:szCs w:val="1"/>
                <w:color w:val="auto"/>
              </w:rPr>
            </w:pPr>
          </w:p>
        </w:tc>
        <w:tc>
          <w:tcPr>
            <w:tcW w:w="1920" w:type="dxa"/>
            <w:vAlign w:val="bottom"/>
            <w:tcBorders>
              <w:right w:val="single" w:sz="8" w:color="EBE6F0"/>
            </w:tcBorders>
            <w:shd w:val="clear" w:color="auto" w:fill="572C83"/>
          </w:tcPr>
          <w:p>
            <w:pPr>
              <w:spacing w:after="0" w:line="20" w:lineRule="exact"/>
              <w:rPr>
                <w:sz w:val="1"/>
                <w:szCs w:val="1"/>
                <w:color w:val="auto"/>
              </w:rPr>
            </w:pPr>
          </w:p>
        </w:tc>
        <w:tc>
          <w:tcPr>
            <w:tcW w:w="1900" w:type="dxa"/>
            <w:vAlign w:val="bottom"/>
            <w:shd w:val="clear" w:color="auto" w:fill="572C83"/>
          </w:tcPr>
          <w:p>
            <w:pPr>
              <w:spacing w:after="0" w:line="20" w:lineRule="exact"/>
              <w:rPr>
                <w:sz w:val="1"/>
                <w:szCs w:val="1"/>
                <w:color w:val="auto"/>
              </w:rPr>
            </w:pPr>
          </w:p>
        </w:tc>
        <w:tc>
          <w:tcPr>
            <w:tcW w:w="1920" w:type="dxa"/>
            <w:vAlign w:val="bottom"/>
            <w:tcBorders>
              <w:right w:val="single" w:sz="8" w:color="EBE6F0"/>
            </w:tcBorders>
            <w:shd w:val="clear" w:color="auto" w:fill="572C83"/>
          </w:tcPr>
          <w:p>
            <w:pPr>
              <w:spacing w:after="0" w:line="20" w:lineRule="exact"/>
              <w:rPr>
                <w:sz w:val="1"/>
                <w:szCs w:val="1"/>
                <w:color w:val="auto"/>
              </w:rPr>
            </w:pPr>
          </w:p>
        </w:tc>
        <w:tc>
          <w:tcPr>
            <w:tcW w:w="1800" w:type="dxa"/>
            <w:vAlign w:val="bottom"/>
            <w:tcBorders>
              <w:right w:val="single" w:sz="8" w:color="EBE6F0"/>
            </w:tcBorders>
            <w:shd w:val="clear" w:color="auto" w:fill="572C83"/>
          </w:tcPr>
          <w:p>
            <w:pPr>
              <w:spacing w:after="0" w:line="20" w:lineRule="exact"/>
              <w:rPr>
                <w:sz w:val="1"/>
                <w:szCs w:val="1"/>
                <w:color w:val="auto"/>
              </w:rPr>
            </w:pPr>
          </w:p>
        </w:tc>
      </w:tr>
    </w:tbl>
    <w:p>
      <w:pPr>
        <w:spacing w:after="0" w:line="75" w:lineRule="exact"/>
        <w:rPr>
          <w:sz w:val="20"/>
          <w:szCs w:val="20"/>
          <w:color w:val="auto"/>
        </w:rPr>
      </w:pPr>
    </w:p>
    <w:p>
      <w:pPr>
        <w:ind w:left="360" w:right="100" w:hanging="299"/>
        <w:spacing w:after="0" w:line="253" w:lineRule="auto"/>
        <w:tabs>
          <w:tab w:leader="none" w:pos="3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Per Mr. Van de Put’s offer of employment, amount reflects 24 months of base salary. Amounts reflect 12 months of base salary for the other NEOs except Mr. Brusadelli and Mr. Gruber. Under Italian law, amount reflected for Mr. Brusadelli is the maximum of a separation pay range; actual amount may be lower. Amount for Mr. Gruber is calculated based on a formula applicable to other Swiss employees. Amounts for Mr. Brusadelli and Mr. Gruber are converted to U.S. dollars using the Applicable Exchange Rate.</w:t>
      </w:r>
    </w:p>
    <w:p>
      <w:pPr>
        <w:spacing w:after="0" w:line="5" w:lineRule="exact"/>
        <w:rPr>
          <w:rFonts w:ascii="Arial" w:cs="Arial" w:eastAsia="Arial" w:hAnsi="Arial"/>
          <w:sz w:val="15"/>
          <w:szCs w:val="15"/>
          <w:color w:val="auto"/>
        </w:rPr>
      </w:pPr>
    </w:p>
    <w:p>
      <w:pPr>
        <w:ind w:left="360" w:hanging="299"/>
        <w:spacing w:after="0"/>
        <w:tabs>
          <w:tab w:leader="none" w:pos="3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Amounts for all NEOs reflect 2022 AIP awards. Amounts for Mr. Brusadelli and Mr. Gruber are converted to U.S. dollars using the Applicable Exchange Rate.</w:t>
      </w:r>
    </w:p>
    <w:p>
      <w:pPr>
        <w:spacing w:after="0" w:line="38" w:lineRule="exact"/>
        <w:rPr>
          <w:rFonts w:ascii="Arial" w:cs="Arial" w:eastAsia="Arial" w:hAnsi="Arial"/>
          <w:sz w:val="15"/>
          <w:szCs w:val="15"/>
          <w:color w:val="auto"/>
        </w:rPr>
      </w:pPr>
    </w:p>
    <w:p>
      <w:pPr>
        <w:ind w:left="360" w:right="280" w:hanging="299"/>
        <w:spacing w:after="0" w:line="275" w:lineRule="auto"/>
        <w:tabs>
          <w:tab w:leader="none" w:pos="3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Amounts for Mr. Brusadelli and Mr. Gruber are converted to U.S. dollars using the Applicable Exchange Rate. The amount for Mr. Gruber is based on 6 months of career transition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222250</wp:posOffset>
            </wp:positionV>
            <wp:extent cx="7143115"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8960"/>
        <w:spacing w:after="0"/>
        <w:rPr>
          <w:sz w:val="20"/>
          <w:szCs w:val="20"/>
          <w:color w:val="auto"/>
        </w:rPr>
      </w:pPr>
      <w:r>
        <w:rPr>
          <w:rFonts w:ascii="Arial" w:cs="Arial" w:eastAsia="Arial" w:hAnsi="Arial"/>
          <w:sz w:val="15"/>
          <w:szCs w:val="15"/>
          <w:b w:val="1"/>
          <w:bCs w:val="1"/>
          <w:color w:val="58358F"/>
        </w:rPr>
        <w:t>2023 PROXY STATEMENT |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DOUBLE TRIGGER CHANGE IN CONTROL ARRANGEMENTS</w:t>
      </w:r>
    </w:p>
    <w:p>
      <w:pPr>
        <w:spacing w:after="0" w:line="94" w:lineRule="exact"/>
        <w:rPr>
          <w:sz w:val="20"/>
          <w:szCs w:val="20"/>
          <w:color w:val="auto"/>
        </w:rPr>
      </w:pPr>
    </w:p>
    <w:p>
      <w:pPr>
        <w:ind w:right="20"/>
        <w:spacing w:after="0"/>
        <w:rPr>
          <w:sz w:val="20"/>
          <w:szCs w:val="20"/>
          <w:color w:val="auto"/>
        </w:rPr>
      </w:pPr>
      <w:r>
        <w:rPr>
          <w:rFonts w:ascii="Arial" w:cs="Arial" w:eastAsia="Arial" w:hAnsi="Arial"/>
          <w:sz w:val="20"/>
          <w:szCs w:val="20"/>
          <w:color w:val="auto"/>
        </w:rPr>
        <w:t>NEOs are not eligible for any benefit solely upon a CIC. Our CIC Plan for senior executive officers, including the NEOs, provides for certain benefits upon an involuntary termination of employment without “Cause” or voluntary termination for “Good Reason” within two years following a CIC. To receive any benefits under the CIC Plan, a participant must abide by certain restrictive covenants, including a non-compete and non-solicitation for one year following termination. Under the terms of the CIC Plan, a participant who violates a provision of these restrictive covenants must pay back any amounts already paid and receives no further payments from the CIC Plan.</w:t>
      </w:r>
    </w:p>
    <w:p>
      <w:pPr>
        <w:spacing w:after="0" w:line="135"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Additionally, the Equity Plan provides for the treatment of unassumed outstanding equity grants following a CIC and assumed outstanding equity grants upon an involuntary termination of employment without Cause or voluntary termination for Good Reason within two years following a CIC.</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auto"/>
        </w:rPr>
        <w:t>The key elements of the CIC Plan and Equity Plan assuming a double trigger event are described in the table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2930" w:type="dxa"/>
            <w:vAlign w:val="bottom"/>
            <w:tcBorders>
              <w:bottom w:val="single" w:sz="8" w:color="582C83"/>
            </w:tcBorders>
          </w:tcPr>
          <w:p>
            <w:pPr>
              <w:ind w:left="80"/>
              <w:spacing w:after="0"/>
              <w:rPr>
                <w:sz w:val="20"/>
                <w:szCs w:val="20"/>
                <w:color w:val="auto"/>
              </w:rPr>
            </w:pPr>
            <w:r>
              <w:rPr>
                <w:rFonts w:ascii="Arial" w:cs="Arial" w:eastAsia="Arial" w:hAnsi="Arial"/>
                <w:sz w:val="20"/>
                <w:szCs w:val="20"/>
                <w:b w:val="1"/>
                <w:bCs w:val="1"/>
                <w:color w:val="auto"/>
              </w:rPr>
              <w:t>Plan Element</w:t>
            </w:r>
          </w:p>
        </w:tc>
        <w:tc>
          <w:tcPr>
            <w:tcW w:w="8330" w:type="dxa"/>
            <w:vAlign w:val="bottom"/>
            <w:tcBorders>
              <w:bottom w:val="single" w:sz="8" w:color="582C83"/>
            </w:tcBorders>
            <w:gridSpan w:val="2"/>
          </w:tcPr>
          <w:p>
            <w:pPr>
              <w:ind w:left="70"/>
              <w:spacing w:after="0"/>
              <w:rPr>
                <w:sz w:val="20"/>
                <w:szCs w:val="20"/>
                <w:color w:val="auto"/>
              </w:rPr>
            </w:pPr>
            <w:r>
              <w:rPr>
                <w:rFonts w:ascii="Arial" w:cs="Arial" w:eastAsia="Arial" w:hAnsi="Arial"/>
                <w:sz w:val="20"/>
                <w:szCs w:val="20"/>
                <w:b w:val="1"/>
                <w:bCs w:val="1"/>
                <w:color w:val="auto"/>
              </w:rPr>
              <w:t>Description</w:t>
            </w:r>
          </w:p>
        </w:tc>
      </w:tr>
      <w:tr>
        <w:trPr>
          <w:trHeight w:val="284"/>
        </w:trPr>
        <w:tc>
          <w:tcPr>
            <w:tcW w:w="293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auto"/>
              </w:rPr>
              <w:t>Definition of “CIC”</w:t>
            </w:r>
          </w:p>
        </w:tc>
        <w:tc>
          <w:tcPr>
            <w:tcW w:w="8310" w:type="dxa"/>
            <w:vAlign w:val="bottom"/>
            <w:shd w:val="clear" w:color="auto" w:fill="EBE6F0"/>
          </w:tcPr>
          <w:p>
            <w:pPr>
              <w:ind w:left="90"/>
              <w:spacing w:after="0"/>
              <w:rPr>
                <w:sz w:val="20"/>
                <w:szCs w:val="20"/>
                <w:color w:val="auto"/>
              </w:rPr>
            </w:pPr>
            <w:r>
              <w:rPr>
                <w:rFonts w:ascii="Arial" w:cs="Arial" w:eastAsia="Arial" w:hAnsi="Arial"/>
                <w:sz w:val="20"/>
                <w:szCs w:val="20"/>
                <w:color w:val="auto"/>
              </w:rPr>
              <w:t>Subject to certain exceptions, the occurrence of one of the conditions below:</w:t>
            </w:r>
          </w:p>
        </w:tc>
        <w:tc>
          <w:tcPr>
            <w:tcW w:w="20" w:type="dxa"/>
            <w:vAlign w:val="bottom"/>
            <w:shd w:val="clear" w:color="auto" w:fill="EBE6F0"/>
          </w:tcPr>
          <w:p>
            <w:pPr>
              <w:spacing w:after="0"/>
              <w:rPr>
                <w:sz w:val="24"/>
                <w:szCs w:val="24"/>
                <w:color w:val="auto"/>
              </w:rPr>
            </w:pPr>
          </w:p>
        </w:tc>
      </w:tr>
      <w:tr>
        <w:trPr>
          <w:trHeight w:val="261"/>
        </w:trPr>
        <w:tc>
          <w:tcPr>
            <w:tcW w:w="2930" w:type="dxa"/>
            <w:vAlign w:val="bottom"/>
            <w:shd w:val="clear" w:color="auto" w:fill="EBE6F0"/>
          </w:tcPr>
          <w:p>
            <w:pPr>
              <w:spacing w:after="0"/>
              <w:rPr>
                <w:sz w:val="22"/>
                <w:szCs w:val="22"/>
                <w:color w:val="auto"/>
              </w:rPr>
            </w:pPr>
          </w:p>
        </w:tc>
        <w:tc>
          <w:tcPr>
            <w:tcW w:w="8310" w:type="dxa"/>
            <w:vAlign w:val="bottom"/>
            <w:shd w:val="clear" w:color="auto" w:fill="EBE6F0"/>
          </w:tcPr>
          <w:p>
            <w:pPr>
              <w:ind w:left="9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Acquisition of 20% or more of our outstanding voting securities;</w:t>
            </w:r>
          </w:p>
        </w:tc>
        <w:tc>
          <w:tcPr>
            <w:tcW w:w="20" w:type="dxa"/>
            <w:vAlign w:val="bottom"/>
            <w:shd w:val="clear" w:color="auto" w:fill="EBE6F0"/>
          </w:tcPr>
          <w:p>
            <w:pPr>
              <w:spacing w:after="0"/>
              <w:rPr>
                <w:sz w:val="22"/>
                <w:szCs w:val="22"/>
                <w:color w:val="auto"/>
              </w:rPr>
            </w:pPr>
          </w:p>
        </w:tc>
      </w:tr>
      <w:tr>
        <w:trPr>
          <w:trHeight w:val="223"/>
        </w:trPr>
        <w:tc>
          <w:tcPr>
            <w:tcW w:w="2930" w:type="dxa"/>
            <w:vAlign w:val="bottom"/>
            <w:shd w:val="clear" w:color="auto" w:fill="EBE6F0"/>
          </w:tcPr>
          <w:p>
            <w:pPr>
              <w:spacing w:after="0"/>
              <w:rPr>
                <w:sz w:val="19"/>
                <w:szCs w:val="19"/>
                <w:color w:val="auto"/>
              </w:rPr>
            </w:pPr>
          </w:p>
        </w:tc>
        <w:tc>
          <w:tcPr>
            <w:tcW w:w="8310" w:type="dxa"/>
            <w:vAlign w:val="bottom"/>
            <w:shd w:val="clear" w:color="auto" w:fill="EBE6F0"/>
          </w:tcPr>
          <w:p>
            <w:pPr>
              <w:ind w:left="9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Changes to Board membership during any consecutive 24-month period that results in</w:t>
            </w:r>
          </w:p>
        </w:tc>
        <w:tc>
          <w:tcPr>
            <w:tcW w:w="20" w:type="dxa"/>
            <w:vAlign w:val="bottom"/>
            <w:shd w:val="clear" w:color="auto" w:fill="EBE6F0"/>
          </w:tcPr>
          <w:p>
            <w:pPr>
              <w:spacing w:after="0"/>
              <w:rPr>
                <w:sz w:val="19"/>
                <w:szCs w:val="19"/>
                <w:color w:val="auto"/>
              </w:rPr>
            </w:pPr>
          </w:p>
        </w:tc>
      </w:tr>
      <w:tr>
        <w:trPr>
          <w:trHeight w:val="261"/>
        </w:trPr>
        <w:tc>
          <w:tcPr>
            <w:tcW w:w="2930" w:type="dxa"/>
            <w:vAlign w:val="bottom"/>
            <w:shd w:val="clear" w:color="auto" w:fill="EBE6F0"/>
          </w:tcPr>
          <w:p>
            <w:pPr>
              <w:spacing w:after="0"/>
              <w:rPr>
                <w:sz w:val="22"/>
                <w:szCs w:val="22"/>
                <w:color w:val="auto"/>
              </w:rPr>
            </w:pPr>
          </w:p>
        </w:tc>
        <w:tc>
          <w:tcPr>
            <w:tcW w:w="8310" w:type="dxa"/>
            <w:vAlign w:val="bottom"/>
            <w:shd w:val="clear" w:color="auto" w:fill="EBE6F0"/>
          </w:tcPr>
          <w:p>
            <w:pPr>
              <w:ind w:left="250"/>
              <w:spacing w:after="0"/>
              <w:rPr>
                <w:sz w:val="20"/>
                <w:szCs w:val="20"/>
                <w:color w:val="auto"/>
              </w:rPr>
            </w:pPr>
            <w:r>
              <w:rPr>
                <w:rFonts w:ascii="Arial" w:cs="Arial" w:eastAsia="Arial" w:hAnsi="Arial"/>
                <w:sz w:val="20"/>
                <w:szCs w:val="20"/>
                <w:color w:val="auto"/>
              </w:rPr>
              <w:t>less than 50% of the current Board members elected to the Board;</w:t>
            </w:r>
          </w:p>
        </w:tc>
        <w:tc>
          <w:tcPr>
            <w:tcW w:w="20" w:type="dxa"/>
            <w:vAlign w:val="bottom"/>
            <w:shd w:val="clear" w:color="auto" w:fill="EBE6F0"/>
          </w:tcPr>
          <w:p>
            <w:pPr>
              <w:spacing w:after="0"/>
              <w:rPr>
                <w:sz w:val="22"/>
                <w:szCs w:val="22"/>
                <w:color w:val="auto"/>
              </w:rPr>
            </w:pPr>
          </w:p>
        </w:tc>
      </w:tr>
      <w:tr>
        <w:trPr>
          <w:trHeight w:val="223"/>
        </w:trPr>
        <w:tc>
          <w:tcPr>
            <w:tcW w:w="2930" w:type="dxa"/>
            <w:vAlign w:val="bottom"/>
            <w:shd w:val="clear" w:color="auto" w:fill="EBE6F0"/>
          </w:tcPr>
          <w:p>
            <w:pPr>
              <w:spacing w:after="0"/>
              <w:rPr>
                <w:sz w:val="19"/>
                <w:szCs w:val="19"/>
                <w:color w:val="auto"/>
              </w:rPr>
            </w:pPr>
          </w:p>
        </w:tc>
        <w:tc>
          <w:tcPr>
            <w:tcW w:w="8310" w:type="dxa"/>
            <w:vAlign w:val="bottom"/>
            <w:shd w:val="clear" w:color="auto" w:fill="EBE6F0"/>
          </w:tcPr>
          <w:p>
            <w:pPr>
              <w:ind w:left="9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After the reorganization, merger, statutory share exchange or consolidation or any other</w:t>
            </w:r>
          </w:p>
        </w:tc>
        <w:tc>
          <w:tcPr>
            <w:tcW w:w="20" w:type="dxa"/>
            <w:vAlign w:val="bottom"/>
            <w:shd w:val="clear" w:color="auto" w:fill="EBE6F0"/>
          </w:tcPr>
          <w:p>
            <w:pPr>
              <w:spacing w:after="0"/>
              <w:rPr>
                <w:sz w:val="19"/>
                <w:szCs w:val="19"/>
                <w:color w:val="auto"/>
              </w:rPr>
            </w:pPr>
          </w:p>
        </w:tc>
      </w:tr>
      <w:tr>
        <w:trPr>
          <w:trHeight w:val="223"/>
        </w:trPr>
        <w:tc>
          <w:tcPr>
            <w:tcW w:w="2930" w:type="dxa"/>
            <w:vAlign w:val="bottom"/>
            <w:shd w:val="clear" w:color="auto" w:fill="EBE6F0"/>
          </w:tcPr>
          <w:p>
            <w:pPr>
              <w:spacing w:after="0"/>
              <w:rPr>
                <w:sz w:val="19"/>
                <w:szCs w:val="19"/>
                <w:color w:val="auto"/>
              </w:rPr>
            </w:pPr>
          </w:p>
        </w:tc>
        <w:tc>
          <w:tcPr>
            <w:tcW w:w="8310" w:type="dxa"/>
            <w:vAlign w:val="bottom"/>
            <w:shd w:val="clear" w:color="auto" w:fill="EBE6F0"/>
          </w:tcPr>
          <w:p>
            <w:pPr>
              <w:ind w:left="250"/>
              <w:spacing w:after="0" w:line="224" w:lineRule="exact"/>
              <w:rPr>
                <w:sz w:val="20"/>
                <w:szCs w:val="20"/>
                <w:color w:val="auto"/>
              </w:rPr>
            </w:pPr>
            <w:r>
              <w:rPr>
                <w:rFonts w:ascii="Arial" w:cs="Arial" w:eastAsia="Arial" w:hAnsi="Arial"/>
                <w:sz w:val="20"/>
                <w:szCs w:val="20"/>
                <w:color w:val="auto"/>
              </w:rPr>
              <w:t>material transaction involving the Company or any of our subsidiaries, over 50% of</w:t>
            </w:r>
          </w:p>
        </w:tc>
        <w:tc>
          <w:tcPr>
            <w:tcW w:w="20" w:type="dxa"/>
            <w:vAlign w:val="bottom"/>
            <w:shd w:val="clear" w:color="auto" w:fill="EBE6F0"/>
          </w:tcPr>
          <w:p>
            <w:pPr>
              <w:spacing w:after="0"/>
              <w:rPr>
                <w:sz w:val="19"/>
                <w:szCs w:val="19"/>
                <w:color w:val="auto"/>
              </w:rPr>
            </w:pPr>
          </w:p>
        </w:tc>
      </w:tr>
      <w:tr>
        <w:trPr>
          <w:trHeight w:val="261"/>
        </w:trPr>
        <w:tc>
          <w:tcPr>
            <w:tcW w:w="2930" w:type="dxa"/>
            <w:vAlign w:val="bottom"/>
            <w:shd w:val="clear" w:color="auto" w:fill="EBE6F0"/>
          </w:tcPr>
          <w:p>
            <w:pPr>
              <w:spacing w:after="0"/>
              <w:rPr>
                <w:sz w:val="22"/>
                <w:szCs w:val="22"/>
                <w:color w:val="auto"/>
              </w:rPr>
            </w:pPr>
          </w:p>
        </w:tc>
        <w:tc>
          <w:tcPr>
            <w:tcW w:w="8310" w:type="dxa"/>
            <w:vAlign w:val="bottom"/>
            <w:shd w:val="clear" w:color="auto" w:fill="EBE6F0"/>
          </w:tcPr>
          <w:p>
            <w:pPr>
              <w:ind w:left="250"/>
              <w:spacing w:after="0"/>
              <w:rPr>
                <w:sz w:val="20"/>
                <w:szCs w:val="20"/>
                <w:color w:val="auto"/>
              </w:rPr>
            </w:pPr>
            <w:r>
              <w:rPr>
                <w:rFonts w:ascii="Arial" w:cs="Arial" w:eastAsia="Arial" w:hAnsi="Arial"/>
                <w:sz w:val="20"/>
                <w:szCs w:val="20"/>
                <w:color w:val="auto"/>
              </w:rPr>
              <w:t>outstanding voting securities are not owned by Company shareholders; or</w:t>
            </w:r>
          </w:p>
        </w:tc>
        <w:tc>
          <w:tcPr>
            <w:tcW w:w="20" w:type="dxa"/>
            <w:vAlign w:val="bottom"/>
            <w:shd w:val="clear" w:color="auto" w:fill="EBE6F0"/>
          </w:tcPr>
          <w:p>
            <w:pPr>
              <w:spacing w:after="0"/>
              <w:rPr>
                <w:sz w:val="22"/>
                <w:szCs w:val="22"/>
                <w:color w:val="auto"/>
              </w:rPr>
            </w:pPr>
          </w:p>
        </w:tc>
      </w:tr>
      <w:tr>
        <w:trPr>
          <w:trHeight w:val="223"/>
        </w:trPr>
        <w:tc>
          <w:tcPr>
            <w:tcW w:w="2930" w:type="dxa"/>
            <w:vAlign w:val="bottom"/>
            <w:shd w:val="clear" w:color="auto" w:fill="EBE6F0"/>
          </w:tcPr>
          <w:p>
            <w:pPr>
              <w:spacing w:after="0"/>
              <w:rPr>
                <w:sz w:val="19"/>
                <w:szCs w:val="19"/>
                <w:color w:val="auto"/>
              </w:rPr>
            </w:pPr>
          </w:p>
        </w:tc>
        <w:tc>
          <w:tcPr>
            <w:tcW w:w="8310" w:type="dxa"/>
            <w:vAlign w:val="bottom"/>
            <w:shd w:val="clear" w:color="auto" w:fill="EBE6F0"/>
          </w:tcPr>
          <w:p>
            <w:pPr>
              <w:ind w:left="9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Complete liquidation of Mondelēz International or the sale of all or substantially all of our</w:t>
            </w:r>
          </w:p>
        </w:tc>
        <w:tc>
          <w:tcPr>
            <w:tcW w:w="20" w:type="dxa"/>
            <w:vAlign w:val="bottom"/>
            <w:shd w:val="clear" w:color="auto" w:fill="EBE6F0"/>
          </w:tcPr>
          <w:p>
            <w:pPr>
              <w:spacing w:after="0"/>
              <w:rPr>
                <w:sz w:val="19"/>
                <w:szCs w:val="19"/>
                <w:color w:val="auto"/>
              </w:rPr>
            </w:pPr>
          </w:p>
        </w:tc>
      </w:tr>
      <w:tr>
        <w:trPr>
          <w:trHeight w:val="292"/>
        </w:trPr>
        <w:tc>
          <w:tcPr>
            <w:tcW w:w="2930" w:type="dxa"/>
            <w:vAlign w:val="bottom"/>
            <w:tcBorders>
              <w:bottom w:val="single" w:sz="8" w:color="EBE6F0"/>
            </w:tcBorders>
            <w:shd w:val="clear" w:color="auto" w:fill="EBE6F0"/>
          </w:tcPr>
          <w:p>
            <w:pPr>
              <w:spacing w:after="0"/>
              <w:rPr>
                <w:sz w:val="24"/>
                <w:szCs w:val="24"/>
                <w:color w:val="auto"/>
              </w:rPr>
            </w:pPr>
          </w:p>
        </w:tc>
        <w:tc>
          <w:tcPr>
            <w:tcW w:w="8310" w:type="dxa"/>
            <w:vAlign w:val="bottom"/>
            <w:tcBorders>
              <w:bottom w:val="single" w:sz="8" w:color="EBE6F0"/>
            </w:tcBorders>
            <w:shd w:val="clear" w:color="auto" w:fill="EBE6F0"/>
          </w:tcPr>
          <w:p>
            <w:pPr>
              <w:ind w:left="250"/>
              <w:spacing w:after="0"/>
              <w:rPr>
                <w:sz w:val="20"/>
                <w:szCs w:val="20"/>
                <w:color w:val="auto"/>
              </w:rPr>
            </w:pPr>
            <w:r>
              <w:rPr>
                <w:rFonts w:ascii="Arial" w:cs="Arial" w:eastAsia="Arial" w:hAnsi="Arial"/>
                <w:sz w:val="20"/>
                <w:szCs w:val="20"/>
                <w:color w:val="auto"/>
              </w:rPr>
              <w:t>assets.</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84"/>
        </w:trPr>
        <w:tc>
          <w:tcPr>
            <w:tcW w:w="2930" w:type="dxa"/>
            <w:vAlign w:val="bottom"/>
          </w:tcPr>
          <w:p>
            <w:pPr>
              <w:ind w:left="80"/>
              <w:spacing w:after="0"/>
              <w:rPr>
                <w:sz w:val="20"/>
                <w:szCs w:val="20"/>
                <w:color w:val="auto"/>
              </w:rPr>
            </w:pPr>
            <w:r>
              <w:rPr>
                <w:rFonts w:ascii="Arial" w:cs="Arial" w:eastAsia="Arial" w:hAnsi="Arial"/>
                <w:sz w:val="20"/>
                <w:szCs w:val="20"/>
                <w:b w:val="1"/>
                <w:bCs w:val="1"/>
                <w:color w:val="auto"/>
              </w:rPr>
              <w:t>Definition of “Cause”</w:t>
            </w:r>
          </w:p>
        </w:tc>
        <w:tc>
          <w:tcPr>
            <w:tcW w:w="8330" w:type="dxa"/>
            <w:vAlign w:val="bottom"/>
            <w:gridSpan w:val="2"/>
          </w:tcPr>
          <w:p>
            <w:pPr>
              <w:ind w:left="70"/>
              <w:spacing w:after="0"/>
              <w:rPr>
                <w:sz w:val="20"/>
                <w:szCs w:val="20"/>
                <w:color w:val="auto"/>
              </w:rPr>
            </w:pPr>
            <w:r>
              <w:rPr>
                <w:rFonts w:ascii="Arial" w:cs="Arial" w:eastAsia="Arial" w:hAnsi="Arial"/>
                <w:sz w:val="20"/>
                <w:szCs w:val="20"/>
                <w:color w:val="auto"/>
              </w:rPr>
              <w:t>Subject to certain exceptions, the occurrence of one of the conditions below:</w:t>
            </w:r>
          </w:p>
        </w:tc>
      </w:tr>
      <w:tr>
        <w:trPr>
          <w:trHeight w:val="223"/>
        </w:trPr>
        <w:tc>
          <w:tcPr>
            <w:tcW w:w="2930" w:type="dxa"/>
            <w:vAlign w:val="bottom"/>
          </w:tcPr>
          <w:p>
            <w:pPr>
              <w:spacing w:after="0"/>
              <w:rPr>
                <w:sz w:val="19"/>
                <w:szCs w:val="19"/>
                <w:color w:val="auto"/>
              </w:rPr>
            </w:pPr>
          </w:p>
        </w:tc>
        <w:tc>
          <w:tcPr>
            <w:tcW w:w="8330" w:type="dxa"/>
            <w:vAlign w:val="bottom"/>
            <w:gridSpan w:val="2"/>
          </w:tcPr>
          <w:p>
            <w:pPr>
              <w:ind w:left="7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Continued failure to substantially perform job duties (other than resulting from incapacity</w:t>
            </w:r>
          </w:p>
        </w:tc>
      </w:tr>
      <w:tr>
        <w:trPr>
          <w:trHeight w:val="261"/>
        </w:trPr>
        <w:tc>
          <w:tcPr>
            <w:tcW w:w="2930" w:type="dxa"/>
            <w:vAlign w:val="bottom"/>
          </w:tcPr>
          <w:p>
            <w:pPr>
              <w:spacing w:after="0"/>
              <w:rPr>
                <w:sz w:val="22"/>
                <w:szCs w:val="22"/>
                <w:color w:val="auto"/>
              </w:rPr>
            </w:pPr>
          </w:p>
        </w:tc>
        <w:tc>
          <w:tcPr>
            <w:tcW w:w="8330" w:type="dxa"/>
            <w:vAlign w:val="bottom"/>
            <w:gridSpan w:val="2"/>
          </w:tcPr>
          <w:p>
            <w:pPr>
              <w:ind w:left="230"/>
              <w:spacing w:after="0"/>
              <w:rPr>
                <w:sz w:val="20"/>
                <w:szCs w:val="20"/>
                <w:color w:val="auto"/>
              </w:rPr>
            </w:pPr>
            <w:r>
              <w:rPr>
                <w:rFonts w:ascii="Arial" w:cs="Arial" w:eastAsia="Arial" w:hAnsi="Arial"/>
                <w:sz w:val="20"/>
                <w:szCs w:val="20"/>
                <w:color w:val="auto"/>
              </w:rPr>
              <w:t>due to disability);</w:t>
            </w:r>
          </w:p>
        </w:tc>
      </w:tr>
      <w:tr>
        <w:trPr>
          <w:trHeight w:val="223"/>
        </w:trPr>
        <w:tc>
          <w:tcPr>
            <w:tcW w:w="2930" w:type="dxa"/>
            <w:vAlign w:val="bottom"/>
          </w:tcPr>
          <w:p>
            <w:pPr>
              <w:spacing w:after="0"/>
              <w:rPr>
                <w:sz w:val="19"/>
                <w:szCs w:val="19"/>
                <w:color w:val="auto"/>
              </w:rPr>
            </w:pPr>
          </w:p>
        </w:tc>
        <w:tc>
          <w:tcPr>
            <w:tcW w:w="8330" w:type="dxa"/>
            <w:vAlign w:val="bottom"/>
            <w:gridSpan w:val="2"/>
          </w:tcPr>
          <w:p>
            <w:pPr>
              <w:ind w:left="7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Gross negligence, dishonesty or violation of any reasonable rule or regulation of</w:t>
            </w:r>
            <w:r>
              <w:rPr>
                <w:rFonts w:ascii="Times New Roman" w:cs="Times New Roman" w:eastAsia="Times New Roman" w:hAnsi="Times New Roman"/>
                <w:sz w:val="20"/>
                <w:szCs w:val="20"/>
                <w:color w:val="000000"/>
              </w:rPr>
              <w:t> </w:t>
            </w:r>
            <w:r>
              <w:rPr>
                <w:rFonts w:ascii="Arial" w:cs="Arial" w:eastAsia="Arial" w:hAnsi="Arial"/>
                <w:sz w:val="20"/>
                <w:szCs w:val="20"/>
                <w:color w:val="000000"/>
              </w:rPr>
              <w:t>the</w:t>
            </w:r>
          </w:p>
        </w:tc>
      </w:tr>
      <w:tr>
        <w:trPr>
          <w:trHeight w:val="261"/>
        </w:trPr>
        <w:tc>
          <w:tcPr>
            <w:tcW w:w="2930" w:type="dxa"/>
            <w:vAlign w:val="bottom"/>
          </w:tcPr>
          <w:p>
            <w:pPr>
              <w:spacing w:after="0"/>
              <w:rPr>
                <w:sz w:val="22"/>
                <w:szCs w:val="22"/>
                <w:color w:val="auto"/>
              </w:rPr>
            </w:pPr>
          </w:p>
        </w:tc>
        <w:tc>
          <w:tcPr>
            <w:tcW w:w="8330" w:type="dxa"/>
            <w:vAlign w:val="bottom"/>
            <w:gridSpan w:val="2"/>
          </w:tcPr>
          <w:p>
            <w:pPr>
              <w:ind w:left="230"/>
              <w:spacing w:after="0"/>
              <w:rPr>
                <w:sz w:val="20"/>
                <w:szCs w:val="20"/>
                <w:color w:val="auto"/>
              </w:rPr>
            </w:pPr>
            <w:r>
              <w:rPr>
                <w:rFonts w:ascii="Arial" w:cs="Arial" w:eastAsia="Arial" w:hAnsi="Arial"/>
                <w:sz w:val="20"/>
                <w:szCs w:val="20"/>
                <w:color w:val="auto"/>
              </w:rPr>
              <w:t>Company where the violation results in significant damage to the Company;</w:t>
            </w:r>
            <w:r>
              <w:rPr>
                <w:rFonts w:ascii="Times New Roman" w:cs="Times New Roman" w:eastAsia="Times New Roman" w:hAnsi="Times New Roman"/>
                <w:sz w:val="20"/>
                <w:szCs w:val="20"/>
                <w:color w:val="auto"/>
              </w:rPr>
              <w:t> </w:t>
            </w:r>
            <w:r>
              <w:rPr>
                <w:rFonts w:ascii="Arial" w:cs="Arial" w:eastAsia="Arial" w:hAnsi="Arial"/>
                <w:sz w:val="20"/>
                <w:szCs w:val="20"/>
                <w:color w:val="auto"/>
              </w:rPr>
              <w:t>or</w:t>
            </w:r>
          </w:p>
        </w:tc>
      </w:tr>
      <w:tr>
        <w:trPr>
          <w:trHeight w:val="223"/>
        </w:trPr>
        <w:tc>
          <w:tcPr>
            <w:tcW w:w="2930" w:type="dxa"/>
            <w:vAlign w:val="bottom"/>
          </w:tcPr>
          <w:p>
            <w:pPr>
              <w:spacing w:after="0"/>
              <w:rPr>
                <w:sz w:val="19"/>
                <w:szCs w:val="19"/>
                <w:color w:val="auto"/>
              </w:rPr>
            </w:pPr>
          </w:p>
        </w:tc>
        <w:tc>
          <w:tcPr>
            <w:tcW w:w="8330" w:type="dxa"/>
            <w:vAlign w:val="bottom"/>
            <w:gridSpan w:val="2"/>
          </w:tcPr>
          <w:p>
            <w:pPr>
              <w:ind w:left="7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Engaging in other conduct which adversely reflects on the Company in any material</w:t>
            </w:r>
          </w:p>
        </w:tc>
      </w:tr>
      <w:tr>
        <w:trPr>
          <w:trHeight w:val="264"/>
        </w:trPr>
        <w:tc>
          <w:tcPr>
            <w:tcW w:w="2930" w:type="dxa"/>
            <w:vAlign w:val="bottom"/>
          </w:tcPr>
          <w:p>
            <w:pPr>
              <w:spacing w:after="0"/>
              <w:rPr>
                <w:sz w:val="22"/>
                <w:szCs w:val="22"/>
                <w:color w:val="auto"/>
              </w:rPr>
            </w:pPr>
          </w:p>
        </w:tc>
        <w:tc>
          <w:tcPr>
            <w:tcW w:w="8330" w:type="dxa"/>
            <w:vAlign w:val="bottom"/>
            <w:gridSpan w:val="2"/>
          </w:tcPr>
          <w:p>
            <w:pPr>
              <w:ind w:left="230"/>
              <w:spacing w:after="0"/>
              <w:rPr>
                <w:sz w:val="20"/>
                <w:szCs w:val="20"/>
                <w:color w:val="auto"/>
              </w:rPr>
            </w:pPr>
            <w:r>
              <w:rPr>
                <w:rFonts w:ascii="Arial" w:cs="Arial" w:eastAsia="Arial" w:hAnsi="Arial"/>
                <w:sz w:val="20"/>
                <w:szCs w:val="20"/>
                <w:color w:val="auto"/>
              </w:rPr>
              <w:t>respect.</w:t>
            </w:r>
          </w:p>
        </w:tc>
      </w:tr>
      <w:tr>
        <w:trPr>
          <w:trHeight w:val="35"/>
        </w:trPr>
        <w:tc>
          <w:tcPr>
            <w:tcW w:w="2930" w:type="dxa"/>
            <w:vAlign w:val="bottom"/>
          </w:tcPr>
          <w:p>
            <w:pPr>
              <w:spacing w:after="0"/>
              <w:rPr>
                <w:sz w:val="3"/>
                <w:szCs w:val="3"/>
                <w:color w:val="auto"/>
              </w:rPr>
            </w:pPr>
          </w:p>
        </w:tc>
        <w:tc>
          <w:tcPr>
            <w:tcW w:w="831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7"/>
        </w:trPr>
        <w:tc>
          <w:tcPr>
            <w:tcW w:w="293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auto"/>
              </w:rPr>
              <w:t>Definition of “Good Reason”</w:t>
            </w:r>
          </w:p>
        </w:tc>
        <w:tc>
          <w:tcPr>
            <w:tcW w:w="8310" w:type="dxa"/>
            <w:vAlign w:val="bottom"/>
            <w:shd w:val="clear" w:color="auto" w:fill="EBE6F0"/>
          </w:tcPr>
          <w:p>
            <w:pPr>
              <w:ind w:left="9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Material reduction in job duties;</w:t>
            </w:r>
          </w:p>
        </w:tc>
        <w:tc>
          <w:tcPr>
            <w:tcW w:w="20" w:type="dxa"/>
            <w:vAlign w:val="bottom"/>
            <w:shd w:val="clear" w:color="auto" w:fill="EBE6F0"/>
          </w:tcPr>
          <w:p>
            <w:pPr>
              <w:spacing w:after="0"/>
              <w:rPr>
                <w:sz w:val="24"/>
                <w:szCs w:val="24"/>
                <w:color w:val="auto"/>
              </w:rPr>
            </w:pPr>
          </w:p>
        </w:tc>
      </w:tr>
      <w:tr>
        <w:trPr>
          <w:trHeight w:val="261"/>
        </w:trPr>
        <w:tc>
          <w:tcPr>
            <w:tcW w:w="2930" w:type="dxa"/>
            <w:vAlign w:val="bottom"/>
            <w:shd w:val="clear" w:color="auto" w:fill="EBE6F0"/>
          </w:tcPr>
          <w:p>
            <w:pPr>
              <w:spacing w:after="0"/>
              <w:rPr>
                <w:sz w:val="22"/>
                <w:szCs w:val="22"/>
                <w:color w:val="auto"/>
              </w:rPr>
            </w:pPr>
          </w:p>
        </w:tc>
        <w:tc>
          <w:tcPr>
            <w:tcW w:w="8310" w:type="dxa"/>
            <w:vAlign w:val="bottom"/>
            <w:shd w:val="clear" w:color="auto" w:fill="EBE6F0"/>
          </w:tcPr>
          <w:p>
            <w:pPr>
              <w:ind w:left="9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Material reduction in compensation;</w:t>
            </w:r>
          </w:p>
        </w:tc>
        <w:tc>
          <w:tcPr>
            <w:tcW w:w="20" w:type="dxa"/>
            <w:vAlign w:val="bottom"/>
            <w:shd w:val="clear" w:color="auto" w:fill="EBE6F0"/>
          </w:tcPr>
          <w:p>
            <w:pPr>
              <w:spacing w:after="0"/>
              <w:rPr>
                <w:sz w:val="22"/>
                <w:szCs w:val="22"/>
                <w:color w:val="auto"/>
              </w:rPr>
            </w:pPr>
          </w:p>
        </w:tc>
      </w:tr>
      <w:tr>
        <w:trPr>
          <w:trHeight w:val="261"/>
        </w:trPr>
        <w:tc>
          <w:tcPr>
            <w:tcW w:w="2930" w:type="dxa"/>
            <w:vAlign w:val="bottom"/>
            <w:shd w:val="clear" w:color="auto" w:fill="EBE6F0"/>
          </w:tcPr>
          <w:p>
            <w:pPr>
              <w:spacing w:after="0"/>
              <w:rPr>
                <w:sz w:val="22"/>
                <w:szCs w:val="22"/>
                <w:color w:val="auto"/>
              </w:rPr>
            </w:pPr>
          </w:p>
        </w:tc>
        <w:tc>
          <w:tcPr>
            <w:tcW w:w="8310" w:type="dxa"/>
            <w:vAlign w:val="bottom"/>
            <w:shd w:val="clear" w:color="auto" w:fill="EBE6F0"/>
          </w:tcPr>
          <w:p>
            <w:pPr>
              <w:ind w:left="9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Relocation beyond 50 miles; or</w:t>
            </w:r>
          </w:p>
        </w:tc>
        <w:tc>
          <w:tcPr>
            <w:tcW w:w="20" w:type="dxa"/>
            <w:vAlign w:val="bottom"/>
            <w:shd w:val="clear" w:color="auto" w:fill="EBE6F0"/>
          </w:tcPr>
          <w:p>
            <w:pPr>
              <w:spacing w:after="0"/>
              <w:rPr>
                <w:sz w:val="22"/>
                <w:szCs w:val="22"/>
                <w:color w:val="auto"/>
              </w:rPr>
            </w:pPr>
          </w:p>
        </w:tc>
      </w:tr>
      <w:tr>
        <w:trPr>
          <w:trHeight w:val="292"/>
        </w:trPr>
        <w:tc>
          <w:tcPr>
            <w:tcW w:w="2930" w:type="dxa"/>
            <w:vAlign w:val="bottom"/>
            <w:tcBorders>
              <w:bottom w:val="single" w:sz="8" w:color="EBE6F0"/>
            </w:tcBorders>
            <w:shd w:val="clear" w:color="auto" w:fill="EBE6F0"/>
          </w:tcPr>
          <w:p>
            <w:pPr>
              <w:spacing w:after="0"/>
              <w:rPr>
                <w:sz w:val="24"/>
                <w:szCs w:val="24"/>
                <w:color w:val="auto"/>
              </w:rPr>
            </w:pPr>
          </w:p>
        </w:tc>
        <w:tc>
          <w:tcPr>
            <w:tcW w:w="8310" w:type="dxa"/>
            <w:vAlign w:val="bottom"/>
            <w:tcBorders>
              <w:bottom w:val="single" w:sz="8" w:color="EBE6F0"/>
            </w:tcBorders>
            <w:shd w:val="clear" w:color="auto" w:fill="EBE6F0"/>
          </w:tcPr>
          <w:p>
            <w:pPr>
              <w:ind w:left="9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Failure to assume the obligations under the CIC Plan or Equity Plan.</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47"/>
        </w:trPr>
        <w:tc>
          <w:tcPr>
            <w:tcW w:w="2930" w:type="dxa"/>
            <w:vAlign w:val="bottom"/>
          </w:tcPr>
          <w:p>
            <w:pPr>
              <w:ind w:left="80"/>
              <w:spacing w:after="0"/>
              <w:rPr>
                <w:sz w:val="20"/>
                <w:szCs w:val="20"/>
                <w:color w:val="auto"/>
              </w:rPr>
            </w:pPr>
            <w:r>
              <w:rPr>
                <w:rFonts w:ascii="Arial" w:cs="Arial" w:eastAsia="Arial" w:hAnsi="Arial"/>
                <w:sz w:val="20"/>
                <w:szCs w:val="20"/>
                <w:b w:val="1"/>
                <w:bCs w:val="1"/>
                <w:color w:val="auto"/>
              </w:rPr>
              <w:t>Severance and Benefits</w:t>
            </w:r>
          </w:p>
        </w:tc>
        <w:tc>
          <w:tcPr>
            <w:tcW w:w="8330" w:type="dxa"/>
            <w:vAlign w:val="bottom"/>
            <w:gridSpan w:val="2"/>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CEO: 2.99 times base salary plus target annual incentive payable by the Company in a</w:t>
            </w:r>
          </w:p>
        </w:tc>
      </w:tr>
      <w:tr>
        <w:trPr>
          <w:trHeight w:val="261"/>
        </w:trPr>
        <w:tc>
          <w:tcPr>
            <w:tcW w:w="2930" w:type="dxa"/>
            <w:vAlign w:val="bottom"/>
          </w:tcPr>
          <w:p>
            <w:pPr>
              <w:ind w:left="80"/>
              <w:spacing w:after="0"/>
              <w:rPr>
                <w:sz w:val="20"/>
                <w:szCs w:val="20"/>
                <w:color w:val="auto"/>
              </w:rPr>
            </w:pPr>
            <w:r>
              <w:rPr>
                <w:rFonts w:ascii="Arial" w:cs="Arial" w:eastAsia="Arial" w:hAnsi="Arial"/>
                <w:sz w:val="20"/>
                <w:szCs w:val="20"/>
                <w:b w:val="1"/>
                <w:bCs w:val="1"/>
                <w:color w:val="auto"/>
              </w:rPr>
              <w:t>Amounts</w:t>
            </w:r>
          </w:p>
        </w:tc>
        <w:tc>
          <w:tcPr>
            <w:tcW w:w="8330" w:type="dxa"/>
            <w:vAlign w:val="bottom"/>
            <w:gridSpan w:val="2"/>
          </w:tcPr>
          <w:p>
            <w:pPr>
              <w:ind w:left="230"/>
              <w:spacing w:after="0"/>
              <w:rPr>
                <w:sz w:val="20"/>
                <w:szCs w:val="20"/>
                <w:color w:val="auto"/>
              </w:rPr>
            </w:pPr>
            <w:r>
              <w:rPr>
                <w:rFonts w:ascii="Arial" w:cs="Arial" w:eastAsia="Arial" w:hAnsi="Arial"/>
                <w:sz w:val="20"/>
                <w:szCs w:val="20"/>
                <w:color w:val="auto"/>
              </w:rPr>
              <w:t>lump sum;</w:t>
            </w:r>
          </w:p>
        </w:tc>
      </w:tr>
      <w:tr>
        <w:trPr>
          <w:trHeight w:val="223"/>
        </w:trPr>
        <w:tc>
          <w:tcPr>
            <w:tcW w:w="2930" w:type="dxa"/>
            <w:vAlign w:val="bottom"/>
          </w:tcPr>
          <w:p>
            <w:pPr>
              <w:spacing w:after="0"/>
              <w:rPr>
                <w:sz w:val="19"/>
                <w:szCs w:val="19"/>
                <w:color w:val="auto"/>
              </w:rPr>
            </w:pPr>
          </w:p>
        </w:tc>
        <w:tc>
          <w:tcPr>
            <w:tcW w:w="8330" w:type="dxa"/>
            <w:vAlign w:val="bottom"/>
            <w:gridSpan w:val="2"/>
          </w:tcPr>
          <w:p>
            <w:pPr>
              <w:ind w:left="7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All other NEOs: two times base salary plus target annual incentive payable by the</w:t>
            </w:r>
          </w:p>
        </w:tc>
      </w:tr>
      <w:tr>
        <w:trPr>
          <w:trHeight w:val="261"/>
        </w:trPr>
        <w:tc>
          <w:tcPr>
            <w:tcW w:w="2930" w:type="dxa"/>
            <w:vAlign w:val="bottom"/>
          </w:tcPr>
          <w:p>
            <w:pPr>
              <w:spacing w:after="0"/>
              <w:rPr>
                <w:sz w:val="22"/>
                <w:szCs w:val="22"/>
                <w:color w:val="auto"/>
              </w:rPr>
            </w:pPr>
          </w:p>
        </w:tc>
        <w:tc>
          <w:tcPr>
            <w:tcW w:w="8330" w:type="dxa"/>
            <w:vAlign w:val="bottom"/>
            <w:gridSpan w:val="2"/>
          </w:tcPr>
          <w:p>
            <w:pPr>
              <w:ind w:left="230"/>
              <w:spacing w:after="0"/>
              <w:rPr>
                <w:sz w:val="20"/>
                <w:szCs w:val="20"/>
                <w:color w:val="auto"/>
              </w:rPr>
            </w:pPr>
            <w:r>
              <w:rPr>
                <w:rFonts w:ascii="Arial" w:cs="Arial" w:eastAsia="Arial" w:hAnsi="Arial"/>
                <w:sz w:val="20"/>
                <w:szCs w:val="20"/>
                <w:color w:val="auto"/>
              </w:rPr>
              <w:t>Company in a lump sum;</w:t>
            </w:r>
          </w:p>
        </w:tc>
      </w:tr>
      <w:tr>
        <w:trPr>
          <w:trHeight w:val="223"/>
        </w:trPr>
        <w:tc>
          <w:tcPr>
            <w:tcW w:w="2930" w:type="dxa"/>
            <w:vAlign w:val="bottom"/>
          </w:tcPr>
          <w:p>
            <w:pPr>
              <w:spacing w:after="0"/>
              <w:rPr>
                <w:sz w:val="19"/>
                <w:szCs w:val="19"/>
                <w:color w:val="auto"/>
              </w:rPr>
            </w:pPr>
          </w:p>
        </w:tc>
        <w:tc>
          <w:tcPr>
            <w:tcW w:w="8330" w:type="dxa"/>
            <w:vAlign w:val="bottom"/>
            <w:gridSpan w:val="2"/>
          </w:tcPr>
          <w:p>
            <w:pPr>
              <w:ind w:left="7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Health and welfare benefits equal to three years for the CEO and two years for the other</w:t>
            </w:r>
          </w:p>
        </w:tc>
      </w:tr>
      <w:tr>
        <w:trPr>
          <w:trHeight w:val="261"/>
        </w:trPr>
        <w:tc>
          <w:tcPr>
            <w:tcW w:w="2930" w:type="dxa"/>
            <w:vAlign w:val="bottom"/>
          </w:tcPr>
          <w:p>
            <w:pPr>
              <w:spacing w:after="0"/>
              <w:rPr>
                <w:sz w:val="22"/>
                <w:szCs w:val="22"/>
                <w:color w:val="auto"/>
              </w:rPr>
            </w:pPr>
          </w:p>
        </w:tc>
        <w:tc>
          <w:tcPr>
            <w:tcW w:w="8330" w:type="dxa"/>
            <w:vAlign w:val="bottom"/>
            <w:gridSpan w:val="2"/>
          </w:tcPr>
          <w:p>
            <w:pPr>
              <w:ind w:left="230"/>
              <w:spacing w:after="0"/>
              <w:rPr>
                <w:sz w:val="20"/>
                <w:szCs w:val="20"/>
                <w:color w:val="auto"/>
              </w:rPr>
            </w:pPr>
            <w:r>
              <w:rPr>
                <w:rFonts w:ascii="Arial" w:cs="Arial" w:eastAsia="Arial" w:hAnsi="Arial"/>
                <w:sz w:val="20"/>
                <w:szCs w:val="20"/>
                <w:color w:val="auto"/>
              </w:rPr>
              <w:t>NEOs;</w:t>
            </w:r>
          </w:p>
        </w:tc>
      </w:tr>
      <w:tr>
        <w:trPr>
          <w:trHeight w:val="223"/>
        </w:trPr>
        <w:tc>
          <w:tcPr>
            <w:tcW w:w="2930" w:type="dxa"/>
            <w:vAlign w:val="bottom"/>
          </w:tcPr>
          <w:p>
            <w:pPr>
              <w:spacing w:after="0"/>
              <w:rPr>
                <w:sz w:val="19"/>
                <w:szCs w:val="19"/>
                <w:color w:val="auto"/>
              </w:rPr>
            </w:pPr>
          </w:p>
        </w:tc>
        <w:tc>
          <w:tcPr>
            <w:tcW w:w="8330" w:type="dxa"/>
            <w:vAlign w:val="bottom"/>
            <w:gridSpan w:val="2"/>
          </w:tcPr>
          <w:p>
            <w:pPr>
              <w:ind w:left="7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Continuation of financial counseling and car allowances for three years for the CEO and</w:t>
            </w:r>
          </w:p>
        </w:tc>
      </w:tr>
      <w:tr>
        <w:trPr>
          <w:trHeight w:val="261"/>
        </w:trPr>
        <w:tc>
          <w:tcPr>
            <w:tcW w:w="2930" w:type="dxa"/>
            <w:vAlign w:val="bottom"/>
          </w:tcPr>
          <w:p>
            <w:pPr>
              <w:spacing w:after="0"/>
              <w:rPr>
                <w:sz w:val="22"/>
                <w:szCs w:val="22"/>
                <w:color w:val="auto"/>
              </w:rPr>
            </w:pPr>
          </w:p>
        </w:tc>
        <w:tc>
          <w:tcPr>
            <w:tcW w:w="8330" w:type="dxa"/>
            <w:vAlign w:val="bottom"/>
            <w:gridSpan w:val="2"/>
          </w:tcPr>
          <w:p>
            <w:pPr>
              <w:ind w:left="230"/>
              <w:spacing w:after="0"/>
              <w:rPr>
                <w:sz w:val="20"/>
                <w:szCs w:val="20"/>
                <w:color w:val="auto"/>
              </w:rPr>
            </w:pPr>
            <w:r>
              <w:rPr>
                <w:rFonts w:ascii="Arial" w:cs="Arial" w:eastAsia="Arial" w:hAnsi="Arial"/>
                <w:sz w:val="20"/>
                <w:szCs w:val="20"/>
                <w:color w:val="auto"/>
              </w:rPr>
              <w:t>two years for the other NEOs; and</w:t>
            </w:r>
          </w:p>
        </w:tc>
      </w:tr>
      <w:tr>
        <w:trPr>
          <w:trHeight w:val="264"/>
        </w:trPr>
        <w:tc>
          <w:tcPr>
            <w:tcW w:w="2930" w:type="dxa"/>
            <w:vAlign w:val="bottom"/>
          </w:tcPr>
          <w:p>
            <w:pPr>
              <w:spacing w:after="0"/>
              <w:rPr>
                <w:sz w:val="22"/>
                <w:szCs w:val="22"/>
                <w:color w:val="auto"/>
              </w:rPr>
            </w:pPr>
          </w:p>
        </w:tc>
        <w:tc>
          <w:tcPr>
            <w:tcW w:w="8330" w:type="dxa"/>
            <w:vAlign w:val="bottom"/>
            <w:gridSpan w:val="2"/>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Outplacement services for up to two years following termination.</w:t>
            </w:r>
          </w:p>
        </w:tc>
      </w:tr>
      <w:tr>
        <w:trPr>
          <w:trHeight w:val="209"/>
        </w:trPr>
        <w:tc>
          <w:tcPr>
            <w:tcW w:w="2930" w:type="dxa"/>
            <w:vAlign w:val="bottom"/>
            <w:tcBorders>
              <w:bottom w:val="single" w:sz="8" w:color="58358F"/>
            </w:tcBorders>
          </w:tcPr>
          <w:p>
            <w:pPr>
              <w:spacing w:after="0"/>
              <w:rPr>
                <w:sz w:val="18"/>
                <w:szCs w:val="18"/>
                <w:color w:val="auto"/>
              </w:rPr>
            </w:pPr>
          </w:p>
        </w:tc>
        <w:tc>
          <w:tcPr>
            <w:tcW w:w="8310" w:type="dxa"/>
            <w:vAlign w:val="bottom"/>
            <w:tcBorders>
              <w:bottom w:val="single" w:sz="8" w:color="58358F"/>
            </w:tcBorders>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2930" w:type="dxa"/>
            <w:vAlign w:val="bottom"/>
          </w:tcPr>
          <w:p>
            <w:pPr>
              <w:spacing w:after="0"/>
              <w:rPr>
                <w:sz w:val="22"/>
                <w:szCs w:val="22"/>
                <w:color w:val="auto"/>
              </w:rPr>
            </w:pPr>
          </w:p>
        </w:tc>
        <w:tc>
          <w:tcPr>
            <w:tcW w:w="8330" w:type="dxa"/>
            <w:vAlign w:val="bottom"/>
            <w:gridSpan w:val="2"/>
          </w:tcPr>
          <w:p>
            <w:pPr>
              <w:ind w:left="6030"/>
              <w:spacing w:after="0"/>
              <w:rPr>
                <w:sz w:val="20"/>
                <w:szCs w:val="20"/>
                <w:color w:val="auto"/>
              </w:rPr>
            </w:pPr>
            <w:r>
              <w:rPr>
                <w:rFonts w:ascii="Arial" w:cs="Arial" w:eastAsia="Arial" w:hAnsi="Arial"/>
                <w:sz w:val="15"/>
                <w:szCs w:val="15"/>
                <w:b w:val="1"/>
                <w:bCs w:val="1"/>
                <w:color w:val="58358F"/>
              </w:rPr>
              <w:t>2023 PROXY STATEMENT | 105</w:t>
            </w:r>
          </w:p>
        </w:tc>
      </w:tr>
      <w:tr>
        <w:trPr>
          <w:trHeight w:val="261"/>
        </w:trPr>
        <w:tc>
          <w:tcPr>
            <w:tcW w:w="2930" w:type="dxa"/>
            <w:vAlign w:val="bottom"/>
            <w:tcBorders>
              <w:bottom w:val="single" w:sz="8" w:color="808080"/>
            </w:tcBorders>
          </w:tcPr>
          <w:p>
            <w:pPr>
              <w:spacing w:after="0"/>
              <w:rPr>
                <w:sz w:val="22"/>
                <w:szCs w:val="22"/>
                <w:color w:val="auto"/>
              </w:rPr>
            </w:pPr>
          </w:p>
        </w:tc>
        <w:tc>
          <w:tcPr>
            <w:tcW w:w="8310" w:type="dxa"/>
            <w:vAlign w:val="bottom"/>
            <w:tcBorders>
              <w:bottom w:val="single" w:sz="8" w:color="808080"/>
            </w:tcBorders>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906780" cy="22098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80"/>
        <w:spacing w:after="0"/>
        <w:tabs>
          <w:tab w:leader="none" w:pos="2980" w:val="left"/>
        </w:tabs>
        <w:rPr>
          <w:sz w:val="20"/>
          <w:szCs w:val="20"/>
          <w:color w:val="auto"/>
        </w:rPr>
      </w:pPr>
      <w:r>
        <w:rPr>
          <w:rFonts w:ascii="Arial" w:cs="Arial" w:eastAsia="Arial" w:hAnsi="Arial"/>
          <w:sz w:val="20"/>
          <w:szCs w:val="20"/>
          <w:b w:val="1"/>
          <w:bCs w:val="1"/>
          <w:color w:val="auto"/>
        </w:rPr>
        <w:t>Plan Element</w:t>
      </w:r>
      <w:r>
        <w:rPr>
          <w:sz w:val="20"/>
          <w:szCs w:val="20"/>
          <w:color w:val="auto"/>
        </w:rPr>
        <w:tab/>
      </w:r>
      <w:r>
        <w:rPr>
          <w:rFonts w:ascii="Arial" w:cs="Arial" w:eastAsia="Arial" w:hAnsi="Arial"/>
          <w:sz w:val="19"/>
          <w:szCs w:val="19"/>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51370" cy="9461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51370" cy="946150"/>
                    </a:xfrm>
                    <a:prstGeom prst="rect">
                      <a:avLst/>
                    </a:prstGeom>
                    <a:noFill/>
                  </pic:spPr>
                </pic:pic>
              </a:graphicData>
            </a:graphic>
          </wp:anchor>
        </w:drawing>
      </w:r>
    </w:p>
    <w:p>
      <w:pPr>
        <w:spacing w:after="0" w:line="85" w:lineRule="exact"/>
        <w:rPr>
          <w:sz w:val="20"/>
          <w:szCs w:val="20"/>
          <w:color w:val="auto"/>
        </w:rPr>
      </w:pPr>
    </w:p>
    <w:p>
      <w:pPr>
        <w:ind w:left="80"/>
        <w:spacing w:after="0"/>
        <w:tabs>
          <w:tab w:leader="none" w:pos="3000" w:val="left"/>
        </w:tabs>
        <w:rPr>
          <w:sz w:val="20"/>
          <w:szCs w:val="20"/>
          <w:color w:val="auto"/>
        </w:rPr>
      </w:pPr>
      <w:r>
        <w:rPr>
          <w:rFonts w:ascii="Arial" w:cs="Arial" w:eastAsia="Arial" w:hAnsi="Arial"/>
          <w:sz w:val="20"/>
          <w:szCs w:val="20"/>
          <w:b w:val="1"/>
          <w:bCs w:val="1"/>
          <w:color w:val="auto"/>
        </w:rPr>
        <w:t>Treatment of AIP Awards and</w:t>
      </w:r>
      <w:r>
        <w:rPr>
          <w:sz w:val="20"/>
          <w:szCs w:val="20"/>
          <w:color w:val="auto"/>
        </w:rPr>
        <w:tab/>
      </w:r>
      <w:r>
        <w:rPr>
          <w:rFonts w:ascii="Arial" w:cs="Arial" w:eastAsia="Arial" w:hAnsi="Arial"/>
          <w:sz w:val="19"/>
          <w:szCs w:val="19"/>
          <w:color w:val="582C83"/>
        </w:rPr>
        <w:t xml:space="preserve">• </w:t>
      </w:r>
      <w:r>
        <w:rPr>
          <w:rFonts w:ascii="Arial" w:cs="Arial" w:eastAsia="Arial" w:hAnsi="Arial"/>
          <w:sz w:val="19"/>
          <w:szCs w:val="19"/>
          <w:color w:val="000000"/>
        </w:rPr>
        <w:t>NEO is eligible to receive prorated cash payments (for service during the performance</w:t>
      </w:r>
    </w:p>
    <w:p>
      <w:pPr>
        <w:spacing w:after="0" w:line="14" w:lineRule="exact"/>
        <w:rPr>
          <w:sz w:val="20"/>
          <w:szCs w:val="20"/>
          <w:color w:val="auto"/>
        </w:rPr>
      </w:pPr>
    </w:p>
    <w:p>
      <w:pPr>
        <w:ind w:left="3180" w:right="140" w:hanging="3095"/>
        <w:spacing w:after="0" w:line="237" w:lineRule="auto"/>
        <w:tabs>
          <w:tab w:leader="none" w:pos="3160" w:val="left"/>
        </w:tabs>
        <w:rPr>
          <w:sz w:val="20"/>
          <w:szCs w:val="20"/>
          <w:color w:val="auto"/>
        </w:rPr>
      </w:pPr>
      <w:r>
        <w:rPr>
          <w:rFonts w:ascii="Arial" w:cs="Arial" w:eastAsia="Arial" w:hAnsi="Arial"/>
          <w:sz w:val="20"/>
          <w:szCs w:val="20"/>
          <w:b w:val="1"/>
          <w:bCs w:val="1"/>
          <w:color w:val="auto"/>
        </w:rPr>
        <w:t>PSU Grants</w:t>
      </w:r>
      <w:r>
        <w:rPr>
          <w:sz w:val="20"/>
          <w:szCs w:val="20"/>
          <w:color w:val="auto"/>
        </w:rPr>
        <w:tab/>
      </w:r>
      <w:r>
        <w:rPr>
          <w:rFonts w:ascii="Arial" w:cs="Arial" w:eastAsia="Arial" w:hAnsi="Arial"/>
          <w:sz w:val="20"/>
          <w:szCs w:val="20"/>
          <w:color w:val="auto"/>
        </w:rPr>
        <w:t>cycle) representing both the award under the AIP and outstanding PSU grants. In the case of outstanding PSUs, if at least fifty percent of the performance cycle has elapsed, cash payment would be calculated using the target level of PSUs (no proration). PSU value is calculated by multiplying the number of shares by the closing stock price on the last trading date preceding the date of CIC.</w:t>
      </w:r>
    </w:p>
    <w:p>
      <w:pPr>
        <w:spacing w:after="0" w:line="74" w:lineRule="exact"/>
        <w:rPr>
          <w:sz w:val="20"/>
          <w:szCs w:val="20"/>
          <w:color w:val="auto"/>
        </w:rPr>
      </w:pPr>
    </w:p>
    <w:p>
      <w:pPr>
        <w:ind w:left="3000" w:right="600" w:hanging="3095"/>
        <w:spacing w:after="0" w:line="268" w:lineRule="auto"/>
        <w:tabs>
          <w:tab w:leader="none" w:pos="2980" w:val="left"/>
        </w:tabs>
        <w:rPr>
          <w:sz w:val="20"/>
          <w:szCs w:val="20"/>
          <w:color w:val="auto"/>
        </w:rPr>
      </w:pPr>
      <w:r>
        <w:rPr>
          <w:rFonts w:ascii="Arial" w:cs="Arial" w:eastAsia="Arial" w:hAnsi="Arial"/>
          <w:sz w:val="20"/>
          <w:szCs w:val="20"/>
          <w:b w:val="1"/>
          <w:bCs w:val="1"/>
          <w:color w:val="auto"/>
        </w:rPr>
        <w:t>Treatment of Equity Grants</w:t>
      </w:r>
      <w:r>
        <w:rPr>
          <w:sz w:val="20"/>
          <w:szCs w:val="20"/>
          <w:color w:val="auto"/>
        </w:rPr>
        <w:tab/>
      </w:r>
      <w:r>
        <w:rPr>
          <w:rFonts w:ascii="Arial" w:cs="Arial" w:eastAsia="Arial" w:hAnsi="Arial"/>
          <w:sz w:val="20"/>
          <w:szCs w:val="20"/>
          <w:color w:val="582C83"/>
        </w:rPr>
        <w:t xml:space="preserve">• </w:t>
      </w:r>
      <w:r>
        <w:rPr>
          <w:rFonts w:ascii="Arial" w:cs="Arial" w:eastAsia="Arial" w:hAnsi="Arial"/>
          <w:sz w:val="20"/>
          <w:szCs w:val="20"/>
          <w:color w:val="000000"/>
        </w:rPr>
        <w:t>Unvested stock option grants vest. Participants have the full term to exercise all stock</w:t>
      </w:r>
      <w:r>
        <w:rPr>
          <w:rFonts w:ascii="Arial" w:cs="Arial" w:eastAsia="Arial" w:hAnsi="Arial"/>
          <w:sz w:val="20"/>
          <w:szCs w:val="20"/>
          <w:color w:val="582C83"/>
        </w:rPr>
        <w:t xml:space="preserve"> </w:t>
      </w:r>
      <w:r>
        <w:rPr>
          <w:rFonts w:ascii="Arial" w:cs="Arial" w:eastAsia="Arial" w:hAnsi="Arial"/>
          <w:sz w:val="20"/>
          <w:szCs w:val="20"/>
          <w:color w:val="000000"/>
        </w:rPr>
        <w:t>options, including those previously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51370" cy="50482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1370" cy="50482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p>
      <w:pPr>
        <w:spacing w:after="0" w:line="45" w:lineRule="exact"/>
        <w:rPr>
          <w:sz w:val="20"/>
          <w:szCs w:val="20"/>
          <w:color w:val="auto"/>
        </w:rPr>
      </w:pPr>
    </w:p>
    <w:p>
      <w:pPr>
        <w:ind w:left="80"/>
        <w:spacing w:after="0" w:line="275" w:lineRule="auto"/>
        <w:rPr>
          <w:sz w:val="20"/>
          <w:szCs w:val="20"/>
          <w:color w:val="auto"/>
        </w:rPr>
      </w:pPr>
      <w:r>
        <w:rPr>
          <w:rFonts w:ascii="Arial" w:cs="Arial" w:eastAsia="Arial" w:hAnsi="Arial"/>
          <w:sz w:val="19"/>
          <w:szCs w:val="19"/>
          <w:b w:val="1"/>
          <w:bCs w:val="1"/>
          <w:color w:val="auto"/>
        </w:rPr>
        <w:t>Maximum CIC Plan Benefit/No Gross Up for Payment of Excise Tax</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63" w:right="160" w:hanging="163"/>
        <w:spacing w:after="0" w:line="250" w:lineRule="auto"/>
        <w:tabs>
          <w:tab w:leader="none" w:pos="163" w:val="left"/>
        </w:tabs>
        <w:numPr>
          <w:ilvl w:val="0"/>
          <w:numId w:val="94"/>
        </w:numPr>
        <w:rPr>
          <w:rFonts w:ascii="Arial" w:cs="Arial" w:eastAsia="Arial" w:hAnsi="Arial"/>
          <w:sz w:val="20"/>
          <w:szCs w:val="20"/>
          <w:color w:val="582C83"/>
        </w:rPr>
      </w:pPr>
      <w:r>
        <w:rPr>
          <w:rFonts w:ascii="Arial" w:cs="Arial" w:eastAsia="Arial" w:hAnsi="Arial"/>
          <w:sz w:val="20"/>
          <w:szCs w:val="20"/>
          <w:color w:val="auto"/>
        </w:rPr>
        <w:t>The maximum benefit under the CIC Plan or otherwise is the greater of the full benefit or a reduced benefit that does not trigger the excise tax under Code Section 4999 as determined on an after-tax basis for each NEO.</w:t>
      </w:r>
    </w:p>
    <w:p>
      <w:pPr>
        <w:spacing w:after="0" w:line="232" w:lineRule="exact"/>
        <w:rPr>
          <w:sz w:val="20"/>
          <w:szCs w:val="20"/>
          <w:color w:val="auto"/>
        </w:rPr>
      </w:pPr>
    </w:p>
    <w:p>
      <w:pPr>
        <w:sectPr>
          <w:pgSz w:w="11900" w:h="16838" w:orient="portrait"/>
          <w:cols w:equalWidth="0" w:num="2">
            <w:col w:w="2340" w:space="677"/>
            <w:col w:w="8243"/>
          </w:cols>
          <w:pgMar w:left="320" w:top="132" w:right="319" w:bottom="1440" w:gutter="0" w:footer="0" w:header="0"/>
          <w:type w:val="continuous"/>
        </w:sectPr>
      </w:pPr>
    </w:p>
    <w:p>
      <w:pPr>
        <w:spacing w:after="0" w:line="80" w:lineRule="exact"/>
        <w:rPr>
          <w:sz w:val="20"/>
          <w:szCs w:val="20"/>
          <w:color w:val="auto"/>
        </w:rPr>
      </w:pPr>
    </w:p>
    <w:p>
      <w:pPr>
        <w:ind w:right="720"/>
        <w:spacing w:after="0" w:line="288" w:lineRule="auto"/>
        <w:rPr>
          <w:sz w:val="20"/>
          <w:szCs w:val="20"/>
          <w:color w:val="auto"/>
        </w:rPr>
      </w:pPr>
      <w:r>
        <w:rPr>
          <w:rFonts w:ascii="Arial" w:cs="Arial" w:eastAsia="Arial" w:hAnsi="Arial"/>
          <w:sz w:val="22"/>
          <w:szCs w:val="22"/>
          <w:b w:val="1"/>
          <w:bCs w:val="1"/>
          <w:color w:val="582C83"/>
        </w:rPr>
        <w:t>POTENTIAL PAYOUT UPON AN INVOLUNTARY TERMINATION DUE TO A CHANGE-IN-CONTROL AT FISCAL YEAR-END 2022</w:t>
      </w:r>
    </w:p>
    <w:p>
      <w:pPr>
        <w:spacing w:after="0" w:line="1" w:lineRule="exact"/>
        <w:rPr>
          <w:sz w:val="20"/>
          <w:szCs w:val="20"/>
          <w:color w:val="auto"/>
        </w:rPr>
      </w:pPr>
    </w:p>
    <w:p>
      <w:pPr>
        <w:ind w:right="680"/>
        <w:spacing w:after="0" w:line="295" w:lineRule="auto"/>
        <w:rPr>
          <w:sz w:val="20"/>
          <w:szCs w:val="20"/>
          <w:color w:val="auto"/>
        </w:rPr>
      </w:pPr>
      <w:r>
        <w:rPr>
          <w:rFonts w:ascii="Arial" w:cs="Arial" w:eastAsia="Arial" w:hAnsi="Arial"/>
          <w:sz w:val="19"/>
          <w:szCs w:val="19"/>
          <w:color w:val="auto"/>
        </w:rPr>
        <w:t>The table below was prepared as if each of the NEOs covered under our CIC Plan and Equity Plan were involuntarily terminated without cause or voluntarily terminated for Good Reason immediately following a CIC on December 31, 2022.</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Value of</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Value of</w:t>
            </w:r>
          </w:p>
        </w:tc>
        <w:tc>
          <w:tcPr>
            <w:tcW w:w="1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6"/>
        </w:trPr>
        <w:tc>
          <w:tcPr>
            <w:tcW w:w="2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Annual</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Unvested</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Unvested</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Health &amp;</w:t>
            </w:r>
          </w:p>
        </w:tc>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8"/>
        </w:trPr>
        <w:tc>
          <w:tcPr>
            <w:tcW w:w="20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Separation</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Incentive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PSU</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Stock</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Welfare</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Continuation</w:t>
            </w:r>
          </w:p>
        </w:tc>
        <w:tc>
          <w:tcPr>
            <w:tcW w:w="1340" w:type="dxa"/>
            <w:vAlign w:val="bottom"/>
          </w:tcPr>
          <w:p>
            <w:pPr>
              <w:spacing w:after="0"/>
              <w:rPr>
                <w:sz w:val="16"/>
                <w:szCs w:val="16"/>
                <w:color w:val="auto"/>
              </w:rPr>
            </w:pPr>
          </w:p>
        </w:tc>
      </w:tr>
      <w:tr>
        <w:trPr>
          <w:trHeight w:val="222"/>
        </w:trPr>
        <w:tc>
          <w:tcPr>
            <w:tcW w:w="2040" w:type="dxa"/>
            <w:vAlign w:val="bottom"/>
          </w:tcPr>
          <w:p>
            <w:pPr>
              <w:spacing w:after="0"/>
              <w:rPr>
                <w:sz w:val="19"/>
                <w:szCs w:val="19"/>
                <w:color w:val="auto"/>
              </w:rPr>
            </w:pPr>
          </w:p>
        </w:tc>
        <w:tc>
          <w:tcPr>
            <w:tcW w:w="1240" w:type="dxa"/>
            <w:vAlign w:val="bottom"/>
          </w:tcPr>
          <w:p>
            <w:pPr>
              <w:jc w:val="right"/>
              <w:spacing w:after="0" w:line="222" w:lineRule="exact"/>
              <w:rPr>
                <w:sz w:val="20"/>
                <w:szCs w:val="20"/>
                <w:color w:val="auto"/>
              </w:rPr>
            </w:pPr>
            <w:r>
              <w:rPr>
                <w:rFonts w:ascii="Arial" w:cs="Arial" w:eastAsia="Arial" w:hAnsi="Arial"/>
                <w:sz w:val="16"/>
                <w:szCs w:val="16"/>
                <w:b w:val="1"/>
                <w:bCs w:val="1"/>
                <w:color w:val="auto"/>
              </w:rPr>
              <w:t>Payment</w:t>
            </w:r>
            <w:r>
              <w:rPr>
                <w:rFonts w:ascii="Arial" w:cs="Arial" w:eastAsia="Arial" w:hAnsi="Arial"/>
                <w:sz w:val="25"/>
                <w:szCs w:val="25"/>
                <w:b w:val="1"/>
                <w:bCs w:val="1"/>
                <w:color w:val="auto"/>
                <w:vertAlign w:val="superscript"/>
              </w:rPr>
              <w:t>(1)</w:t>
            </w:r>
          </w:p>
        </w:tc>
        <w:tc>
          <w:tcPr>
            <w:tcW w:w="1260" w:type="dxa"/>
            <w:vAlign w:val="bottom"/>
          </w:tcPr>
          <w:p>
            <w:pPr>
              <w:jc w:val="right"/>
              <w:spacing w:after="0" w:line="222" w:lineRule="exact"/>
              <w:rPr>
                <w:sz w:val="20"/>
                <w:szCs w:val="20"/>
                <w:color w:val="auto"/>
              </w:rPr>
            </w:pPr>
            <w:r>
              <w:rPr>
                <w:rFonts w:ascii="Arial" w:cs="Arial" w:eastAsia="Arial" w:hAnsi="Arial"/>
                <w:sz w:val="16"/>
                <w:szCs w:val="16"/>
                <w:b w:val="1"/>
                <w:bCs w:val="1"/>
                <w:color w:val="auto"/>
              </w:rPr>
              <w:t>Award</w:t>
            </w:r>
            <w:r>
              <w:rPr>
                <w:rFonts w:ascii="Arial" w:cs="Arial" w:eastAsia="Arial" w:hAnsi="Arial"/>
                <w:sz w:val="25"/>
                <w:szCs w:val="25"/>
                <w:b w:val="1"/>
                <w:bCs w:val="1"/>
                <w:color w:val="auto"/>
                <w:vertAlign w:val="superscript"/>
              </w:rPr>
              <w:t>(2)</w:t>
            </w:r>
          </w:p>
        </w:tc>
        <w:tc>
          <w:tcPr>
            <w:tcW w:w="1240" w:type="dxa"/>
            <w:vAlign w:val="bottom"/>
          </w:tcPr>
          <w:p>
            <w:pPr>
              <w:jc w:val="right"/>
              <w:spacing w:after="0" w:line="222" w:lineRule="exact"/>
              <w:rPr>
                <w:sz w:val="20"/>
                <w:szCs w:val="20"/>
                <w:color w:val="auto"/>
              </w:rPr>
            </w:pPr>
            <w:r>
              <w:rPr>
                <w:rFonts w:ascii="Arial" w:cs="Arial" w:eastAsia="Arial" w:hAnsi="Arial"/>
                <w:sz w:val="16"/>
                <w:szCs w:val="16"/>
                <w:b w:val="1"/>
                <w:bCs w:val="1"/>
                <w:color w:val="auto"/>
              </w:rPr>
              <w:t>Grants</w:t>
            </w:r>
            <w:r>
              <w:rPr>
                <w:rFonts w:ascii="Arial" w:cs="Arial" w:eastAsia="Arial" w:hAnsi="Arial"/>
                <w:sz w:val="25"/>
                <w:szCs w:val="25"/>
                <w:b w:val="1"/>
                <w:bCs w:val="1"/>
                <w:color w:val="auto"/>
                <w:vertAlign w:val="superscript"/>
              </w:rPr>
              <w:t>(3)</w:t>
            </w:r>
          </w:p>
        </w:tc>
        <w:tc>
          <w:tcPr>
            <w:tcW w:w="1240" w:type="dxa"/>
            <w:vAlign w:val="bottom"/>
          </w:tcPr>
          <w:p>
            <w:pPr>
              <w:jc w:val="right"/>
              <w:spacing w:after="0" w:line="222" w:lineRule="exact"/>
              <w:rPr>
                <w:sz w:val="20"/>
                <w:szCs w:val="20"/>
                <w:color w:val="auto"/>
              </w:rPr>
            </w:pPr>
            <w:r>
              <w:rPr>
                <w:rFonts w:ascii="Arial" w:cs="Arial" w:eastAsia="Arial" w:hAnsi="Arial"/>
                <w:sz w:val="16"/>
                <w:szCs w:val="16"/>
                <w:b w:val="1"/>
                <w:bCs w:val="1"/>
                <w:color w:val="auto"/>
              </w:rPr>
              <w:t>Options</w:t>
            </w:r>
            <w:r>
              <w:rPr>
                <w:rFonts w:ascii="Arial" w:cs="Arial" w:eastAsia="Arial" w:hAnsi="Arial"/>
                <w:sz w:val="25"/>
                <w:szCs w:val="25"/>
                <w:b w:val="1"/>
                <w:bCs w:val="1"/>
                <w:color w:val="auto"/>
                <w:vertAlign w:val="superscript"/>
              </w:rPr>
              <w:t>(4)</w:t>
            </w:r>
          </w:p>
        </w:tc>
        <w:tc>
          <w:tcPr>
            <w:tcW w:w="1440" w:type="dxa"/>
            <w:vAlign w:val="bottom"/>
          </w:tcPr>
          <w:p>
            <w:pPr>
              <w:jc w:val="right"/>
              <w:spacing w:after="0" w:line="222" w:lineRule="exact"/>
              <w:rPr>
                <w:sz w:val="20"/>
                <w:szCs w:val="20"/>
                <w:color w:val="auto"/>
              </w:rPr>
            </w:pPr>
            <w:r>
              <w:rPr>
                <w:rFonts w:ascii="Arial" w:cs="Arial" w:eastAsia="Arial" w:hAnsi="Arial"/>
                <w:sz w:val="16"/>
                <w:szCs w:val="16"/>
                <w:b w:val="1"/>
                <w:bCs w:val="1"/>
                <w:color w:val="auto"/>
              </w:rPr>
              <w:t>Continuation</w:t>
            </w:r>
            <w:r>
              <w:rPr>
                <w:rFonts w:ascii="Arial" w:cs="Arial" w:eastAsia="Arial" w:hAnsi="Arial"/>
                <w:sz w:val="25"/>
                <w:szCs w:val="25"/>
                <w:b w:val="1"/>
                <w:bCs w:val="1"/>
                <w:color w:val="auto"/>
                <w:vertAlign w:val="superscript"/>
              </w:rPr>
              <w:t>(5)</w:t>
            </w:r>
          </w:p>
        </w:tc>
        <w:tc>
          <w:tcPr>
            <w:tcW w:w="1460" w:type="dxa"/>
            <w:vAlign w:val="bottom"/>
          </w:tcPr>
          <w:p>
            <w:pPr>
              <w:jc w:val="right"/>
              <w:spacing w:after="0" w:line="222" w:lineRule="exact"/>
              <w:rPr>
                <w:sz w:val="20"/>
                <w:szCs w:val="20"/>
                <w:color w:val="auto"/>
              </w:rPr>
            </w:pPr>
            <w:r>
              <w:rPr>
                <w:rFonts w:ascii="Arial" w:cs="Arial" w:eastAsia="Arial" w:hAnsi="Arial"/>
                <w:sz w:val="16"/>
                <w:szCs w:val="16"/>
                <w:b w:val="1"/>
                <w:bCs w:val="1"/>
                <w:color w:val="auto"/>
              </w:rPr>
              <w:t>of Benefits</w:t>
            </w:r>
            <w:r>
              <w:rPr>
                <w:rFonts w:ascii="Arial" w:cs="Arial" w:eastAsia="Arial" w:hAnsi="Arial"/>
                <w:sz w:val="25"/>
                <w:szCs w:val="25"/>
                <w:b w:val="1"/>
                <w:bCs w:val="1"/>
                <w:color w:val="auto"/>
                <w:vertAlign w:val="superscript"/>
              </w:rPr>
              <w:t>(6)</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41"/>
        </w:trPr>
        <w:tc>
          <w:tcPr>
            <w:tcW w:w="204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Name</w:t>
            </w:r>
          </w:p>
        </w:tc>
        <w:tc>
          <w:tcPr>
            <w:tcW w:w="12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91"/>
        </w:trPr>
        <w:tc>
          <w:tcPr>
            <w:tcW w:w="204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Van de Put, Dirk</w:t>
            </w:r>
          </w:p>
        </w:tc>
        <w:tc>
          <w:tcPr>
            <w:tcW w:w="12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13,440,050</w:t>
            </w:r>
          </w:p>
        </w:tc>
        <w:tc>
          <w:tcPr>
            <w:tcW w:w="126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2,945,000</w:t>
            </w:r>
          </w:p>
        </w:tc>
        <w:tc>
          <w:tcPr>
            <w:tcW w:w="12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22,648,781</w:t>
            </w:r>
          </w:p>
        </w:tc>
        <w:tc>
          <w:tcPr>
            <w:tcW w:w="12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2,871,814</w:t>
            </w:r>
          </w:p>
        </w:tc>
        <w:tc>
          <w:tcPr>
            <w:tcW w:w="14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34,695</w:t>
            </w:r>
          </w:p>
        </w:tc>
        <w:tc>
          <w:tcPr>
            <w:tcW w:w="146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124,999</w:t>
            </w:r>
          </w:p>
        </w:tc>
        <w:tc>
          <w:tcPr>
            <w:tcW w:w="13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42,065,340</w:t>
            </w:r>
          </w:p>
        </w:tc>
      </w:tr>
      <w:tr>
        <w:trPr>
          <w:trHeight w:val="243"/>
        </w:trPr>
        <w:tc>
          <w:tcPr>
            <w:tcW w:w="2040" w:type="dxa"/>
            <w:vAlign w:val="bottom"/>
            <w:tcBorders>
              <w:top w:val="single" w:sz="8" w:color="572C83"/>
            </w:tcBorders>
          </w:tcPr>
          <w:p>
            <w:pPr>
              <w:ind w:left="60"/>
              <w:spacing w:after="0"/>
              <w:rPr>
                <w:sz w:val="20"/>
                <w:szCs w:val="20"/>
                <w:color w:val="auto"/>
              </w:rPr>
            </w:pPr>
            <w:r>
              <w:rPr>
                <w:rFonts w:ascii="Arial" w:cs="Arial" w:eastAsia="Arial" w:hAnsi="Arial"/>
                <w:sz w:val="16"/>
                <w:szCs w:val="16"/>
                <w:color w:val="auto"/>
              </w:rPr>
              <w:t>Zaramella, Luca</w:t>
            </w:r>
          </w:p>
        </w:tc>
        <w:tc>
          <w:tcPr>
            <w:tcW w:w="124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3,696,000</w:t>
            </w:r>
          </w:p>
        </w:tc>
        <w:tc>
          <w:tcPr>
            <w:tcW w:w="126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968,000</w:t>
            </w:r>
          </w:p>
        </w:tc>
        <w:tc>
          <w:tcPr>
            <w:tcW w:w="124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6,595,684</w:t>
            </w:r>
          </w:p>
        </w:tc>
        <w:tc>
          <w:tcPr>
            <w:tcW w:w="124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842,577</w:t>
            </w:r>
          </w:p>
        </w:tc>
        <w:tc>
          <w:tcPr>
            <w:tcW w:w="144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32,591</w:t>
            </w:r>
          </w:p>
        </w:tc>
        <w:tc>
          <w:tcPr>
            <w:tcW w:w="146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70,000</w:t>
            </w:r>
          </w:p>
        </w:tc>
        <w:tc>
          <w:tcPr>
            <w:tcW w:w="134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12,204,852</w:t>
            </w:r>
          </w:p>
        </w:tc>
      </w:tr>
      <w:tr>
        <w:trPr>
          <w:trHeight w:val="35"/>
        </w:trPr>
        <w:tc>
          <w:tcPr>
            <w:tcW w:w="204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126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1440" w:type="dxa"/>
            <w:vAlign w:val="bottom"/>
            <w:tcBorders>
              <w:bottom w:val="single" w:sz="8" w:color="572C83"/>
            </w:tcBorders>
          </w:tcPr>
          <w:p>
            <w:pPr>
              <w:spacing w:after="0"/>
              <w:rPr>
                <w:sz w:val="3"/>
                <w:szCs w:val="3"/>
                <w:color w:val="auto"/>
              </w:rPr>
            </w:pPr>
          </w:p>
        </w:tc>
        <w:tc>
          <w:tcPr>
            <w:tcW w:w="1460" w:type="dxa"/>
            <w:vAlign w:val="bottom"/>
            <w:tcBorders>
              <w:bottom w:val="single" w:sz="8" w:color="572C83"/>
            </w:tcBorders>
          </w:tcPr>
          <w:p>
            <w:pPr>
              <w:spacing w:after="0"/>
              <w:rPr>
                <w:sz w:val="3"/>
                <w:szCs w:val="3"/>
                <w:color w:val="auto"/>
              </w:rPr>
            </w:pPr>
          </w:p>
        </w:tc>
        <w:tc>
          <w:tcPr>
            <w:tcW w:w="1340" w:type="dxa"/>
            <w:vAlign w:val="bottom"/>
            <w:tcBorders>
              <w:bottom w:val="single" w:sz="8" w:color="572C83"/>
            </w:tcBorders>
          </w:tcPr>
          <w:p>
            <w:pPr>
              <w:spacing w:after="0"/>
              <w:rPr>
                <w:sz w:val="3"/>
                <w:szCs w:val="3"/>
                <w:color w:val="auto"/>
              </w:rPr>
            </w:pPr>
          </w:p>
        </w:tc>
      </w:tr>
      <w:tr>
        <w:trPr>
          <w:trHeight w:val="283"/>
        </w:trPr>
        <w:tc>
          <w:tcPr>
            <w:tcW w:w="204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Brusadelli, Maurizio</w:t>
            </w:r>
          </w:p>
        </w:tc>
        <w:tc>
          <w:tcPr>
            <w:tcW w:w="12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15,893,403</w:t>
            </w:r>
          </w:p>
        </w:tc>
        <w:tc>
          <w:tcPr>
            <w:tcW w:w="126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666,112</w:t>
            </w:r>
          </w:p>
        </w:tc>
        <w:tc>
          <w:tcPr>
            <w:tcW w:w="12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4,718,154</w:t>
            </w:r>
          </w:p>
        </w:tc>
        <w:tc>
          <w:tcPr>
            <w:tcW w:w="12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595,375</w:t>
            </w:r>
          </w:p>
        </w:tc>
        <w:tc>
          <w:tcPr>
            <w:tcW w:w="14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19,865</w:t>
            </w:r>
          </w:p>
        </w:tc>
        <w:tc>
          <w:tcPr>
            <w:tcW w:w="146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169,043</w:t>
            </w:r>
          </w:p>
        </w:tc>
        <w:tc>
          <w:tcPr>
            <w:tcW w:w="13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22,061,951</w:t>
            </w:r>
          </w:p>
        </w:tc>
      </w:tr>
      <w:tr>
        <w:trPr>
          <w:trHeight w:val="243"/>
        </w:trPr>
        <w:tc>
          <w:tcPr>
            <w:tcW w:w="2040" w:type="dxa"/>
            <w:vAlign w:val="bottom"/>
            <w:tcBorders>
              <w:top w:val="single" w:sz="8" w:color="572C83"/>
            </w:tcBorders>
          </w:tcPr>
          <w:p>
            <w:pPr>
              <w:ind w:left="60"/>
              <w:spacing w:after="0"/>
              <w:rPr>
                <w:sz w:val="20"/>
                <w:szCs w:val="20"/>
                <w:color w:val="auto"/>
              </w:rPr>
            </w:pPr>
            <w:r>
              <w:rPr>
                <w:rFonts w:ascii="Arial" w:cs="Arial" w:eastAsia="Arial" w:hAnsi="Arial"/>
                <w:sz w:val="16"/>
                <w:szCs w:val="16"/>
                <w:color w:val="auto"/>
              </w:rPr>
              <w:t>Gruber, Vinzenz</w:t>
            </w:r>
          </w:p>
        </w:tc>
        <w:tc>
          <w:tcPr>
            <w:tcW w:w="124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3,189,660</w:t>
            </w:r>
          </w:p>
        </w:tc>
        <w:tc>
          <w:tcPr>
            <w:tcW w:w="126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797,415</w:t>
            </w:r>
          </w:p>
        </w:tc>
        <w:tc>
          <w:tcPr>
            <w:tcW w:w="124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4,722,153</w:t>
            </w:r>
          </w:p>
        </w:tc>
        <w:tc>
          <w:tcPr>
            <w:tcW w:w="124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605,539</w:t>
            </w:r>
          </w:p>
        </w:tc>
        <w:tc>
          <w:tcPr>
            <w:tcW w:w="144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39,118</w:t>
            </w:r>
          </w:p>
        </w:tc>
        <w:tc>
          <w:tcPr>
            <w:tcW w:w="134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9,353,885</w:t>
            </w:r>
          </w:p>
        </w:tc>
      </w:tr>
      <w:tr>
        <w:trPr>
          <w:trHeight w:val="35"/>
        </w:trPr>
        <w:tc>
          <w:tcPr>
            <w:tcW w:w="204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126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1440" w:type="dxa"/>
            <w:vAlign w:val="bottom"/>
            <w:tcBorders>
              <w:bottom w:val="single" w:sz="8" w:color="572C83"/>
            </w:tcBorders>
          </w:tcPr>
          <w:p>
            <w:pPr>
              <w:spacing w:after="0"/>
              <w:rPr>
                <w:sz w:val="3"/>
                <w:szCs w:val="3"/>
                <w:color w:val="auto"/>
              </w:rPr>
            </w:pPr>
          </w:p>
        </w:tc>
        <w:tc>
          <w:tcPr>
            <w:tcW w:w="1460" w:type="dxa"/>
            <w:vAlign w:val="bottom"/>
            <w:tcBorders>
              <w:bottom w:val="single" w:sz="8" w:color="572C83"/>
            </w:tcBorders>
          </w:tcPr>
          <w:p>
            <w:pPr>
              <w:spacing w:after="0"/>
              <w:rPr>
                <w:sz w:val="3"/>
                <w:szCs w:val="3"/>
                <w:color w:val="auto"/>
              </w:rPr>
            </w:pPr>
          </w:p>
        </w:tc>
        <w:tc>
          <w:tcPr>
            <w:tcW w:w="1340" w:type="dxa"/>
            <w:vAlign w:val="bottom"/>
            <w:tcBorders>
              <w:bottom w:val="single" w:sz="8" w:color="572C83"/>
            </w:tcBorders>
          </w:tcPr>
          <w:p>
            <w:pPr>
              <w:spacing w:after="0"/>
              <w:rPr>
                <w:sz w:val="3"/>
                <w:szCs w:val="3"/>
                <w:color w:val="auto"/>
              </w:rPr>
            </w:pPr>
          </w:p>
        </w:tc>
      </w:tr>
      <w:tr>
        <w:trPr>
          <w:trHeight w:val="258"/>
        </w:trPr>
        <w:tc>
          <w:tcPr>
            <w:tcW w:w="204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Valle, Gustavo</w:t>
            </w:r>
          </w:p>
        </w:tc>
        <w:tc>
          <w:tcPr>
            <w:tcW w:w="12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2,647,232</w:t>
            </w:r>
          </w:p>
        </w:tc>
        <w:tc>
          <w:tcPr>
            <w:tcW w:w="126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720,000</w:t>
            </w:r>
          </w:p>
        </w:tc>
        <w:tc>
          <w:tcPr>
            <w:tcW w:w="12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3,321,392</w:t>
            </w:r>
          </w:p>
        </w:tc>
        <w:tc>
          <w:tcPr>
            <w:tcW w:w="12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420,094</w:t>
            </w:r>
          </w:p>
        </w:tc>
        <w:tc>
          <w:tcPr>
            <w:tcW w:w="14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21,379</w:t>
            </w:r>
          </w:p>
        </w:tc>
        <w:tc>
          <w:tcPr>
            <w:tcW w:w="146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70,000</w:t>
            </w:r>
          </w:p>
        </w:tc>
        <w:tc>
          <w:tcPr>
            <w:tcW w:w="13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7,200,097</w:t>
            </w:r>
          </w:p>
        </w:tc>
      </w:tr>
      <w:tr>
        <w:trPr>
          <w:trHeight w:val="20"/>
        </w:trPr>
        <w:tc>
          <w:tcPr>
            <w:tcW w:w="2040" w:type="dxa"/>
            <w:vAlign w:val="bottom"/>
            <w:tcBorders>
              <w:left w:val="single" w:sz="8" w:color="EBE6F0"/>
            </w:tcBorders>
            <w:shd w:val="clear" w:color="auto" w:fill="572C83"/>
          </w:tcPr>
          <w:p>
            <w:pPr>
              <w:spacing w:after="0" w:line="20" w:lineRule="exact"/>
              <w:rPr>
                <w:sz w:val="1"/>
                <w:szCs w:val="1"/>
                <w:color w:val="auto"/>
              </w:rPr>
            </w:pPr>
          </w:p>
        </w:tc>
        <w:tc>
          <w:tcPr>
            <w:tcW w:w="1240" w:type="dxa"/>
            <w:vAlign w:val="bottom"/>
            <w:shd w:val="clear" w:color="auto" w:fill="572C83"/>
          </w:tcPr>
          <w:p>
            <w:pPr>
              <w:spacing w:after="0" w:line="20" w:lineRule="exact"/>
              <w:rPr>
                <w:sz w:val="1"/>
                <w:szCs w:val="1"/>
                <w:color w:val="auto"/>
              </w:rPr>
            </w:pPr>
          </w:p>
        </w:tc>
        <w:tc>
          <w:tcPr>
            <w:tcW w:w="1260" w:type="dxa"/>
            <w:vAlign w:val="bottom"/>
            <w:tcBorders>
              <w:right w:val="single" w:sz="8" w:color="EBE6F0"/>
            </w:tcBorders>
            <w:shd w:val="clear" w:color="auto" w:fill="572C83"/>
          </w:tcPr>
          <w:p>
            <w:pPr>
              <w:spacing w:after="0" w:line="20" w:lineRule="exact"/>
              <w:rPr>
                <w:sz w:val="1"/>
                <w:szCs w:val="1"/>
                <w:color w:val="auto"/>
              </w:rPr>
            </w:pPr>
          </w:p>
        </w:tc>
        <w:tc>
          <w:tcPr>
            <w:tcW w:w="1240" w:type="dxa"/>
            <w:vAlign w:val="bottom"/>
            <w:tcBorders>
              <w:right w:val="single" w:sz="8" w:color="EBE6F0"/>
            </w:tcBorders>
            <w:shd w:val="clear" w:color="auto" w:fill="572C83"/>
          </w:tcPr>
          <w:p>
            <w:pPr>
              <w:spacing w:after="0" w:line="20" w:lineRule="exact"/>
              <w:rPr>
                <w:sz w:val="1"/>
                <w:szCs w:val="1"/>
                <w:color w:val="auto"/>
              </w:rPr>
            </w:pPr>
          </w:p>
        </w:tc>
        <w:tc>
          <w:tcPr>
            <w:tcW w:w="1240" w:type="dxa"/>
            <w:vAlign w:val="bottom"/>
            <w:tcBorders>
              <w:right w:val="single" w:sz="8" w:color="EBE6F0"/>
            </w:tcBorders>
            <w:shd w:val="clear" w:color="auto" w:fill="572C83"/>
          </w:tcPr>
          <w:p>
            <w:pPr>
              <w:spacing w:after="0" w:line="20" w:lineRule="exact"/>
              <w:rPr>
                <w:sz w:val="1"/>
                <w:szCs w:val="1"/>
                <w:color w:val="auto"/>
              </w:rPr>
            </w:pPr>
          </w:p>
        </w:tc>
        <w:tc>
          <w:tcPr>
            <w:tcW w:w="1440" w:type="dxa"/>
            <w:vAlign w:val="bottom"/>
            <w:shd w:val="clear" w:color="auto" w:fill="572C83"/>
          </w:tcPr>
          <w:p>
            <w:pPr>
              <w:spacing w:after="0" w:line="20" w:lineRule="exact"/>
              <w:rPr>
                <w:sz w:val="1"/>
                <w:szCs w:val="1"/>
                <w:color w:val="auto"/>
              </w:rPr>
            </w:pPr>
          </w:p>
        </w:tc>
        <w:tc>
          <w:tcPr>
            <w:tcW w:w="1460" w:type="dxa"/>
            <w:vAlign w:val="bottom"/>
            <w:tcBorders>
              <w:right w:val="single" w:sz="8" w:color="EBE6F0"/>
            </w:tcBorders>
            <w:shd w:val="clear" w:color="auto" w:fill="572C83"/>
          </w:tcPr>
          <w:p>
            <w:pPr>
              <w:spacing w:after="0" w:line="20" w:lineRule="exact"/>
              <w:rPr>
                <w:sz w:val="1"/>
                <w:szCs w:val="1"/>
                <w:color w:val="auto"/>
              </w:rPr>
            </w:pPr>
          </w:p>
        </w:tc>
        <w:tc>
          <w:tcPr>
            <w:tcW w:w="1340" w:type="dxa"/>
            <w:vAlign w:val="bottom"/>
            <w:tcBorders>
              <w:right w:val="single" w:sz="8" w:color="EBE6F0"/>
            </w:tcBorders>
            <w:shd w:val="clear" w:color="auto" w:fill="572C83"/>
          </w:tcPr>
          <w:p>
            <w:pPr>
              <w:spacing w:after="0" w:line="20" w:lineRule="exact"/>
              <w:rPr>
                <w:sz w:val="1"/>
                <w:szCs w:val="1"/>
                <w:color w:val="auto"/>
              </w:rPr>
            </w:pPr>
          </w:p>
        </w:tc>
      </w:tr>
    </w:tbl>
    <w:p>
      <w:pPr>
        <w:spacing w:after="0" w:line="75" w:lineRule="exact"/>
        <w:rPr>
          <w:sz w:val="20"/>
          <w:szCs w:val="20"/>
          <w:color w:val="auto"/>
        </w:rPr>
      </w:pPr>
    </w:p>
    <w:p>
      <w:pPr>
        <w:ind w:left="360" w:right="340" w:hanging="299"/>
        <w:spacing w:after="0" w:line="258" w:lineRule="auto"/>
        <w:tabs>
          <w:tab w:leader="none" w:pos="3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Amounts reflect 2.99 times base salary plus target annual incentive for Mr. Van de Put and two times base salary plus target annual incentive for all other NEOs except Mr. Brusadelli. Under Italian law, amount reflected for Mr. Brusadelli is the maximum of a separation pay range; actual amount may be lower. Amounts for Mr. Brusadelli and Mr. Gruber are converted to U.S. dollars using the Applicable Exchange Rate.</w:t>
      </w:r>
    </w:p>
    <w:p>
      <w:pPr>
        <w:spacing w:after="0" w:line="2" w:lineRule="exact"/>
        <w:rPr>
          <w:rFonts w:ascii="Arial" w:cs="Arial" w:eastAsia="Arial" w:hAnsi="Arial"/>
          <w:sz w:val="15"/>
          <w:szCs w:val="15"/>
          <w:color w:val="auto"/>
        </w:rPr>
      </w:pPr>
    </w:p>
    <w:p>
      <w:pPr>
        <w:ind w:left="360" w:hanging="299"/>
        <w:spacing w:after="0"/>
        <w:tabs>
          <w:tab w:leader="none" w:pos="3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Amounts reflect target awards under our 2022 AIP. Amounts for Mr. Brusadelli and Mr. Gruber are converted to U.S. dollars using the Applicable Exchange Rate.</w:t>
      </w:r>
    </w:p>
    <w:p>
      <w:pPr>
        <w:spacing w:after="0" w:line="38" w:lineRule="exact"/>
        <w:rPr>
          <w:rFonts w:ascii="Arial" w:cs="Arial" w:eastAsia="Arial" w:hAnsi="Arial"/>
          <w:sz w:val="15"/>
          <w:szCs w:val="15"/>
          <w:color w:val="auto"/>
        </w:rPr>
      </w:pPr>
    </w:p>
    <w:p>
      <w:pPr>
        <w:ind w:left="360" w:right="400" w:hanging="299"/>
        <w:spacing w:after="0" w:line="267" w:lineRule="auto"/>
        <w:tabs>
          <w:tab w:leader="none" w:pos="3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Amounts reflect target PSU grants for the 2020-2022 and 2021-2023 performance cycles, as well as prorated target PSU grants for the 2022-2024 performance cycle. All amounts are based on a December 30, 2022 closing stock price of $66.65.</w:t>
      </w:r>
    </w:p>
    <w:p>
      <w:pPr>
        <w:spacing w:after="0" w:line="1" w:lineRule="exact"/>
        <w:rPr>
          <w:rFonts w:ascii="Arial" w:cs="Arial" w:eastAsia="Arial" w:hAnsi="Arial"/>
          <w:sz w:val="15"/>
          <w:szCs w:val="15"/>
          <w:color w:val="auto"/>
        </w:rPr>
      </w:pPr>
    </w:p>
    <w:p>
      <w:pPr>
        <w:ind w:left="360" w:right="420" w:hanging="299"/>
        <w:spacing w:after="0" w:line="267" w:lineRule="auto"/>
        <w:tabs>
          <w:tab w:leader="none" w:pos="3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Amounts reflect the value of immediate vesting of all outstanding unvested stock options. All amounts are based on a December 30, 2022 closing stock price of $66.65.</w:t>
      </w:r>
    </w:p>
    <w:p>
      <w:pPr>
        <w:spacing w:after="0" w:line="1" w:lineRule="exact"/>
        <w:rPr>
          <w:rFonts w:ascii="Arial" w:cs="Arial" w:eastAsia="Arial" w:hAnsi="Arial"/>
          <w:sz w:val="15"/>
          <w:szCs w:val="15"/>
          <w:color w:val="auto"/>
        </w:rPr>
      </w:pPr>
    </w:p>
    <w:p>
      <w:pPr>
        <w:ind w:left="360" w:right="280" w:hanging="299"/>
        <w:spacing w:after="0" w:line="267" w:lineRule="auto"/>
        <w:tabs>
          <w:tab w:leader="none" w:pos="3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Amounts reflect our cost for providing medical, dental, vision, long-term disability and life insurance premiums for three years for Mr. Van de Put and two years for all other NEOs. Amount for Mr. Brusadelli is converted to U.S. dollars using the Applicable Exchange Rate.</w:t>
      </w:r>
    </w:p>
    <w:p>
      <w:pPr>
        <w:spacing w:after="0" w:line="1" w:lineRule="exact"/>
        <w:rPr>
          <w:rFonts w:ascii="Arial" w:cs="Arial" w:eastAsia="Arial" w:hAnsi="Arial"/>
          <w:sz w:val="15"/>
          <w:szCs w:val="15"/>
          <w:color w:val="auto"/>
        </w:rPr>
      </w:pPr>
    </w:p>
    <w:p>
      <w:pPr>
        <w:ind w:left="360" w:right="160" w:hanging="299"/>
        <w:spacing w:after="0" w:line="250" w:lineRule="auto"/>
        <w:tabs>
          <w:tab w:leader="none" w:pos="3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Amounts reflect the value for continuation of the financial counseling allowance (three years for Mr. Van de Put valued at $30,000 and two years valued at $15,000 for all other NEOs except Mr. Brusadelli and Mr. Gruber who do not receive financial counseling allowance), car allowance (three years for Mr. Van de Put valued at $69,999, two years for Mr. Brusadelli valued at $104,994, two years for Mr. Gruber valued at $29,356 and two years for all other NEOs valued at $30,000) and outplacement services (two years for Mr. Brusadelli valued at $64,049, one year for Mr. Gruber valued at $9,762 and two years for all other NEOs valued at $25,000). Amounts for Mr. Brusadelli and Mr. Gruber are converted to U.S. dollars using the Applicable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3115"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49" w:lineRule="exact"/>
        <w:rPr>
          <w:sz w:val="20"/>
          <w:szCs w:val="20"/>
          <w:color w:val="auto"/>
        </w:rPr>
      </w:pPr>
    </w:p>
    <w:p>
      <w:pPr>
        <w:ind w:left="8960"/>
        <w:spacing w:after="0"/>
        <w:rPr>
          <w:sz w:val="20"/>
          <w:szCs w:val="20"/>
          <w:color w:val="auto"/>
        </w:rPr>
      </w:pPr>
      <w:r>
        <w:rPr>
          <w:rFonts w:ascii="Arial" w:cs="Arial" w:eastAsia="Arial" w:hAnsi="Arial"/>
          <w:sz w:val="15"/>
          <w:szCs w:val="15"/>
          <w:b w:val="1"/>
          <w:bCs w:val="1"/>
          <w:color w:val="58358F"/>
        </w:rPr>
        <w:t>2023 PROXY STATEMENT |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POTENTIAL PAYOUT UPON OTHER TYPES OF SEPARATIONS (DEATH AND DISABILITY)</w:t>
      </w:r>
    </w:p>
    <w:p>
      <w:pPr>
        <w:spacing w:after="0" w:line="94"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b w:val="1"/>
          <w:bCs w:val="1"/>
          <w:i w:val="1"/>
          <w:iCs w:val="1"/>
          <w:color w:val="auto"/>
        </w:rPr>
        <w:t>Death or Disability</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If an NEO terminates employment due to death or disability, all of the NEO’s outstanding unvested stock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option grants would vest. In addition, the NEO (or beneficiary) would become eligible for an award under the AIP and a prorated award for outstanding PSU grants.</w:t>
      </w:r>
    </w:p>
    <w:p>
      <w:pPr>
        <w:spacing w:after="0" w:line="126" w:lineRule="exact"/>
        <w:rPr>
          <w:sz w:val="20"/>
          <w:szCs w:val="20"/>
          <w:color w:val="auto"/>
        </w:rPr>
      </w:pPr>
    </w:p>
    <w:p>
      <w:pPr>
        <w:ind w:right="300"/>
        <w:spacing w:after="0" w:line="268" w:lineRule="auto"/>
        <w:rPr>
          <w:sz w:val="20"/>
          <w:szCs w:val="20"/>
          <w:color w:val="auto"/>
        </w:rPr>
      </w:pPr>
      <w:r>
        <w:rPr>
          <w:rFonts w:ascii="Arial" w:cs="Arial" w:eastAsia="Arial" w:hAnsi="Arial"/>
          <w:sz w:val="20"/>
          <w:szCs w:val="20"/>
          <w:color w:val="auto"/>
        </w:rPr>
        <w:t>The table below describes the estimated value of such payments based on a December 31, 2022 termination due to death or disability.</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b w:val="1"/>
                <w:bCs w:val="1"/>
                <w:color w:val="auto"/>
              </w:rPr>
              <w:t>Value of</w:t>
            </w:r>
          </w:p>
        </w:tc>
        <w:tc>
          <w:tcPr>
            <w:tcW w:w="1800" w:type="dxa"/>
            <w:vAlign w:val="bottom"/>
          </w:tcPr>
          <w:p>
            <w:pPr>
              <w:jc w:val="right"/>
              <w:ind w:right="20"/>
              <w:spacing w:after="0"/>
              <w:rPr>
                <w:sz w:val="20"/>
                <w:szCs w:val="20"/>
                <w:color w:val="auto"/>
              </w:rPr>
            </w:pPr>
            <w:r>
              <w:rPr>
                <w:rFonts w:ascii="Arial" w:cs="Arial" w:eastAsia="Arial" w:hAnsi="Arial"/>
                <w:sz w:val="16"/>
                <w:szCs w:val="16"/>
                <w:b w:val="1"/>
                <w:bCs w:val="1"/>
                <w:color w:val="auto"/>
              </w:rPr>
              <w:t>Value of</w:t>
            </w:r>
          </w:p>
        </w:tc>
        <w:tc>
          <w:tcPr>
            <w:tcW w:w="1780" w:type="dxa"/>
            <w:vAlign w:val="bottom"/>
          </w:tcPr>
          <w:p>
            <w:pPr>
              <w:spacing w:after="0"/>
              <w:rPr>
                <w:sz w:val="16"/>
                <w:szCs w:val="16"/>
                <w:color w:val="auto"/>
              </w:rPr>
            </w:pPr>
          </w:p>
        </w:tc>
      </w:tr>
      <w:tr>
        <w:trPr>
          <w:trHeight w:val="186"/>
        </w:trPr>
        <w:tc>
          <w:tcPr>
            <w:tcW w:w="4080" w:type="dxa"/>
            <w:vAlign w:val="bottom"/>
          </w:tcPr>
          <w:p>
            <w:pPr>
              <w:spacing w:after="0"/>
              <w:rPr>
                <w:sz w:val="16"/>
                <w:szCs w:val="16"/>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b w:val="1"/>
                <w:bCs w:val="1"/>
                <w:color w:val="auto"/>
              </w:rPr>
              <w:t>Annual</w:t>
            </w:r>
          </w:p>
        </w:tc>
        <w:tc>
          <w:tcPr>
            <w:tcW w:w="1800" w:type="dxa"/>
            <w:vAlign w:val="bottom"/>
          </w:tcPr>
          <w:p>
            <w:pPr>
              <w:jc w:val="right"/>
              <w:ind w:right="20"/>
              <w:spacing w:after="0"/>
              <w:rPr>
                <w:sz w:val="20"/>
                <w:szCs w:val="20"/>
                <w:color w:val="auto"/>
              </w:rPr>
            </w:pPr>
            <w:r>
              <w:rPr>
                <w:rFonts w:ascii="Arial" w:cs="Arial" w:eastAsia="Arial" w:hAnsi="Arial"/>
                <w:sz w:val="16"/>
                <w:szCs w:val="16"/>
                <w:b w:val="1"/>
                <w:bCs w:val="1"/>
                <w:color w:val="auto"/>
              </w:rPr>
              <w:t>Unvested</w:t>
            </w:r>
          </w:p>
        </w:tc>
        <w:tc>
          <w:tcPr>
            <w:tcW w:w="1800" w:type="dxa"/>
            <w:vAlign w:val="bottom"/>
          </w:tcPr>
          <w:p>
            <w:pPr>
              <w:jc w:val="right"/>
              <w:ind w:right="20"/>
              <w:spacing w:after="0"/>
              <w:rPr>
                <w:sz w:val="20"/>
                <w:szCs w:val="20"/>
                <w:color w:val="auto"/>
              </w:rPr>
            </w:pPr>
            <w:r>
              <w:rPr>
                <w:rFonts w:ascii="Arial" w:cs="Arial" w:eastAsia="Arial" w:hAnsi="Arial"/>
                <w:sz w:val="16"/>
                <w:szCs w:val="16"/>
                <w:b w:val="1"/>
                <w:bCs w:val="1"/>
                <w:color w:val="auto"/>
              </w:rPr>
              <w:t>Unvested</w:t>
            </w:r>
          </w:p>
        </w:tc>
        <w:tc>
          <w:tcPr>
            <w:tcW w:w="1780" w:type="dxa"/>
            <w:vAlign w:val="bottom"/>
          </w:tcPr>
          <w:p>
            <w:pPr>
              <w:spacing w:after="0"/>
              <w:rPr>
                <w:sz w:val="16"/>
                <w:szCs w:val="16"/>
                <w:color w:val="auto"/>
              </w:rPr>
            </w:pPr>
          </w:p>
        </w:tc>
      </w:tr>
      <w:tr>
        <w:trPr>
          <w:trHeight w:val="188"/>
        </w:trPr>
        <w:tc>
          <w:tcPr>
            <w:tcW w:w="4080" w:type="dxa"/>
            <w:vAlign w:val="bottom"/>
          </w:tcPr>
          <w:p>
            <w:pPr>
              <w:spacing w:after="0"/>
              <w:rPr>
                <w:sz w:val="16"/>
                <w:szCs w:val="16"/>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b w:val="1"/>
                <w:bCs w:val="1"/>
                <w:color w:val="auto"/>
              </w:rPr>
              <w:t>Incentive</w:t>
            </w:r>
          </w:p>
        </w:tc>
        <w:tc>
          <w:tcPr>
            <w:tcW w:w="1800" w:type="dxa"/>
            <w:vAlign w:val="bottom"/>
          </w:tcPr>
          <w:p>
            <w:pPr>
              <w:jc w:val="right"/>
              <w:ind w:right="20"/>
              <w:spacing w:after="0"/>
              <w:rPr>
                <w:sz w:val="20"/>
                <w:szCs w:val="20"/>
                <w:color w:val="auto"/>
              </w:rPr>
            </w:pPr>
            <w:r>
              <w:rPr>
                <w:rFonts w:ascii="Arial" w:cs="Arial" w:eastAsia="Arial" w:hAnsi="Arial"/>
                <w:sz w:val="16"/>
                <w:szCs w:val="16"/>
                <w:b w:val="1"/>
                <w:bCs w:val="1"/>
                <w:color w:val="auto"/>
              </w:rPr>
              <w:t>PSU</w:t>
            </w:r>
          </w:p>
        </w:tc>
        <w:tc>
          <w:tcPr>
            <w:tcW w:w="1800" w:type="dxa"/>
            <w:vAlign w:val="bottom"/>
          </w:tcPr>
          <w:p>
            <w:pPr>
              <w:jc w:val="right"/>
              <w:ind w:right="20"/>
              <w:spacing w:after="0"/>
              <w:rPr>
                <w:sz w:val="20"/>
                <w:szCs w:val="20"/>
                <w:color w:val="auto"/>
              </w:rPr>
            </w:pPr>
            <w:r>
              <w:rPr>
                <w:rFonts w:ascii="Arial" w:cs="Arial" w:eastAsia="Arial" w:hAnsi="Arial"/>
                <w:sz w:val="16"/>
                <w:szCs w:val="16"/>
                <w:b w:val="1"/>
                <w:bCs w:val="1"/>
                <w:color w:val="auto"/>
              </w:rPr>
              <w:t>Stock</w:t>
            </w:r>
          </w:p>
        </w:tc>
        <w:tc>
          <w:tcPr>
            <w:tcW w:w="1780" w:type="dxa"/>
            <w:vAlign w:val="bottom"/>
          </w:tcPr>
          <w:p>
            <w:pPr>
              <w:spacing w:after="0"/>
              <w:rPr>
                <w:sz w:val="16"/>
                <w:szCs w:val="16"/>
                <w:color w:val="auto"/>
              </w:rPr>
            </w:pPr>
          </w:p>
        </w:tc>
      </w:tr>
      <w:tr>
        <w:trPr>
          <w:trHeight w:val="222"/>
        </w:trPr>
        <w:tc>
          <w:tcPr>
            <w:tcW w:w="4080" w:type="dxa"/>
            <w:vAlign w:val="bottom"/>
          </w:tcPr>
          <w:p>
            <w:pPr>
              <w:spacing w:after="0"/>
              <w:rPr>
                <w:sz w:val="19"/>
                <w:szCs w:val="19"/>
                <w:color w:val="auto"/>
              </w:rPr>
            </w:pPr>
          </w:p>
        </w:tc>
        <w:tc>
          <w:tcPr>
            <w:tcW w:w="1800" w:type="dxa"/>
            <w:vAlign w:val="bottom"/>
          </w:tcPr>
          <w:p>
            <w:pPr>
              <w:jc w:val="right"/>
              <w:ind w:right="20"/>
              <w:spacing w:after="0" w:line="222" w:lineRule="exact"/>
              <w:rPr>
                <w:sz w:val="20"/>
                <w:szCs w:val="20"/>
                <w:color w:val="auto"/>
              </w:rPr>
            </w:pPr>
            <w:r>
              <w:rPr>
                <w:rFonts w:ascii="Arial" w:cs="Arial" w:eastAsia="Arial" w:hAnsi="Arial"/>
                <w:sz w:val="16"/>
                <w:szCs w:val="16"/>
                <w:b w:val="1"/>
                <w:bCs w:val="1"/>
                <w:color w:val="auto"/>
              </w:rPr>
              <w:t>Award</w:t>
            </w:r>
            <w:r>
              <w:rPr>
                <w:rFonts w:ascii="Arial" w:cs="Arial" w:eastAsia="Arial" w:hAnsi="Arial"/>
                <w:sz w:val="25"/>
                <w:szCs w:val="25"/>
                <w:b w:val="1"/>
                <w:bCs w:val="1"/>
                <w:color w:val="auto"/>
                <w:vertAlign w:val="superscript"/>
              </w:rPr>
              <w:t>(1)</w:t>
            </w:r>
          </w:p>
        </w:tc>
        <w:tc>
          <w:tcPr>
            <w:tcW w:w="1800" w:type="dxa"/>
            <w:vAlign w:val="bottom"/>
          </w:tcPr>
          <w:p>
            <w:pPr>
              <w:jc w:val="right"/>
              <w:ind w:right="20"/>
              <w:spacing w:after="0" w:line="222" w:lineRule="exact"/>
              <w:rPr>
                <w:sz w:val="20"/>
                <w:szCs w:val="20"/>
                <w:color w:val="auto"/>
              </w:rPr>
            </w:pPr>
            <w:r>
              <w:rPr>
                <w:rFonts w:ascii="Arial" w:cs="Arial" w:eastAsia="Arial" w:hAnsi="Arial"/>
                <w:sz w:val="16"/>
                <w:szCs w:val="16"/>
                <w:b w:val="1"/>
                <w:bCs w:val="1"/>
                <w:color w:val="auto"/>
              </w:rPr>
              <w:t>Grants</w:t>
            </w:r>
            <w:r>
              <w:rPr>
                <w:rFonts w:ascii="Arial" w:cs="Arial" w:eastAsia="Arial" w:hAnsi="Arial"/>
                <w:sz w:val="25"/>
                <w:szCs w:val="25"/>
                <w:b w:val="1"/>
                <w:bCs w:val="1"/>
                <w:color w:val="auto"/>
                <w:vertAlign w:val="superscript"/>
              </w:rPr>
              <w:t>(2)</w:t>
            </w:r>
          </w:p>
        </w:tc>
        <w:tc>
          <w:tcPr>
            <w:tcW w:w="1800" w:type="dxa"/>
            <w:vAlign w:val="bottom"/>
          </w:tcPr>
          <w:p>
            <w:pPr>
              <w:jc w:val="right"/>
              <w:ind w:right="20"/>
              <w:spacing w:after="0" w:line="222" w:lineRule="exact"/>
              <w:rPr>
                <w:sz w:val="20"/>
                <w:szCs w:val="20"/>
                <w:color w:val="auto"/>
              </w:rPr>
            </w:pPr>
            <w:r>
              <w:rPr>
                <w:rFonts w:ascii="Arial" w:cs="Arial" w:eastAsia="Arial" w:hAnsi="Arial"/>
                <w:sz w:val="16"/>
                <w:szCs w:val="16"/>
                <w:b w:val="1"/>
                <w:bCs w:val="1"/>
                <w:color w:val="auto"/>
              </w:rPr>
              <w:t>Options</w:t>
            </w:r>
            <w:r>
              <w:rPr>
                <w:rFonts w:ascii="Arial" w:cs="Arial" w:eastAsia="Arial" w:hAnsi="Arial"/>
                <w:sz w:val="25"/>
                <w:szCs w:val="25"/>
                <w:b w:val="1"/>
                <w:bCs w:val="1"/>
                <w:color w:val="auto"/>
                <w:vertAlign w:val="superscript"/>
              </w:rPr>
              <w:t>(3)</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41"/>
        </w:trPr>
        <w:tc>
          <w:tcPr>
            <w:tcW w:w="4080" w:type="dxa"/>
            <w:vAlign w:val="bottom"/>
            <w:tcBorders>
              <w:bottom w:val="single" w:sz="8" w:color="582C83"/>
            </w:tcBorders>
          </w:tcPr>
          <w:p>
            <w:pPr>
              <w:ind w:left="80"/>
              <w:spacing w:after="0"/>
              <w:rPr>
                <w:sz w:val="20"/>
                <w:szCs w:val="20"/>
                <w:color w:val="auto"/>
              </w:rPr>
            </w:pPr>
            <w:r>
              <w:rPr>
                <w:rFonts w:ascii="Arial" w:cs="Arial" w:eastAsia="Arial" w:hAnsi="Arial"/>
                <w:sz w:val="16"/>
                <w:szCs w:val="16"/>
                <w:b w:val="1"/>
                <w:bCs w:val="1"/>
                <w:color w:val="auto"/>
              </w:rPr>
              <w:t>Name</w:t>
            </w:r>
          </w:p>
        </w:tc>
        <w:tc>
          <w:tcPr>
            <w:tcW w:w="1800" w:type="dxa"/>
            <w:vAlign w:val="bottom"/>
            <w:tcBorders>
              <w:bottom w:val="single" w:sz="8" w:color="582C83"/>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582C83"/>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582C83"/>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91"/>
        </w:trPr>
        <w:tc>
          <w:tcPr>
            <w:tcW w:w="408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Van de Put, Dirk</w:t>
            </w:r>
          </w:p>
        </w:tc>
        <w:tc>
          <w:tcPr>
            <w:tcW w:w="1800" w:type="dxa"/>
            <w:vAlign w:val="bottom"/>
            <w:tcBorders>
              <w:bottom w:val="single" w:sz="8" w:color="EBE6F0"/>
              <w:right w:val="single" w:sz="8" w:color="EBE6F0"/>
            </w:tcBorders>
            <w:shd w:val="clear" w:color="auto" w:fill="EBE6F0"/>
          </w:tcPr>
          <w:p>
            <w:pPr>
              <w:jc w:val="right"/>
              <w:ind w:right="20"/>
              <w:spacing w:after="0"/>
              <w:rPr>
                <w:sz w:val="20"/>
                <w:szCs w:val="20"/>
                <w:color w:val="auto"/>
              </w:rPr>
            </w:pPr>
            <w:r>
              <w:rPr>
                <w:rFonts w:ascii="Arial" w:cs="Arial" w:eastAsia="Arial" w:hAnsi="Arial"/>
                <w:sz w:val="16"/>
                <w:szCs w:val="16"/>
                <w:color w:val="auto"/>
              </w:rPr>
              <w:t>2,945,000</w:t>
            </w:r>
          </w:p>
        </w:tc>
        <w:tc>
          <w:tcPr>
            <w:tcW w:w="1800" w:type="dxa"/>
            <w:vAlign w:val="bottom"/>
            <w:tcBorders>
              <w:bottom w:val="single" w:sz="8" w:color="EBE6F0"/>
              <w:right w:val="single" w:sz="8" w:color="EBE6F0"/>
            </w:tcBorders>
            <w:shd w:val="clear" w:color="auto" w:fill="EBE6F0"/>
          </w:tcPr>
          <w:p>
            <w:pPr>
              <w:jc w:val="right"/>
              <w:ind w:right="20"/>
              <w:spacing w:after="0"/>
              <w:rPr>
                <w:sz w:val="20"/>
                <w:szCs w:val="20"/>
                <w:color w:val="auto"/>
              </w:rPr>
            </w:pPr>
            <w:r>
              <w:rPr>
                <w:rFonts w:ascii="Arial" w:cs="Arial" w:eastAsia="Arial" w:hAnsi="Arial"/>
                <w:sz w:val="16"/>
                <w:szCs w:val="16"/>
                <w:color w:val="auto"/>
              </w:rPr>
              <w:t>19,234,746</w:t>
            </w:r>
          </w:p>
        </w:tc>
        <w:tc>
          <w:tcPr>
            <w:tcW w:w="1800" w:type="dxa"/>
            <w:vAlign w:val="bottom"/>
            <w:tcBorders>
              <w:bottom w:val="single" w:sz="8" w:color="EBE6F0"/>
              <w:right w:val="single" w:sz="8" w:color="EBE6F0"/>
            </w:tcBorders>
            <w:shd w:val="clear" w:color="auto" w:fill="EBE6F0"/>
          </w:tcPr>
          <w:p>
            <w:pPr>
              <w:jc w:val="right"/>
              <w:ind w:right="20"/>
              <w:spacing w:after="0"/>
              <w:rPr>
                <w:sz w:val="20"/>
                <w:szCs w:val="20"/>
                <w:color w:val="auto"/>
              </w:rPr>
            </w:pPr>
            <w:r>
              <w:rPr>
                <w:rFonts w:ascii="Arial" w:cs="Arial" w:eastAsia="Arial" w:hAnsi="Arial"/>
                <w:sz w:val="16"/>
                <w:szCs w:val="16"/>
                <w:color w:val="auto"/>
              </w:rPr>
              <w:t>2,871,814</w:t>
            </w:r>
          </w:p>
        </w:tc>
        <w:tc>
          <w:tcPr>
            <w:tcW w:w="17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25,051,560</w:t>
            </w:r>
          </w:p>
        </w:tc>
      </w:tr>
      <w:tr>
        <w:trPr>
          <w:trHeight w:val="243"/>
        </w:trPr>
        <w:tc>
          <w:tcPr>
            <w:tcW w:w="4080" w:type="dxa"/>
            <w:vAlign w:val="bottom"/>
            <w:tcBorders>
              <w:top w:val="single" w:sz="8" w:color="572C83"/>
            </w:tcBorders>
          </w:tcPr>
          <w:p>
            <w:pPr>
              <w:ind w:left="80"/>
              <w:spacing w:after="0"/>
              <w:rPr>
                <w:sz w:val="20"/>
                <w:szCs w:val="20"/>
                <w:color w:val="auto"/>
              </w:rPr>
            </w:pPr>
            <w:r>
              <w:rPr>
                <w:rFonts w:ascii="Arial" w:cs="Arial" w:eastAsia="Arial" w:hAnsi="Arial"/>
                <w:sz w:val="16"/>
                <w:szCs w:val="16"/>
                <w:color w:val="auto"/>
              </w:rPr>
              <w:t>Zaramella, Luca</w:t>
            </w:r>
          </w:p>
        </w:tc>
        <w:tc>
          <w:tcPr>
            <w:tcW w:w="1800" w:type="dxa"/>
            <w:vAlign w:val="bottom"/>
            <w:tcBorders>
              <w:top w:val="single" w:sz="8" w:color="572C83"/>
            </w:tcBorders>
          </w:tcPr>
          <w:p>
            <w:pPr>
              <w:jc w:val="right"/>
              <w:ind w:right="20"/>
              <w:spacing w:after="0"/>
              <w:rPr>
                <w:sz w:val="20"/>
                <w:szCs w:val="20"/>
                <w:color w:val="auto"/>
              </w:rPr>
            </w:pPr>
            <w:r>
              <w:rPr>
                <w:rFonts w:ascii="Arial" w:cs="Arial" w:eastAsia="Arial" w:hAnsi="Arial"/>
                <w:sz w:val="16"/>
                <w:szCs w:val="16"/>
                <w:color w:val="auto"/>
              </w:rPr>
              <w:t>968,000</w:t>
            </w:r>
          </w:p>
        </w:tc>
        <w:tc>
          <w:tcPr>
            <w:tcW w:w="1800" w:type="dxa"/>
            <w:vAlign w:val="bottom"/>
            <w:tcBorders>
              <w:top w:val="single" w:sz="8" w:color="572C83"/>
            </w:tcBorders>
          </w:tcPr>
          <w:p>
            <w:pPr>
              <w:jc w:val="right"/>
              <w:ind w:right="20"/>
              <w:spacing w:after="0"/>
              <w:rPr>
                <w:sz w:val="20"/>
                <w:szCs w:val="20"/>
                <w:color w:val="auto"/>
              </w:rPr>
            </w:pPr>
            <w:r>
              <w:rPr>
                <w:rFonts w:ascii="Arial" w:cs="Arial" w:eastAsia="Arial" w:hAnsi="Arial"/>
                <w:sz w:val="16"/>
                <w:szCs w:val="16"/>
                <w:color w:val="auto"/>
              </w:rPr>
              <w:t>5,615,929</w:t>
            </w:r>
          </w:p>
        </w:tc>
        <w:tc>
          <w:tcPr>
            <w:tcW w:w="1800" w:type="dxa"/>
            <w:vAlign w:val="bottom"/>
            <w:tcBorders>
              <w:top w:val="single" w:sz="8" w:color="572C83"/>
            </w:tcBorders>
          </w:tcPr>
          <w:p>
            <w:pPr>
              <w:jc w:val="right"/>
              <w:ind w:right="20"/>
              <w:spacing w:after="0"/>
              <w:rPr>
                <w:sz w:val="20"/>
                <w:szCs w:val="20"/>
                <w:color w:val="auto"/>
              </w:rPr>
            </w:pPr>
            <w:r>
              <w:rPr>
                <w:rFonts w:ascii="Arial" w:cs="Arial" w:eastAsia="Arial" w:hAnsi="Arial"/>
                <w:sz w:val="16"/>
                <w:szCs w:val="16"/>
                <w:color w:val="auto"/>
              </w:rPr>
              <w:t>842,577</w:t>
            </w:r>
          </w:p>
        </w:tc>
        <w:tc>
          <w:tcPr>
            <w:tcW w:w="178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7,426,506</w:t>
            </w:r>
          </w:p>
        </w:tc>
      </w:tr>
      <w:tr>
        <w:trPr>
          <w:trHeight w:val="35"/>
        </w:trPr>
        <w:tc>
          <w:tcPr>
            <w:tcW w:w="4080" w:type="dxa"/>
            <w:vAlign w:val="bottom"/>
            <w:tcBorders>
              <w:bottom w:val="single" w:sz="8" w:color="572C83"/>
            </w:tcBorders>
          </w:tcPr>
          <w:p>
            <w:pPr>
              <w:spacing w:after="0"/>
              <w:rPr>
                <w:sz w:val="3"/>
                <w:szCs w:val="3"/>
                <w:color w:val="auto"/>
              </w:rPr>
            </w:pPr>
          </w:p>
        </w:tc>
        <w:tc>
          <w:tcPr>
            <w:tcW w:w="1800" w:type="dxa"/>
            <w:vAlign w:val="bottom"/>
            <w:tcBorders>
              <w:bottom w:val="single" w:sz="8" w:color="572C83"/>
            </w:tcBorders>
          </w:tcPr>
          <w:p>
            <w:pPr>
              <w:spacing w:after="0"/>
              <w:rPr>
                <w:sz w:val="3"/>
                <w:szCs w:val="3"/>
                <w:color w:val="auto"/>
              </w:rPr>
            </w:pPr>
          </w:p>
        </w:tc>
        <w:tc>
          <w:tcPr>
            <w:tcW w:w="1800" w:type="dxa"/>
            <w:vAlign w:val="bottom"/>
            <w:tcBorders>
              <w:bottom w:val="single" w:sz="8" w:color="572C83"/>
            </w:tcBorders>
          </w:tcPr>
          <w:p>
            <w:pPr>
              <w:spacing w:after="0"/>
              <w:rPr>
                <w:sz w:val="3"/>
                <w:szCs w:val="3"/>
                <w:color w:val="auto"/>
              </w:rPr>
            </w:pPr>
          </w:p>
        </w:tc>
        <w:tc>
          <w:tcPr>
            <w:tcW w:w="1800" w:type="dxa"/>
            <w:vAlign w:val="bottom"/>
            <w:tcBorders>
              <w:bottom w:val="single" w:sz="8" w:color="572C83"/>
            </w:tcBorders>
          </w:tcPr>
          <w:p>
            <w:pPr>
              <w:spacing w:after="0"/>
              <w:rPr>
                <w:sz w:val="3"/>
                <w:szCs w:val="3"/>
                <w:color w:val="auto"/>
              </w:rPr>
            </w:pPr>
          </w:p>
        </w:tc>
        <w:tc>
          <w:tcPr>
            <w:tcW w:w="1780" w:type="dxa"/>
            <w:vAlign w:val="bottom"/>
            <w:tcBorders>
              <w:bottom w:val="single" w:sz="8" w:color="572C83"/>
            </w:tcBorders>
          </w:tcPr>
          <w:p>
            <w:pPr>
              <w:spacing w:after="0"/>
              <w:rPr>
                <w:sz w:val="3"/>
                <w:szCs w:val="3"/>
                <w:color w:val="auto"/>
              </w:rPr>
            </w:pPr>
          </w:p>
        </w:tc>
      </w:tr>
      <w:tr>
        <w:trPr>
          <w:trHeight w:val="283"/>
        </w:trPr>
        <w:tc>
          <w:tcPr>
            <w:tcW w:w="408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Brusadelli, Maurizio</w:t>
            </w:r>
          </w:p>
        </w:tc>
        <w:tc>
          <w:tcPr>
            <w:tcW w:w="1800" w:type="dxa"/>
            <w:vAlign w:val="bottom"/>
            <w:tcBorders>
              <w:bottom w:val="single" w:sz="8" w:color="EBE6F0"/>
              <w:right w:val="single" w:sz="8" w:color="EBE6F0"/>
            </w:tcBorders>
            <w:shd w:val="clear" w:color="auto" w:fill="EBE6F0"/>
          </w:tcPr>
          <w:p>
            <w:pPr>
              <w:jc w:val="right"/>
              <w:ind w:right="20"/>
              <w:spacing w:after="0"/>
              <w:rPr>
                <w:sz w:val="20"/>
                <w:szCs w:val="20"/>
                <w:color w:val="auto"/>
              </w:rPr>
            </w:pPr>
            <w:r>
              <w:rPr>
                <w:rFonts w:ascii="Arial" w:cs="Arial" w:eastAsia="Arial" w:hAnsi="Arial"/>
                <w:sz w:val="16"/>
                <w:szCs w:val="16"/>
                <w:color w:val="auto"/>
              </w:rPr>
              <w:t>666,112</w:t>
            </w:r>
          </w:p>
        </w:tc>
        <w:tc>
          <w:tcPr>
            <w:tcW w:w="1800" w:type="dxa"/>
            <w:vAlign w:val="bottom"/>
            <w:tcBorders>
              <w:bottom w:val="single" w:sz="8" w:color="EBE6F0"/>
              <w:right w:val="single" w:sz="8" w:color="EBE6F0"/>
            </w:tcBorders>
            <w:shd w:val="clear" w:color="auto" w:fill="EBE6F0"/>
          </w:tcPr>
          <w:p>
            <w:pPr>
              <w:jc w:val="right"/>
              <w:ind w:right="20"/>
              <w:spacing w:after="0"/>
              <w:rPr>
                <w:sz w:val="20"/>
                <w:szCs w:val="20"/>
                <w:color w:val="auto"/>
              </w:rPr>
            </w:pPr>
            <w:r>
              <w:rPr>
                <w:rFonts w:ascii="Arial" w:cs="Arial" w:eastAsia="Arial" w:hAnsi="Arial"/>
                <w:sz w:val="16"/>
                <w:szCs w:val="16"/>
                <w:color w:val="auto"/>
              </w:rPr>
              <w:t>4,035,213</w:t>
            </w:r>
          </w:p>
        </w:tc>
        <w:tc>
          <w:tcPr>
            <w:tcW w:w="1800" w:type="dxa"/>
            <w:vAlign w:val="bottom"/>
            <w:tcBorders>
              <w:bottom w:val="single" w:sz="8" w:color="EBE6F0"/>
              <w:right w:val="single" w:sz="8" w:color="EBE6F0"/>
            </w:tcBorders>
            <w:shd w:val="clear" w:color="auto" w:fill="EBE6F0"/>
          </w:tcPr>
          <w:p>
            <w:pPr>
              <w:jc w:val="right"/>
              <w:ind w:right="20"/>
              <w:spacing w:after="0"/>
              <w:rPr>
                <w:sz w:val="20"/>
                <w:szCs w:val="20"/>
                <w:color w:val="auto"/>
              </w:rPr>
            </w:pPr>
            <w:r>
              <w:rPr>
                <w:rFonts w:ascii="Arial" w:cs="Arial" w:eastAsia="Arial" w:hAnsi="Arial"/>
                <w:sz w:val="16"/>
                <w:szCs w:val="16"/>
                <w:color w:val="auto"/>
              </w:rPr>
              <w:t>595,375</w:t>
            </w:r>
          </w:p>
        </w:tc>
        <w:tc>
          <w:tcPr>
            <w:tcW w:w="17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5,296,700</w:t>
            </w:r>
          </w:p>
        </w:tc>
      </w:tr>
      <w:tr>
        <w:trPr>
          <w:trHeight w:val="243"/>
        </w:trPr>
        <w:tc>
          <w:tcPr>
            <w:tcW w:w="4080" w:type="dxa"/>
            <w:vAlign w:val="bottom"/>
            <w:tcBorders>
              <w:top w:val="single" w:sz="8" w:color="572C83"/>
            </w:tcBorders>
          </w:tcPr>
          <w:p>
            <w:pPr>
              <w:ind w:left="80"/>
              <w:spacing w:after="0"/>
              <w:rPr>
                <w:sz w:val="20"/>
                <w:szCs w:val="20"/>
                <w:color w:val="auto"/>
              </w:rPr>
            </w:pPr>
            <w:r>
              <w:rPr>
                <w:rFonts w:ascii="Arial" w:cs="Arial" w:eastAsia="Arial" w:hAnsi="Arial"/>
                <w:sz w:val="16"/>
                <w:szCs w:val="16"/>
                <w:color w:val="auto"/>
              </w:rPr>
              <w:t>Gruber, Vinzenz</w:t>
            </w:r>
          </w:p>
        </w:tc>
        <w:tc>
          <w:tcPr>
            <w:tcW w:w="1800" w:type="dxa"/>
            <w:vAlign w:val="bottom"/>
            <w:tcBorders>
              <w:top w:val="single" w:sz="8" w:color="572C83"/>
            </w:tcBorders>
          </w:tcPr>
          <w:p>
            <w:pPr>
              <w:jc w:val="right"/>
              <w:ind w:right="20"/>
              <w:spacing w:after="0"/>
              <w:rPr>
                <w:sz w:val="20"/>
                <w:szCs w:val="20"/>
                <w:color w:val="auto"/>
              </w:rPr>
            </w:pPr>
            <w:r>
              <w:rPr>
                <w:rFonts w:ascii="Arial" w:cs="Arial" w:eastAsia="Arial" w:hAnsi="Arial"/>
                <w:sz w:val="16"/>
                <w:szCs w:val="16"/>
                <w:color w:val="auto"/>
              </w:rPr>
              <w:t>797,415</w:t>
            </w:r>
          </w:p>
        </w:tc>
        <w:tc>
          <w:tcPr>
            <w:tcW w:w="1800" w:type="dxa"/>
            <w:vAlign w:val="bottom"/>
            <w:tcBorders>
              <w:top w:val="single" w:sz="8" w:color="572C83"/>
            </w:tcBorders>
          </w:tcPr>
          <w:p>
            <w:pPr>
              <w:jc w:val="right"/>
              <w:ind w:right="20"/>
              <w:spacing w:after="0"/>
              <w:rPr>
                <w:sz w:val="20"/>
                <w:szCs w:val="20"/>
                <w:color w:val="auto"/>
              </w:rPr>
            </w:pPr>
            <w:r>
              <w:rPr>
                <w:rFonts w:ascii="Arial" w:cs="Arial" w:eastAsia="Arial" w:hAnsi="Arial"/>
                <w:sz w:val="16"/>
                <w:szCs w:val="16"/>
                <w:color w:val="auto"/>
              </w:rPr>
              <w:t>4,009,664</w:t>
            </w:r>
          </w:p>
        </w:tc>
        <w:tc>
          <w:tcPr>
            <w:tcW w:w="1800" w:type="dxa"/>
            <w:vAlign w:val="bottom"/>
            <w:tcBorders>
              <w:top w:val="single" w:sz="8" w:color="572C83"/>
            </w:tcBorders>
          </w:tcPr>
          <w:p>
            <w:pPr>
              <w:jc w:val="right"/>
              <w:ind w:right="20"/>
              <w:spacing w:after="0"/>
              <w:rPr>
                <w:sz w:val="20"/>
                <w:szCs w:val="20"/>
                <w:color w:val="auto"/>
              </w:rPr>
            </w:pPr>
            <w:r>
              <w:rPr>
                <w:rFonts w:ascii="Arial" w:cs="Arial" w:eastAsia="Arial" w:hAnsi="Arial"/>
                <w:sz w:val="16"/>
                <w:szCs w:val="16"/>
                <w:color w:val="auto"/>
              </w:rPr>
              <w:t>605,539</w:t>
            </w:r>
          </w:p>
        </w:tc>
        <w:tc>
          <w:tcPr>
            <w:tcW w:w="178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5,412,618</w:t>
            </w:r>
          </w:p>
        </w:tc>
      </w:tr>
      <w:tr>
        <w:trPr>
          <w:trHeight w:val="35"/>
        </w:trPr>
        <w:tc>
          <w:tcPr>
            <w:tcW w:w="4080" w:type="dxa"/>
            <w:vAlign w:val="bottom"/>
            <w:tcBorders>
              <w:bottom w:val="single" w:sz="8" w:color="572C83"/>
            </w:tcBorders>
          </w:tcPr>
          <w:p>
            <w:pPr>
              <w:spacing w:after="0"/>
              <w:rPr>
                <w:sz w:val="3"/>
                <w:szCs w:val="3"/>
                <w:color w:val="auto"/>
              </w:rPr>
            </w:pPr>
          </w:p>
        </w:tc>
        <w:tc>
          <w:tcPr>
            <w:tcW w:w="1800" w:type="dxa"/>
            <w:vAlign w:val="bottom"/>
            <w:tcBorders>
              <w:bottom w:val="single" w:sz="8" w:color="572C83"/>
            </w:tcBorders>
          </w:tcPr>
          <w:p>
            <w:pPr>
              <w:spacing w:after="0"/>
              <w:rPr>
                <w:sz w:val="3"/>
                <w:szCs w:val="3"/>
                <w:color w:val="auto"/>
              </w:rPr>
            </w:pPr>
          </w:p>
        </w:tc>
        <w:tc>
          <w:tcPr>
            <w:tcW w:w="1800" w:type="dxa"/>
            <w:vAlign w:val="bottom"/>
            <w:tcBorders>
              <w:bottom w:val="single" w:sz="8" w:color="572C83"/>
            </w:tcBorders>
          </w:tcPr>
          <w:p>
            <w:pPr>
              <w:spacing w:after="0"/>
              <w:rPr>
                <w:sz w:val="3"/>
                <w:szCs w:val="3"/>
                <w:color w:val="auto"/>
              </w:rPr>
            </w:pPr>
          </w:p>
        </w:tc>
        <w:tc>
          <w:tcPr>
            <w:tcW w:w="1800" w:type="dxa"/>
            <w:vAlign w:val="bottom"/>
            <w:tcBorders>
              <w:bottom w:val="single" w:sz="8" w:color="572C83"/>
            </w:tcBorders>
          </w:tcPr>
          <w:p>
            <w:pPr>
              <w:spacing w:after="0"/>
              <w:rPr>
                <w:sz w:val="3"/>
                <w:szCs w:val="3"/>
                <w:color w:val="auto"/>
              </w:rPr>
            </w:pPr>
          </w:p>
        </w:tc>
        <w:tc>
          <w:tcPr>
            <w:tcW w:w="1780" w:type="dxa"/>
            <w:vAlign w:val="bottom"/>
            <w:tcBorders>
              <w:bottom w:val="single" w:sz="8" w:color="572C83"/>
            </w:tcBorders>
          </w:tcPr>
          <w:p>
            <w:pPr>
              <w:spacing w:after="0"/>
              <w:rPr>
                <w:sz w:val="3"/>
                <w:szCs w:val="3"/>
                <w:color w:val="auto"/>
              </w:rPr>
            </w:pPr>
          </w:p>
        </w:tc>
      </w:tr>
      <w:tr>
        <w:trPr>
          <w:trHeight w:val="258"/>
        </w:trPr>
        <w:tc>
          <w:tcPr>
            <w:tcW w:w="408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Valle, Gustavo</w:t>
            </w:r>
          </w:p>
        </w:tc>
        <w:tc>
          <w:tcPr>
            <w:tcW w:w="1800" w:type="dxa"/>
            <w:vAlign w:val="bottom"/>
            <w:tcBorders>
              <w:bottom w:val="single" w:sz="8" w:color="EBE6F0"/>
              <w:right w:val="single" w:sz="8" w:color="EBE6F0"/>
            </w:tcBorders>
            <w:shd w:val="clear" w:color="auto" w:fill="EBE6F0"/>
          </w:tcPr>
          <w:p>
            <w:pPr>
              <w:jc w:val="right"/>
              <w:ind w:right="20"/>
              <w:spacing w:after="0"/>
              <w:rPr>
                <w:sz w:val="20"/>
                <w:szCs w:val="20"/>
                <w:color w:val="auto"/>
              </w:rPr>
            </w:pPr>
            <w:r>
              <w:rPr>
                <w:rFonts w:ascii="Arial" w:cs="Arial" w:eastAsia="Arial" w:hAnsi="Arial"/>
                <w:sz w:val="16"/>
                <w:szCs w:val="16"/>
                <w:color w:val="auto"/>
              </w:rPr>
              <w:t>720,000</w:t>
            </w:r>
          </w:p>
        </w:tc>
        <w:tc>
          <w:tcPr>
            <w:tcW w:w="1800" w:type="dxa"/>
            <w:vAlign w:val="bottom"/>
            <w:tcBorders>
              <w:bottom w:val="single" w:sz="8" w:color="EBE6F0"/>
              <w:right w:val="single" w:sz="8" w:color="EBE6F0"/>
            </w:tcBorders>
            <w:shd w:val="clear" w:color="auto" w:fill="EBE6F0"/>
          </w:tcPr>
          <w:p>
            <w:pPr>
              <w:jc w:val="right"/>
              <w:ind w:right="20"/>
              <w:spacing w:after="0"/>
              <w:rPr>
                <w:sz w:val="20"/>
                <w:szCs w:val="20"/>
                <w:color w:val="auto"/>
              </w:rPr>
            </w:pPr>
            <w:r>
              <w:rPr>
                <w:rFonts w:ascii="Arial" w:cs="Arial" w:eastAsia="Arial" w:hAnsi="Arial"/>
                <w:sz w:val="16"/>
                <w:szCs w:val="16"/>
                <w:color w:val="auto"/>
              </w:rPr>
              <w:t>2,846,399</w:t>
            </w:r>
          </w:p>
        </w:tc>
        <w:tc>
          <w:tcPr>
            <w:tcW w:w="1800" w:type="dxa"/>
            <w:vAlign w:val="bottom"/>
            <w:tcBorders>
              <w:bottom w:val="single" w:sz="8" w:color="EBE6F0"/>
              <w:right w:val="single" w:sz="8" w:color="EBE6F0"/>
            </w:tcBorders>
            <w:shd w:val="clear" w:color="auto" w:fill="EBE6F0"/>
          </w:tcPr>
          <w:p>
            <w:pPr>
              <w:jc w:val="right"/>
              <w:ind w:right="20"/>
              <w:spacing w:after="0"/>
              <w:rPr>
                <w:sz w:val="20"/>
                <w:szCs w:val="20"/>
                <w:color w:val="auto"/>
              </w:rPr>
            </w:pPr>
            <w:r>
              <w:rPr>
                <w:rFonts w:ascii="Arial" w:cs="Arial" w:eastAsia="Arial" w:hAnsi="Arial"/>
                <w:sz w:val="16"/>
                <w:szCs w:val="16"/>
                <w:color w:val="auto"/>
              </w:rPr>
              <w:t>420,094</w:t>
            </w:r>
          </w:p>
        </w:tc>
        <w:tc>
          <w:tcPr>
            <w:tcW w:w="17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3,986,494</w:t>
            </w:r>
          </w:p>
        </w:tc>
      </w:tr>
      <w:tr>
        <w:trPr>
          <w:trHeight w:val="20"/>
        </w:trPr>
        <w:tc>
          <w:tcPr>
            <w:tcW w:w="4080" w:type="dxa"/>
            <w:vAlign w:val="bottom"/>
            <w:tcBorders>
              <w:left w:val="single" w:sz="8" w:color="EBE6F0"/>
              <w:right w:val="single" w:sz="8" w:color="EBE6F0"/>
            </w:tcBorders>
            <w:shd w:val="clear" w:color="auto" w:fill="572C83"/>
          </w:tcPr>
          <w:p>
            <w:pPr>
              <w:spacing w:after="0" w:line="20" w:lineRule="exact"/>
              <w:rPr>
                <w:sz w:val="1"/>
                <w:szCs w:val="1"/>
                <w:color w:val="auto"/>
              </w:rPr>
            </w:pPr>
          </w:p>
        </w:tc>
        <w:tc>
          <w:tcPr>
            <w:tcW w:w="1800" w:type="dxa"/>
            <w:vAlign w:val="bottom"/>
            <w:tcBorders>
              <w:right w:val="single" w:sz="8" w:color="EBE6F0"/>
            </w:tcBorders>
            <w:shd w:val="clear" w:color="auto" w:fill="572C83"/>
          </w:tcPr>
          <w:p>
            <w:pPr>
              <w:spacing w:after="0" w:line="20" w:lineRule="exact"/>
              <w:rPr>
                <w:sz w:val="1"/>
                <w:szCs w:val="1"/>
                <w:color w:val="auto"/>
              </w:rPr>
            </w:pPr>
          </w:p>
        </w:tc>
        <w:tc>
          <w:tcPr>
            <w:tcW w:w="1800" w:type="dxa"/>
            <w:vAlign w:val="bottom"/>
            <w:tcBorders>
              <w:right w:val="single" w:sz="8" w:color="EBE6F0"/>
            </w:tcBorders>
            <w:shd w:val="clear" w:color="auto" w:fill="572C83"/>
          </w:tcPr>
          <w:p>
            <w:pPr>
              <w:spacing w:after="0" w:line="20" w:lineRule="exact"/>
              <w:rPr>
                <w:sz w:val="1"/>
                <w:szCs w:val="1"/>
                <w:color w:val="auto"/>
              </w:rPr>
            </w:pPr>
          </w:p>
        </w:tc>
        <w:tc>
          <w:tcPr>
            <w:tcW w:w="1800" w:type="dxa"/>
            <w:vAlign w:val="bottom"/>
            <w:tcBorders>
              <w:right w:val="single" w:sz="8" w:color="EBE6F0"/>
            </w:tcBorders>
            <w:shd w:val="clear" w:color="auto" w:fill="572C83"/>
          </w:tcPr>
          <w:p>
            <w:pPr>
              <w:spacing w:after="0" w:line="20" w:lineRule="exact"/>
              <w:rPr>
                <w:sz w:val="1"/>
                <w:szCs w:val="1"/>
                <w:color w:val="auto"/>
              </w:rPr>
            </w:pPr>
          </w:p>
        </w:tc>
        <w:tc>
          <w:tcPr>
            <w:tcW w:w="1780" w:type="dxa"/>
            <w:vAlign w:val="bottom"/>
            <w:tcBorders>
              <w:right w:val="single" w:sz="8" w:color="EBE6F0"/>
            </w:tcBorders>
            <w:shd w:val="clear" w:color="auto" w:fill="572C83"/>
          </w:tcPr>
          <w:p>
            <w:pPr>
              <w:spacing w:after="0" w:line="20" w:lineRule="exact"/>
              <w:rPr>
                <w:sz w:val="1"/>
                <w:szCs w:val="1"/>
                <w:color w:val="auto"/>
              </w:rPr>
            </w:pPr>
          </w:p>
        </w:tc>
      </w:tr>
    </w:tbl>
    <w:p>
      <w:pPr>
        <w:spacing w:after="0" w:line="75" w:lineRule="exact"/>
        <w:rPr>
          <w:sz w:val="20"/>
          <w:szCs w:val="20"/>
          <w:color w:val="auto"/>
        </w:rPr>
      </w:pPr>
    </w:p>
    <w:p>
      <w:pPr>
        <w:ind w:left="380" w:hanging="306"/>
        <w:spacing w:after="0"/>
        <w:tabs>
          <w:tab w:leader="none" w:pos="3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Amounts reflect target awards under our 2022 AIP. Amounts for Mr. Brusadelli and Mr. Gruber are converted to U.S. dollars using the Applicable Exchange Rate.</w:t>
      </w:r>
    </w:p>
    <w:p>
      <w:pPr>
        <w:spacing w:after="0" w:line="38" w:lineRule="exact"/>
        <w:rPr>
          <w:rFonts w:ascii="Arial" w:cs="Arial" w:eastAsia="Arial" w:hAnsi="Arial"/>
          <w:sz w:val="15"/>
          <w:szCs w:val="15"/>
          <w:color w:val="auto"/>
        </w:rPr>
      </w:pPr>
    </w:p>
    <w:p>
      <w:pPr>
        <w:ind w:left="380" w:right="560" w:hanging="306"/>
        <w:spacing w:after="0" w:line="267" w:lineRule="auto"/>
        <w:tabs>
          <w:tab w:leader="none" w:pos="3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Amounts reflect target PSU grant for the 2020-2022 performance cycle as well as prorated target PSU grants for the 2021-2023 and 2022-2024 performance cycles. All amounts are based on a December 30, 2022 closing stock price of $66.65.</w:t>
      </w:r>
    </w:p>
    <w:p>
      <w:pPr>
        <w:spacing w:after="0" w:line="1" w:lineRule="exact"/>
        <w:rPr>
          <w:rFonts w:ascii="Arial" w:cs="Arial" w:eastAsia="Arial" w:hAnsi="Arial"/>
          <w:sz w:val="15"/>
          <w:szCs w:val="15"/>
          <w:color w:val="auto"/>
        </w:rPr>
      </w:pPr>
    </w:p>
    <w:p>
      <w:pPr>
        <w:ind w:left="380" w:right="400" w:hanging="306"/>
        <w:spacing w:after="0" w:line="275" w:lineRule="auto"/>
        <w:tabs>
          <w:tab w:leader="none" w:pos="3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Amounts reflect the value of immediate vesting of all outstanding unvested stock options. All amounts are based on a December 30, 2022 closing stock price of $66.65.</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Retirement</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If an NEO terminates employment due to retirement: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380" w:type="dxa"/>
            <w:vAlign w:val="bottom"/>
            <w:tcBorders>
              <w:bottom w:val="single" w:sz="8" w:color="582C83"/>
            </w:tcBorders>
          </w:tcPr>
          <w:p>
            <w:pPr>
              <w:ind w:left="60"/>
              <w:spacing w:after="0"/>
              <w:rPr>
                <w:sz w:val="20"/>
                <w:szCs w:val="20"/>
                <w:color w:val="auto"/>
              </w:rPr>
            </w:pPr>
            <w:r>
              <w:rPr>
                <w:rFonts w:ascii="Arial" w:cs="Arial" w:eastAsia="Arial" w:hAnsi="Arial"/>
                <w:sz w:val="20"/>
                <w:szCs w:val="20"/>
                <w:b w:val="1"/>
                <w:bCs w:val="1"/>
                <w:color w:val="auto"/>
              </w:rPr>
              <w:t>Element</w:t>
            </w:r>
          </w:p>
        </w:tc>
        <w:tc>
          <w:tcPr>
            <w:tcW w:w="7880" w:type="dxa"/>
            <w:vAlign w:val="bottom"/>
            <w:tcBorders>
              <w:bottom w:val="single" w:sz="8" w:color="582C83"/>
            </w:tcBorders>
            <w:gridSpan w:val="2"/>
          </w:tcPr>
          <w:p>
            <w:pPr>
              <w:ind w:left="60"/>
              <w:spacing w:after="0"/>
              <w:rPr>
                <w:sz w:val="20"/>
                <w:szCs w:val="20"/>
                <w:color w:val="auto"/>
              </w:rPr>
            </w:pPr>
            <w:r>
              <w:rPr>
                <w:rFonts w:ascii="Arial" w:cs="Arial" w:eastAsia="Arial" w:hAnsi="Arial"/>
                <w:sz w:val="20"/>
                <w:szCs w:val="20"/>
                <w:b w:val="1"/>
                <w:bCs w:val="1"/>
                <w:color w:val="auto"/>
              </w:rPr>
              <w:t>Treatment</w:t>
            </w:r>
          </w:p>
        </w:tc>
      </w:tr>
      <w:tr>
        <w:trPr>
          <w:trHeight w:val="315"/>
        </w:trPr>
        <w:tc>
          <w:tcPr>
            <w:tcW w:w="338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0"/>
                <w:szCs w:val="20"/>
                <w:b w:val="1"/>
                <w:bCs w:val="1"/>
                <w:color w:val="auto"/>
              </w:rPr>
              <w:t>AIP</w:t>
            </w:r>
          </w:p>
        </w:tc>
        <w:tc>
          <w:tcPr>
            <w:tcW w:w="78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0"/>
                <w:szCs w:val="20"/>
                <w:color w:val="auto"/>
              </w:rPr>
              <w:t>Eligible for a prorated award under AIP.</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47"/>
        </w:trPr>
        <w:tc>
          <w:tcPr>
            <w:tcW w:w="3380" w:type="dxa"/>
            <w:vAlign w:val="bottom"/>
          </w:tcPr>
          <w:p>
            <w:pPr>
              <w:ind w:left="60"/>
              <w:spacing w:after="0"/>
              <w:rPr>
                <w:sz w:val="20"/>
                <w:szCs w:val="20"/>
                <w:color w:val="auto"/>
              </w:rPr>
            </w:pPr>
            <w:r>
              <w:rPr>
                <w:rFonts w:ascii="Arial" w:cs="Arial" w:eastAsia="Arial" w:hAnsi="Arial"/>
                <w:sz w:val="20"/>
                <w:szCs w:val="20"/>
                <w:b w:val="1"/>
                <w:bCs w:val="1"/>
                <w:color w:val="auto"/>
              </w:rPr>
              <w:t>Unvested Stock Options</w:t>
            </w:r>
          </w:p>
        </w:tc>
        <w:tc>
          <w:tcPr>
            <w:tcW w:w="7880" w:type="dxa"/>
            <w:vAlign w:val="bottom"/>
            <w:gridSpan w:val="2"/>
          </w:tcPr>
          <w:p>
            <w:pPr>
              <w:ind w:left="60"/>
              <w:spacing w:after="0"/>
              <w:rPr>
                <w:sz w:val="20"/>
                <w:szCs w:val="20"/>
                <w:color w:val="auto"/>
              </w:rPr>
            </w:pPr>
            <w:r>
              <w:rPr>
                <w:rFonts w:ascii="Arial" w:cs="Arial" w:eastAsia="Arial" w:hAnsi="Arial"/>
                <w:sz w:val="20"/>
                <w:szCs w:val="20"/>
                <w:color w:val="auto"/>
              </w:rPr>
              <w:t>Continue to vest per the original vesting schedule provided the employee is actively</w:t>
            </w:r>
          </w:p>
        </w:tc>
      </w:tr>
      <w:tr>
        <w:trPr>
          <w:trHeight w:val="264"/>
        </w:trPr>
        <w:tc>
          <w:tcPr>
            <w:tcW w:w="3380" w:type="dxa"/>
            <w:vAlign w:val="bottom"/>
          </w:tcPr>
          <w:p>
            <w:pPr>
              <w:spacing w:after="0"/>
              <w:rPr>
                <w:sz w:val="22"/>
                <w:szCs w:val="22"/>
                <w:color w:val="auto"/>
              </w:rPr>
            </w:pPr>
          </w:p>
        </w:tc>
        <w:tc>
          <w:tcPr>
            <w:tcW w:w="7880" w:type="dxa"/>
            <w:vAlign w:val="bottom"/>
            <w:gridSpan w:val="2"/>
          </w:tcPr>
          <w:p>
            <w:pPr>
              <w:ind w:left="60"/>
              <w:spacing w:after="0"/>
              <w:rPr>
                <w:sz w:val="20"/>
                <w:szCs w:val="20"/>
                <w:color w:val="auto"/>
              </w:rPr>
            </w:pPr>
            <w:r>
              <w:rPr>
                <w:rFonts w:ascii="Arial" w:cs="Arial" w:eastAsia="Arial" w:hAnsi="Arial"/>
                <w:sz w:val="20"/>
                <w:szCs w:val="20"/>
                <w:color w:val="auto"/>
              </w:rPr>
              <w:t>employed for at least 90 days following the grant date.</w:t>
            </w:r>
          </w:p>
        </w:tc>
      </w:tr>
      <w:tr>
        <w:trPr>
          <w:trHeight w:val="35"/>
        </w:trPr>
        <w:tc>
          <w:tcPr>
            <w:tcW w:w="3380" w:type="dxa"/>
            <w:vAlign w:val="bottom"/>
          </w:tcPr>
          <w:p>
            <w:pPr>
              <w:spacing w:after="0"/>
              <w:rPr>
                <w:sz w:val="3"/>
                <w:szCs w:val="3"/>
                <w:color w:val="auto"/>
              </w:rPr>
            </w:pPr>
          </w:p>
        </w:tc>
        <w:tc>
          <w:tcPr>
            <w:tcW w:w="78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338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auto"/>
              </w:rPr>
              <w:t>Unvested PSUs</w:t>
            </w:r>
          </w:p>
        </w:tc>
        <w:tc>
          <w:tcPr>
            <w:tcW w:w="7860" w:type="dxa"/>
            <w:vAlign w:val="bottom"/>
            <w:shd w:val="clear" w:color="auto" w:fill="EBE6F0"/>
          </w:tcPr>
          <w:p>
            <w:pPr>
              <w:ind w:left="80"/>
              <w:spacing w:after="0"/>
              <w:rPr>
                <w:sz w:val="20"/>
                <w:szCs w:val="20"/>
                <w:color w:val="auto"/>
              </w:rPr>
            </w:pPr>
            <w:r>
              <w:rPr>
                <w:rFonts w:ascii="Arial" w:cs="Arial" w:eastAsia="Arial" w:hAnsi="Arial"/>
                <w:sz w:val="20"/>
                <w:szCs w:val="20"/>
                <w:color w:val="auto"/>
              </w:rPr>
              <w:t>Pro rata vest based on the number of months employed during the applicable</w:t>
            </w:r>
          </w:p>
        </w:tc>
        <w:tc>
          <w:tcPr>
            <w:tcW w:w="20" w:type="dxa"/>
            <w:vAlign w:val="bottom"/>
            <w:shd w:val="clear" w:color="auto" w:fill="EBE6F0"/>
          </w:tcPr>
          <w:p>
            <w:pPr>
              <w:spacing w:after="0"/>
              <w:rPr>
                <w:sz w:val="22"/>
                <w:szCs w:val="22"/>
                <w:color w:val="auto"/>
              </w:rPr>
            </w:pPr>
          </w:p>
        </w:tc>
      </w:tr>
      <w:tr>
        <w:trPr>
          <w:trHeight w:val="223"/>
        </w:trPr>
        <w:tc>
          <w:tcPr>
            <w:tcW w:w="3380" w:type="dxa"/>
            <w:vAlign w:val="bottom"/>
            <w:shd w:val="clear" w:color="auto" w:fill="EBE6F0"/>
          </w:tcPr>
          <w:p>
            <w:pPr>
              <w:spacing w:after="0"/>
              <w:rPr>
                <w:sz w:val="19"/>
                <w:szCs w:val="19"/>
                <w:color w:val="auto"/>
              </w:rPr>
            </w:pPr>
          </w:p>
        </w:tc>
        <w:tc>
          <w:tcPr>
            <w:tcW w:w="786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color w:val="auto"/>
              </w:rPr>
              <w:t>performance period, subject to actual Company performance, provided the employee is</w:t>
            </w:r>
          </w:p>
        </w:tc>
        <w:tc>
          <w:tcPr>
            <w:tcW w:w="20" w:type="dxa"/>
            <w:vAlign w:val="bottom"/>
            <w:shd w:val="clear" w:color="auto" w:fill="EBE6F0"/>
          </w:tcPr>
          <w:p>
            <w:pPr>
              <w:spacing w:after="0"/>
              <w:rPr>
                <w:sz w:val="19"/>
                <w:szCs w:val="19"/>
                <w:color w:val="auto"/>
              </w:rPr>
            </w:pPr>
          </w:p>
        </w:tc>
      </w:tr>
      <w:tr>
        <w:trPr>
          <w:trHeight w:val="292"/>
        </w:trPr>
        <w:tc>
          <w:tcPr>
            <w:tcW w:w="3380" w:type="dxa"/>
            <w:vAlign w:val="bottom"/>
            <w:tcBorders>
              <w:bottom w:val="single" w:sz="8" w:color="EBE6F0"/>
            </w:tcBorders>
            <w:shd w:val="clear" w:color="auto" w:fill="EBE6F0"/>
          </w:tcPr>
          <w:p>
            <w:pPr>
              <w:spacing w:after="0"/>
              <w:rPr>
                <w:sz w:val="24"/>
                <w:szCs w:val="24"/>
                <w:color w:val="auto"/>
              </w:rPr>
            </w:pPr>
          </w:p>
        </w:tc>
        <w:tc>
          <w:tcPr>
            <w:tcW w:w="78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0"/>
                <w:szCs w:val="20"/>
                <w:color w:val="auto"/>
              </w:rPr>
              <w:t>actively employed for at least 90 days following the grant date.</w:t>
            </w:r>
          </w:p>
        </w:tc>
        <w:tc>
          <w:tcPr>
            <w:tcW w:w="20" w:type="dxa"/>
            <w:vAlign w:val="bottom"/>
            <w:tcBorders>
              <w:bottom w:val="single" w:sz="8" w:color="EBE6F0"/>
            </w:tcBorders>
            <w:shd w:val="clear" w:color="auto" w:fill="EBE6F0"/>
          </w:tcPr>
          <w:p>
            <w:pPr>
              <w:spacing w:after="0"/>
              <w:rPr>
                <w:sz w:val="24"/>
                <w:szCs w:val="24"/>
                <w:color w:val="auto"/>
              </w:rPr>
            </w:pPr>
          </w:p>
        </w:tc>
      </w:tr>
      <w:tr>
        <w:trPr>
          <w:trHeight w:val="412"/>
        </w:trPr>
        <w:tc>
          <w:tcPr>
            <w:tcW w:w="11260" w:type="dxa"/>
            <w:vAlign w:val="bottom"/>
            <w:gridSpan w:val="3"/>
          </w:tcPr>
          <w:p>
            <w:pPr>
              <w:spacing w:after="0"/>
              <w:rPr>
                <w:sz w:val="20"/>
                <w:szCs w:val="20"/>
                <w:color w:val="auto"/>
              </w:rPr>
            </w:pPr>
            <w:r>
              <w:rPr>
                <w:rFonts w:ascii="Arial" w:cs="Arial" w:eastAsia="Arial" w:hAnsi="Arial"/>
                <w:sz w:val="20"/>
                <w:szCs w:val="20"/>
                <w:color w:val="auto"/>
              </w:rPr>
              <w:t>Mr. Gruber is our only NEO who was eligible for retirement treatment on December 31, 2022.</w:t>
            </w:r>
          </w:p>
        </w:tc>
      </w:tr>
      <w:tr>
        <w:trPr>
          <w:trHeight w:val="159"/>
        </w:trPr>
        <w:tc>
          <w:tcPr>
            <w:tcW w:w="3380" w:type="dxa"/>
            <w:vAlign w:val="bottom"/>
            <w:tcBorders>
              <w:bottom w:val="single" w:sz="8" w:color="58358F"/>
            </w:tcBorders>
          </w:tcPr>
          <w:p>
            <w:pPr>
              <w:spacing w:after="0"/>
              <w:rPr>
                <w:sz w:val="13"/>
                <w:szCs w:val="13"/>
                <w:color w:val="auto"/>
              </w:rPr>
            </w:pPr>
          </w:p>
        </w:tc>
        <w:tc>
          <w:tcPr>
            <w:tcW w:w="7860" w:type="dxa"/>
            <w:vAlign w:val="bottom"/>
            <w:tcBorders>
              <w:bottom w:val="single" w:sz="8" w:color="58358F"/>
            </w:tcBorders>
          </w:tcPr>
          <w:p>
            <w:pPr>
              <w:spacing w:after="0"/>
              <w:rPr>
                <w:sz w:val="13"/>
                <w:szCs w:val="13"/>
                <w:color w:val="auto"/>
              </w:rPr>
            </w:pPr>
          </w:p>
        </w:tc>
        <w:tc>
          <w:tcPr>
            <w:tcW w:w="20" w:type="dxa"/>
            <w:vAlign w:val="bottom"/>
          </w:tcPr>
          <w:p>
            <w:pPr>
              <w:spacing w:after="0"/>
              <w:rPr>
                <w:sz w:val="13"/>
                <w:szCs w:val="13"/>
                <w:color w:val="auto"/>
              </w:rPr>
            </w:pPr>
          </w:p>
        </w:tc>
      </w:tr>
      <w:tr>
        <w:trPr>
          <w:trHeight w:val="257"/>
        </w:trPr>
        <w:tc>
          <w:tcPr>
            <w:tcW w:w="3380" w:type="dxa"/>
            <w:vAlign w:val="bottom"/>
          </w:tcPr>
          <w:p>
            <w:pPr>
              <w:spacing w:after="0"/>
              <w:rPr>
                <w:sz w:val="22"/>
                <w:szCs w:val="22"/>
                <w:color w:val="auto"/>
              </w:rPr>
            </w:pPr>
          </w:p>
        </w:tc>
        <w:tc>
          <w:tcPr>
            <w:tcW w:w="7880" w:type="dxa"/>
            <w:vAlign w:val="bottom"/>
            <w:gridSpan w:val="2"/>
          </w:tcPr>
          <w:p>
            <w:pPr>
              <w:ind w:left="5580"/>
              <w:spacing w:after="0"/>
              <w:rPr>
                <w:sz w:val="20"/>
                <w:szCs w:val="20"/>
                <w:color w:val="auto"/>
              </w:rPr>
            </w:pPr>
            <w:r>
              <w:rPr>
                <w:rFonts w:ascii="Arial" w:cs="Arial" w:eastAsia="Arial" w:hAnsi="Arial"/>
                <w:sz w:val="15"/>
                <w:szCs w:val="15"/>
                <w:b w:val="1"/>
                <w:bCs w:val="1"/>
                <w:color w:val="58358F"/>
              </w:rPr>
              <w:t>2023 PROXY STATEMENT | 107</w:t>
            </w:r>
          </w:p>
        </w:tc>
      </w:tr>
      <w:tr>
        <w:trPr>
          <w:trHeight w:val="261"/>
        </w:trPr>
        <w:tc>
          <w:tcPr>
            <w:tcW w:w="3380" w:type="dxa"/>
            <w:vAlign w:val="bottom"/>
            <w:tcBorders>
              <w:bottom w:val="single" w:sz="8" w:color="808080"/>
            </w:tcBorders>
          </w:tcPr>
          <w:p>
            <w:pPr>
              <w:spacing w:after="0"/>
              <w:rPr>
                <w:sz w:val="22"/>
                <w:szCs w:val="22"/>
                <w:color w:val="auto"/>
              </w:rPr>
            </w:pPr>
          </w:p>
        </w:tc>
        <w:tc>
          <w:tcPr>
            <w:tcW w:w="7860" w:type="dxa"/>
            <w:vAlign w:val="bottom"/>
            <w:tcBorders>
              <w:bottom w:val="single" w:sz="8" w:color="808080"/>
            </w:tcBorders>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906780" cy="22098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311785</wp:posOffset>
            </wp:positionV>
            <wp:extent cx="6307455" cy="14033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307455" cy="140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980" w:right="840"/>
        <w:spacing w:after="0" w:line="266" w:lineRule="auto"/>
        <w:rPr>
          <w:sz w:val="20"/>
          <w:szCs w:val="20"/>
          <w:color w:val="auto"/>
        </w:rPr>
      </w:pPr>
      <w:r>
        <w:rPr>
          <w:rFonts w:ascii="Arial" w:cs="Arial" w:eastAsia="Arial" w:hAnsi="Arial"/>
          <w:sz w:val="43"/>
          <w:szCs w:val="43"/>
          <w:b w:val="1"/>
          <w:bCs w:val="1"/>
          <w:color w:val="582C83"/>
        </w:rPr>
        <w:t>PEOPLE AND COMPENSATION COMMITTEE REPORT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524510</wp:posOffset>
            </wp:positionV>
            <wp:extent cx="6312535" cy="23939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312535" cy="2393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40" w:right="880"/>
        <w:spacing w:after="0" w:line="239" w:lineRule="auto"/>
        <w:rPr>
          <w:sz w:val="20"/>
          <w:szCs w:val="20"/>
          <w:color w:val="auto"/>
        </w:rPr>
      </w:pPr>
      <w:r>
        <w:rPr>
          <w:rFonts w:ascii="Arial" w:cs="Arial" w:eastAsia="Arial" w:hAnsi="Arial"/>
          <w:sz w:val="20"/>
          <w:szCs w:val="20"/>
          <w:color w:val="auto"/>
        </w:rPr>
        <w:t>The People and Compensation Committee oversees the compensation programs on behalf of the Board. In fulfilling its oversight responsibilities, the People and Compensation Committee reviewed and discussed with management the Compensation Discussion and Analysis included in this Proxy Statement. Based on that review and discussion, the People and Compensation Committee recommended that the Board include the Compensation Discussion and Analysis in the Proxy Statement to be filed with the SEC in connection with the Annual Meeting and incorporate it by reference in the Annual Report on Form 10-K for the year ended December 31, 2022, filed with the SEC on February 3, 2023.</w:t>
      </w:r>
    </w:p>
    <w:p>
      <w:pPr>
        <w:spacing w:after="0" w:line="135"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People and Compensation Committee:</w:t>
      </w:r>
    </w:p>
    <w:p>
      <w:pPr>
        <w:spacing w:after="0" w:line="9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Lois D. Juliber, Chair</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Charles E. Bunch</w:t>
      </w:r>
    </w:p>
    <w:p>
      <w:pPr>
        <w:ind w:left="840"/>
        <w:spacing w:after="0" w:line="233" w:lineRule="auto"/>
        <w:rPr>
          <w:sz w:val="20"/>
          <w:szCs w:val="20"/>
          <w:color w:val="auto"/>
        </w:rPr>
      </w:pPr>
      <w:r>
        <w:rPr>
          <w:rFonts w:ascii="Arial" w:cs="Arial" w:eastAsia="Arial" w:hAnsi="Arial"/>
          <w:sz w:val="20"/>
          <w:szCs w:val="20"/>
          <w:color w:val="auto"/>
        </w:rPr>
        <w:t>Ertharin Cousin</w:t>
      </w:r>
    </w:p>
    <w:p>
      <w:pPr>
        <w:ind w:left="840"/>
        <w:spacing w:after="0" w:line="233" w:lineRule="auto"/>
        <w:rPr>
          <w:sz w:val="20"/>
          <w:szCs w:val="20"/>
          <w:color w:val="auto"/>
        </w:rPr>
      </w:pPr>
      <w:r>
        <w:rPr>
          <w:rFonts w:ascii="Arial" w:cs="Arial" w:eastAsia="Arial" w:hAnsi="Arial"/>
          <w:sz w:val="20"/>
          <w:szCs w:val="20"/>
          <w:color w:val="auto"/>
        </w:rPr>
        <w:t>Anindita Mukherjee</w:t>
      </w:r>
    </w:p>
    <w:p>
      <w:pPr>
        <w:ind w:left="840"/>
        <w:spacing w:after="0"/>
        <w:rPr>
          <w:sz w:val="20"/>
          <w:szCs w:val="20"/>
          <w:color w:val="auto"/>
        </w:rPr>
      </w:pPr>
      <w:r>
        <w:rPr>
          <w:rFonts w:ascii="Arial" w:cs="Arial" w:eastAsia="Arial" w:hAnsi="Arial"/>
          <w:sz w:val="20"/>
          <w:szCs w:val="20"/>
          <w:color w:val="auto"/>
        </w:rPr>
        <w:t>Christiana S. 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457200</wp:posOffset>
            </wp:positionV>
            <wp:extent cx="7143115"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311785</wp:posOffset>
            </wp:positionV>
            <wp:extent cx="6307455" cy="14033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307455" cy="140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80"/>
        <w:spacing w:after="0"/>
        <w:rPr>
          <w:sz w:val="20"/>
          <w:szCs w:val="20"/>
          <w:color w:val="auto"/>
        </w:rPr>
      </w:pPr>
      <w:r>
        <w:rPr>
          <w:rFonts w:ascii="Arial" w:cs="Arial" w:eastAsia="Arial" w:hAnsi="Arial"/>
          <w:sz w:val="43"/>
          <w:szCs w:val="43"/>
          <w:b w:val="1"/>
          <w:bCs w:val="1"/>
          <w:color w:val="582C83"/>
        </w:rPr>
        <w:t>CEO PAY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right="680"/>
        <w:spacing w:after="0"/>
        <w:rPr>
          <w:sz w:val="20"/>
          <w:szCs w:val="20"/>
          <w:color w:val="auto"/>
        </w:rPr>
      </w:pPr>
      <w:r>
        <w:rPr>
          <w:rFonts w:ascii="Arial" w:cs="Arial" w:eastAsia="Arial" w:hAnsi="Arial"/>
          <w:sz w:val="20"/>
          <w:szCs w:val="20"/>
          <w:color w:val="auto"/>
        </w:rPr>
        <w:t>Our CEO to median employee pay ratio was calculated in accordance with Item 402(u) of Regulation S-K and represents a reasonable estimate. For 2022, the annual total compensation for Dirk Van de Put, our CEO, as reported in the Summary Compensation Table was $17,925,677 which reflects compensation received for the full calendar year. The annual total compensation for our median employee (“Median Employee”) was $35,707. Therefore, the ratio of our CEO’s annual total compensation to the Median Employee’s annual total compensation was 502 to 1.</w:t>
      </w:r>
    </w:p>
    <w:p>
      <w:pPr>
        <w:spacing w:after="0" w:line="135" w:lineRule="exact"/>
        <w:rPr>
          <w:sz w:val="20"/>
          <w:szCs w:val="20"/>
          <w:color w:val="auto"/>
        </w:rPr>
      </w:pPr>
    </w:p>
    <w:p>
      <w:pPr>
        <w:ind w:left="660" w:right="700"/>
        <w:spacing w:after="0"/>
        <w:rPr>
          <w:sz w:val="20"/>
          <w:szCs w:val="20"/>
          <w:color w:val="auto"/>
        </w:rPr>
      </w:pPr>
      <w:r>
        <w:rPr>
          <w:rFonts w:ascii="Arial" w:cs="Arial" w:eastAsia="Arial" w:hAnsi="Arial"/>
          <w:sz w:val="20"/>
          <w:szCs w:val="20"/>
          <w:color w:val="auto"/>
        </w:rPr>
        <w:t>When you compare our CEO-to-Median Employee pay ratio to the ratio at other companies, you should consider some unique factors about our large work force. More than eight out of ten Mondelēz International employees are located outside the U.S. As a global company that generates 74% of our sales internationally, our employees are located in approximately 80 countries. Moreover, we have a heavy presence in emerging markets. In fact, seven of our top nine largest employee populations are in emerging market countries. In addition, a significant portion of our work force consists of part-time and seasonal employees.</w:t>
      </w:r>
    </w:p>
    <w:p>
      <w:pPr>
        <w:spacing w:after="0" w:line="135" w:lineRule="exact"/>
        <w:rPr>
          <w:sz w:val="20"/>
          <w:szCs w:val="20"/>
          <w:color w:val="auto"/>
        </w:rPr>
      </w:pPr>
    </w:p>
    <w:p>
      <w:pPr>
        <w:ind w:left="660" w:right="660"/>
        <w:spacing w:after="0" w:line="236" w:lineRule="auto"/>
        <w:rPr>
          <w:sz w:val="20"/>
          <w:szCs w:val="20"/>
          <w:color w:val="auto"/>
        </w:rPr>
      </w:pPr>
      <w:r>
        <w:rPr>
          <w:rFonts w:ascii="Arial" w:cs="Arial" w:eastAsia="Arial" w:hAnsi="Arial"/>
          <w:sz w:val="20"/>
          <w:szCs w:val="20"/>
          <w:color w:val="auto"/>
        </w:rPr>
        <w:t>As permitted under the SEC rules, we are using the same Median Employee identified for purposes of the CEO pay ratio for 2021 and 2020, as we believe the changes to our employee population and compensation have not significantly impacted our ratio. We identified our Median Employee using 2020 base salaries, our consistently applied compensation measure, for all individuals who were employed by us on October 1, 2020, excluding our CEO, annualized for any employees who joined the Company during 2020. To identify the compensation of our Median Employee, we determined the 2020 annual base salary for each of our full-time, part-time, temporary and seasonal employees without applying any cost-of-living adjustments. We excluded 1,321 employees in Venezuela from our calculation as we do not report Venezuela in our consolidated financials. For an employee paid in a currency other than U.S. dollars, we converted annual base salaries into U.S. dollars. We then applied</w:t>
      </w:r>
    </w:p>
    <w:p>
      <w:pPr>
        <w:spacing w:after="0" w:line="7" w:lineRule="exact"/>
        <w:rPr>
          <w:sz w:val="20"/>
          <w:szCs w:val="20"/>
          <w:color w:val="auto"/>
        </w:rPr>
      </w:pPr>
    </w:p>
    <w:p>
      <w:pPr>
        <w:ind w:left="660" w:right="1120"/>
        <w:spacing w:after="0" w:line="204" w:lineRule="auto"/>
        <w:rPr>
          <w:sz w:val="20"/>
          <w:szCs w:val="20"/>
          <w:color w:val="auto"/>
        </w:rPr>
      </w:pPr>
      <w:r>
        <w:rPr>
          <w:rFonts w:ascii="Arial" w:cs="Arial" w:eastAsia="Arial" w:hAnsi="Arial"/>
          <w:sz w:val="20"/>
          <w:szCs w:val="20"/>
          <w:color w:val="auto"/>
        </w:rPr>
        <w:t>the de minimis exemption excluding 4,572</w:t>
      </w:r>
      <w:r>
        <w:rPr>
          <w:rFonts w:ascii="Arial" w:cs="Arial" w:eastAsia="Arial" w:hAnsi="Arial"/>
          <w:sz w:val="37"/>
          <w:szCs w:val="37"/>
          <w:color w:val="auto"/>
          <w:vertAlign w:val="superscript"/>
        </w:rPr>
        <w:t>(1)</w:t>
      </w:r>
      <w:r>
        <w:rPr>
          <w:rFonts w:ascii="Arial" w:cs="Arial" w:eastAsia="Arial" w:hAnsi="Arial"/>
          <w:sz w:val="20"/>
          <w:szCs w:val="20"/>
          <w:color w:val="auto"/>
        </w:rPr>
        <w:t xml:space="preserve"> non-U.S. employees who represented less than 5% of our employee population. After applying this exemption, we used 2020 base salary information for 87,020 of our employees.</w:t>
      </w:r>
    </w:p>
    <w:p>
      <w:pPr>
        <w:spacing w:after="0" w:line="262"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5"/>
          <w:szCs w:val="15"/>
          <w:i w:val="1"/>
          <w:iCs w:val="1"/>
          <w:color w:val="auto"/>
        </w:rPr>
        <w:t>(1)</w:t>
      </w:r>
      <w:r>
        <w:rPr>
          <w:sz w:val="20"/>
          <w:szCs w:val="20"/>
          <w:color w:val="auto"/>
        </w:rPr>
        <w:tab/>
      </w:r>
      <w:r>
        <w:rPr>
          <w:rFonts w:ascii="Arial" w:cs="Arial" w:eastAsia="Arial" w:hAnsi="Arial"/>
          <w:sz w:val="14"/>
          <w:szCs w:val="14"/>
          <w:i w:val="1"/>
          <w:iCs w:val="1"/>
          <w:color w:val="auto"/>
        </w:rPr>
        <w:t>We excluded employees from the following countries: Vietnam (3,207), Morocco (596), Pakistan (437) and Eswatini (332).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43115"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391160</wp:posOffset>
            </wp:positionV>
            <wp:extent cx="6307455" cy="15455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0"/>
        <w:spacing w:after="0"/>
        <w:rPr>
          <w:sz w:val="20"/>
          <w:szCs w:val="20"/>
          <w:color w:val="auto"/>
        </w:rPr>
      </w:pPr>
      <w:r>
        <w:rPr>
          <w:rFonts w:ascii="Arial" w:cs="Arial" w:eastAsia="Arial" w:hAnsi="Arial"/>
          <w:sz w:val="43"/>
          <w:szCs w:val="43"/>
          <w:b w:val="1"/>
          <w:bCs w:val="1"/>
          <w:color w:val="582C83"/>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right="740"/>
        <w:spacing w:after="0" w:line="242" w:lineRule="auto"/>
        <w:rPr>
          <w:sz w:val="20"/>
          <w:szCs w:val="20"/>
          <w:color w:val="auto"/>
        </w:rPr>
      </w:pPr>
      <w:r>
        <w:rPr>
          <w:rFonts w:ascii="Arial" w:cs="Arial" w:eastAsia="Arial" w:hAnsi="Arial"/>
          <w:sz w:val="20"/>
          <w:szCs w:val="20"/>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measures of the Company. For further information concerning our pay for performance philosophy and how we align executive compensation with the Company’s performance, refer to “Compensation Discussion and Analysis”.</w:t>
      </w:r>
    </w:p>
    <w:p>
      <w:pPr>
        <w:sectPr>
          <w:pgSz w:w="11900" w:h="16838" w:orient="portrait"/>
          <w:cols w:equalWidth="0" w:num="1">
            <w:col w:w="11240"/>
          </w:cols>
          <w:pgMar w:left="320" w:top="132" w:right="339" w:bottom="1440" w:gutter="0" w:footer="0" w:header="0"/>
        </w:sectPr>
      </w:pPr>
    </w:p>
    <w:p>
      <w:pPr>
        <w:spacing w:after="0" w:line="194" w:lineRule="exact"/>
        <w:rPr>
          <w:sz w:val="20"/>
          <w:szCs w:val="20"/>
          <w:color w:val="auto"/>
        </w:rPr>
      </w:pPr>
    </w:p>
    <w:tbl>
      <w:tblPr>
        <w:tblLayout w:type="fixed"/>
        <w:tblInd w:w="74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320" w:type="dxa"/>
            <w:vAlign w:val="bottom"/>
            <w:gridSpan w:val="2"/>
          </w:tcPr>
          <w:p>
            <w:pPr>
              <w:jc w:val="right"/>
              <w:spacing w:after="0"/>
              <w:rPr>
                <w:sz w:val="20"/>
                <w:szCs w:val="20"/>
                <w:color w:val="auto"/>
              </w:rPr>
            </w:pPr>
            <w:r>
              <w:rPr>
                <w:rFonts w:ascii="Arial" w:cs="Arial" w:eastAsia="Arial" w:hAnsi="Arial"/>
                <w:sz w:val="16"/>
                <w:szCs w:val="16"/>
                <w:b w:val="1"/>
                <w:bCs w:val="1"/>
                <w:color w:val="auto"/>
              </w:rPr>
              <w:t>Value of Initial Fixed $100</w:t>
            </w:r>
          </w:p>
        </w:tc>
      </w:tr>
      <w:tr>
        <w:trPr>
          <w:trHeight w:val="241"/>
        </w:trPr>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Average</w:t>
            </w:r>
          </w:p>
        </w:tc>
        <w:tc>
          <w:tcPr>
            <w:tcW w:w="1280" w:type="dxa"/>
            <w:vAlign w:val="bottom"/>
          </w:tcPr>
          <w:p>
            <w:pPr>
              <w:spacing w:after="0"/>
              <w:rPr>
                <w:sz w:val="20"/>
                <w:szCs w:val="20"/>
                <w:color w:val="auto"/>
              </w:rPr>
            </w:pPr>
          </w:p>
        </w:tc>
        <w:tc>
          <w:tcPr>
            <w:tcW w:w="2320" w:type="dxa"/>
            <w:vAlign w:val="bottom"/>
            <w:tcBorders>
              <w:bottom w:val="single" w:sz="8" w:color="582C83"/>
            </w:tcBorders>
            <w:gridSpan w:val="2"/>
          </w:tcPr>
          <w:p>
            <w:pPr>
              <w:jc w:val="right"/>
              <w:spacing w:after="0"/>
              <w:rPr>
                <w:sz w:val="20"/>
                <w:szCs w:val="20"/>
                <w:color w:val="auto"/>
              </w:rPr>
            </w:pPr>
            <w:r>
              <w:rPr>
                <w:rFonts w:ascii="Arial" w:cs="Arial" w:eastAsia="Arial" w:hAnsi="Arial"/>
                <w:sz w:val="16"/>
                <w:szCs w:val="16"/>
                <w:b w:val="1"/>
                <w:bCs w:val="1"/>
                <w:color w:val="auto"/>
              </w:rPr>
              <w:t>Investment Based On:</w:t>
            </w:r>
          </w:p>
        </w:tc>
      </w:tr>
      <w:tr>
        <w:trPr>
          <w:trHeight w:val="223"/>
        </w:trPr>
        <w:tc>
          <w:tcPr>
            <w:tcW w:w="48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Summary</w:t>
            </w:r>
          </w:p>
        </w:tc>
        <w:tc>
          <w:tcPr>
            <w:tcW w:w="1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Summary</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c>
          <w:tcPr>
            <w:tcW w:w="1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Peer Group</w:t>
            </w:r>
          </w:p>
        </w:tc>
      </w:tr>
      <w:tr>
        <w:trPr>
          <w:trHeight w:val="223"/>
        </w:trPr>
        <w:tc>
          <w:tcPr>
            <w:tcW w:w="48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Compensation</w:t>
            </w:r>
          </w:p>
        </w:tc>
        <w:tc>
          <w:tcPr>
            <w:tcW w:w="1400" w:type="dxa"/>
            <w:vAlign w:val="bottom"/>
          </w:tcPr>
          <w:p>
            <w:pPr>
              <w:jc w:val="right"/>
              <w:ind w:right="19"/>
              <w:spacing w:after="0"/>
              <w:rPr>
                <w:sz w:val="20"/>
                <w:szCs w:val="20"/>
                <w:color w:val="auto"/>
              </w:rPr>
            </w:pPr>
            <w:r>
              <w:rPr>
                <w:rFonts w:ascii="Arial" w:cs="Arial" w:eastAsia="Arial" w:hAnsi="Arial"/>
                <w:sz w:val="16"/>
                <w:szCs w:val="16"/>
                <w:b w:val="1"/>
                <w:bCs w:val="1"/>
                <w:color w:val="auto"/>
              </w:rPr>
              <w:t>Compensation</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Compensation</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Compensation</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22"/>
        </w:trPr>
        <w:tc>
          <w:tcPr>
            <w:tcW w:w="48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Total for</w:t>
            </w:r>
          </w:p>
        </w:tc>
        <w:tc>
          <w:tcPr>
            <w:tcW w:w="1400" w:type="dxa"/>
            <w:vAlign w:val="bottom"/>
          </w:tcPr>
          <w:p>
            <w:pPr>
              <w:jc w:val="right"/>
              <w:ind w:right="19"/>
              <w:spacing w:after="0"/>
              <w:rPr>
                <w:sz w:val="20"/>
                <w:szCs w:val="20"/>
                <w:color w:val="auto"/>
              </w:rPr>
            </w:pPr>
            <w:r>
              <w:rPr>
                <w:rFonts w:ascii="Arial" w:cs="Arial" w:eastAsia="Arial" w:hAnsi="Arial"/>
                <w:sz w:val="16"/>
                <w:szCs w:val="16"/>
                <w:b w:val="1"/>
                <w:bCs w:val="1"/>
                <w:color w:val="auto"/>
              </w:rPr>
              <w:t>Actually Paid to</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Total for</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Actually Paid</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Shareholder</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Shareholder</w:t>
            </w:r>
          </w:p>
        </w:tc>
      </w:tr>
      <w:tr>
        <w:trPr>
          <w:trHeight w:val="263"/>
        </w:trPr>
        <w:tc>
          <w:tcPr>
            <w:tcW w:w="480" w:type="dxa"/>
            <w:vAlign w:val="bottom"/>
          </w:tcPr>
          <w:p>
            <w:pPr>
              <w:spacing w:after="0"/>
              <w:rPr>
                <w:sz w:val="20"/>
                <w:szCs w:val="20"/>
                <w:color w:val="auto"/>
              </w:rPr>
            </w:pPr>
            <w:r>
              <w:rPr>
                <w:rFonts w:ascii="Arial" w:cs="Arial" w:eastAsia="Arial" w:hAnsi="Arial"/>
                <w:sz w:val="16"/>
                <w:szCs w:val="16"/>
                <w:b w:val="1"/>
                <w:bCs w:val="1"/>
                <w:color w:val="auto"/>
              </w:rPr>
              <w:t>Year</w:t>
            </w:r>
          </w:p>
        </w:tc>
        <w:tc>
          <w:tcPr>
            <w:tcW w:w="1360" w:type="dxa"/>
            <w:vAlign w:val="bottom"/>
          </w:tcPr>
          <w:p>
            <w:pPr>
              <w:jc w:val="right"/>
              <w:ind w:right="19"/>
              <w:spacing w:after="0" w:line="262" w:lineRule="exact"/>
              <w:rPr>
                <w:sz w:val="20"/>
                <w:szCs w:val="20"/>
                <w:color w:val="auto"/>
              </w:rPr>
            </w:pPr>
            <w:r>
              <w:rPr>
                <w:rFonts w:ascii="Arial" w:cs="Arial" w:eastAsia="Arial" w:hAnsi="Arial"/>
                <w:sz w:val="16"/>
                <w:szCs w:val="16"/>
                <w:b w:val="1"/>
                <w:bCs w:val="1"/>
                <w:color w:val="auto"/>
              </w:rPr>
              <w:t>PEO</w:t>
            </w:r>
            <w:r>
              <w:rPr>
                <w:rFonts w:ascii="Arial" w:cs="Arial" w:eastAsia="Arial" w:hAnsi="Arial"/>
                <w:sz w:val="26"/>
                <w:szCs w:val="26"/>
                <w:b w:val="1"/>
                <w:bCs w:val="1"/>
                <w:color w:val="auto"/>
                <w:vertAlign w:val="superscript"/>
              </w:rPr>
              <w:t>1</w:t>
            </w:r>
          </w:p>
        </w:tc>
        <w:tc>
          <w:tcPr>
            <w:tcW w:w="1400" w:type="dxa"/>
            <w:vAlign w:val="bottom"/>
          </w:tcPr>
          <w:p>
            <w:pPr>
              <w:jc w:val="right"/>
              <w:ind w:right="19"/>
              <w:spacing w:after="0" w:line="262" w:lineRule="exact"/>
              <w:rPr>
                <w:sz w:val="20"/>
                <w:szCs w:val="20"/>
                <w:color w:val="auto"/>
              </w:rPr>
            </w:pPr>
            <w:r>
              <w:rPr>
                <w:rFonts w:ascii="Arial" w:cs="Arial" w:eastAsia="Arial" w:hAnsi="Arial"/>
                <w:sz w:val="16"/>
                <w:szCs w:val="16"/>
                <w:b w:val="1"/>
                <w:bCs w:val="1"/>
                <w:color w:val="auto"/>
              </w:rPr>
              <w:t>PEO</w:t>
            </w:r>
            <w:r>
              <w:rPr>
                <w:rFonts w:ascii="Arial" w:cs="Arial" w:eastAsia="Arial" w:hAnsi="Arial"/>
                <w:sz w:val="26"/>
                <w:szCs w:val="26"/>
                <w:b w:val="1"/>
                <w:bCs w:val="1"/>
                <w:color w:val="auto"/>
                <w:vertAlign w:val="superscript"/>
              </w:rPr>
              <w:t>2</w:t>
            </w:r>
          </w:p>
        </w:tc>
        <w:tc>
          <w:tcPr>
            <w:tcW w:w="1300" w:type="dxa"/>
            <w:vAlign w:val="bottom"/>
          </w:tcPr>
          <w:p>
            <w:pPr>
              <w:jc w:val="right"/>
              <w:ind w:right="19"/>
              <w:spacing w:after="0" w:line="262" w:lineRule="exact"/>
              <w:rPr>
                <w:sz w:val="20"/>
                <w:szCs w:val="20"/>
                <w:color w:val="auto"/>
              </w:rPr>
            </w:pPr>
            <w:r>
              <w:rPr>
                <w:rFonts w:ascii="Arial" w:cs="Arial" w:eastAsia="Arial" w:hAnsi="Arial"/>
                <w:sz w:val="16"/>
                <w:szCs w:val="16"/>
                <w:b w:val="1"/>
                <w:bCs w:val="1"/>
                <w:color w:val="auto"/>
              </w:rPr>
              <w:t>NEOs</w:t>
            </w:r>
            <w:r>
              <w:rPr>
                <w:rFonts w:ascii="Arial" w:cs="Arial" w:eastAsia="Arial" w:hAnsi="Arial"/>
                <w:sz w:val="26"/>
                <w:szCs w:val="26"/>
                <w:b w:val="1"/>
                <w:bCs w:val="1"/>
                <w:color w:val="auto"/>
                <w:vertAlign w:val="superscript"/>
              </w:rPr>
              <w:t>3</w:t>
            </w:r>
          </w:p>
        </w:tc>
        <w:tc>
          <w:tcPr>
            <w:tcW w:w="1280" w:type="dxa"/>
            <w:vAlign w:val="bottom"/>
          </w:tcPr>
          <w:p>
            <w:pPr>
              <w:jc w:val="right"/>
              <w:spacing w:after="0" w:line="262" w:lineRule="exact"/>
              <w:rPr>
                <w:sz w:val="20"/>
                <w:szCs w:val="20"/>
                <w:color w:val="auto"/>
              </w:rPr>
            </w:pPr>
            <w:r>
              <w:rPr>
                <w:rFonts w:ascii="Arial" w:cs="Arial" w:eastAsia="Arial" w:hAnsi="Arial"/>
                <w:sz w:val="16"/>
                <w:szCs w:val="16"/>
                <w:b w:val="1"/>
                <w:bCs w:val="1"/>
                <w:color w:val="auto"/>
              </w:rPr>
              <w:t>to NEOs</w:t>
            </w:r>
            <w:r>
              <w:rPr>
                <w:rFonts w:ascii="Arial" w:cs="Arial" w:eastAsia="Arial" w:hAnsi="Arial"/>
                <w:sz w:val="26"/>
                <w:szCs w:val="26"/>
                <w:b w:val="1"/>
                <w:bCs w:val="1"/>
                <w:color w:val="auto"/>
                <w:vertAlign w:val="superscript"/>
              </w:rPr>
              <w:t>4</w:t>
            </w:r>
          </w:p>
        </w:tc>
        <w:tc>
          <w:tcPr>
            <w:tcW w:w="1160" w:type="dxa"/>
            <w:vAlign w:val="bottom"/>
          </w:tcPr>
          <w:p>
            <w:pPr>
              <w:jc w:val="right"/>
              <w:ind w:right="39"/>
              <w:spacing w:after="0" w:line="262" w:lineRule="exact"/>
              <w:rPr>
                <w:sz w:val="20"/>
                <w:szCs w:val="20"/>
                <w:color w:val="auto"/>
              </w:rPr>
            </w:pPr>
            <w:r>
              <w:rPr>
                <w:rFonts w:ascii="Arial" w:cs="Arial" w:eastAsia="Arial" w:hAnsi="Arial"/>
                <w:sz w:val="16"/>
                <w:szCs w:val="16"/>
                <w:b w:val="1"/>
                <w:bCs w:val="1"/>
                <w:color w:val="auto"/>
              </w:rPr>
              <w:t>Return</w:t>
            </w:r>
            <w:r>
              <w:rPr>
                <w:rFonts w:ascii="Arial" w:cs="Arial" w:eastAsia="Arial" w:hAnsi="Arial"/>
                <w:sz w:val="26"/>
                <w:szCs w:val="26"/>
                <w:b w:val="1"/>
                <w:bCs w:val="1"/>
                <w:color w:val="auto"/>
                <w:vertAlign w:val="superscript"/>
              </w:rPr>
              <w:t>5</w:t>
            </w:r>
          </w:p>
        </w:tc>
        <w:tc>
          <w:tcPr>
            <w:tcW w:w="1160" w:type="dxa"/>
            <w:vAlign w:val="bottom"/>
          </w:tcPr>
          <w:p>
            <w:pPr>
              <w:jc w:val="right"/>
              <w:spacing w:after="0" w:line="262" w:lineRule="exact"/>
              <w:rPr>
                <w:sz w:val="20"/>
                <w:szCs w:val="20"/>
                <w:color w:val="auto"/>
              </w:rPr>
            </w:pPr>
            <w:r>
              <w:rPr>
                <w:rFonts w:ascii="Arial" w:cs="Arial" w:eastAsia="Arial" w:hAnsi="Arial"/>
                <w:sz w:val="16"/>
                <w:szCs w:val="16"/>
                <w:b w:val="1"/>
                <w:bCs w:val="1"/>
                <w:color w:val="auto"/>
              </w:rPr>
              <w:t>Return</w:t>
            </w:r>
            <w:r>
              <w:rPr>
                <w:rFonts w:ascii="Arial" w:cs="Arial" w:eastAsia="Arial" w:hAnsi="Arial"/>
                <w:sz w:val="26"/>
                <w:szCs w:val="26"/>
                <w:b w:val="1"/>
                <w:bCs w:val="1"/>
                <w:color w:val="auto"/>
                <w:vertAlign w:val="superscript"/>
              </w:rPr>
              <w:t>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720"/>
        <w:spacing w:after="0"/>
        <w:rPr>
          <w:sz w:val="20"/>
          <w:szCs w:val="20"/>
          <w:color w:val="auto"/>
        </w:rPr>
      </w:pPr>
      <w:r>
        <w:rPr>
          <w:rFonts w:ascii="Arial" w:cs="Arial" w:eastAsia="Arial" w:hAnsi="Arial"/>
          <w:sz w:val="16"/>
          <w:szCs w:val="16"/>
          <w:b w:val="1"/>
          <w:bCs w:val="1"/>
          <w:color w:val="auto"/>
        </w:rPr>
        <w:t>Adjusted</w:t>
      </w:r>
    </w:p>
    <w:p>
      <w:pPr>
        <w:spacing w:after="0" w:line="18" w:lineRule="exact"/>
        <w:rPr>
          <w:sz w:val="20"/>
          <w:szCs w:val="20"/>
          <w:color w:val="auto"/>
        </w:rPr>
      </w:pPr>
    </w:p>
    <w:p>
      <w:pPr>
        <w:jc w:val="right"/>
        <w:ind w:right="720"/>
        <w:spacing w:after="0"/>
        <w:rPr>
          <w:sz w:val="20"/>
          <w:szCs w:val="20"/>
          <w:color w:val="auto"/>
        </w:rPr>
      </w:pPr>
      <w:r>
        <w:rPr>
          <w:rFonts w:ascii="Arial" w:cs="Arial" w:eastAsia="Arial" w:hAnsi="Arial"/>
          <w:sz w:val="16"/>
          <w:szCs w:val="16"/>
          <w:b w:val="1"/>
          <w:bCs w:val="1"/>
          <w:color w:val="auto"/>
        </w:rPr>
        <w:t>Gross</w:t>
      </w:r>
    </w:p>
    <w:p>
      <w:pPr>
        <w:jc w:val="both"/>
        <w:ind w:left="380"/>
        <w:spacing w:after="0" w:line="181" w:lineRule="auto"/>
        <w:tabs>
          <w:tab w:leader="none" w:pos="1120" w:val="left"/>
        </w:tabs>
        <w:rPr>
          <w:sz w:val="20"/>
          <w:szCs w:val="20"/>
          <w:color w:val="auto"/>
        </w:rPr>
      </w:pPr>
      <w:r>
        <w:rPr>
          <w:rFonts w:ascii="Arial" w:cs="Arial" w:eastAsia="Arial" w:hAnsi="Arial"/>
          <w:sz w:val="28"/>
          <w:szCs w:val="28"/>
          <w:b w:val="1"/>
          <w:bCs w:val="1"/>
          <w:color w:val="auto"/>
          <w:vertAlign w:val="subscript"/>
        </w:rPr>
        <w:t>Net</w:t>
      </w:r>
      <w:r>
        <w:rPr>
          <w:sz w:val="20"/>
          <w:szCs w:val="20"/>
          <w:color w:val="auto"/>
        </w:rPr>
        <w:tab/>
      </w:r>
      <w:r>
        <w:rPr>
          <w:rFonts w:ascii="Arial" w:cs="Arial" w:eastAsia="Arial" w:hAnsi="Arial"/>
          <w:sz w:val="15"/>
          <w:szCs w:val="15"/>
          <w:b w:val="1"/>
          <w:bCs w:val="1"/>
          <w:color w:val="auto"/>
        </w:rPr>
        <w:t>Profit</w:t>
      </w:r>
    </w:p>
    <w:p>
      <w:pPr>
        <w:spacing w:after="0" w:line="230" w:lineRule="auto"/>
        <w:tabs>
          <w:tab w:leader="none" w:pos="900" w:val="left"/>
        </w:tabs>
        <w:rPr>
          <w:sz w:val="20"/>
          <w:szCs w:val="20"/>
          <w:color w:val="auto"/>
        </w:rPr>
      </w:pPr>
      <w:r>
        <w:rPr>
          <w:rFonts w:ascii="Arial" w:cs="Arial" w:eastAsia="Arial" w:hAnsi="Arial"/>
          <w:sz w:val="16"/>
          <w:szCs w:val="16"/>
          <w:b w:val="1"/>
          <w:bCs w:val="1"/>
          <w:color w:val="auto"/>
        </w:rPr>
        <w:t>Income</w:t>
      </w:r>
      <w:r>
        <w:rPr>
          <w:rFonts w:ascii="Arial" w:cs="Arial" w:eastAsia="Arial" w:hAnsi="Arial"/>
          <w:sz w:val="26"/>
          <w:szCs w:val="26"/>
          <w:b w:val="1"/>
          <w:bCs w:val="1"/>
          <w:color w:val="auto"/>
          <w:vertAlign w:val="superscript"/>
        </w:rPr>
        <w:t>7</w:t>
      </w:r>
      <w:r>
        <w:rPr>
          <w:sz w:val="20"/>
          <w:szCs w:val="20"/>
          <w:color w:val="auto"/>
        </w:rPr>
        <w:tab/>
      </w:r>
      <w:r>
        <w:rPr>
          <w:rFonts w:ascii="Arial" w:cs="Arial" w:eastAsia="Arial" w:hAnsi="Arial"/>
          <w:sz w:val="15"/>
          <w:szCs w:val="15"/>
          <w:b w:val="1"/>
          <w:bCs w:val="1"/>
          <w:color w:val="auto"/>
        </w:rPr>
        <w:t>Growth</w:t>
      </w:r>
      <w:r>
        <w:rPr>
          <w:rFonts w:ascii="Arial" w:cs="Arial" w:eastAsia="Arial" w:hAnsi="Arial"/>
          <w:sz w:val="24"/>
          <w:szCs w:val="24"/>
          <w:b w:val="1"/>
          <w:bCs w:val="1"/>
          <w:color w:val="auto"/>
          <w:vertAlign w:val="superscript"/>
        </w:rPr>
        <w:t>8</w:t>
      </w:r>
    </w:p>
    <w:p>
      <w:pPr>
        <w:spacing w:after="0" w:line="1" w:lineRule="exact"/>
        <w:rPr>
          <w:sz w:val="20"/>
          <w:szCs w:val="20"/>
          <w:color w:val="auto"/>
        </w:rPr>
      </w:pPr>
    </w:p>
    <w:p>
      <w:pPr>
        <w:sectPr>
          <w:pgSz w:w="11900" w:h="16838" w:orient="portrait"/>
          <w:cols w:equalWidth="0" w:num="2">
            <w:col w:w="8880" w:space="80"/>
            <w:col w:w="2280"/>
          </w:cols>
          <w:pgMar w:left="320" w:top="132" w:right="339" w:bottom="1440" w:gutter="0" w:footer="0" w:header="0"/>
          <w:type w:val="continuous"/>
        </w:sectPr>
      </w:pPr>
    </w:p>
    <w:tbl>
      <w:tblPr>
        <w:tblLayout w:type="fixed"/>
        <w:tblInd w:w="660" w:type="dxa"/>
        <w:tblCellMar>
          <w:top w:w="0" w:type="dxa"/>
          <w:left w:w="0" w:type="dxa"/>
          <w:bottom w:w="0" w:type="dxa"/>
          <w:right w:w="0" w:type="dxa"/>
        </w:tblCellMar>
      </w:tblPr>
      <w:tr>
        <w:trPr>
          <w:trHeight w:val="308"/>
        </w:trPr>
        <w:tc>
          <w:tcPr>
            <w:tcW w:w="600" w:type="dxa"/>
            <w:vAlign w:val="bottom"/>
            <w:tcBorders>
              <w:top w:val="single" w:sz="8" w:color="582C83"/>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2022</w:t>
            </w:r>
          </w:p>
        </w:tc>
        <w:tc>
          <w:tcPr>
            <w:tcW w:w="13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$17,925,677</w:t>
            </w:r>
          </w:p>
        </w:tc>
        <w:tc>
          <w:tcPr>
            <w:tcW w:w="1420" w:type="dxa"/>
            <w:vAlign w:val="bottom"/>
            <w:tcBorders>
              <w:top w:val="single" w:sz="8" w:color="582C83"/>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$27,017,315</w:t>
            </w:r>
          </w:p>
        </w:tc>
        <w:tc>
          <w:tcPr>
            <w:tcW w:w="1300" w:type="dxa"/>
            <w:vAlign w:val="bottom"/>
            <w:tcBorders>
              <w:top w:val="single" w:sz="8" w:color="582C83"/>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$4,738,723</w:t>
            </w:r>
          </w:p>
        </w:tc>
        <w:tc>
          <w:tcPr>
            <w:tcW w:w="1300" w:type="dxa"/>
            <w:vAlign w:val="bottom"/>
            <w:tcBorders>
              <w:top w:val="single" w:sz="8" w:color="582C83"/>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$6,743,645</w:t>
            </w:r>
          </w:p>
        </w:tc>
        <w:tc>
          <w:tcPr>
            <w:tcW w:w="11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$129.50</w:t>
            </w:r>
          </w:p>
        </w:tc>
        <w:tc>
          <w:tcPr>
            <w:tcW w:w="12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$124.71</w:t>
            </w:r>
          </w:p>
        </w:tc>
        <w:tc>
          <w:tcPr>
            <w:tcW w:w="80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$2,726</w:t>
            </w:r>
          </w:p>
        </w:tc>
        <w:tc>
          <w:tcPr>
            <w:tcW w:w="920" w:type="dxa"/>
            <w:vAlign w:val="bottom"/>
            <w:tcBorders>
              <w:top w:val="single" w:sz="8" w:color="58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12.3%</w:t>
            </w:r>
          </w:p>
        </w:tc>
      </w:tr>
      <w:tr>
        <w:trPr>
          <w:trHeight w:val="243"/>
        </w:trPr>
        <w:tc>
          <w:tcPr>
            <w:tcW w:w="60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2021</w:t>
            </w:r>
          </w:p>
        </w:tc>
        <w:tc>
          <w:tcPr>
            <w:tcW w:w="13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$16,128,320</w:t>
            </w:r>
          </w:p>
        </w:tc>
        <w:tc>
          <w:tcPr>
            <w:tcW w:w="1420" w:type="dxa"/>
            <w:vAlign w:val="bottom"/>
            <w:tcBorders>
              <w:top w:val="single" w:sz="8" w:color="582C83"/>
            </w:tcBorders>
          </w:tcPr>
          <w:p>
            <w:pPr>
              <w:jc w:val="right"/>
              <w:ind w:right="19"/>
              <w:spacing w:after="0"/>
              <w:rPr>
                <w:sz w:val="20"/>
                <w:szCs w:val="20"/>
                <w:color w:val="auto"/>
              </w:rPr>
            </w:pPr>
            <w:r>
              <w:rPr>
                <w:rFonts w:ascii="Arial" w:cs="Arial" w:eastAsia="Arial" w:hAnsi="Arial"/>
                <w:sz w:val="16"/>
                <w:szCs w:val="16"/>
                <w:color w:val="auto"/>
              </w:rPr>
              <w:t>$26,845,406</w:t>
            </w:r>
          </w:p>
        </w:tc>
        <w:tc>
          <w:tcPr>
            <w:tcW w:w="1300" w:type="dxa"/>
            <w:vAlign w:val="bottom"/>
            <w:tcBorders>
              <w:top w:val="single" w:sz="8" w:color="582C83"/>
            </w:tcBorders>
          </w:tcPr>
          <w:p>
            <w:pPr>
              <w:jc w:val="right"/>
              <w:ind w:right="19"/>
              <w:spacing w:after="0"/>
              <w:rPr>
                <w:sz w:val="20"/>
                <w:szCs w:val="20"/>
                <w:color w:val="auto"/>
              </w:rPr>
            </w:pPr>
            <w:r>
              <w:rPr>
                <w:rFonts w:ascii="Arial" w:cs="Arial" w:eastAsia="Arial" w:hAnsi="Arial"/>
                <w:sz w:val="16"/>
                <w:szCs w:val="16"/>
                <w:color w:val="auto"/>
              </w:rPr>
              <w:t>$4,870,086</w:t>
            </w:r>
          </w:p>
        </w:tc>
        <w:tc>
          <w:tcPr>
            <w:tcW w:w="13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$7,161,206</w:t>
            </w:r>
          </w:p>
        </w:tc>
        <w:tc>
          <w:tcPr>
            <w:tcW w:w="11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$125.82</w:t>
            </w:r>
          </w:p>
        </w:tc>
        <w:tc>
          <w:tcPr>
            <w:tcW w:w="12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$125.27</w:t>
            </w:r>
          </w:p>
        </w:tc>
        <w:tc>
          <w:tcPr>
            <w:tcW w:w="80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$4,314</w:t>
            </w:r>
          </w:p>
        </w:tc>
        <w:tc>
          <w:tcPr>
            <w:tcW w:w="92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3.5%</w:t>
            </w:r>
          </w:p>
        </w:tc>
      </w:tr>
      <w:tr>
        <w:trPr>
          <w:trHeight w:val="35"/>
        </w:trPr>
        <w:tc>
          <w:tcPr>
            <w:tcW w:w="6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142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110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c>
          <w:tcPr>
            <w:tcW w:w="800" w:type="dxa"/>
            <w:vAlign w:val="bottom"/>
            <w:tcBorders>
              <w:bottom w:val="single" w:sz="8" w:color="582C83"/>
            </w:tcBorders>
          </w:tcPr>
          <w:p>
            <w:pPr>
              <w:spacing w:after="0"/>
              <w:rPr>
                <w:sz w:val="3"/>
                <w:szCs w:val="3"/>
                <w:color w:val="auto"/>
              </w:rPr>
            </w:pPr>
          </w:p>
        </w:tc>
        <w:tc>
          <w:tcPr>
            <w:tcW w:w="920" w:type="dxa"/>
            <w:vAlign w:val="bottom"/>
            <w:tcBorders>
              <w:bottom w:val="single" w:sz="8" w:color="582C83"/>
            </w:tcBorders>
          </w:tcPr>
          <w:p>
            <w:pPr>
              <w:spacing w:after="0"/>
              <w:rPr>
                <w:sz w:val="3"/>
                <w:szCs w:val="3"/>
                <w:color w:val="auto"/>
              </w:rPr>
            </w:pPr>
          </w:p>
        </w:tc>
      </w:tr>
      <w:tr>
        <w:trPr>
          <w:trHeight w:val="258"/>
        </w:trPr>
        <w:tc>
          <w:tcPr>
            <w:tcW w:w="6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2020</w:t>
            </w:r>
          </w:p>
        </w:tc>
        <w:tc>
          <w:tcPr>
            <w:tcW w:w="13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$16,842,693</w:t>
            </w:r>
          </w:p>
        </w:tc>
        <w:tc>
          <w:tcPr>
            <w:tcW w:w="1420" w:type="dxa"/>
            <w:vAlign w:val="bottom"/>
            <w:tcBorders>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$22,512,182</w:t>
            </w:r>
          </w:p>
        </w:tc>
        <w:tc>
          <w:tcPr>
            <w:tcW w:w="1300" w:type="dxa"/>
            <w:vAlign w:val="bottom"/>
            <w:tcBorders>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$5,506,309</w:t>
            </w:r>
          </w:p>
        </w:tc>
        <w:tc>
          <w:tcPr>
            <w:tcW w:w="130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$6,295,101</w:t>
            </w:r>
          </w:p>
        </w:tc>
        <w:tc>
          <w:tcPr>
            <w:tcW w:w="11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$108.58</w:t>
            </w:r>
          </w:p>
        </w:tc>
        <w:tc>
          <w:tcPr>
            <w:tcW w:w="12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$109.26</w:t>
            </w:r>
          </w:p>
        </w:tc>
        <w:tc>
          <w:tcPr>
            <w:tcW w:w="8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$3,569</w:t>
            </w:r>
          </w:p>
        </w:tc>
        <w:tc>
          <w:tcPr>
            <w:tcW w:w="9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600" w:type="dxa"/>
            <w:vAlign w:val="bottom"/>
            <w:shd w:val="clear" w:color="auto" w:fill="582C83"/>
          </w:tcPr>
          <w:p>
            <w:pPr>
              <w:spacing w:after="0" w:line="20" w:lineRule="exact"/>
              <w:rPr>
                <w:sz w:val="1"/>
                <w:szCs w:val="1"/>
                <w:color w:val="auto"/>
              </w:rPr>
            </w:pPr>
          </w:p>
        </w:tc>
        <w:tc>
          <w:tcPr>
            <w:tcW w:w="1300" w:type="dxa"/>
            <w:vAlign w:val="bottom"/>
            <w:shd w:val="clear" w:color="auto" w:fill="582C83"/>
          </w:tcPr>
          <w:p>
            <w:pPr>
              <w:spacing w:after="0" w:line="20" w:lineRule="exact"/>
              <w:rPr>
                <w:sz w:val="1"/>
                <w:szCs w:val="1"/>
                <w:color w:val="auto"/>
              </w:rPr>
            </w:pPr>
          </w:p>
        </w:tc>
        <w:tc>
          <w:tcPr>
            <w:tcW w:w="1420" w:type="dxa"/>
            <w:vAlign w:val="bottom"/>
            <w:tcBorders>
              <w:right w:val="single" w:sz="8" w:color="EBE6F0"/>
            </w:tcBorders>
            <w:shd w:val="clear" w:color="auto" w:fill="582C83"/>
          </w:tcPr>
          <w:p>
            <w:pPr>
              <w:spacing w:after="0" w:line="20" w:lineRule="exact"/>
              <w:rPr>
                <w:sz w:val="1"/>
                <w:szCs w:val="1"/>
                <w:color w:val="auto"/>
              </w:rPr>
            </w:pPr>
          </w:p>
        </w:tc>
        <w:tc>
          <w:tcPr>
            <w:tcW w:w="1300" w:type="dxa"/>
            <w:vAlign w:val="bottom"/>
            <w:tcBorders>
              <w:right w:val="single" w:sz="8" w:color="EBE6F0"/>
            </w:tcBorders>
            <w:shd w:val="clear" w:color="auto" w:fill="582C83"/>
          </w:tcPr>
          <w:p>
            <w:pPr>
              <w:spacing w:after="0" w:line="20" w:lineRule="exact"/>
              <w:rPr>
                <w:sz w:val="1"/>
                <w:szCs w:val="1"/>
                <w:color w:val="auto"/>
              </w:rPr>
            </w:pPr>
          </w:p>
        </w:tc>
        <w:tc>
          <w:tcPr>
            <w:tcW w:w="1300" w:type="dxa"/>
            <w:vAlign w:val="bottom"/>
            <w:tcBorders>
              <w:right w:val="single" w:sz="8" w:color="EBE6F0"/>
            </w:tcBorders>
            <w:shd w:val="clear" w:color="auto" w:fill="582C83"/>
          </w:tcPr>
          <w:p>
            <w:pPr>
              <w:spacing w:after="0" w:line="20" w:lineRule="exact"/>
              <w:rPr>
                <w:sz w:val="1"/>
                <w:szCs w:val="1"/>
                <w:color w:val="auto"/>
              </w:rPr>
            </w:pPr>
          </w:p>
        </w:tc>
        <w:tc>
          <w:tcPr>
            <w:tcW w:w="1100" w:type="dxa"/>
            <w:vAlign w:val="bottom"/>
            <w:shd w:val="clear" w:color="auto" w:fill="582C83"/>
          </w:tcPr>
          <w:p>
            <w:pPr>
              <w:spacing w:after="0" w:line="20" w:lineRule="exact"/>
              <w:rPr>
                <w:sz w:val="1"/>
                <w:szCs w:val="1"/>
                <w:color w:val="auto"/>
              </w:rPr>
            </w:pPr>
          </w:p>
        </w:tc>
        <w:tc>
          <w:tcPr>
            <w:tcW w:w="1200" w:type="dxa"/>
            <w:vAlign w:val="bottom"/>
            <w:shd w:val="clear" w:color="auto" w:fill="582C83"/>
          </w:tcPr>
          <w:p>
            <w:pPr>
              <w:spacing w:after="0" w:line="20" w:lineRule="exact"/>
              <w:rPr>
                <w:sz w:val="1"/>
                <w:szCs w:val="1"/>
                <w:color w:val="auto"/>
              </w:rPr>
            </w:pPr>
          </w:p>
        </w:tc>
        <w:tc>
          <w:tcPr>
            <w:tcW w:w="800" w:type="dxa"/>
            <w:vAlign w:val="bottom"/>
            <w:shd w:val="clear" w:color="auto" w:fill="582C83"/>
          </w:tcPr>
          <w:p>
            <w:pPr>
              <w:spacing w:after="0" w:line="20" w:lineRule="exact"/>
              <w:rPr>
                <w:sz w:val="1"/>
                <w:szCs w:val="1"/>
                <w:color w:val="auto"/>
              </w:rPr>
            </w:pPr>
          </w:p>
        </w:tc>
        <w:tc>
          <w:tcPr>
            <w:tcW w:w="920" w:type="dxa"/>
            <w:vAlign w:val="bottom"/>
            <w:shd w:val="clear" w:color="auto" w:fill="582C83"/>
          </w:tcPr>
          <w:p>
            <w:pPr>
              <w:spacing w:after="0" w:line="20" w:lineRule="exact"/>
              <w:rPr>
                <w:sz w:val="1"/>
                <w:szCs w:val="1"/>
                <w:color w:val="auto"/>
              </w:rPr>
            </w:pPr>
          </w:p>
        </w:tc>
      </w:tr>
    </w:tbl>
    <w:p>
      <w:pPr>
        <w:spacing w:after="0" w:line="75" w:lineRule="exact"/>
        <w:rPr>
          <w:sz w:val="20"/>
          <w:szCs w:val="20"/>
          <w:color w:val="auto"/>
        </w:rPr>
      </w:pPr>
    </w:p>
    <w:p>
      <w:pPr>
        <w:ind w:left="1060" w:right="1660" w:hanging="328"/>
        <w:spacing w:after="0" w:line="267" w:lineRule="auto"/>
        <w:tabs>
          <w:tab w:leader="none" w:pos="10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dollar amounts reported are the amounts of total compensation reported in the “Total Compensation” column of our Summary Compensation Table for Mr. Van de Put, our Principal Executive Officer (PEO).</w:t>
      </w:r>
    </w:p>
    <w:p>
      <w:pPr>
        <w:spacing w:after="0" w:line="1" w:lineRule="exact"/>
        <w:rPr>
          <w:rFonts w:ascii="Arial" w:cs="Arial" w:eastAsia="Arial" w:hAnsi="Arial"/>
          <w:sz w:val="15"/>
          <w:szCs w:val="15"/>
          <w:color w:val="auto"/>
        </w:rPr>
      </w:pPr>
    </w:p>
    <w:p>
      <w:pPr>
        <w:jc w:val="both"/>
        <w:ind w:left="1060" w:right="1080" w:hanging="328"/>
        <w:spacing w:after="0" w:line="262" w:lineRule="auto"/>
        <w:tabs>
          <w:tab w:leader="none" w:pos="10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dollar amounts reported represent the amount of “compensation actually paid”, as computed in accordance with SEC rules. The dollar amounts do not reflect the actual amount of compensation earned by or paid during the applicable year. In accordance with SEC rules, the following adjustments were made to total compensation to determine the compensation actually paid</w:t>
      </w:r>
      <w:r>
        <w:rPr>
          <w:rFonts w:ascii="Arial" w:cs="Arial" w:eastAsia="Arial" w:hAnsi="Arial"/>
          <w:sz w:val="15"/>
          <w:szCs w:val="15"/>
          <w:b w:val="1"/>
          <w:bCs w:val="1"/>
          <w:color w:val="auto"/>
        </w:rPr>
        <w:t>:</w:t>
      </w:r>
    </w:p>
    <w:p>
      <w:pPr>
        <w:spacing w:after="0" w:line="342" w:lineRule="exact"/>
        <w:rPr>
          <w:sz w:val="20"/>
          <w:szCs w:val="20"/>
          <w:color w:val="auto"/>
        </w:rPr>
      </w:pPr>
    </w:p>
    <w:tbl>
      <w:tblPr>
        <w:tblLayout w:type="fixed"/>
        <w:tblInd w:w="710" w:type="dxa"/>
        <w:tblCellMar>
          <w:top w:w="0" w:type="dxa"/>
          <w:left w:w="0" w:type="dxa"/>
          <w:bottom w:w="0" w:type="dxa"/>
          <w:right w:w="0" w:type="dxa"/>
        </w:tblCellMar>
      </w:tblPr>
      <w:tr>
        <w:trPr>
          <w:trHeight w:val="174"/>
        </w:trPr>
        <w:tc>
          <w:tcPr>
            <w:tcW w:w="420" w:type="dxa"/>
            <w:vAlign w:val="bottom"/>
          </w:tcPr>
          <w:p>
            <w:pPr>
              <w:spacing w:after="0"/>
              <w:rPr>
                <w:sz w:val="15"/>
                <w:szCs w:val="15"/>
                <w:color w:val="auto"/>
              </w:rPr>
            </w:pPr>
          </w:p>
        </w:tc>
        <w:tc>
          <w:tcPr>
            <w:tcW w:w="2240" w:type="dxa"/>
            <w:vAlign w:val="bottom"/>
          </w:tcPr>
          <w:p>
            <w:pPr>
              <w:jc w:val="right"/>
              <w:ind w:right="6"/>
              <w:spacing w:after="0"/>
              <w:rPr>
                <w:sz w:val="20"/>
                <w:szCs w:val="20"/>
                <w:color w:val="auto"/>
              </w:rPr>
            </w:pPr>
            <w:r>
              <w:rPr>
                <w:rFonts w:ascii="Arial" w:cs="Arial" w:eastAsia="Arial" w:hAnsi="Arial"/>
                <w:sz w:val="15"/>
                <w:szCs w:val="15"/>
                <w:b w:val="1"/>
                <w:bCs w:val="1"/>
                <w:color w:val="auto"/>
              </w:rPr>
              <w:t>Reported Summary</w:t>
            </w:r>
          </w:p>
        </w:tc>
        <w:tc>
          <w:tcPr>
            <w:tcW w:w="230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Less Reported Value of Equity</w:t>
            </w:r>
          </w:p>
        </w:tc>
        <w:tc>
          <w:tcPr>
            <w:tcW w:w="25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240" w:type="dxa"/>
            <w:vAlign w:val="bottom"/>
          </w:tcPr>
          <w:p>
            <w:pPr>
              <w:jc w:val="right"/>
              <w:ind w:right="6"/>
              <w:spacing w:after="0" w:line="149" w:lineRule="exact"/>
              <w:rPr>
                <w:sz w:val="20"/>
                <w:szCs w:val="20"/>
                <w:color w:val="auto"/>
              </w:rPr>
            </w:pPr>
            <w:r>
              <w:rPr>
                <w:rFonts w:ascii="Arial" w:cs="Arial" w:eastAsia="Arial" w:hAnsi="Arial"/>
                <w:sz w:val="15"/>
                <w:szCs w:val="15"/>
                <w:b w:val="1"/>
                <w:bCs w:val="1"/>
                <w:color w:val="auto"/>
              </w:rPr>
              <w:t>Compensation Table Total for</w:t>
            </w:r>
          </w:p>
        </w:tc>
        <w:tc>
          <w:tcPr>
            <w:tcW w:w="2300" w:type="dxa"/>
            <w:vAlign w:val="bottom"/>
            <w:vMerge w:val="continue"/>
          </w:tcPr>
          <w:p>
            <w:pPr>
              <w:spacing w:after="0"/>
              <w:rPr>
                <w:sz w:val="12"/>
                <w:szCs w:val="12"/>
                <w:color w:val="auto"/>
              </w:rPr>
            </w:pPr>
          </w:p>
        </w:tc>
        <w:tc>
          <w:tcPr>
            <w:tcW w:w="256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w w:val="98"/>
              </w:rPr>
              <w:t>Plus Equity Award Adjustments</w:t>
            </w:r>
            <w:r>
              <w:rPr>
                <w:rFonts w:ascii="Arial" w:cs="Arial" w:eastAsia="Arial" w:hAnsi="Arial"/>
                <w:sz w:val="24"/>
                <w:szCs w:val="24"/>
                <w:b w:val="1"/>
                <w:bCs w:val="1"/>
                <w:color w:val="auto"/>
                <w:w w:val="98"/>
                <w:vertAlign w:val="superscript"/>
              </w:rPr>
              <w:t>(b)</w:t>
            </w:r>
          </w:p>
        </w:tc>
        <w:tc>
          <w:tcPr>
            <w:tcW w:w="2340" w:type="dxa"/>
            <w:vAlign w:val="bottom"/>
          </w:tcPr>
          <w:p>
            <w:pPr>
              <w:jc w:val="right"/>
              <w:ind w:right="6"/>
              <w:spacing w:after="0" w:line="149" w:lineRule="exact"/>
              <w:rPr>
                <w:sz w:val="20"/>
                <w:szCs w:val="20"/>
                <w:color w:val="auto"/>
              </w:rPr>
            </w:pPr>
            <w:r>
              <w:rPr>
                <w:rFonts w:ascii="Arial" w:cs="Arial" w:eastAsia="Arial" w:hAnsi="Arial"/>
                <w:sz w:val="15"/>
                <w:szCs w:val="15"/>
                <w:b w:val="1"/>
                <w:bCs w:val="1"/>
                <w:color w:val="auto"/>
              </w:rPr>
              <w:t>Compensation Actually Paid to</w:t>
            </w:r>
          </w:p>
        </w:tc>
        <w:tc>
          <w:tcPr>
            <w:tcW w:w="0" w:type="dxa"/>
            <w:vAlign w:val="bottom"/>
          </w:tcPr>
          <w:p>
            <w:pPr>
              <w:spacing w:after="0"/>
              <w:rPr>
                <w:sz w:val="1"/>
                <w:szCs w:val="1"/>
                <w:color w:val="auto"/>
              </w:rPr>
            </w:pPr>
          </w:p>
        </w:tc>
      </w:tr>
      <w:tr>
        <w:trPr>
          <w:trHeight w:val="253"/>
        </w:trPr>
        <w:tc>
          <w:tcPr>
            <w:tcW w:w="420" w:type="dxa"/>
            <w:vAlign w:val="bottom"/>
            <w:tcBorders>
              <w:bottom w:val="single" w:sz="8" w:color="582C83"/>
            </w:tcBorders>
          </w:tcPr>
          <w:p>
            <w:pPr>
              <w:ind w:left="60"/>
              <w:spacing w:after="0"/>
              <w:rPr>
                <w:sz w:val="20"/>
                <w:szCs w:val="20"/>
                <w:color w:val="auto"/>
              </w:rPr>
            </w:pPr>
            <w:r>
              <w:rPr>
                <w:rFonts w:ascii="Arial" w:cs="Arial" w:eastAsia="Arial" w:hAnsi="Arial"/>
                <w:sz w:val="15"/>
                <w:szCs w:val="15"/>
                <w:b w:val="1"/>
                <w:bCs w:val="1"/>
                <w:color w:val="auto"/>
              </w:rPr>
              <w:t>Year</w:t>
            </w:r>
          </w:p>
        </w:tc>
        <w:tc>
          <w:tcPr>
            <w:tcW w:w="224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b w:val="1"/>
                <w:bCs w:val="1"/>
                <w:color w:val="auto"/>
              </w:rPr>
              <w:t>PEO</w:t>
            </w:r>
          </w:p>
        </w:tc>
        <w:tc>
          <w:tcPr>
            <w:tcW w:w="2300" w:type="dxa"/>
            <w:vAlign w:val="bottom"/>
            <w:tcBorders>
              <w:bottom w:val="single" w:sz="8" w:color="582C83"/>
            </w:tcBorders>
          </w:tcPr>
          <w:p>
            <w:pPr>
              <w:jc w:val="right"/>
              <w:ind w:right="26"/>
              <w:spacing w:after="0" w:line="236"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4"/>
                <w:szCs w:val="24"/>
                <w:b w:val="1"/>
                <w:bCs w:val="1"/>
                <w:color w:val="auto"/>
                <w:vertAlign w:val="superscript"/>
              </w:rPr>
              <w:t>(a)</w:t>
            </w:r>
          </w:p>
        </w:tc>
        <w:tc>
          <w:tcPr>
            <w:tcW w:w="2560" w:type="dxa"/>
            <w:vAlign w:val="bottom"/>
            <w:tcBorders>
              <w:bottom w:val="single" w:sz="8" w:color="582C83"/>
            </w:tcBorders>
            <w:vMerge w:val="continue"/>
          </w:tcPr>
          <w:p>
            <w:pPr>
              <w:spacing w:after="0"/>
              <w:rPr>
                <w:sz w:val="22"/>
                <w:szCs w:val="22"/>
                <w:color w:val="auto"/>
              </w:rPr>
            </w:pPr>
          </w:p>
        </w:tc>
        <w:tc>
          <w:tcPr>
            <w:tcW w:w="234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b w:val="1"/>
                <w:bCs w:val="1"/>
                <w:color w:val="auto"/>
              </w:rPr>
              <w:t>PEO</w:t>
            </w:r>
          </w:p>
        </w:tc>
        <w:tc>
          <w:tcPr>
            <w:tcW w:w="0" w:type="dxa"/>
            <w:vAlign w:val="bottom"/>
          </w:tcPr>
          <w:p>
            <w:pPr>
              <w:spacing w:after="0"/>
              <w:rPr>
                <w:sz w:val="1"/>
                <w:szCs w:val="1"/>
                <w:color w:val="auto"/>
              </w:rPr>
            </w:pPr>
          </w:p>
        </w:tc>
      </w:tr>
      <w:tr>
        <w:trPr>
          <w:trHeight w:val="278"/>
        </w:trPr>
        <w:tc>
          <w:tcPr>
            <w:tcW w:w="420" w:type="dxa"/>
            <w:vAlign w:val="bottom"/>
            <w:tcBorders>
              <w:left w:val="single" w:sz="8" w:color="EBE6F0"/>
              <w:bottom w:val="single" w:sz="8" w:color="EBE6F0"/>
            </w:tcBorders>
            <w:shd w:val="clear" w:color="auto" w:fill="EBE6F0"/>
          </w:tcPr>
          <w:p>
            <w:pPr>
              <w:ind w:left="60"/>
              <w:spacing w:after="0"/>
              <w:rPr>
                <w:sz w:val="20"/>
                <w:szCs w:val="20"/>
                <w:color w:val="auto"/>
              </w:rPr>
            </w:pPr>
            <w:r>
              <w:rPr>
                <w:rFonts w:ascii="Arial" w:cs="Arial" w:eastAsia="Arial" w:hAnsi="Arial"/>
                <w:sz w:val="15"/>
                <w:szCs w:val="15"/>
                <w:color w:val="auto"/>
              </w:rPr>
              <w:t>2022</w:t>
            </w:r>
          </w:p>
        </w:tc>
        <w:tc>
          <w:tcPr>
            <w:tcW w:w="2240" w:type="dxa"/>
            <w:vAlign w:val="bottom"/>
            <w:tcBorders>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$17,925,677</w:t>
            </w:r>
          </w:p>
        </w:tc>
        <w:tc>
          <w:tcPr>
            <w:tcW w:w="2300" w:type="dxa"/>
            <w:vAlign w:val="bottom"/>
            <w:tcBorders>
              <w:bottom w:val="single" w:sz="8" w:color="EBE6F0"/>
              <w:right w:val="single" w:sz="8" w:color="EBE6F0"/>
            </w:tcBorders>
            <w:shd w:val="clear" w:color="auto" w:fill="EBE6F0"/>
          </w:tcPr>
          <w:p>
            <w:pPr>
              <w:jc w:val="right"/>
              <w:ind w:right="26"/>
              <w:spacing w:after="0"/>
              <w:rPr>
                <w:sz w:val="20"/>
                <w:szCs w:val="20"/>
                <w:color w:val="auto"/>
              </w:rPr>
            </w:pPr>
            <w:r>
              <w:rPr>
                <w:rFonts w:ascii="Arial" w:cs="Arial" w:eastAsia="Arial" w:hAnsi="Arial"/>
                <w:sz w:val="15"/>
                <w:szCs w:val="15"/>
                <w:color w:val="auto"/>
              </w:rPr>
              <w:t>$11,221,446</w:t>
            </w:r>
          </w:p>
        </w:tc>
        <w:tc>
          <w:tcPr>
            <w:tcW w:w="2560" w:type="dxa"/>
            <w:vAlign w:val="bottom"/>
            <w:tcBorders>
              <w:bottom w:val="single" w:sz="8" w:color="EBE6F0"/>
              <w:right w:val="single" w:sz="8" w:color="EBE6F0"/>
            </w:tcBorders>
            <w:shd w:val="clear" w:color="auto" w:fill="EBE6F0"/>
          </w:tcPr>
          <w:p>
            <w:pPr>
              <w:jc w:val="right"/>
              <w:ind w:right="26"/>
              <w:spacing w:after="0"/>
              <w:rPr>
                <w:sz w:val="20"/>
                <w:szCs w:val="20"/>
                <w:color w:val="auto"/>
              </w:rPr>
            </w:pPr>
            <w:r>
              <w:rPr>
                <w:rFonts w:ascii="Arial" w:cs="Arial" w:eastAsia="Arial" w:hAnsi="Arial"/>
                <w:sz w:val="15"/>
                <w:szCs w:val="15"/>
                <w:color w:val="auto"/>
              </w:rPr>
              <w:t>$20,313,084</w:t>
            </w:r>
          </w:p>
        </w:tc>
        <w:tc>
          <w:tcPr>
            <w:tcW w:w="2340" w:type="dxa"/>
            <w:vAlign w:val="bottom"/>
            <w:tcBorders>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$27,017,315</w:t>
            </w:r>
          </w:p>
        </w:tc>
        <w:tc>
          <w:tcPr>
            <w:tcW w:w="0" w:type="dxa"/>
            <w:vAlign w:val="bottom"/>
          </w:tcPr>
          <w:p>
            <w:pPr>
              <w:spacing w:after="0"/>
              <w:rPr>
                <w:sz w:val="1"/>
                <w:szCs w:val="1"/>
                <w:color w:val="auto"/>
              </w:rPr>
            </w:pPr>
          </w:p>
        </w:tc>
      </w:tr>
      <w:tr>
        <w:trPr>
          <w:trHeight w:val="227"/>
        </w:trPr>
        <w:tc>
          <w:tcPr>
            <w:tcW w:w="420" w:type="dxa"/>
            <w:vAlign w:val="bottom"/>
            <w:tcBorders>
              <w:top w:val="single" w:sz="8" w:color="582C83"/>
            </w:tcBorders>
          </w:tcPr>
          <w:p>
            <w:pPr>
              <w:ind w:left="60"/>
              <w:spacing w:after="0"/>
              <w:rPr>
                <w:sz w:val="20"/>
                <w:szCs w:val="20"/>
                <w:color w:val="auto"/>
              </w:rPr>
            </w:pPr>
            <w:r>
              <w:rPr>
                <w:rFonts w:ascii="Arial" w:cs="Arial" w:eastAsia="Arial" w:hAnsi="Arial"/>
                <w:sz w:val="15"/>
                <w:szCs w:val="15"/>
                <w:color w:val="auto"/>
              </w:rPr>
              <w:t>2021</w:t>
            </w:r>
          </w:p>
        </w:tc>
        <w:tc>
          <w:tcPr>
            <w:tcW w:w="2240" w:type="dxa"/>
            <w:vAlign w:val="bottom"/>
            <w:tcBorders>
              <w:top w:val="single" w:sz="8" w:color="582C83"/>
            </w:tcBorders>
          </w:tcPr>
          <w:p>
            <w:pPr>
              <w:jc w:val="right"/>
              <w:ind w:right="6"/>
              <w:spacing w:after="0"/>
              <w:rPr>
                <w:sz w:val="20"/>
                <w:szCs w:val="20"/>
                <w:color w:val="auto"/>
              </w:rPr>
            </w:pPr>
            <w:r>
              <w:rPr>
                <w:rFonts w:ascii="Arial" w:cs="Arial" w:eastAsia="Arial" w:hAnsi="Arial"/>
                <w:sz w:val="15"/>
                <w:szCs w:val="15"/>
                <w:color w:val="auto"/>
              </w:rPr>
              <w:t>$16,128,320</w:t>
            </w:r>
          </w:p>
        </w:tc>
        <w:tc>
          <w:tcPr>
            <w:tcW w:w="2300" w:type="dxa"/>
            <w:vAlign w:val="bottom"/>
            <w:tcBorders>
              <w:top w:val="single" w:sz="8" w:color="582C83"/>
            </w:tcBorders>
          </w:tcPr>
          <w:p>
            <w:pPr>
              <w:jc w:val="right"/>
              <w:ind w:right="26"/>
              <w:spacing w:after="0"/>
              <w:rPr>
                <w:sz w:val="20"/>
                <w:szCs w:val="20"/>
                <w:color w:val="auto"/>
              </w:rPr>
            </w:pPr>
            <w:r>
              <w:rPr>
                <w:rFonts w:ascii="Arial" w:cs="Arial" w:eastAsia="Arial" w:hAnsi="Arial"/>
                <w:sz w:val="15"/>
                <w:szCs w:val="15"/>
                <w:color w:val="auto"/>
              </w:rPr>
              <w:t>$11,440,672</w:t>
            </w:r>
          </w:p>
        </w:tc>
        <w:tc>
          <w:tcPr>
            <w:tcW w:w="2560" w:type="dxa"/>
            <w:vAlign w:val="bottom"/>
            <w:tcBorders>
              <w:top w:val="single" w:sz="8" w:color="582C83"/>
            </w:tcBorders>
          </w:tcPr>
          <w:p>
            <w:pPr>
              <w:jc w:val="right"/>
              <w:ind w:right="26"/>
              <w:spacing w:after="0"/>
              <w:rPr>
                <w:sz w:val="20"/>
                <w:szCs w:val="20"/>
                <w:color w:val="auto"/>
              </w:rPr>
            </w:pPr>
            <w:r>
              <w:rPr>
                <w:rFonts w:ascii="Arial" w:cs="Arial" w:eastAsia="Arial" w:hAnsi="Arial"/>
                <w:sz w:val="15"/>
                <w:szCs w:val="15"/>
                <w:color w:val="auto"/>
              </w:rPr>
              <w:t>$22,157,758</w:t>
            </w:r>
          </w:p>
        </w:tc>
        <w:tc>
          <w:tcPr>
            <w:tcW w:w="2340" w:type="dxa"/>
            <w:vAlign w:val="bottom"/>
            <w:tcBorders>
              <w:top w:val="single" w:sz="8" w:color="582C83"/>
            </w:tcBorders>
          </w:tcPr>
          <w:p>
            <w:pPr>
              <w:jc w:val="right"/>
              <w:ind w:right="6"/>
              <w:spacing w:after="0"/>
              <w:rPr>
                <w:sz w:val="20"/>
                <w:szCs w:val="20"/>
                <w:color w:val="auto"/>
              </w:rPr>
            </w:pPr>
            <w:r>
              <w:rPr>
                <w:rFonts w:ascii="Arial" w:cs="Arial" w:eastAsia="Arial" w:hAnsi="Arial"/>
                <w:sz w:val="15"/>
                <w:szCs w:val="15"/>
                <w:color w:val="auto"/>
              </w:rPr>
              <w:t>$26,845,406</w:t>
            </w:r>
          </w:p>
        </w:tc>
        <w:tc>
          <w:tcPr>
            <w:tcW w:w="0" w:type="dxa"/>
            <w:vAlign w:val="bottom"/>
          </w:tcPr>
          <w:p>
            <w:pPr>
              <w:spacing w:after="0"/>
              <w:rPr>
                <w:sz w:val="1"/>
                <w:szCs w:val="1"/>
                <w:color w:val="auto"/>
              </w:rPr>
            </w:pPr>
          </w:p>
        </w:tc>
      </w:tr>
      <w:tr>
        <w:trPr>
          <w:trHeight w:val="39"/>
        </w:trPr>
        <w:tc>
          <w:tcPr>
            <w:tcW w:w="420" w:type="dxa"/>
            <w:vAlign w:val="bottom"/>
            <w:tcBorders>
              <w:bottom w:val="single" w:sz="8" w:color="582C83"/>
            </w:tcBorders>
          </w:tcPr>
          <w:p>
            <w:pPr>
              <w:spacing w:after="0"/>
              <w:rPr>
                <w:sz w:val="3"/>
                <w:szCs w:val="3"/>
                <w:color w:val="auto"/>
              </w:rPr>
            </w:pPr>
          </w:p>
        </w:tc>
        <w:tc>
          <w:tcPr>
            <w:tcW w:w="2240" w:type="dxa"/>
            <w:vAlign w:val="bottom"/>
            <w:tcBorders>
              <w:bottom w:val="single" w:sz="8" w:color="582C83"/>
            </w:tcBorders>
          </w:tcPr>
          <w:p>
            <w:pPr>
              <w:spacing w:after="0"/>
              <w:rPr>
                <w:sz w:val="3"/>
                <w:szCs w:val="3"/>
                <w:color w:val="auto"/>
              </w:rPr>
            </w:pPr>
          </w:p>
        </w:tc>
        <w:tc>
          <w:tcPr>
            <w:tcW w:w="2300" w:type="dxa"/>
            <w:vAlign w:val="bottom"/>
            <w:tcBorders>
              <w:bottom w:val="single" w:sz="8" w:color="582C83"/>
            </w:tcBorders>
          </w:tcPr>
          <w:p>
            <w:pPr>
              <w:spacing w:after="0"/>
              <w:rPr>
                <w:sz w:val="3"/>
                <w:szCs w:val="3"/>
                <w:color w:val="auto"/>
              </w:rPr>
            </w:pPr>
          </w:p>
        </w:tc>
        <w:tc>
          <w:tcPr>
            <w:tcW w:w="2560" w:type="dxa"/>
            <w:vAlign w:val="bottom"/>
            <w:tcBorders>
              <w:bottom w:val="single" w:sz="8" w:color="582C83"/>
            </w:tcBorders>
          </w:tcPr>
          <w:p>
            <w:pPr>
              <w:spacing w:after="0"/>
              <w:rPr>
                <w:sz w:val="3"/>
                <w:szCs w:val="3"/>
                <w:color w:val="auto"/>
              </w:rPr>
            </w:pPr>
          </w:p>
        </w:tc>
        <w:tc>
          <w:tcPr>
            <w:tcW w:w="234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420" w:type="dxa"/>
            <w:vAlign w:val="bottom"/>
            <w:tcBorders>
              <w:left w:val="single" w:sz="8" w:color="EBE6F0"/>
              <w:bottom w:val="single" w:sz="8" w:color="EBE6F0"/>
            </w:tcBorders>
            <w:shd w:val="clear" w:color="auto" w:fill="EBE6F0"/>
          </w:tcPr>
          <w:p>
            <w:pPr>
              <w:ind w:left="60"/>
              <w:spacing w:after="0"/>
              <w:rPr>
                <w:sz w:val="20"/>
                <w:szCs w:val="20"/>
                <w:color w:val="auto"/>
              </w:rPr>
            </w:pPr>
            <w:r>
              <w:rPr>
                <w:rFonts w:ascii="Arial" w:cs="Arial" w:eastAsia="Arial" w:hAnsi="Arial"/>
                <w:sz w:val="15"/>
                <w:szCs w:val="15"/>
                <w:color w:val="auto"/>
              </w:rPr>
              <w:t>2020</w:t>
            </w:r>
          </w:p>
        </w:tc>
        <w:tc>
          <w:tcPr>
            <w:tcW w:w="2240" w:type="dxa"/>
            <w:vAlign w:val="bottom"/>
            <w:tcBorders>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$16,842,693</w:t>
            </w:r>
          </w:p>
        </w:tc>
        <w:tc>
          <w:tcPr>
            <w:tcW w:w="2300" w:type="dxa"/>
            <w:vAlign w:val="bottom"/>
            <w:tcBorders>
              <w:bottom w:val="single" w:sz="8" w:color="EBE6F0"/>
              <w:right w:val="single" w:sz="8" w:color="EBE6F0"/>
            </w:tcBorders>
            <w:shd w:val="clear" w:color="auto" w:fill="EBE6F0"/>
          </w:tcPr>
          <w:p>
            <w:pPr>
              <w:jc w:val="right"/>
              <w:ind w:right="26"/>
              <w:spacing w:after="0"/>
              <w:rPr>
                <w:sz w:val="20"/>
                <w:szCs w:val="20"/>
                <w:color w:val="auto"/>
              </w:rPr>
            </w:pPr>
            <w:r>
              <w:rPr>
                <w:rFonts w:ascii="Arial" w:cs="Arial" w:eastAsia="Arial" w:hAnsi="Arial"/>
                <w:sz w:val="15"/>
                <w:szCs w:val="15"/>
                <w:color w:val="auto"/>
              </w:rPr>
              <w:t>$11,220,656</w:t>
            </w:r>
          </w:p>
        </w:tc>
        <w:tc>
          <w:tcPr>
            <w:tcW w:w="2560" w:type="dxa"/>
            <w:vAlign w:val="bottom"/>
            <w:tcBorders>
              <w:bottom w:val="single" w:sz="8" w:color="EBE6F0"/>
              <w:right w:val="single" w:sz="8" w:color="EBE6F0"/>
            </w:tcBorders>
            <w:shd w:val="clear" w:color="auto" w:fill="EBE6F0"/>
          </w:tcPr>
          <w:p>
            <w:pPr>
              <w:jc w:val="right"/>
              <w:ind w:right="26"/>
              <w:spacing w:after="0"/>
              <w:rPr>
                <w:sz w:val="20"/>
                <w:szCs w:val="20"/>
                <w:color w:val="auto"/>
              </w:rPr>
            </w:pPr>
            <w:r>
              <w:rPr>
                <w:rFonts w:ascii="Arial" w:cs="Arial" w:eastAsia="Arial" w:hAnsi="Arial"/>
                <w:sz w:val="15"/>
                <w:szCs w:val="15"/>
                <w:color w:val="auto"/>
              </w:rPr>
              <w:t>$16,890,145</w:t>
            </w:r>
          </w:p>
        </w:tc>
        <w:tc>
          <w:tcPr>
            <w:tcW w:w="2340" w:type="dxa"/>
            <w:vAlign w:val="bottom"/>
            <w:tcBorders>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$22,512,182</w:t>
            </w:r>
          </w:p>
        </w:tc>
        <w:tc>
          <w:tcPr>
            <w:tcW w:w="0" w:type="dxa"/>
            <w:vAlign w:val="bottom"/>
          </w:tcPr>
          <w:p>
            <w:pPr>
              <w:spacing w:after="0"/>
              <w:rPr>
                <w:sz w:val="1"/>
                <w:szCs w:val="1"/>
                <w:color w:val="auto"/>
              </w:rPr>
            </w:pPr>
          </w:p>
        </w:tc>
      </w:tr>
      <w:tr>
        <w:trPr>
          <w:trHeight w:val="20"/>
        </w:trPr>
        <w:tc>
          <w:tcPr>
            <w:tcW w:w="420" w:type="dxa"/>
            <w:vAlign w:val="bottom"/>
            <w:tcBorders>
              <w:left w:val="single" w:sz="8" w:color="EBE6F0"/>
            </w:tcBorders>
            <w:shd w:val="clear" w:color="auto" w:fill="582C83"/>
          </w:tcPr>
          <w:p>
            <w:pPr>
              <w:spacing w:after="0" w:line="20" w:lineRule="exact"/>
              <w:rPr>
                <w:sz w:val="1"/>
                <w:szCs w:val="1"/>
                <w:color w:val="auto"/>
              </w:rPr>
            </w:pPr>
          </w:p>
        </w:tc>
        <w:tc>
          <w:tcPr>
            <w:tcW w:w="2240" w:type="dxa"/>
            <w:vAlign w:val="bottom"/>
            <w:shd w:val="clear" w:color="auto" w:fill="582C83"/>
          </w:tcPr>
          <w:p>
            <w:pPr>
              <w:spacing w:after="0" w:line="20" w:lineRule="exact"/>
              <w:rPr>
                <w:sz w:val="1"/>
                <w:szCs w:val="1"/>
                <w:color w:val="auto"/>
              </w:rPr>
            </w:pPr>
          </w:p>
        </w:tc>
        <w:tc>
          <w:tcPr>
            <w:tcW w:w="2300" w:type="dxa"/>
            <w:vAlign w:val="bottom"/>
            <w:tcBorders>
              <w:right w:val="single" w:sz="8" w:color="EBE6F0"/>
            </w:tcBorders>
            <w:shd w:val="clear" w:color="auto" w:fill="582C83"/>
          </w:tcPr>
          <w:p>
            <w:pPr>
              <w:spacing w:after="0" w:line="20" w:lineRule="exact"/>
              <w:rPr>
                <w:sz w:val="1"/>
                <w:szCs w:val="1"/>
                <w:color w:val="auto"/>
              </w:rPr>
            </w:pPr>
          </w:p>
        </w:tc>
        <w:tc>
          <w:tcPr>
            <w:tcW w:w="2560" w:type="dxa"/>
            <w:vAlign w:val="bottom"/>
            <w:tcBorders>
              <w:right w:val="single" w:sz="8" w:color="EBE6F0"/>
            </w:tcBorders>
            <w:shd w:val="clear" w:color="auto" w:fill="582C83"/>
          </w:tcPr>
          <w:p>
            <w:pPr>
              <w:spacing w:after="0" w:line="20" w:lineRule="exact"/>
              <w:rPr>
                <w:sz w:val="1"/>
                <w:szCs w:val="1"/>
                <w:color w:val="auto"/>
              </w:rPr>
            </w:pPr>
          </w:p>
        </w:tc>
        <w:tc>
          <w:tcPr>
            <w:tcW w:w="2340" w:type="dxa"/>
            <w:vAlign w:val="bottom"/>
            <w:shd w:val="clear" w:color="auto" w:fill="582C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1040" w:right="900" w:hanging="327"/>
        <w:spacing w:after="0" w:line="267" w:lineRule="auto"/>
        <w:tabs>
          <w:tab w:leader="none" w:pos="10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grant date fair value of equity awards represents the total of the amounts reported in the “Stock Awards” and “Option Awards” columns of our Summary Compensation Table for the applicable year.</w:t>
      </w:r>
    </w:p>
    <w:p>
      <w:pPr>
        <w:spacing w:after="0" w:line="1" w:lineRule="exact"/>
        <w:rPr>
          <w:rFonts w:ascii="Arial" w:cs="Arial" w:eastAsia="Arial" w:hAnsi="Arial"/>
          <w:sz w:val="15"/>
          <w:szCs w:val="15"/>
          <w:color w:val="auto"/>
        </w:rPr>
      </w:pPr>
    </w:p>
    <w:p>
      <w:pPr>
        <w:ind w:left="1040" w:right="800" w:hanging="327"/>
        <w:spacing w:after="0" w:line="246" w:lineRule="auto"/>
        <w:tabs>
          <w:tab w:leader="none" w:pos="10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equity award adjustments for each applicable year include the following: (i) the addition of the year-end fair value of any equity awards granted in the applicable year that are outstanding and unvested as of the end of the year; (ii) the addition (or subtraction if negative) of the amount of change as of the end of the applicable year (from the end of the prior fiscal year) in fair value of any awards granted in prior years that are outstanding and unvested as of the end of the applicable year; (iii) for awards granted in prior years that vest in the applicable year, the addition (or subtraction if negative) amount equal to the change as of the vesting date (from the end of the prior fiscal year) in fair value; (iv) the addition of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143115"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rPr>
              <w:t>Year End Fair</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Year over Year Change</w:t>
            </w:r>
          </w:p>
        </w:tc>
        <w:tc>
          <w:tcPr>
            <w:tcW w:w="26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3"/>
        </w:trPr>
        <w:tc>
          <w:tcPr>
            <w:tcW w:w="80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rPr>
              <w:t>Value of</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in Fair Value of</w:t>
            </w:r>
          </w:p>
        </w:tc>
        <w:tc>
          <w:tcPr>
            <w:tcW w:w="26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Value of Dividends on</w:t>
            </w:r>
          </w:p>
        </w:tc>
        <w:tc>
          <w:tcPr>
            <w:tcW w:w="168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rPr>
              <w:t>Outstanding and</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Outstanding and</w:t>
            </w: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Year over Year Change in Fair</w:t>
            </w: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Stock not Otherwise</w:t>
            </w:r>
          </w:p>
        </w:tc>
        <w:tc>
          <w:tcPr>
            <w:tcW w:w="1680" w:type="dxa"/>
            <w:vAlign w:val="bottom"/>
          </w:tcPr>
          <w:p>
            <w:pPr>
              <w:spacing w:after="0"/>
              <w:rPr>
                <w:sz w:val="19"/>
                <w:szCs w:val="19"/>
                <w:color w:val="auto"/>
              </w:rPr>
            </w:pPr>
          </w:p>
        </w:tc>
      </w:tr>
      <w:tr>
        <w:trPr>
          <w:trHeight w:val="222"/>
        </w:trPr>
        <w:tc>
          <w:tcPr>
            <w:tcW w:w="80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rPr>
              <w:t>Unvested Equity</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Unvested Equity</w:t>
            </w: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Value of Equity Awards</w:t>
            </w: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Reflected in Fair Value</w:t>
            </w:r>
          </w:p>
        </w:tc>
        <w:tc>
          <w:tcPr>
            <w:tcW w:w="1680" w:type="dxa"/>
            <w:vAlign w:val="bottom"/>
          </w:tcPr>
          <w:p>
            <w:pPr>
              <w:spacing w:after="0"/>
              <w:rPr>
                <w:sz w:val="19"/>
                <w:szCs w:val="19"/>
                <w:color w:val="auto"/>
              </w:rPr>
            </w:pPr>
          </w:p>
        </w:tc>
      </w:tr>
      <w:tr>
        <w:trPr>
          <w:trHeight w:val="225"/>
        </w:trPr>
        <w:tc>
          <w:tcPr>
            <w:tcW w:w="80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rPr>
              <w:t>Awards Granted</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Awards Granted in Prior</w:t>
            </w: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Granted in Prior Years that</w:t>
            </w: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or Total</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Total Equity Award</w:t>
            </w:r>
          </w:p>
        </w:tc>
      </w:tr>
      <w:tr>
        <w:trPr>
          <w:trHeight w:val="241"/>
        </w:trPr>
        <w:tc>
          <w:tcPr>
            <w:tcW w:w="800" w:type="dxa"/>
            <w:vAlign w:val="bottom"/>
            <w:tcBorders>
              <w:bottom w:val="single" w:sz="8" w:color="582C83"/>
            </w:tcBorders>
          </w:tcPr>
          <w:p>
            <w:pPr>
              <w:ind w:left="80"/>
              <w:spacing w:after="0"/>
              <w:rPr>
                <w:sz w:val="20"/>
                <w:szCs w:val="20"/>
                <w:color w:val="auto"/>
              </w:rPr>
            </w:pPr>
            <w:r>
              <w:rPr>
                <w:rFonts w:ascii="Arial" w:cs="Arial" w:eastAsia="Arial" w:hAnsi="Arial"/>
                <w:sz w:val="16"/>
                <w:szCs w:val="16"/>
                <w:b w:val="1"/>
                <w:bCs w:val="1"/>
                <w:color w:val="auto"/>
              </w:rPr>
              <w:t>Year</w:t>
            </w:r>
          </w:p>
        </w:tc>
        <w:tc>
          <w:tcPr>
            <w:tcW w:w="1700" w:type="dxa"/>
            <w:vAlign w:val="bottom"/>
            <w:tcBorders>
              <w:bottom w:val="single" w:sz="8" w:color="582C83"/>
            </w:tcBorders>
          </w:tcPr>
          <w:p>
            <w:pPr>
              <w:jc w:val="right"/>
              <w:ind w:right="19"/>
              <w:spacing w:after="0"/>
              <w:rPr>
                <w:sz w:val="20"/>
                <w:szCs w:val="20"/>
                <w:color w:val="auto"/>
              </w:rPr>
            </w:pPr>
            <w:r>
              <w:rPr>
                <w:rFonts w:ascii="Arial" w:cs="Arial" w:eastAsia="Arial" w:hAnsi="Arial"/>
                <w:sz w:val="16"/>
                <w:szCs w:val="16"/>
                <w:b w:val="1"/>
                <w:bCs w:val="1"/>
                <w:color w:val="auto"/>
              </w:rPr>
              <w:t>in the Year</w:t>
            </w:r>
          </w:p>
        </w:tc>
        <w:tc>
          <w:tcPr>
            <w:tcW w:w="2260" w:type="dxa"/>
            <w:vAlign w:val="bottom"/>
            <w:tcBorders>
              <w:bottom w:val="single" w:sz="8" w:color="582C83"/>
            </w:tcBorders>
          </w:tcPr>
          <w:p>
            <w:pPr>
              <w:jc w:val="right"/>
              <w:ind w:right="19"/>
              <w:spacing w:after="0"/>
              <w:rPr>
                <w:sz w:val="20"/>
                <w:szCs w:val="20"/>
                <w:color w:val="auto"/>
              </w:rPr>
            </w:pPr>
            <w:r>
              <w:rPr>
                <w:rFonts w:ascii="Arial" w:cs="Arial" w:eastAsia="Arial" w:hAnsi="Arial"/>
                <w:sz w:val="16"/>
                <w:szCs w:val="16"/>
                <w:b w:val="1"/>
                <w:bCs w:val="1"/>
                <w:color w:val="auto"/>
              </w:rPr>
              <w:t>Years</w:t>
            </w:r>
          </w:p>
        </w:tc>
        <w:tc>
          <w:tcPr>
            <w:tcW w:w="2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Vested in the Year</w:t>
            </w:r>
          </w:p>
        </w:tc>
        <w:tc>
          <w:tcPr>
            <w:tcW w:w="21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Compensation</w:t>
            </w:r>
          </w:p>
        </w:tc>
        <w:tc>
          <w:tcPr>
            <w:tcW w:w="1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Adjustments</w:t>
            </w:r>
          </w:p>
        </w:tc>
      </w:tr>
      <w:tr>
        <w:trPr>
          <w:trHeight w:val="291"/>
        </w:trPr>
        <w:tc>
          <w:tcPr>
            <w:tcW w:w="80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2022</w:t>
            </w:r>
          </w:p>
        </w:tc>
        <w:tc>
          <w:tcPr>
            <w:tcW w:w="1700" w:type="dxa"/>
            <w:vAlign w:val="bottom"/>
            <w:tcBorders>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$12,079,865</w:t>
            </w:r>
          </w:p>
        </w:tc>
        <w:tc>
          <w:tcPr>
            <w:tcW w:w="2260" w:type="dxa"/>
            <w:vAlign w:val="bottom"/>
            <w:tcBorders>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$6,987,876</w:t>
            </w:r>
          </w:p>
        </w:tc>
        <w:tc>
          <w:tcPr>
            <w:tcW w:w="26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$117,201</w:t>
            </w:r>
          </w:p>
        </w:tc>
        <w:tc>
          <w:tcPr>
            <w:tcW w:w="21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$1,128,142</w:t>
            </w:r>
          </w:p>
        </w:tc>
        <w:tc>
          <w:tcPr>
            <w:tcW w:w="1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$20,313,084</w:t>
            </w:r>
          </w:p>
        </w:tc>
      </w:tr>
      <w:tr>
        <w:trPr>
          <w:trHeight w:val="243"/>
        </w:trPr>
        <w:tc>
          <w:tcPr>
            <w:tcW w:w="800" w:type="dxa"/>
            <w:vAlign w:val="bottom"/>
            <w:tcBorders>
              <w:top w:val="single" w:sz="8" w:color="582C83"/>
            </w:tcBorders>
          </w:tcPr>
          <w:p>
            <w:pPr>
              <w:ind w:left="80"/>
              <w:spacing w:after="0"/>
              <w:rPr>
                <w:sz w:val="20"/>
                <w:szCs w:val="20"/>
                <w:color w:val="auto"/>
              </w:rPr>
            </w:pPr>
            <w:r>
              <w:rPr>
                <w:rFonts w:ascii="Arial" w:cs="Arial" w:eastAsia="Arial" w:hAnsi="Arial"/>
                <w:sz w:val="16"/>
                <w:szCs w:val="16"/>
                <w:color w:val="auto"/>
              </w:rPr>
              <w:t>2021</w:t>
            </w:r>
          </w:p>
        </w:tc>
        <w:tc>
          <w:tcPr>
            <w:tcW w:w="1700" w:type="dxa"/>
            <w:vAlign w:val="bottom"/>
            <w:tcBorders>
              <w:top w:val="single" w:sz="8" w:color="582C83"/>
            </w:tcBorders>
          </w:tcPr>
          <w:p>
            <w:pPr>
              <w:jc w:val="right"/>
              <w:ind w:right="19"/>
              <w:spacing w:after="0"/>
              <w:rPr>
                <w:sz w:val="20"/>
                <w:szCs w:val="20"/>
                <w:color w:val="auto"/>
              </w:rPr>
            </w:pPr>
            <w:r>
              <w:rPr>
                <w:rFonts w:ascii="Arial" w:cs="Arial" w:eastAsia="Arial" w:hAnsi="Arial"/>
                <w:sz w:val="16"/>
                <w:szCs w:val="16"/>
                <w:color w:val="auto"/>
              </w:rPr>
              <w:t>$14,862,750</w:t>
            </w:r>
          </w:p>
        </w:tc>
        <w:tc>
          <w:tcPr>
            <w:tcW w:w="2260" w:type="dxa"/>
            <w:vAlign w:val="bottom"/>
            <w:tcBorders>
              <w:top w:val="single" w:sz="8" w:color="582C83"/>
            </w:tcBorders>
          </w:tcPr>
          <w:p>
            <w:pPr>
              <w:jc w:val="right"/>
              <w:ind w:right="19"/>
              <w:spacing w:after="0"/>
              <w:rPr>
                <w:sz w:val="20"/>
                <w:szCs w:val="20"/>
                <w:color w:val="auto"/>
              </w:rPr>
            </w:pPr>
            <w:r>
              <w:rPr>
                <w:rFonts w:ascii="Arial" w:cs="Arial" w:eastAsia="Arial" w:hAnsi="Arial"/>
                <w:sz w:val="16"/>
                <w:szCs w:val="16"/>
                <w:color w:val="auto"/>
              </w:rPr>
              <w:t>$7,486,615</w:t>
            </w:r>
          </w:p>
        </w:tc>
        <w:tc>
          <w:tcPr>
            <w:tcW w:w="26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($1,257,459)</w:t>
            </w:r>
          </w:p>
        </w:tc>
        <w:tc>
          <w:tcPr>
            <w:tcW w:w="214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$1,065,853</w:t>
            </w:r>
          </w:p>
        </w:tc>
        <w:tc>
          <w:tcPr>
            <w:tcW w:w="16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$22,157,758</w:t>
            </w:r>
          </w:p>
        </w:tc>
      </w:tr>
      <w:tr>
        <w:trPr>
          <w:trHeight w:val="35"/>
        </w:trPr>
        <w:tc>
          <w:tcPr>
            <w:tcW w:w="800" w:type="dxa"/>
            <w:vAlign w:val="bottom"/>
            <w:tcBorders>
              <w:bottom w:val="single" w:sz="8" w:color="582C83"/>
            </w:tcBorders>
          </w:tcPr>
          <w:p>
            <w:pPr>
              <w:spacing w:after="0"/>
              <w:rPr>
                <w:sz w:val="3"/>
                <w:szCs w:val="3"/>
                <w:color w:val="auto"/>
              </w:rPr>
            </w:pPr>
          </w:p>
        </w:tc>
        <w:tc>
          <w:tcPr>
            <w:tcW w:w="1700" w:type="dxa"/>
            <w:vAlign w:val="bottom"/>
            <w:tcBorders>
              <w:bottom w:val="single" w:sz="8" w:color="582C83"/>
            </w:tcBorders>
          </w:tcPr>
          <w:p>
            <w:pPr>
              <w:spacing w:after="0"/>
              <w:rPr>
                <w:sz w:val="3"/>
                <w:szCs w:val="3"/>
                <w:color w:val="auto"/>
              </w:rPr>
            </w:pPr>
          </w:p>
        </w:tc>
        <w:tc>
          <w:tcPr>
            <w:tcW w:w="2260" w:type="dxa"/>
            <w:vAlign w:val="bottom"/>
            <w:tcBorders>
              <w:bottom w:val="single" w:sz="8" w:color="582C83"/>
            </w:tcBorders>
          </w:tcPr>
          <w:p>
            <w:pPr>
              <w:spacing w:after="0"/>
              <w:rPr>
                <w:sz w:val="3"/>
                <w:szCs w:val="3"/>
                <w:color w:val="auto"/>
              </w:rPr>
            </w:pPr>
          </w:p>
        </w:tc>
        <w:tc>
          <w:tcPr>
            <w:tcW w:w="2680" w:type="dxa"/>
            <w:vAlign w:val="bottom"/>
            <w:tcBorders>
              <w:bottom w:val="single" w:sz="8" w:color="582C83"/>
            </w:tcBorders>
          </w:tcPr>
          <w:p>
            <w:pPr>
              <w:spacing w:after="0"/>
              <w:rPr>
                <w:sz w:val="3"/>
                <w:szCs w:val="3"/>
                <w:color w:val="auto"/>
              </w:rPr>
            </w:pPr>
          </w:p>
        </w:tc>
        <w:tc>
          <w:tcPr>
            <w:tcW w:w="2140" w:type="dxa"/>
            <w:vAlign w:val="bottom"/>
            <w:tcBorders>
              <w:bottom w:val="single" w:sz="8" w:color="582C83"/>
            </w:tcBorders>
          </w:tcPr>
          <w:p>
            <w:pPr>
              <w:spacing w:after="0"/>
              <w:rPr>
                <w:sz w:val="3"/>
                <w:szCs w:val="3"/>
                <w:color w:val="auto"/>
              </w:rPr>
            </w:pPr>
          </w:p>
        </w:tc>
        <w:tc>
          <w:tcPr>
            <w:tcW w:w="1680" w:type="dxa"/>
            <w:vAlign w:val="bottom"/>
            <w:tcBorders>
              <w:bottom w:val="single" w:sz="8" w:color="582C83"/>
            </w:tcBorders>
          </w:tcPr>
          <w:p>
            <w:pPr>
              <w:spacing w:after="0"/>
              <w:rPr>
                <w:sz w:val="3"/>
                <w:szCs w:val="3"/>
                <w:color w:val="auto"/>
              </w:rPr>
            </w:pPr>
          </w:p>
        </w:tc>
      </w:tr>
      <w:tr>
        <w:trPr>
          <w:trHeight w:val="258"/>
        </w:trPr>
        <w:tc>
          <w:tcPr>
            <w:tcW w:w="80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2020</w:t>
            </w:r>
          </w:p>
        </w:tc>
        <w:tc>
          <w:tcPr>
            <w:tcW w:w="1700" w:type="dxa"/>
            <w:vAlign w:val="bottom"/>
            <w:tcBorders>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$10,588,957</w:t>
            </w:r>
          </w:p>
        </w:tc>
        <w:tc>
          <w:tcPr>
            <w:tcW w:w="2260" w:type="dxa"/>
            <w:vAlign w:val="bottom"/>
            <w:tcBorders>
              <w:bottom w:val="single" w:sz="8" w:color="EBE6F0"/>
              <w:right w:val="single" w:sz="8" w:color="EBE6F0"/>
            </w:tcBorders>
            <w:shd w:val="clear" w:color="auto" w:fill="EBE6F0"/>
          </w:tcPr>
          <w:p>
            <w:pPr>
              <w:jc w:val="right"/>
              <w:ind w:right="19"/>
              <w:spacing w:after="0"/>
              <w:rPr>
                <w:sz w:val="20"/>
                <w:szCs w:val="20"/>
                <w:color w:val="auto"/>
              </w:rPr>
            </w:pPr>
            <w:r>
              <w:rPr>
                <w:rFonts w:ascii="Arial" w:cs="Arial" w:eastAsia="Arial" w:hAnsi="Arial"/>
                <w:sz w:val="16"/>
                <w:szCs w:val="16"/>
                <w:color w:val="auto"/>
              </w:rPr>
              <w:t>$4,804,182</w:t>
            </w:r>
          </w:p>
        </w:tc>
        <w:tc>
          <w:tcPr>
            <w:tcW w:w="26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$798,095</w:t>
            </w:r>
          </w:p>
        </w:tc>
        <w:tc>
          <w:tcPr>
            <w:tcW w:w="21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$698,910</w:t>
            </w:r>
          </w:p>
        </w:tc>
        <w:tc>
          <w:tcPr>
            <w:tcW w:w="1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$16,890,145</w:t>
            </w:r>
          </w:p>
        </w:tc>
      </w:tr>
      <w:tr>
        <w:trPr>
          <w:trHeight w:val="20"/>
        </w:trPr>
        <w:tc>
          <w:tcPr>
            <w:tcW w:w="800" w:type="dxa"/>
            <w:vAlign w:val="bottom"/>
            <w:tcBorders>
              <w:left w:val="single" w:sz="8" w:color="EBE6F0"/>
            </w:tcBorders>
            <w:shd w:val="clear" w:color="auto" w:fill="582C83"/>
          </w:tcPr>
          <w:p>
            <w:pPr>
              <w:spacing w:after="0" w:line="20" w:lineRule="exact"/>
              <w:rPr>
                <w:sz w:val="1"/>
                <w:szCs w:val="1"/>
                <w:color w:val="auto"/>
              </w:rPr>
            </w:pPr>
          </w:p>
        </w:tc>
        <w:tc>
          <w:tcPr>
            <w:tcW w:w="1700" w:type="dxa"/>
            <w:vAlign w:val="bottom"/>
            <w:tcBorders>
              <w:right w:val="single" w:sz="8" w:color="EBE6F0"/>
            </w:tcBorders>
            <w:shd w:val="clear" w:color="auto" w:fill="582C83"/>
          </w:tcPr>
          <w:p>
            <w:pPr>
              <w:spacing w:after="0" w:line="20" w:lineRule="exact"/>
              <w:rPr>
                <w:sz w:val="1"/>
                <w:szCs w:val="1"/>
                <w:color w:val="auto"/>
              </w:rPr>
            </w:pPr>
          </w:p>
        </w:tc>
        <w:tc>
          <w:tcPr>
            <w:tcW w:w="2260" w:type="dxa"/>
            <w:vAlign w:val="bottom"/>
            <w:tcBorders>
              <w:right w:val="single" w:sz="8" w:color="EBE6F0"/>
            </w:tcBorders>
            <w:shd w:val="clear" w:color="auto" w:fill="582C83"/>
          </w:tcPr>
          <w:p>
            <w:pPr>
              <w:spacing w:after="0" w:line="20" w:lineRule="exact"/>
              <w:rPr>
                <w:sz w:val="1"/>
                <w:szCs w:val="1"/>
                <w:color w:val="auto"/>
              </w:rPr>
            </w:pPr>
          </w:p>
        </w:tc>
        <w:tc>
          <w:tcPr>
            <w:tcW w:w="2680" w:type="dxa"/>
            <w:vAlign w:val="bottom"/>
            <w:shd w:val="clear" w:color="auto" w:fill="582C83"/>
          </w:tcPr>
          <w:p>
            <w:pPr>
              <w:spacing w:after="0" w:line="20" w:lineRule="exact"/>
              <w:rPr>
                <w:sz w:val="1"/>
                <w:szCs w:val="1"/>
                <w:color w:val="auto"/>
              </w:rPr>
            </w:pPr>
          </w:p>
        </w:tc>
        <w:tc>
          <w:tcPr>
            <w:tcW w:w="2140" w:type="dxa"/>
            <w:vAlign w:val="bottom"/>
            <w:shd w:val="clear" w:color="auto" w:fill="582C83"/>
          </w:tcPr>
          <w:p>
            <w:pPr>
              <w:spacing w:after="0" w:line="20" w:lineRule="exact"/>
              <w:rPr>
                <w:sz w:val="1"/>
                <w:szCs w:val="1"/>
                <w:color w:val="auto"/>
              </w:rPr>
            </w:pPr>
          </w:p>
        </w:tc>
        <w:tc>
          <w:tcPr>
            <w:tcW w:w="1680" w:type="dxa"/>
            <w:vAlign w:val="bottom"/>
            <w:tcBorders>
              <w:right w:val="single" w:sz="8" w:color="EBE6F0"/>
            </w:tcBorders>
            <w:shd w:val="clear" w:color="auto" w:fill="582C83"/>
          </w:tcPr>
          <w:p>
            <w:pPr>
              <w:spacing w:after="0" w:line="20" w:lineRule="exact"/>
              <w:rPr>
                <w:sz w:val="1"/>
                <w:szCs w:val="1"/>
                <w:color w:val="auto"/>
              </w:rPr>
            </w:pPr>
          </w:p>
        </w:tc>
      </w:tr>
    </w:tbl>
    <w:p>
      <w:pPr>
        <w:spacing w:after="0" w:line="37" w:lineRule="exact"/>
        <w:rPr>
          <w:sz w:val="20"/>
          <w:szCs w:val="20"/>
          <w:color w:val="auto"/>
        </w:rPr>
      </w:pPr>
    </w:p>
    <w:p>
      <w:pPr>
        <w:ind w:left="400" w:right="220" w:hanging="326"/>
        <w:spacing w:after="0" w:line="266" w:lineRule="auto"/>
        <w:tabs>
          <w:tab w:leader="none" w:pos="4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dollar amounts reported represent the average of the amounts reported for our NEOs as a group (excluding our PEO) in the “Total Compensation” column of our Summary Compensation Table in each applicable year. The names of each of the NEOs (excluding our PEO) included for purposes of calculating the average amounts in each applicable year are as follows: (i) for 2022, Mr. Zaramella, Mr. Gruber, Mr. Brusadelli and Mr. Valle; (ii) for 2021, Mr. Zaramella, Mr. Gruber, Mr.</w:t>
      </w:r>
    </w:p>
    <w:p>
      <w:pPr>
        <w:ind w:left="400"/>
        <w:spacing w:after="0"/>
        <w:rPr>
          <w:rFonts w:ascii="Arial" w:cs="Arial" w:eastAsia="Arial" w:hAnsi="Arial"/>
          <w:sz w:val="14"/>
          <w:szCs w:val="14"/>
          <w:color w:val="auto"/>
        </w:rPr>
      </w:pPr>
      <w:r>
        <w:rPr>
          <w:rFonts w:ascii="Arial" w:cs="Arial" w:eastAsia="Arial" w:hAnsi="Arial"/>
          <w:sz w:val="15"/>
          <w:szCs w:val="15"/>
          <w:color w:val="auto"/>
        </w:rPr>
        <w:t>Brusadelli and Ms. Stein; and (iii) for 2020, Mr. Zaramella, Mr. Gruber, Mr. Brusadelli and Mr. Walter.</w:t>
      </w:r>
    </w:p>
    <w:p>
      <w:pPr>
        <w:spacing w:after="0" w:line="24" w:lineRule="exact"/>
        <w:rPr>
          <w:rFonts w:ascii="Arial" w:cs="Arial" w:eastAsia="Arial" w:hAnsi="Arial"/>
          <w:sz w:val="14"/>
          <w:szCs w:val="14"/>
          <w:color w:val="auto"/>
        </w:rPr>
      </w:pPr>
    </w:p>
    <w:p>
      <w:pPr>
        <w:ind w:left="400" w:right="340" w:hanging="326"/>
        <w:spacing w:after="0" w:line="250" w:lineRule="auto"/>
        <w:tabs>
          <w:tab w:leader="none" w:pos="4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dollar amounts reported represent the average amount of “compensation actually paid” to the NEOs as a group (excluding our PEO), as computed in accordance with SEC rules. The dollar amounts do not reflect the actual average amount of compensation earned by or paid to the NEOs as a group (excluding our PEO) during the applicable year. In accordance with the SEC rules, the following adjustments were made to average total compensation for the NEOs as a group (excluding our PEO) for each year to determine the compensation actually paid, using the same methodology described above in Note 2. This adjustment also includes adjustments to the pension values, as computed in accordance with SEC rules, show below.</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1820" w:type="dxa"/>
            <w:vAlign w:val="bottom"/>
          </w:tcPr>
          <w:p>
            <w:pPr>
              <w:jc w:val="right"/>
              <w:ind w:right="6"/>
              <w:spacing w:after="0"/>
              <w:rPr>
                <w:sz w:val="20"/>
                <w:szCs w:val="20"/>
                <w:color w:val="auto"/>
              </w:rPr>
            </w:pPr>
            <w:r>
              <w:rPr>
                <w:rFonts w:ascii="Arial" w:cs="Arial" w:eastAsia="Arial" w:hAnsi="Arial"/>
                <w:sz w:val="15"/>
                <w:szCs w:val="15"/>
                <w:b w:val="1"/>
                <w:bCs w:val="1"/>
                <w:color w:val="auto"/>
              </w:rPr>
              <w:t>Average Reported</w:t>
            </w: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20" w:type="dxa"/>
            <w:vAlign w:val="bottom"/>
          </w:tcPr>
          <w:p>
            <w:pPr>
              <w:jc w:val="right"/>
              <w:ind w:right="6"/>
              <w:spacing w:after="0"/>
              <w:rPr>
                <w:sz w:val="20"/>
                <w:szCs w:val="20"/>
                <w:color w:val="auto"/>
              </w:rPr>
            </w:pPr>
            <w:r>
              <w:rPr>
                <w:rFonts w:ascii="Arial" w:cs="Arial" w:eastAsia="Arial" w:hAnsi="Arial"/>
                <w:sz w:val="15"/>
                <w:szCs w:val="15"/>
                <w:b w:val="1"/>
                <w:bCs w:val="1"/>
                <w:color w:val="auto"/>
              </w:rPr>
              <w:t>Less Average Reported</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74"/>
        </w:trPr>
        <w:tc>
          <w:tcPr>
            <w:tcW w:w="660" w:type="dxa"/>
            <w:vAlign w:val="bottom"/>
          </w:tcPr>
          <w:p>
            <w:pPr>
              <w:spacing w:after="0"/>
              <w:rPr>
                <w:sz w:val="15"/>
                <w:szCs w:val="15"/>
                <w:color w:val="auto"/>
              </w:rPr>
            </w:pPr>
          </w:p>
        </w:tc>
        <w:tc>
          <w:tcPr>
            <w:tcW w:w="1820" w:type="dxa"/>
            <w:vAlign w:val="bottom"/>
          </w:tcPr>
          <w:p>
            <w:pPr>
              <w:jc w:val="right"/>
              <w:ind w:right="6"/>
              <w:spacing w:after="0"/>
              <w:rPr>
                <w:sz w:val="20"/>
                <w:szCs w:val="20"/>
                <w:color w:val="auto"/>
              </w:rPr>
            </w:pPr>
            <w:r>
              <w:rPr>
                <w:rFonts w:ascii="Arial" w:cs="Arial" w:eastAsia="Arial" w:hAnsi="Arial"/>
                <w:sz w:val="15"/>
                <w:szCs w:val="15"/>
                <w:b w:val="1"/>
                <w:bCs w:val="1"/>
                <w:color w:val="auto"/>
              </w:rPr>
              <w:t>Summary</w:t>
            </w:r>
          </w:p>
        </w:tc>
        <w:tc>
          <w:tcPr>
            <w:tcW w:w="1300" w:type="dxa"/>
            <w:vAlign w:val="bottom"/>
          </w:tcPr>
          <w:p>
            <w:pPr>
              <w:jc w:val="right"/>
              <w:ind w:right="6"/>
              <w:spacing w:after="0"/>
              <w:rPr>
                <w:sz w:val="20"/>
                <w:szCs w:val="20"/>
                <w:color w:val="auto"/>
              </w:rPr>
            </w:pPr>
            <w:r>
              <w:rPr>
                <w:rFonts w:ascii="Arial" w:cs="Arial" w:eastAsia="Arial" w:hAnsi="Arial"/>
                <w:sz w:val="15"/>
                <w:szCs w:val="15"/>
                <w:b w:val="1"/>
                <w:bCs w:val="1"/>
                <w:color w:val="auto"/>
              </w:rPr>
              <w:t>Less Average</w:t>
            </w:r>
          </w:p>
        </w:tc>
        <w:tc>
          <w:tcPr>
            <w:tcW w:w="1400" w:type="dxa"/>
            <w:vAlign w:val="bottom"/>
          </w:tcPr>
          <w:p>
            <w:pPr>
              <w:spacing w:after="0"/>
              <w:rPr>
                <w:sz w:val="15"/>
                <w:szCs w:val="15"/>
                <w:color w:val="auto"/>
              </w:rPr>
            </w:pPr>
          </w:p>
        </w:tc>
        <w:tc>
          <w:tcPr>
            <w:tcW w:w="1820" w:type="dxa"/>
            <w:vAlign w:val="bottom"/>
          </w:tcPr>
          <w:p>
            <w:pPr>
              <w:jc w:val="right"/>
              <w:ind w:right="66"/>
              <w:spacing w:after="0"/>
              <w:rPr>
                <w:sz w:val="20"/>
                <w:szCs w:val="20"/>
                <w:color w:val="auto"/>
              </w:rPr>
            </w:pPr>
            <w:r>
              <w:rPr>
                <w:rFonts w:ascii="Arial" w:cs="Arial" w:eastAsia="Arial" w:hAnsi="Arial"/>
                <w:sz w:val="15"/>
                <w:szCs w:val="15"/>
                <w:b w:val="1"/>
                <w:bCs w:val="1"/>
                <w:color w:val="auto"/>
              </w:rPr>
              <w:t>Change in the</w:t>
            </w:r>
          </w:p>
        </w:tc>
        <w:tc>
          <w:tcPr>
            <w:tcW w:w="18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4"/>
        </w:trPr>
        <w:tc>
          <w:tcPr>
            <w:tcW w:w="660" w:type="dxa"/>
            <w:vAlign w:val="bottom"/>
          </w:tcPr>
          <w:p>
            <w:pPr>
              <w:spacing w:after="0"/>
              <w:rPr>
                <w:sz w:val="15"/>
                <w:szCs w:val="15"/>
                <w:color w:val="auto"/>
              </w:rPr>
            </w:pPr>
          </w:p>
        </w:tc>
        <w:tc>
          <w:tcPr>
            <w:tcW w:w="1820" w:type="dxa"/>
            <w:vAlign w:val="bottom"/>
          </w:tcPr>
          <w:p>
            <w:pPr>
              <w:jc w:val="right"/>
              <w:ind w:right="6"/>
              <w:spacing w:after="0"/>
              <w:rPr>
                <w:sz w:val="20"/>
                <w:szCs w:val="20"/>
                <w:color w:val="auto"/>
              </w:rPr>
            </w:pPr>
            <w:r>
              <w:rPr>
                <w:rFonts w:ascii="Arial" w:cs="Arial" w:eastAsia="Arial" w:hAnsi="Arial"/>
                <w:sz w:val="15"/>
                <w:szCs w:val="15"/>
                <w:b w:val="1"/>
                <w:bCs w:val="1"/>
                <w:color w:val="auto"/>
              </w:rPr>
              <w:t>Compensation Table</w:t>
            </w:r>
          </w:p>
        </w:tc>
        <w:tc>
          <w:tcPr>
            <w:tcW w:w="1300" w:type="dxa"/>
            <w:vAlign w:val="bottom"/>
          </w:tcPr>
          <w:p>
            <w:pPr>
              <w:jc w:val="right"/>
              <w:ind w:right="6"/>
              <w:spacing w:after="0"/>
              <w:rPr>
                <w:sz w:val="20"/>
                <w:szCs w:val="20"/>
                <w:color w:val="auto"/>
              </w:rPr>
            </w:pPr>
            <w:r>
              <w:rPr>
                <w:rFonts w:ascii="Arial" w:cs="Arial" w:eastAsia="Arial" w:hAnsi="Arial"/>
                <w:sz w:val="15"/>
                <w:szCs w:val="15"/>
                <w:b w:val="1"/>
                <w:bCs w:val="1"/>
                <w:color w:val="auto"/>
              </w:rPr>
              <w:t>Reported Value</w:t>
            </w:r>
          </w:p>
        </w:tc>
        <w:tc>
          <w:tcPr>
            <w:tcW w:w="1400" w:type="dxa"/>
            <w:vAlign w:val="bottom"/>
          </w:tcPr>
          <w:p>
            <w:pPr>
              <w:jc w:val="right"/>
              <w:ind w:right="66"/>
              <w:spacing w:after="0"/>
              <w:rPr>
                <w:sz w:val="20"/>
                <w:szCs w:val="20"/>
                <w:color w:val="auto"/>
              </w:rPr>
            </w:pPr>
            <w:r>
              <w:rPr>
                <w:rFonts w:ascii="Arial" w:cs="Arial" w:eastAsia="Arial" w:hAnsi="Arial"/>
                <w:sz w:val="15"/>
                <w:szCs w:val="15"/>
                <w:b w:val="1"/>
                <w:bCs w:val="1"/>
                <w:color w:val="auto"/>
              </w:rPr>
              <w:t>Plus Average</w:t>
            </w:r>
          </w:p>
        </w:tc>
        <w:tc>
          <w:tcPr>
            <w:tcW w:w="1820" w:type="dxa"/>
            <w:vAlign w:val="bottom"/>
          </w:tcPr>
          <w:p>
            <w:pPr>
              <w:jc w:val="right"/>
              <w:ind w:right="66"/>
              <w:spacing w:after="0"/>
              <w:rPr>
                <w:sz w:val="20"/>
                <w:szCs w:val="20"/>
                <w:color w:val="auto"/>
              </w:rPr>
            </w:pPr>
            <w:r>
              <w:rPr>
                <w:rFonts w:ascii="Arial" w:cs="Arial" w:eastAsia="Arial" w:hAnsi="Arial"/>
                <w:sz w:val="15"/>
                <w:szCs w:val="15"/>
                <w:b w:val="1"/>
                <w:bCs w:val="1"/>
                <w:color w:val="auto"/>
              </w:rPr>
              <w:t>Actuarial Present</w:t>
            </w:r>
          </w:p>
        </w:tc>
        <w:tc>
          <w:tcPr>
            <w:tcW w:w="1820" w:type="dxa"/>
            <w:vAlign w:val="bottom"/>
          </w:tcPr>
          <w:p>
            <w:pPr>
              <w:spacing w:after="0"/>
              <w:rPr>
                <w:sz w:val="15"/>
                <w:szCs w:val="15"/>
                <w:color w:val="auto"/>
              </w:rPr>
            </w:pPr>
          </w:p>
        </w:tc>
        <w:tc>
          <w:tcPr>
            <w:tcW w:w="1980" w:type="dxa"/>
            <w:vAlign w:val="bottom"/>
          </w:tcPr>
          <w:p>
            <w:pPr>
              <w:jc w:val="right"/>
              <w:ind w:right="26"/>
              <w:spacing w:after="0"/>
              <w:rPr>
                <w:sz w:val="20"/>
                <w:szCs w:val="20"/>
                <w:color w:val="auto"/>
              </w:rPr>
            </w:pPr>
            <w:r>
              <w:rPr>
                <w:rFonts w:ascii="Arial" w:cs="Arial" w:eastAsia="Arial" w:hAnsi="Arial"/>
                <w:sz w:val="15"/>
                <w:szCs w:val="15"/>
                <w:b w:val="1"/>
                <w:bCs w:val="1"/>
                <w:color w:val="auto"/>
              </w:rPr>
              <w:t>Average Compensation</w:t>
            </w:r>
          </w:p>
        </w:tc>
      </w:tr>
      <w:tr>
        <w:trPr>
          <w:trHeight w:val="174"/>
        </w:trPr>
        <w:tc>
          <w:tcPr>
            <w:tcW w:w="660" w:type="dxa"/>
            <w:vAlign w:val="bottom"/>
          </w:tcPr>
          <w:p>
            <w:pPr>
              <w:spacing w:after="0"/>
              <w:rPr>
                <w:sz w:val="15"/>
                <w:szCs w:val="15"/>
                <w:color w:val="auto"/>
              </w:rPr>
            </w:pPr>
          </w:p>
        </w:tc>
        <w:tc>
          <w:tcPr>
            <w:tcW w:w="1820" w:type="dxa"/>
            <w:vAlign w:val="bottom"/>
          </w:tcPr>
          <w:p>
            <w:pPr>
              <w:jc w:val="right"/>
              <w:ind w:right="6"/>
              <w:spacing w:after="0"/>
              <w:rPr>
                <w:sz w:val="20"/>
                <w:szCs w:val="20"/>
                <w:color w:val="auto"/>
              </w:rPr>
            </w:pPr>
            <w:r>
              <w:rPr>
                <w:rFonts w:ascii="Arial" w:cs="Arial" w:eastAsia="Arial" w:hAnsi="Arial"/>
                <w:sz w:val="15"/>
                <w:szCs w:val="15"/>
                <w:b w:val="1"/>
                <w:bCs w:val="1"/>
                <w:color w:val="auto"/>
              </w:rPr>
              <w:t>Total for Non-PEO</w:t>
            </w:r>
          </w:p>
        </w:tc>
        <w:tc>
          <w:tcPr>
            <w:tcW w:w="1300" w:type="dxa"/>
            <w:vAlign w:val="bottom"/>
          </w:tcPr>
          <w:p>
            <w:pPr>
              <w:jc w:val="right"/>
              <w:ind w:right="6"/>
              <w:spacing w:after="0"/>
              <w:rPr>
                <w:sz w:val="20"/>
                <w:szCs w:val="20"/>
                <w:color w:val="auto"/>
              </w:rPr>
            </w:pPr>
            <w:r>
              <w:rPr>
                <w:rFonts w:ascii="Arial" w:cs="Arial" w:eastAsia="Arial" w:hAnsi="Arial"/>
                <w:sz w:val="15"/>
                <w:szCs w:val="15"/>
                <w:b w:val="1"/>
                <w:bCs w:val="1"/>
                <w:color w:val="auto"/>
              </w:rPr>
              <w:t>of Equity</w:t>
            </w:r>
          </w:p>
        </w:tc>
        <w:tc>
          <w:tcPr>
            <w:tcW w:w="1400" w:type="dxa"/>
            <w:vAlign w:val="bottom"/>
          </w:tcPr>
          <w:p>
            <w:pPr>
              <w:jc w:val="right"/>
              <w:ind w:right="66"/>
              <w:spacing w:after="0"/>
              <w:rPr>
                <w:sz w:val="20"/>
                <w:szCs w:val="20"/>
                <w:color w:val="auto"/>
              </w:rPr>
            </w:pPr>
            <w:r>
              <w:rPr>
                <w:rFonts w:ascii="Arial" w:cs="Arial" w:eastAsia="Arial" w:hAnsi="Arial"/>
                <w:sz w:val="15"/>
                <w:szCs w:val="15"/>
                <w:b w:val="1"/>
                <w:bCs w:val="1"/>
                <w:color w:val="auto"/>
              </w:rPr>
              <w:t>Equity Award</w:t>
            </w:r>
          </w:p>
        </w:tc>
        <w:tc>
          <w:tcPr>
            <w:tcW w:w="1820" w:type="dxa"/>
            <w:vAlign w:val="bottom"/>
          </w:tcPr>
          <w:p>
            <w:pPr>
              <w:jc w:val="right"/>
              <w:ind w:right="66"/>
              <w:spacing w:after="0"/>
              <w:rPr>
                <w:sz w:val="20"/>
                <w:szCs w:val="20"/>
                <w:color w:val="auto"/>
              </w:rPr>
            </w:pPr>
            <w:r>
              <w:rPr>
                <w:rFonts w:ascii="Arial" w:cs="Arial" w:eastAsia="Arial" w:hAnsi="Arial"/>
                <w:sz w:val="15"/>
                <w:szCs w:val="15"/>
                <w:b w:val="1"/>
                <w:bCs w:val="1"/>
                <w:color w:val="auto"/>
              </w:rPr>
              <w:t>Value of Pension</w:t>
            </w:r>
          </w:p>
        </w:tc>
        <w:tc>
          <w:tcPr>
            <w:tcW w:w="1820" w:type="dxa"/>
            <w:vAlign w:val="bottom"/>
          </w:tcPr>
          <w:p>
            <w:pPr>
              <w:jc w:val="right"/>
              <w:ind w:right="46"/>
              <w:spacing w:after="0"/>
              <w:rPr>
                <w:sz w:val="20"/>
                <w:szCs w:val="20"/>
                <w:color w:val="auto"/>
              </w:rPr>
            </w:pPr>
            <w:r>
              <w:rPr>
                <w:rFonts w:ascii="Arial" w:cs="Arial" w:eastAsia="Arial" w:hAnsi="Arial"/>
                <w:sz w:val="15"/>
                <w:szCs w:val="15"/>
                <w:b w:val="1"/>
                <w:bCs w:val="1"/>
                <w:color w:val="auto"/>
              </w:rPr>
              <w:t>Plus Average Pension</w:t>
            </w:r>
          </w:p>
        </w:tc>
        <w:tc>
          <w:tcPr>
            <w:tcW w:w="1980" w:type="dxa"/>
            <w:vAlign w:val="bottom"/>
          </w:tcPr>
          <w:p>
            <w:pPr>
              <w:jc w:val="right"/>
              <w:ind w:right="26"/>
              <w:spacing w:after="0"/>
              <w:rPr>
                <w:sz w:val="20"/>
                <w:szCs w:val="20"/>
                <w:color w:val="auto"/>
              </w:rPr>
            </w:pPr>
            <w:r>
              <w:rPr>
                <w:rFonts w:ascii="Arial" w:cs="Arial" w:eastAsia="Arial" w:hAnsi="Arial"/>
                <w:sz w:val="15"/>
                <w:szCs w:val="15"/>
                <w:b w:val="1"/>
                <w:bCs w:val="1"/>
                <w:color w:val="auto"/>
              </w:rPr>
              <w:t>Actually Paid to Non-PEO</w:t>
            </w:r>
          </w:p>
        </w:tc>
      </w:tr>
      <w:tr>
        <w:trPr>
          <w:trHeight w:val="253"/>
        </w:trPr>
        <w:tc>
          <w:tcPr>
            <w:tcW w:w="660" w:type="dxa"/>
            <w:vAlign w:val="bottom"/>
            <w:tcBorders>
              <w:bottom w:val="single" w:sz="8" w:color="582C83"/>
            </w:tcBorders>
          </w:tcPr>
          <w:p>
            <w:pPr>
              <w:ind w:left="40"/>
              <w:spacing w:after="0"/>
              <w:rPr>
                <w:sz w:val="20"/>
                <w:szCs w:val="20"/>
                <w:color w:val="auto"/>
              </w:rPr>
            </w:pPr>
            <w:r>
              <w:rPr>
                <w:rFonts w:ascii="Arial" w:cs="Arial" w:eastAsia="Arial" w:hAnsi="Arial"/>
                <w:sz w:val="15"/>
                <w:szCs w:val="15"/>
                <w:b w:val="1"/>
                <w:bCs w:val="1"/>
                <w:color w:val="auto"/>
              </w:rPr>
              <w:t>Year</w:t>
            </w:r>
          </w:p>
        </w:tc>
        <w:tc>
          <w:tcPr>
            <w:tcW w:w="182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b w:val="1"/>
                <w:bCs w:val="1"/>
                <w:color w:val="auto"/>
              </w:rPr>
              <w:t>NEOs</w:t>
            </w:r>
          </w:p>
        </w:tc>
        <w:tc>
          <w:tcPr>
            <w:tcW w:w="130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b w:val="1"/>
                <w:bCs w:val="1"/>
                <w:color w:val="auto"/>
              </w:rPr>
              <w:t>Awards</w:t>
            </w:r>
          </w:p>
        </w:tc>
        <w:tc>
          <w:tcPr>
            <w:tcW w:w="1400" w:type="dxa"/>
            <w:vAlign w:val="bottom"/>
            <w:tcBorders>
              <w:bottom w:val="single" w:sz="8" w:color="582C83"/>
            </w:tcBorders>
          </w:tcPr>
          <w:p>
            <w:pPr>
              <w:jc w:val="right"/>
              <w:ind w:right="26"/>
              <w:spacing w:after="0" w:line="236" w:lineRule="exact"/>
              <w:rPr>
                <w:sz w:val="20"/>
                <w:szCs w:val="20"/>
                <w:color w:val="auto"/>
              </w:rPr>
            </w:pPr>
            <w:r>
              <w:rPr>
                <w:rFonts w:ascii="Arial" w:cs="Arial" w:eastAsia="Arial" w:hAnsi="Arial"/>
                <w:sz w:val="15"/>
                <w:szCs w:val="15"/>
                <w:b w:val="1"/>
                <w:bCs w:val="1"/>
                <w:color w:val="auto"/>
              </w:rPr>
              <w:t>Adjustments</w:t>
            </w:r>
            <w:r>
              <w:rPr>
                <w:rFonts w:ascii="Arial" w:cs="Arial" w:eastAsia="Arial" w:hAnsi="Arial"/>
                <w:sz w:val="24"/>
                <w:szCs w:val="24"/>
                <w:b w:val="1"/>
                <w:bCs w:val="1"/>
                <w:color w:val="auto"/>
                <w:vertAlign w:val="superscript"/>
              </w:rPr>
              <w:t>(a)</w:t>
            </w:r>
          </w:p>
        </w:tc>
        <w:tc>
          <w:tcPr>
            <w:tcW w:w="1820" w:type="dxa"/>
            <w:vAlign w:val="bottom"/>
            <w:tcBorders>
              <w:bottom w:val="single" w:sz="8" w:color="582C83"/>
            </w:tcBorders>
          </w:tcPr>
          <w:p>
            <w:pPr>
              <w:jc w:val="right"/>
              <w:ind w:right="6"/>
              <w:spacing w:after="0" w:line="236" w:lineRule="exact"/>
              <w:rPr>
                <w:sz w:val="20"/>
                <w:szCs w:val="20"/>
                <w:color w:val="auto"/>
              </w:rPr>
            </w:pPr>
            <w:r>
              <w:rPr>
                <w:rFonts w:ascii="Arial" w:cs="Arial" w:eastAsia="Arial" w:hAnsi="Arial"/>
                <w:sz w:val="15"/>
                <w:szCs w:val="15"/>
                <w:b w:val="1"/>
                <w:bCs w:val="1"/>
                <w:color w:val="auto"/>
              </w:rPr>
              <w:t xml:space="preserve">Benefits </w:t>
            </w:r>
            <w:r>
              <w:rPr>
                <w:rFonts w:ascii="Arial" w:cs="Arial" w:eastAsia="Arial" w:hAnsi="Arial"/>
                <w:sz w:val="24"/>
                <w:szCs w:val="24"/>
                <w:b w:val="1"/>
                <w:bCs w:val="1"/>
                <w:color w:val="auto"/>
                <w:vertAlign w:val="superscript"/>
              </w:rPr>
              <w:t>(b)</w:t>
            </w:r>
          </w:p>
        </w:tc>
        <w:tc>
          <w:tcPr>
            <w:tcW w:w="1820" w:type="dxa"/>
            <w:vAlign w:val="bottom"/>
            <w:tcBorders>
              <w:bottom w:val="single" w:sz="8" w:color="582C83"/>
            </w:tcBorders>
          </w:tcPr>
          <w:p>
            <w:pPr>
              <w:jc w:val="right"/>
              <w:ind w:right="6"/>
              <w:spacing w:after="0" w:line="236" w:lineRule="exact"/>
              <w:rPr>
                <w:sz w:val="20"/>
                <w:szCs w:val="20"/>
                <w:color w:val="auto"/>
              </w:rPr>
            </w:pPr>
            <w:r>
              <w:rPr>
                <w:rFonts w:ascii="Arial" w:cs="Arial" w:eastAsia="Arial" w:hAnsi="Arial"/>
                <w:sz w:val="15"/>
                <w:szCs w:val="15"/>
                <w:b w:val="1"/>
                <w:bCs w:val="1"/>
                <w:color w:val="auto"/>
              </w:rPr>
              <w:t xml:space="preserve">Benefit Adjustments </w:t>
            </w:r>
            <w:r>
              <w:rPr>
                <w:rFonts w:ascii="Arial" w:cs="Arial" w:eastAsia="Arial" w:hAnsi="Arial"/>
                <w:sz w:val="24"/>
                <w:szCs w:val="24"/>
                <w:b w:val="1"/>
                <w:bCs w:val="1"/>
                <w:color w:val="auto"/>
                <w:vertAlign w:val="superscript"/>
              </w:rPr>
              <w:t>(c)</w:t>
            </w:r>
          </w:p>
        </w:tc>
        <w:tc>
          <w:tcPr>
            <w:tcW w:w="1980" w:type="dxa"/>
            <w:vAlign w:val="bottom"/>
            <w:tcBorders>
              <w:bottom w:val="single" w:sz="8" w:color="582C83"/>
            </w:tcBorders>
          </w:tcPr>
          <w:p>
            <w:pPr>
              <w:jc w:val="right"/>
              <w:ind w:right="26"/>
              <w:spacing w:after="0"/>
              <w:rPr>
                <w:sz w:val="20"/>
                <w:szCs w:val="20"/>
                <w:color w:val="auto"/>
              </w:rPr>
            </w:pPr>
            <w:r>
              <w:rPr>
                <w:rFonts w:ascii="Arial" w:cs="Arial" w:eastAsia="Arial" w:hAnsi="Arial"/>
                <w:sz w:val="15"/>
                <w:szCs w:val="15"/>
                <w:b w:val="1"/>
                <w:bCs w:val="1"/>
                <w:color w:val="auto"/>
              </w:rPr>
              <w:t>NEOs</w:t>
            </w:r>
          </w:p>
        </w:tc>
      </w:tr>
      <w:tr>
        <w:trPr>
          <w:trHeight w:val="278"/>
        </w:trPr>
        <w:tc>
          <w:tcPr>
            <w:tcW w:w="66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5"/>
                <w:szCs w:val="15"/>
                <w:color w:val="auto"/>
              </w:rPr>
              <w:t>2022</w:t>
            </w:r>
          </w:p>
        </w:tc>
        <w:tc>
          <w:tcPr>
            <w:tcW w:w="1820" w:type="dxa"/>
            <w:vAlign w:val="bottom"/>
            <w:tcBorders>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$4,738,723</w:t>
            </w:r>
          </w:p>
        </w:tc>
        <w:tc>
          <w:tcPr>
            <w:tcW w:w="1300" w:type="dxa"/>
            <w:vAlign w:val="bottom"/>
            <w:tcBorders>
              <w:bottom w:val="single" w:sz="8" w:color="EBE6F0"/>
              <w:right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$2,735,574</w:t>
            </w:r>
          </w:p>
        </w:tc>
        <w:tc>
          <w:tcPr>
            <w:tcW w:w="1400" w:type="dxa"/>
            <w:vAlign w:val="bottom"/>
            <w:tcBorders>
              <w:bottom w:val="single" w:sz="8" w:color="EBE6F0"/>
              <w:right w:val="single" w:sz="8" w:color="EBE6F0"/>
            </w:tcBorders>
            <w:shd w:val="clear" w:color="auto" w:fill="EBE6F0"/>
          </w:tcPr>
          <w:p>
            <w:pPr>
              <w:jc w:val="right"/>
              <w:ind w:right="26"/>
              <w:spacing w:after="0"/>
              <w:rPr>
                <w:sz w:val="20"/>
                <w:szCs w:val="20"/>
                <w:color w:val="auto"/>
              </w:rPr>
            </w:pPr>
            <w:r>
              <w:rPr>
                <w:rFonts w:ascii="Arial" w:cs="Arial" w:eastAsia="Arial" w:hAnsi="Arial"/>
                <w:sz w:val="15"/>
                <w:szCs w:val="15"/>
                <w:color w:val="auto"/>
              </w:rPr>
              <w:t>$4,663,246</w:t>
            </w:r>
          </w:p>
        </w:tc>
        <w:tc>
          <w:tcPr>
            <w:tcW w:w="1820" w:type="dxa"/>
            <w:vAlign w:val="bottom"/>
            <w:tcBorders>
              <w:bottom w:val="single" w:sz="8" w:color="EBE6F0"/>
              <w:right w:val="single" w:sz="8" w:color="EBE6F0"/>
            </w:tcBorders>
            <w:shd w:val="clear" w:color="auto" w:fill="EBE6F0"/>
          </w:tcPr>
          <w:p>
            <w:pPr>
              <w:jc w:val="right"/>
              <w:ind w:right="26"/>
              <w:spacing w:after="0"/>
              <w:rPr>
                <w:sz w:val="20"/>
                <w:szCs w:val="20"/>
                <w:color w:val="auto"/>
              </w:rPr>
            </w:pPr>
            <w:r>
              <w:rPr>
                <w:rFonts w:ascii="Arial" w:cs="Arial" w:eastAsia="Arial" w:hAnsi="Arial"/>
                <w:sz w:val="15"/>
                <w:szCs w:val="15"/>
                <w:color w:val="auto"/>
              </w:rPr>
              <w:t>$0</w:t>
            </w:r>
          </w:p>
        </w:tc>
        <w:tc>
          <w:tcPr>
            <w:tcW w:w="1820" w:type="dxa"/>
            <w:vAlign w:val="bottom"/>
            <w:tcBorders>
              <w:bottom w:val="single" w:sz="8" w:color="EBE6F0"/>
              <w:right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$77,250</w:t>
            </w:r>
          </w:p>
        </w:tc>
        <w:tc>
          <w:tcPr>
            <w:tcW w:w="1980" w:type="dxa"/>
            <w:vAlign w:val="bottom"/>
            <w:tcBorders>
              <w:bottom w:val="single" w:sz="8" w:color="EBE6F0"/>
              <w:right w:val="single" w:sz="8" w:color="EBE6F0"/>
            </w:tcBorders>
            <w:shd w:val="clear" w:color="auto" w:fill="EBE6F0"/>
          </w:tcPr>
          <w:p>
            <w:pPr>
              <w:jc w:val="right"/>
              <w:ind w:right="26"/>
              <w:spacing w:after="0"/>
              <w:rPr>
                <w:sz w:val="20"/>
                <w:szCs w:val="20"/>
                <w:color w:val="auto"/>
              </w:rPr>
            </w:pPr>
            <w:r>
              <w:rPr>
                <w:rFonts w:ascii="Arial" w:cs="Arial" w:eastAsia="Arial" w:hAnsi="Arial"/>
                <w:sz w:val="15"/>
                <w:szCs w:val="15"/>
                <w:color w:val="auto"/>
              </w:rPr>
              <w:t>$6,743,645</w:t>
            </w:r>
          </w:p>
        </w:tc>
      </w:tr>
      <w:tr>
        <w:trPr>
          <w:trHeight w:val="227"/>
        </w:trPr>
        <w:tc>
          <w:tcPr>
            <w:tcW w:w="660" w:type="dxa"/>
            <w:vAlign w:val="bottom"/>
            <w:tcBorders>
              <w:top w:val="single" w:sz="8" w:color="582C83"/>
            </w:tcBorders>
          </w:tcPr>
          <w:p>
            <w:pPr>
              <w:ind w:left="40"/>
              <w:spacing w:after="0"/>
              <w:rPr>
                <w:sz w:val="20"/>
                <w:szCs w:val="20"/>
                <w:color w:val="auto"/>
              </w:rPr>
            </w:pPr>
            <w:r>
              <w:rPr>
                <w:rFonts w:ascii="Arial" w:cs="Arial" w:eastAsia="Arial" w:hAnsi="Arial"/>
                <w:sz w:val="15"/>
                <w:szCs w:val="15"/>
                <w:color w:val="auto"/>
              </w:rPr>
              <w:t>2021</w:t>
            </w:r>
          </w:p>
        </w:tc>
        <w:tc>
          <w:tcPr>
            <w:tcW w:w="1820" w:type="dxa"/>
            <w:vAlign w:val="bottom"/>
            <w:tcBorders>
              <w:top w:val="single" w:sz="8" w:color="582C83"/>
            </w:tcBorders>
          </w:tcPr>
          <w:p>
            <w:pPr>
              <w:jc w:val="right"/>
              <w:ind w:right="6"/>
              <w:spacing w:after="0"/>
              <w:rPr>
                <w:sz w:val="20"/>
                <w:szCs w:val="20"/>
                <w:color w:val="auto"/>
              </w:rPr>
            </w:pPr>
            <w:r>
              <w:rPr>
                <w:rFonts w:ascii="Arial" w:cs="Arial" w:eastAsia="Arial" w:hAnsi="Arial"/>
                <w:sz w:val="15"/>
                <w:szCs w:val="15"/>
                <w:color w:val="auto"/>
              </w:rPr>
              <w:t>$4,870,086</w:t>
            </w:r>
          </w:p>
        </w:tc>
        <w:tc>
          <w:tcPr>
            <w:tcW w:w="1300" w:type="dxa"/>
            <w:vAlign w:val="bottom"/>
            <w:tcBorders>
              <w:top w:val="single" w:sz="8" w:color="582C83"/>
            </w:tcBorders>
          </w:tcPr>
          <w:p>
            <w:pPr>
              <w:jc w:val="right"/>
              <w:ind w:right="6"/>
              <w:spacing w:after="0"/>
              <w:rPr>
                <w:sz w:val="20"/>
                <w:szCs w:val="20"/>
                <w:color w:val="auto"/>
              </w:rPr>
            </w:pPr>
            <w:r>
              <w:rPr>
                <w:rFonts w:ascii="Arial" w:cs="Arial" w:eastAsia="Arial" w:hAnsi="Arial"/>
                <w:sz w:val="15"/>
                <w:szCs w:val="15"/>
                <w:color w:val="auto"/>
              </w:rPr>
              <w:t>$3,060,637</w:t>
            </w:r>
          </w:p>
        </w:tc>
        <w:tc>
          <w:tcPr>
            <w:tcW w:w="1400" w:type="dxa"/>
            <w:vAlign w:val="bottom"/>
            <w:tcBorders>
              <w:top w:val="single" w:sz="8" w:color="582C83"/>
            </w:tcBorders>
          </w:tcPr>
          <w:p>
            <w:pPr>
              <w:jc w:val="right"/>
              <w:ind w:right="26"/>
              <w:spacing w:after="0"/>
              <w:rPr>
                <w:sz w:val="20"/>
                <w:szCs w:val="20"/>
                <w:color w:val="auto"/>
              </w:rPr>
            </w:pPr>
            <w:r>
              <w:rPr>
                <w:rFonts w:ascii="Arial" w:cs="Arial" w:eastAsia="Arial" w:hAnsi="Arial"/>
                <w:sz w:val="15"/>
                <w:szCs w:val="15"/>
                <w:color w:val="auto"/>
              </w:rPr>
              <w:t>$5,265,257</w:t>
            </w:r>
          </w:p>
        </w:tc>
        <w:tc>
          <w:tcPr>
            <w:tcW w:w="1820" w:type="dxa"/>
            <w:vAlign w:val="bottom"/>
            <w:tcBorders>
              <w:top w:val="single" w:sz="8" w:color="582C83"/>
            </w:tcBorders>
          </w:tcPr>
          <w:p>
            <w:pPr>
              <w:jc w:val="right"/>
              <w:ind w:right="26"/>
              <w:spacing w:after="0"/>
              <w:rPr>
                <w:sz w:val="20"/>
                <w:szCs w:val="20"/>
                <w:color w:val="auto"/>
              </w:rPr>
            </w:pPr>
            <w:r>
              <w:rPr>
                <w:rFonts w:ascii="Arial" w:cs="Arial" w:eastAsia="Arial" w:hAnsi="Arial"/>
                <w:sz w:val="15"/>
                <w:szCs w:val="15"/>
                <w:color w:val="auto"/>
              </w:rPr>
              <w:t>$0</w:t>
            </w:r>
          </w:p>
        </w:tc>
        <w:tc>
          <w:tcPr>
            <w:tcW w:w="1820" w:type="dxa"/>
            <w:vAlign w:val="bottom"/>
            <w:tcBorders>
              <w:top w:val="single" w:sz="8" w:color="582C83"/>
            </w:tcBorders>
          </w:tcPr>
          <w:p>
            <w:pPr>
              <w:jc w:val="right"/>
              <w:ind w:right="6"/>
              <w:spacing w:after="0"/>
              <w:rPr>
                <w:sz w:val="20"/>
                <w:szCs w:val="20"/>
                <w:color w:val="auto"/>
              </w:rPr>
            </w:pPr>
            <w:r>
              <w:rPr>
                <w:rFonts w:ascii="Arial" w:cs="Arial" w:eastAsia="Arial" w:hAnsi="Arial"/>
                <w:sz w:val="15"/>
                <w:szCs w:val="15"/>
                <w:color w:val="auto"/>
              </w:rPr>
              <w:t>$86,500</w:t>
            </w:r>
          </w:p>
        </w:tc>
        <w:tc>
          <w:tcPr>
            <w:tcW w:w="1980" w:type="dxa"/>
            <w:vAlign w:val="bottom"/>
            <w:tcBorders>
              <w:top w:val="single" w:sz="8" w:color="582C83"/>
            </w:tcBorders>
          </w:tcPr>
          <w:p>
            <w:pPr>
              <w:jc w:val="right"/>
              <w:ind w:right="26"/>
              <w:spacing w:after="0"/>
              <w:rPr>
                <w:sz w:val="20"/>
                <w:szCs w:val="20"/>
                <w:color w:val="auto"/>
              </w:rPr>
            </w:pPr>
            <w:r>
              <w:rPr>
                <w:rFonts w:ascii="Arial" w:cs="Arial" w:eastAsia="Arial" w:hAnsi="Arial"/>
                <w:sz w:val="15"/>
                <w:szCs w:val="15"/>
                <w:color w:val="auto"/>
              </w:rPr>
              <w:t>$7,161,206</w:t>
            </w:r>
          </w:p>
        </w:tc>
      </w:tr>
      <w:tr>
        <w:trPr>
          <w:trHeight w:val="39"/>
        </w:trPr>
        <w:tc>
          <w:tcPr>
            <w:tcW w:w="660" w:type="dxa"/>
            <w:vAlign w:val="bottom"/>
            <w:tcBorders>
              <w:bottom w:val="single" w:sz="8" w:color="582C83"/>
            </w:tcBorders>
          </w:tcPr>
          <w:p>
            <w:pPr>
              <w:spacing w:after="0"/>
              <w:rPr>
                <w:sz w:val="3"/>
                <w:szCs w:val="3"/>
                <w:color w:val="auto"/>
              </w:rPr>
            </w:pPr>
          </w:p>
        </w:tc>
        <w:tc>
          <w:tcPr>
            <w:tcW w:w="182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1820" w:type="dxa"/>
            <w:vAlign w:val="bottom"/>
            <w:tcBorders>
              <w:bottom w:val="single" w:sz="8" w:color="582C83"/>
            </w:tcBorders>
          </w:tcPr>
          <w:p>
            <w:pPr>
              <w:spacing w:after="0"/>
              <w:rPr>
                <w:sz w:val="3"/>
                <w:szCs w:val="3"/>
                <w:color w:val="auto"/>
              </w:rPr>
            </w:pPr>
          </w:p>
        </w:tc>
        <w:tc>
          <w:tcPr>
            <w:tcW w:w="1820" w:type="dxa"/>
            <w:vAlign w:val="bottom"/>
            <w:tcBorders>
              <w:bottom w:val="single" w:sz="8" w:color="582C83"/>
            </w:tcBorders>
          </w:tcPr>
          <w:p>
            <w:pPr>
              <w:spacing w:after="0"/>
              <w:rPr>
                <w:sz w:val="3"/>
                <w:szCs w:val="3"/>
                <w:color w:val="auto"/>
              </w:rPr>
            </w:pPr>
          </w:p>
        </w:tc>
        <w:tc>
          <w:tcPr>
            <w:tcW w:w="1980" w:type="dxa"/>
            <w:vAlign w:val="bottom"/>
            <w:tcBorders>
              <w:bottom w:val="single" w:sz="8" w:color="582C83"/>
            </w:tcBorders>
          </w:tcPr>
          <w:p>
            <w:pPr>
              <w:spacing w:after="0"/>
              <w:rPr>
                <w:sz w:val="3"/>
                <w:szCs w:val="3"/>
                <w:color w:val="auto"/>
              </w:rPr>
            </w:pPr>
          </w:p>
        </w:tc>
      </w:tr>
      <w:tr>
        <w:trPr>
          <w:trHeight w:val="246"/>
        </w:trPr>
        <w:tc>
          <w:tcPr>
            <w:tcW w:w="66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5"/>
                <w:szCs w:val="15"/>
                <w:color w:val="auto"/>
              </w:rPr>
              <w:t>2020</w:t>
            </w:r>
          </w:p>
        </w:tc>
        <w:tc>
          <w:tcPr>
            <w:tcW w:w="1820" w:type="dxa"/>
            <w:vAlign w:val="bottom"/>
            <w:tcBorders>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$5,506,309</w:t>
            </w:r>
          </w:p>
        </w:tc>
        <w:tc>
          <w:tcPr>
            <w:tcW w:w="1300" w:type="dxa"/>
            <w:vAlign w:val="bottom"/>
            <w:tcBorders>
              <w:bottom w:val="single" w:sz="8" w:color="EBE6F0"/>
              <w:right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$2,499,399</w:t>
            </w:r>
          </w:p>
        </w:tc>
        <w:tc>
          <w:tcPr>
            <w:tcW w:w="1400" w:type="dxa"/>
            <w:vAlign w:val="bottom"/>
            <w:tcBorders>
              <w:bottom w:val="single" w:sz="8" w:color="EBE6F0"/>
              <w:right w:val="single" w:sz="8" w:color="EBE6F0"/>
            </w:tcBorders>
            <w:shd w:val="clear" w:color="auto" w:fill="EBE6F0"/>
          </w:tcPr>
          <w:p>
            <w:pPr>
              <w:jc w:val="right"/>
              <w:ind w:right="26"/>
              <w:spacing w:after="0"/>
              <w:rPr>
                <w:sz w:val="20"/>
                <w:szCs w:val="20"/>
                <w:color w:val="auto"/>
              </w:rPr>
            </w:pPr>
            <w:r>
              <w:rPr>
                <w:rFonts w:ascii="Arial" w:cs="Arial" w:eastAsia="Arial" w:hAnsi="Arial"/>
                <w:sz w:val="15"/>
                <w:szCs w:val="15"/>
                <w:color w:val="auto"/>
              </w:rPr>
              <w:t>$3,631,858</w:t>
            </w:r>
          </w:p>
        </w:tc>
        <w:tc>
          <w:tcPr>
            <w:tcW w:w="1820" w:type="dxa"/>
            <w:vAlign w:val="bottom"/>
            <w:tcBorders>
              <w:bottom w:val="single" w:sz="8" w:color="EBE6F0"/>
              <w:right w:val="single" w:sz="8" w:color="EBE6F0"/>
            </w:tcBorders>
            <w:shd w:val="clear" w:color="auto" w:fill="EBE6F0"/>
          </w:tcPr>
          <w:p>
            <w:pPr>
              <w:jc w:val="right"/>
              <w:ind w:right="26"/>
              <w:spacing w:after="0"/>
              <w:rPr>
                <w:sz w:val="20"/>
                <w:szCs w:val="20"/>
                <w:color w:val="auto"/>
              </w:rPr>
            </w:pPr>
            <w:r>
              <w:rPr>
                <w:rFonts w:ascii="Arial" w:cs="Arial" w:eastAsia="Arial" w:hAnsi="Arial"/>
                <w:sz w:val="15"/>
                <w:szCs w:val="15"/>
                <w:color w:val="auto"/>
              </w:rPr>
              <w:t>$421,917</w:t>
            </w:r>
          </w:p>
        </w:tc>
        <w:tc>
          <w:tcPr>
            <w:tcW w:w="1820" w:type="dxa"/>
            <w:vAlign w:val="bottom"/>
            <w:tcBorders>
              <w:bottom w:val="single" w:sz="8" w:color="EBE6F0"/>
              <w:right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$78,250</w:t>
            </w:r>
          </w:p>
        </w:tc>
        <w:tc>
          <w:tcPr>
            <w:tcW w:w="1980" w:type="dxa"/>
            <w:vAlign w:val="bottom"/>
            <w:tcBorders>
              <w:bottom w:val="single" w:sz="8" w:color="EBE6F0"/>
              <w:right w:val="single" w:sz="8" w:color="EBE6F0"/>
            </w:tcBorders>
            <w:shd w:val="clear" w:color="auto" w:fill="EBE6F0"/>
          </w:tcPr>
          <w:p>
            <w:pPr>
              <w:jc w:val="right"/>
              <w:ind w:right="26"/>
              <w:spacing w:after="0"/>
              <w:rPr>
                <w:sz w:val="20"/>
                <w:szCs w:val="20"/>
                <w:color w:val="auto"/>
              </w:rPr>
            </w:pPr>
            <w:r>
              <w:rPr>
                <w:rFonts w:ascii="Arial" w:cs="Arial" w:eastAsia="Arial" w:hAnsi="Arial"/>
                <w:sz w:val="15"/>
                <w:szCs w:val="15"/>
                <w:color w:val="auto"/>
              </w:rPr>
              <w:t>$6,295,101</w:t>
            </w:r>
          </w:p>
        </w:tc>
      </w:tr>
      <w:tr>
        <w:trPr>
          <w:trHeight w:val="20"/>
        </w:trPr>
        <w:tc>
          <w:tcPr>
            <w:tcW w:w="660" w:type="dxa"/>
            <w:vAlign w:val="bottom"/>
            <w:shd w:val="clear" w:color="auto" w:fill="582C83"/>
          </w:tcPr>
          <w:p>
            <w:pPr>
              <w:spacing w:after="0" w:line="20" w:lineRule="exact"/>
              <w:rPr>
                <w:sz w:val="1"/>
                <w:szCs w:val="1"/>
                <w:color w:val="auto"/>
              </w:rPr>
            </w:pPr>
          </w:p>
        </w:tc>
        <w:tc>
          <w:tcPr>
            <w:tcW w:w="1820" w:type="dxa"/>
            <w:vAlign w:val="bottom"/>
            <w:shd w:val="clear" w:color="auto" w:fill="582C83"/>
          </w:tcPr>
          <w:p>
            <w:pPr>
              <w:spacing w:after="0" w:line="20" w:lineRule="exact"/>
              <w:rPr>
                <w:sz w:val="1"/>
                <w:szCs w:val="1"/>
                <w:color w:val="auto"/>
              </w:rPr>
            </w:pPr>
          </w:p>
        </w:tc>
        <w:tc>
          <w:tcPr>
            <w:tcW w:w="1300" w:type="dxa"/>
            <w:vAlign w:val="bottom"/>
            <w:tcBorders>
              <w:right w:val="single" w:sz="8" w:color="EBE6F0"/>
            </w:tcBorders>
            <w:shd w:val="clear" w:color="auto" w:fill="582C83"/>
          </w:tcPr>
          <w:p>
            <w:pPr>
              <w:spacing w:after="0" w:line="20" w:lineRule="exact"/>
              <w:rPr>
                <w:sz w:val="1"/>
                <w:szCs w:val="1"/>
                <w:color w:val="auto"/>
              </w:rPr>
            </w:pPr>
          </w:p>
        </w:tc>
        <w:tc>
          <w:tcPr>
            <w:tcW w:w="1400" w:type="dxa"/>
            <w:vAlign w:val="bottom"/>
            <w:tcBorders>
              <w:right w:val="single" w:sz="8" w:color="EBE6F0"/>
            </w:tcBorders>
            <w:shd w:val="clear" w:color="auto" w:fill="582C83"/>
          </w:tcPr>
          <w:p>
            <w:pPr>
              <w:spacing w:after="0" w:line="20" w:lineRule="exact"/>
              <w:rPr>
                <w:sz w:val="1"/>
                <w:szCs w:val="1"/>
                <w:color w:val="auto"/>
              </w:rPr>
            </w:pPr>
          </w:p>
        </w:tc>
        <w:tc>
          <w:tcPr>
            <w:tcW w:w="1820" w:type="dxa"/>
            <w:vAlign w:val="bottom"/>
            <w:tcBorders>
              <w:right w:val="single" w:sz="8" w:color="EBE6F0"/>
            </w:tcBorders>
            <w:shd w:val="clear" w:color="auto" w:fill="582C83"/>
          </w:tcPr>
          <w:p>
            <w:pPr>
              <w:spacing w:after="0" w:line="20" w:lineRule="exact"/>
              <w:rPr>
                <w:sz w:val="1"/>
                <w:szCs w:val="1"/>
                <w:color w:val="auto"/>
              </w:rPr>
            </w:pPr>
          </w:p>
        </w:tc>
        <w:tc>
          <w:tcPr>
            <w:tcW w:w="1820" w:type="dxa"/>
            <w:vAlign w:val="bottom"/>
            <w:tcBorders>
              <w:right w:val="single" w:sz="8" w:color="EBE6F0"/>
            </w:tcBorders>
            <w:shd w:val="clear" w:color="auto" w:fill="582C83"/>
          </w:tcPr>
          <w:p>
            <w:pPr>
              <w:spacing w:after="0" w:line="20" w:lineRule="exact"/>
              <w:rPr>
                <w:sz w:val="1"/>
                <w:szCs w:val="1"/>
                <w:color w:val="auto"/>
              </w:rPr>
            </w:pPr>
          </w:p>
        </w:tc>
        <w:tc>
          <w:tcPr>
            <w:tcW w:w="1980" w:type="dxa"/>
            <w:vAlign w:val="bottom"/>
            <w:tcBorders>
              <w:right w:val="single" w:sz="8" w:color="EBE6F0"/>
            </w:tcBorders>
            <w:shd w:val="clear" w:color="auto" w:fill="582C83"/>
          </w:tcPr>
          <w:p>
            <w:pPr>
              <w:spacing w:after="0" w:line="20" w:lineRule="exact"/>
              <w:rPr>
                <w:sz w:val="1"/>
                <w:szCs w:val="1"/>
                <w:color w:val="auto"/>
              </w:rPr>
            </w:pPr>
          </w:p>
        </w:tc>
      </w:tr>
    </w:tbl>
    <w:p>
      <w:pPr>
        <w:spacing w:after="0" w:line="37"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4"/>
          <w:szCs w:val="14"/>
          <w:color w:val="auto"/>
        </w:rPr>
        <w:t>The amounts deducted or added in calculating the total average equity award adjustments are as follows:</w:t>
      </w:r>
    </w:p>
    <w:p>
      <w:pPr>
        <w:spacing w:after="0" w:line="237" w:lineRule="exact"/>
        <w:rPr>
          <w:sz w:val="20"/>
          <w:szCs w:val="20"/>
          <w:color w:val="auto"/>
        </w:rPr>
      </w:pPr>
    </w:p>
    <w:tbl>
      <w:tblPr>
        <w:tblLayout w:type="fixed"/>
        <w:tblInd w:w="440" w:type="dxa"/>
        <w:tblCellMar>
          <w:top w:w="0" w:type="dxa"/>
          <w:left w:w="0" w:type="dxa"/>
          <w:bottom w:w="0" w:type="dxa"/>
          <w:right w:w="0" w:type="dxa"/>
        </w:tblCellMar>
      </w:tblPr>
      <w:tr>
        <w:trPr>
          <w:trHeight w:val="174"/>
        </w:trPr>
        <w:tc>
          <w:tcPr>
            <w:tcW w:w="10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60" w:type="dxa"/>
            <w:vAlign w:val="bottom"/>
          </w:tcPr>
          <w:p>
            <w:pPr>
              <w:jc w:val="right"/>
              <w:ind w:right="26"/>
              <w:spacing w:after="0"/>
              <w:rPr>
                <w:sz w:val="20"/>
                <w:szCs w:val="20"/>
                <w:color w:val="auto"/>
              </w:rPr>
            </w:pPr>
            <w:r>
              <w:rPr>
                <w:rFonts w:ascii="Arial" w:cs="Arial" w:eastAsia="Arial" w:hAnsi="Arial"/>
                <w:sz w:val="15"/>
                <w:szCs w:val="15"/>
                <w:b w:val="1"/>
                <w:bCs w:val="1"/>
                <w:color w:val="auto"/>
              </w:rPr>
              <w:t>Year over Year Average</w:t>
            </w:r>
          </w:p>
        </w:tc>
        <w:tc>
          <w:tcPr>
            <w:tcW w:w="19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4"/>
        </w:trPr>
        <w:tc>
          <w:tcPr>
            <w:tcW w:w="1060" w:type="dxa"/>
            <w:vAlign w:val="bottom"/>
          </w:tcPr>
          <w:p>
            <w:pPr>
              <w:spacing w:after="0"/>
              <w:rPr>
                <w:sz w:val="15"/>
                <w:szCs w:val="15"/>
                <w:color w:val="auto"/>
              </w:rPr>
            </w:pPr>
          </w:p>
        </w:tc>
        <w:tc>
          <w:tcPr>
            <w:tcW w:w="2140" w:type="dxa"/>
            <w:vAlign w:val="bottom"/>
          </w:tcPr>
          <w:p>
            <w:pPr>
              <w:jc w:val="right"/>
              <w:ind w:right="46"/>
              <w:spacing w:after="0"/>
              <w:rPr>
                <w:sz w:val="20"/>
                <w:szCs w:val="20"/>
                <w:color w:val="auto"/>
              </w:rPr>
            </w:pPr>
            <w:r>
              <w:rPr>
                <w:rFonts w:ascii="Arial" w:cs="Arial" w:eastAsia="Arial" w:hAnsi="Arial"/>
                <w:sz w:val="15"/>
                <w:szCs w:val="15"/>
                <w:b w:val="1"/>
                <w:bCs w:val="1"/>
                <w:color w:val="auto"/>
              </w:rPr>
              <w:t>Average Year End Fair</w:t>
            </w:r>
          </w:p>
        </w:tc>
        <w:tc>
          <w:tcPr>
            <w:tcW w:w="2380" w:type="dxa"/>
            <w:vAlign w:val="bottom"/>
          </w:tcPr>
          <w:p>
            <w:pPr>
              <w:jc w:val="right"/>
              <w:ind w:right="46"/>
              <w:spacing w:after="0"/>
              <w:rPr>
                <w:sz w:val="20"/>
                <w:szCs w:val="20"/>
                <w:color w:val="auto"/>
              </w:rPr>
            </w:pPr>
            <w:r>
              <w:rPr>
                <w:rFonts w:ascii="Arial" w:cs="Arial" w:eastAsia="Arial" w:hAnsi="Arial"/>
                <w:sz w:val="15"/>
                <w:szCs w:val="15"/>
                <w:b w:val="1"/>
                <w:bCs w:val="1"/>
                <w:color w:val="auto"/>
              </w:rPr>
              <w:t>Year over Year Change in Fair</w:t>
            </w:r>
          </w:p>
        </w:tc>
        <w:tc>
          <w:tcPr>
            <w:tcW w:w="2060" w:type="dxa"/>
            <w:vAlign w:val="bottom"/>
          </w:tcPr>
          <w:p>
            <w:pPr>
              <w:jc w:val="right"/>
              <w:ind w:right="66"/>
              <w:spacing w:after="0"/>
              <w:rPr>
                <w:sz w:val="20"/>
                <w:szCs w:val="20"/>
                <w:color w:val="auto"/>
              </w:rPr>
            </w:pPr>
            <w:r>
              <w:rPr>
                <w:rFonts w:ascii="Arial" w:cs="Arial" w:eastAsia="Arial" w:hAnsi="Arial"/>
                <w:sz w:val="15"/>
                <w:szCs w:val="15"/>
                <w:b w:val="1"/>
                <w:bCs w:val="1"/>
                <w:color w:val="auto"/>
              </w:rPr>
              <w:t>Change in Fair Value of</w:t>
            </w:r>
          </w:p>
        </w:tc>
        <w:tc>
          <w:tcPr>
            <w:tcW w:w="1960" w:type="dxa"/>
            <w:vAlign w:val="bottom"/>
          </w:tcPr>
          <w:p>
            <w:pPr>
              <w:jc w:val="right"/>
              <w:ind w:right="46"/>
              <w:spacing w:after="0"/>
              <w:rPr>
                <w:sz w:val="20"/>
                <w:szCs w:val="20"/>
                <w:color w:val="auto"/>
              </w:rPr>
            </w:pPr>
            <w:r>
              <w:rPr>
                <w:rFonts w:ascii="Arial" w:cs="Arial" w:eastAsia="Arial" w:hAnsi="Arial"/>
                <w:sz w:val="15"/>
                <w:szCs w:val="15"/>
                <w:b w:val="1"/>
                <w:bCs w:val="1"/>
                <w:color w:val="auto"/>
              </w:rPr>
              <w:t>Value of Dividends on</w:t>
            </w:r>
          </w:p>
        </w:tc>
        <w:tc>
          <w:tcPr>
            <w:tcW w:w="1200" w:type="dxa"/>
            <w:vAlign w:val="bottom"/>
          </w:tcPr>
          <w:p>
            <w:pPr>
              <w:spacing w:after="0"/>
              <w:rPr>
                <w:sz w:val="15"/>
                <w:szCs w:val="15"/>
                <w:color w:val="auto"/>
              </w:rPr>
            </w:pPr>
          </w:p>
        </w:tc>
      </w:tr>
      <w:tr>
        <w:trPr>
          <w:trHeight w:val="174"/>
        </w:trPr>
        <w:tc>
          <w:tcPr>
            <w:tcW w:w="1060" w:type="dxa"/>
            <w:vAlign w:val="bottom"/>
          </w:tcPr>
          <w:p>
            <w:pPr>
              <w:spacing w:after="0"/>
              <w:rPr>
                <w:sz w:val="15"/>
                <w:szCs w:val="15"/>
                <w:color w:val="auto"/>
              </w:rPr>
            </w:pPr>
          </w:p>
        </w:tc>
        <w:tc>
          <w:tcPr>
            <w:tcW w:w="2140" w:type="dxa"/>
            <w:vAlign w:val="bottom"/>
          </w:tcPr>
          <w:p>
            <w:pPr>
              <w:jc w:val="right"/>
              <w:ind w:right="46"/>
              <w:spacing w:after="0"/>
              <w:rPr>
                <w:sz w:val="20"/>
                <w:szCs w:val="20"/>
                <w:color w:val="auto"/>
              </w:rPr>
            </w:pPr>
            <w:r>
              <w:rPr>
                <w:rFonts w:ascii="Arial" w:cs="Arial" w:eastAsia="Arial" w:hAnsi="Arial"/>
                <w:sz w:val="15"/>
                <w:szCs w:val="15"/>
                <w:b w:val="1"/>
                <w:bCs w:val="1"/>
                <w:color w:val="auto"/>
              </w:rPr>
              <w:t>Value of Outstanding and</w:t>
            </w:r>
          </w:p>
        </w:tc>
        <w:tc>
          <w:tcPr>
            <w:tcW w:w="2380" w:type="dxa"/>
            <w:vAlign w:val="bottom"/>
          </w:tcPr>
          <w:p>
            <w:pPr>
              <w:jc w:val="right"/>
              <w:ind w:right="46"/>
              <w:spacing w:after="0"/>
              <w:rPr>
                <w:sz w:val="20"/>
                <w:szCs w:val="20"/>
                <w:color w:val="auto"/>
              </w:rPr>
            </w:pPr>
            <w:r>
              <w:rPr>
                <w:rFonts w:ascii="Arial" w:cs="Arial" w:eastAsia="Arial" w:hAnsi="Arial"/>
                <w:sz w:val="15"/>
                <w:szCs w:val="15"/>
                <w:b w:val="1"/>
                <w:bCs w:val="1"/>
                <w:color w:val="auto"/>
              </w:rPr>
              <w:t>Value of Outstanding and</w:t>
            </w:r>
          </w:p>
        </w:tc>
        <w:tc>
          <w:tcPr>
            <w:tcW w:w="2060" w:type="dxa"/>
            <w:vAlign w:val="bottom"/>
          </w:tcPr>
          <w:p>
            <w:pPr>
              <w:jc w:val="right"/>
              <w:ind w:right="66"/>
              <w:spacing w:after="0"/>
              <w:rPr>
                <w:sz w:val="20"/>
                <w:szCs w:val="20"/>
                <w:color w:val="auto"/>
              </w:rPr>
            </w:pPr>
            <w:r>
              <w:rPr>
                <w:rFonts w:ascii="Arial" w:cs="Arial" w:eastAsia="Arial" w:hAnsi="Arial"/>
                <w:sz w:val="15"/>
                <w:szCs w:val="15"/>
                <w:b w:val="1"/>
                <w:bCs w:val="1"/>
                <w:color w:val="auto"/>
              </w:rPr>
              <w:t>Equity Awards Granted in</w:t>
            </w:r>
          </w:p>
        </w:tc>
        <w:tc>
          <w:tcPr>
            <w:tcW w:w="1960" w:type="dxa"/>
            <w:vAlign w:val="bottom"/>
          </w:tcPr>
          <w:p>
            <w:pPr>
              <w:jc w:val="right"/>
              <w:ind w:right="46"/>
              <w:spacing w:after="0"/>
              <w:rPr>
                <w:sz w:val="20"/>
                <w:szCs w:val="20"/>
                <w:color w:val="auto"/>
              </w:rPr>
            </w:pPr>
            <w:r>
              <w:rPr>
                <w:rFonts w:ascii="Arial" w:cs="Arial" w:eastAsia="Arial" w:hAnsi="Arial"/>
                <w:sz w:val="15"/>
                <w:szCs w:val="15"/>
                <w:b w:val="1"/>
                <w:bCs w:val="1"/>
                <w:color w:val="auto"/>
              </w:rPr>
              <w:t>Stock not Otherwise</w:t>
            </w:r>
          </w:p>
        </w:tc>
        <w:tc>
          <w:tcPr>
            <w:tcW w:w="1200" w:type="dxa"/>
            <w:vAlign w:val="bottom"/>
          </w:tcPr>
          <w:p>
            <w:pPr>
              <w:jc w:val="right"/>
              <w:ind w:right="26"/>
              <w:spacing w:after="0"/>
              <w:rPr>
                <w:sz w:val="20"/>
                <w:szCs w:val="20"/>
                <w:color w:val="auto"/>
              </w:rPr>
            </w:pPr>
            <w:r>
              <w:rPr>
                <w:rFonts w:ascii="Arial" w:cs="Arial" w:eastAsia="Arial" w:hAnsi="Arial"/>
                <w:sz w:val="15"/>
                <w:szCs w:val="15"/>
                <w:b w:val="1"/>
                <w:bCs w:val="1"/>
                <w:color w:val="auto"/>
              </w:rPr>
              <w:t>Total Average</w:t>
            </w:r>
          </w:p>
        </w:tc>
      </w:tr>
      <w:tr>
        <w:trPr>
          <w:trHeight w:val="174"/>
        </w:trPr>
        <w:tc>
          <w:tcPr>
            <w:tcW w:w="1060" w:type="dxa"/>
            <w:vAlign w:val="bottom"/>
          </w:tcPr>
          <w:p>
            <w:pPr>
              <w:spacing w:after="0"/>
              <w:rPr>
                <w:sz w:val="15"/>
                <w:szCs w:val="15"/>
                <w:color w:val="auto"/>
              </w:rPr>
            </w:pPr>
          </w:p>
        </w:tc>
        <w:tc>
          <w:tcPr>
            <w:tcW w:w="2140" w:type="dxa"/>
            <w:vAlign w:val="bottom"/>
          </w:tcPr>
          <w:p>
            <w:pPr>
              <w:jc w:val="right"/>
              <w:ind w:right="46"/>
              <w:spacing w:after="0"/>
              <w:rPr>
                <w:sz w:val="20"/>
                <w:szCs w:val="20"/>
                <w:color w:val="auto"/>
              </w:rPr>
            </w:pPr>
            <w:r>
              <w:rPr>
                <w:rFonts w:ascii="Arial" w:cs="Arial" w:eastAsia="Arial" w:hAnsi="Arial"/>
                <w:sz w:val="15"/>
                <w:szCs w:val="15"/>
                <w:b w:val="1"/>
                <w:bCs w:val="1"/>
                <w:color w:val="auto"/>
              </w:rPr>
              <w:t>Unvested Equity Awards</w:t>
            </w:r>
          </w:p>
        </w:tc>
        <w:tc>
          <w:tcPr>
            <w:tcW w:w="2380" w:type="dxa"/>
            <w:vAlign w:val="bottom"/>
          </w:tcPr>
          <w:p>
            <w:pPr>
              <w:jc w:val="right"/>
              <w:ind w:right="46"/>
              <w:spacing w:after="0"/>
              <w:rPr>
                <w:sz w:val="20"/>
                <w:szCs w:val="20"/>
                <w:color w:val="auto"/>
              </w:rPr>
            </w:pPr>
            <w:r>
              <w:rPr>
                <w:rFonts w:ascii="Arial" w:cs="Arial" w:eastAsia="Arial" w:hAnsi="Arial"/>
                <w:sz w:val="15"/>
                <w:szCs w:val="15"/>
                <w:b w:val="1"/>
                <w:bCs w:val="1"/>
                <w:color w:val="auto"/>
              </w:rPr>
              <w:t>Unvested Equity Awards</w:t>
            </w:r>
          </w:p>
        </w:tc>
        <w:tc>
          <w:tcPr>
            <w:tcW w:w="2060" w:type="dxa"/>
            <w:vAlign w:val="bottom"/>
          </w:tcPr>
          <w:p>
            <w:pPr>
              <w:jc w:val="right"/>
              <w:ind w:right="66"/>
              <w:spacing w:after="0"/>
              <w:rPr>
                <w:sz w:val="20"/>
                <w:szCs w:val="20"/>
                <w:color w:val="auto"/>
              </w:rPr>
            </w:pPr>
            <w:r>
              <w:rPr>
                <w:rFonts w:ascii="Arial" w:cs="Arial" w:eastAsia="Arial" w:hAnsi="Arial"/>
                <w:sz w:val="15"/>
                <w:szCs w:val="15"/>
                <w:b w:val="1"/>
                <w:bCs w:val="1"/>
                <w:color w:val="auto"/>
              </w:rPr>
              <w:t>Prior Years that Vested in</w:t>
            </w:r>
          </w:p>
        </w:tc>
        <w:tc>
          <w:tcPr>
            <w:tcW w:w="1960" w:type="dxa"/>
            <w:vAlign w:val="bottom"/>
          </w:tcPr>
          <w:p>
            <w:pPr>
              <w:jc w:val="right"/>
              <w:ind w:right="46"/>
              <w:spacing w:after="0"/>
              <w:rPr>
                <w:sz w:val="20"/>
                <w:szCs w:val="20"/>
                <w:color w:val="auto"/>
              </w:rPr>
            </w:pPr>
            <w:r>
              <w:rPr>
                <w:rFonts w:ascii="Arial" w:cs="Arial" w:eastAsia="Arial" w:hAnsi="Arial"/>
                <w:sz w:val="15"/>
                <w:szCs w:val="15"/>
                <w:b w:val="1"/>
                <w:bCs w:val="1"/>
                <w:color w:val="auto"/>
              </w:rPr>
              <w:t>Reflected in Fair Value or</w:t>
            </w:r>
          </w:p>
        </w:tc>
        <w:tc>
          <w:tcPr>
            <w:tcW w:w="1200" w:type="dxa"/>
            <w:vAlign w:val="bottom"/>
          </w:tcPr>
          <w:p>
            <w:pPr>
              <w:jc w:val="right"/>
              <w:ind w:right="26"/>
              <w:spacing w:after="0"/>
              <w:rPr>
                <w:sz w:val="20"/>
                <w:szCs w:val="20"/>
                <w:color w:val="auto"/>
              </w:rPr>
            </w:pPr>
            <w:r>
              <w:rPr>
                <w:rFonts w:ascii="Arial" w:cs="Arial" w:eastAsia="Arial" w:hAnsi="Arial"/>
                <w:sz w:val="15"/>
                <w:szCs w:val="15"/>
                <w:b w:val="1"/>
                <w:bCs w:val="1"/>
                <w:color w:val="auto"/>
              </w:rPr>
              <w:t>Equity Award</w:t>
            </w:r>
          </w:p>
        </w:tc>
      </w:tr>
      <w:tr>
        <w:trPr>
          <w:trHeight w:val="228"/>
        </w:trPr>
        <w:tc>
          <w:tcPr>
            <w:tcW w:w="1060" w:type="dxa"/>
            <w:vAlign w:val="bottom"/>
            <w:tcBorders>
              <w:bottom w:val="single" w:sz="8" w:color="582C83"/>
            </w:tcBorders>
          </w:tcPr>
          <w:p>
            <w:pPr>
              <w:ind w:left="40"/>
              <w:spacing w:after="0"/>
              <w:rPr>
                <w:sz w:val="20"/>
                <w:szCs w:val="20"/>
                <w:color w:val="auto"/>
              </w:rPr>
            </w:pPr>
            <w:r>
              <w:rPr>
                <w:rFonts w:ascii="Arial" w:cs="Arial" w:eastAsia="Arial" w:hAnsi="Arial"/>
                <w:sz w:val="15"/>
                <w:szCs w:val="15"/>
                <w:b w:val="1"/>
                <w:bCs w:val="1"/>
                <w:color w:val="auto"/>
              </w:rPr>
              <w:t>Year</w:t>
            </w:r>
          </w:p>
        </w:tc>
        <w:tc>
          <w:tcPr>
            <w:tcW w:w="214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b w:val="1"/>
                <w:bCs w:val="1"/>
                <w:color w:val="auto"/>
              </w:rPr>
              <w:t>Granted in the Year</w:t>
            </w:r>
          </w:p>
        </w:tc>
        <w:tc>
          <w:tcPr>
            <w:tcW w:w="238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b w:val="1"/>
                <w:bCs w:val="1"/>
                <w:color w:val="auto"/>
              </w:rPr>
              <w:t>Granted in Prior Years</w:t>
            </w:r>
          </w:p>
        </w:tc>
        <w:tc>
          <w:tcPr>
            <w:tcW w:w="2060" w:type="dxa"/>
            <w:vAlign w:val="bottom"/>
            <w:tcBorders>
              <w:bottom w:val="single" w:sz="8" w:color="582C83"/>
            </w:tcBorders>
          </w:tcPr>
          <w:p>
            <w:pPr>
              <w:jc w:val="right"/>
              <w:ind w:right="26"/>
              <w:spacing w:after="0"/>
              <w:rPr>
                <w:sz w:val="20"/>
                <w:szCs w:val="20"/>
                <w:color w:val="auto"/>
              </w:rPr>
            </w:pPr>
            <w:r>
              <w:rPr>
                <w:rFonts w:ascii="Arial" w:cs="Arial" w:eastAsia="Arial" w:hAnsi="Arial"/>
                <w:sz w:val="15"/>
                <w:szCs w:val="15"/>
                <w:b w:val="1"/>
                <w:bCs w:val="1"/>
                <w:color w:val="auto"/>
              </w:rPr>
              <w:t>the Year</w:t>
            </w:r>
          </w:p>
        </w:tc>
        <w:tc>
          <w:tcPr>
            <w:tcW w:w="1960" w:type="dxa"/>
            <w:vAlign w:val="bottom"/>
            <w:tcBorders>
              <w:bottom w:val="single" w:sz="8" w:color="582C83"/>
            </w:tcBorders>
          </w:tcPr>
          <w:p>
            <w:pPr>
              <w:jc w:val="right"/>
              <w:ind w:right="6"/>
              <w:spacing w:after="0"/>
              <w:rPr>
                <w:sz w:val="20"/>
                <w:szCs w:val="20"/>
                <w:color w:val="auto"/>
              </w:rPr>
            </w:pPr>
            <w:r>
              <w:rPr>
                <w:rFonts w:ascii="Arial" w:cs="Arial" w:eastAsia="Arial" w:hAnsi="Arial"/>
                <w:sz w:val="15"/>
                <w:szCs w:val="15"/>
                <w:b w:val="1"/>
                <w:bCs w:val="1"/>
                <w:color w:val="auto"/>
              </w:rPr>
              <w:t>Total Compensation</w:t>
            </w:r>
          </w:p>
        </w:tc>
        <w:tc>
          <w:tcPr>
            <w:tcW w:w="1200" w:type="dxa"/>
            <w:vAlign w:val="bottom"/>
            <w:tcBorders>
              <w:bottom w:val="single" w:sz="8" w:color="582C83"/>
            </w:tcBorders>
          </w:tcPr>
          <w:p>
            <w:pPr>
              <w:jc w:val="right"/>
              <w:ind w:right="26"/>
              <w:spacing w:after="0"/>
              <w:rPr>
                <w:sz w:val="20"/>
                <w:szCs w:val="20"/>
                <w:color w:val="auto"/>
              </w:rPr>
            </w:pPr>
            <w:r>
              <w:rPr>
                <w:rFonts w:ascii="Arial" w:cs="Arial" w:eastAsia="Arial" w:hAnsi="Arial"/>
                <w:sz w:val="15"/>
                <w:szCs w:val="15"/>
                <w:b w:val="1"/>
                <w:bCs w:val="1"/>
                <w:color w:val="auto"/>
              </w:rPr>
              <w:t>Adjustments</w:t>
            </w:r>
          </w:p>
        </w:tc>
      </w:tr>
      <w:tr>
        <w:trPr>
          <w:trHeight w:val="278"/>
        </w:trPr>
        <w:tc>
          <w:tcPr>
            <w:tcW w:w="1060" w:type="dxa"/>
            <w:vAlign w:val="bottom"/>
            <w:tcBorders>
              <w:bottom w:val="single" w:sz="8" w:color="EBE6F0"/>
              <w:right w:val="single" w:sz="8" w:color="EBE6F0"/>
            </w:tcBorders>
            <w:shd w:val="clear" w:color="auto" w:fill="EBE6F0"/>
          </w:tcPr>
          <w:p>
            <w:pPr>
              <w:ind w:left="60"/>
              <w:spacing w:after="0"/>
              <w:rPr>
                <w:sz w:val="20"/>
                <w:szCs w:val="20"/>
                <w:color w:val="auto"/>
              </w:rPr>
            </w:pPr>
            <w:r>
              <w:rPr>
                <w:rFonts w:ascii="Arial" w:cs="Arial" w:eastAsia="Arial" w:hAnsi="Arial"/>
                <w:sz w:val="15"/>
                <w:szCs w:val="15"/>
                <w:color w:val="auto"/>
              </w:rPr>
              <w:t>2022</w:t>
            </w:r>
          </w:p>
        </w:tc>
        <w:tc>
          <w:tcPr>
            <w:tcW w:w="2140" w:type="dxa"/>
            <w:vAlign w:val="bottom"/>
            <w:tcBorders>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$2,944,831</w:t>
            </w:r>
          </w:p>
        </w:tc>
        <w:tc>
          <w:tcPr>
            <w:tcW w:w="2380" w:type="dxa"/>
            <w:vAlign w:val="bottom"/>
            <w:tcBorders>
              <w:bottom w:val="single" w:sz="8" w:color="EBE6F0"/>
              <w:right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$1,459,802</w:t>
            </w:r>
          </w:p>
        </w:tc>
        <w:tc>
          <w:tcPr>
            <w:tcW w:w="2060" w:type="dxa"/>
            <w:vAlign w:val="bottom"/>
            <w:tcBorders>
              <w:bottom w:val="single" w:sz="8" w:color="EBE6F0"/>
              <w:right w:val="single" w:sz="8" w:color="EBE6F0"/>
            </w:tcBorders>
            <w:shd w:val="clear" w:color="auto" w:fill="EBE6F0"/>
          </w:tcPr>
          <w:p>
            <w:pPr>
              <w:jc w:val="right"/>
              <w:ind w:right="26"/>
              <w:spacing w:after="0"/>
              <w:rPr>
                <w:sz w:val="20"/>
                <w:szCs w:val="20"/>
                <w:color w:val="auto"/>
              </w:rPr>
            </w:pPr>
            <w:r>
              <w:rPr>
                <w:rFonts w:ascii="Arial" w:cs="Arial" w:eastAsia="Arial" w:hAnsi="Arial"/>
                <w:sz w:val="15"/>
                <w:szCs w:val="15"/>
                <w:color w:val="auto"/>
              </w:rPr>
              <w:t>$23,140</w:t>
            </w:r>
          </w:p>
        </w:tc>
        <w:tc>
          <w:tcPr>
            <w:tcW w:w="1960" w:type="dxa"/>
            <w:vAlign w:val="bottom"/>
            <w:tcBorders>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$235,474</w:t>
            </w:r>
          </w:p>
        </w:tc>
        <w:tc>
          <w:tcPr>
            <w:tcW w:w="1200" w:type="dxa"/>
            <w:vAlign w:val="bottom"/>
            <w:tcBorders>
              <w:bottom w:val="single" w:sz="8" w:color="EBE6F0"/>
              <w:right w:val="single" w:sz="8" w:color="EBE6F0"/>
            </w:tcBorders>
            <w:shd w:val="clear" w:color="auto" w:fill="EBE6F0"/>
          </w:tcPr>
          <w:p>
            <w:pPr>
              <w:jc w:val="right"/>
              <w:ind w:right="26"/>
              <w:spacing w:after="0"/>
              <w:rPr>
                <w:sz w:val="20"/>
                <w:szCs w:val="20"/>
                <w:color w:val="auto"/>
              </w:rPr>
            </w:pPr>
            <w:r>
              <w:rPr>
                <w:rFonts w:ascii="Arial" w:cs="Arial" w:eastAsia="Arial" w:hAnsi="Arial"/>
                <w:sz w:val="15"/>
                <w:szCs w:val="15"/>
                <w:color w:val="auto"/>
              </w:rPr>
              <w:t>$4,663,246</w:t>
            </w:r>
          </w:p>
        </w:tc>
      </w:tr>
      <w:tr>
        <w:trPr>
          <w:trHeight w:val="227"/>
        </w:trPr>
        <w:tc>
          <w:tcPr>
            <w:tcW w:w="1060" w:type="dxa"/>
            <w:vAlign w:val="bottom"/>
            <w:tcBorders>
              <w:top w:val="single" w:sz="8" w:color="582C83"/>
            </w:tcBorders>
          </w:tcPr>
          <w:p>
            <w:pPr>
              <w:ind w:left="40"/>
              <w:spacing w:after="0"/>
              <w:rPr>
                <w:sz w:val="20"/>
                <w:szCs w:val="20"/>
                <w:color w:val="auto"/>
              </w:rPr>
            </w:pPr>
            <w:r>
              <w:rPr>
                <w:rFonts w:ascii="Arial" w:cs="Arial" w:eastAsia="Arial" w:hAnsi="Arial"/>
                <w:sz w:val="15"/>
                <w:szCs w:val="15"/>
                <w:color w:val="auto"/>
              </w:rPr>
              <w:t>2021</w:t>
            </w:r>
          </w:p>
        </w:tc>
        <w:tc>
          <w:tcPr>
            <w:tcW w:w="2140" w:type="dxa"/>
            <w:vAlign w:val="bottom"/>
            <w:tcBorders>
              <w:top w:val="single" w:sz="8" w:color="582C83"/>
            </w:tcBorders>
          </w:tcPr>
          <w:p>
            <w:pPr>
              <w:jc w:val="right"/>
              <w:ind w:right="6"/>
              <w:spacing w:after="0"/>
              <w:rPr>
                <w:sz w:val="20"/>
                <w:szCs w:val="20"/>
                <w:color w:val="auto"/>
              </w:rPr>
            </w:pPr>
            <w:r>
              <w:rPr>
                <w:rFonts w:ascii="Arial" w:cs="Arial" w:eastAsia="Arial" w:hAnsi="Arial"/>
                <w:sz w:val="15"/>
                <w:szCs w:val="15"/>
                <w:color w:val="auto"/>
              </w:rPr>
              <w:t>$4,037,126</w:t>
            </w:r>
          </w:p>
        </w:tc>
        <w:tc>
          <w:tcPr>
            <w:tcW w:w="2380" w:type="dxa"/>
            <w:vAlign w:val="bottom"/>
            <w:tcBorders>
              <w:top w:val="single" w:sz="8" w:color="582C83"/>
            </w:tcBorders>
          </w:tcPr>
          <w:p>
            <w:pPr>
              <w:jc w:val="right"/>
              <w:ind w:right="6"/>
              <w:spacing w:after="0"/>
              <w:rPr>
                <w:sz w:val="20"/>
                <w:szCs w:val="20"/>
                <w:color w:val="auto"/>
              </w:rPr>
            </w:pPr>
            <w:r>
              <w:rPr>
                <w:rFonts w:ascii="Arial" w:cs="Arial" w:eastAsia="Arial" w:hAnsi="Arial"/>
                <w:sz w:val="15"/>
                <w:szCs w:val="15"/>
                <w:color w:val="auto"/>
              </w:rPr>
              <w:t>$1,198,587</w:t>
            </w:r>
          </w:p>
        </w:tc>
        <w:tc>
          <w:tcPr>
            <w:tcW w:w="2060" w:type="dxa"/>
            <w:vAlign w:val="bottom"/>
            <w:tcBorders>
              <w:top w:val="single" w:sz="8" w:color="582C83"/>
            </w:tcBorders>
          </w:tcPr>
          <w:p>
            <w:pPr>
              <w:jc w:val="right"/>
              <w:ind w:right="26"/>
              <w:spacing w:after="0"/>
              <w:rPr>
                <w:sz w:val="20"/>
                <w:szCs w:val="20"/>
                <w:color w:val="auto"/>
              </w:rPr>
            </w:pPr>
            <w:r>
              <w:rPr>
                <w:rFonts w:ascii="Arial" w:cs="Arial" w:eastAsia="Arial" w:hAnsi="Arial"/>
                <w:sz w:val="15"/>
                <w:szCs w:val="15"/>
                <w:color w:val="auto"/>
              </w:rPr>
              <w:t>($155,389)</w:t>
            </w:r>
          </w:p>
        </w:tc>
        <w:tc>
          <w:tcPr>
            <w:tcW w:w="1960" w:type="dxa"/>
            <w:vAlign w:val="bottom"/>
            <w:tcBorders>
              <w:top w:val="single" w:sz="8" w:color="582C83"/>
            </w:tcBorders>
          </w:tcPr>
          <w:p>
            <w:pPr>
              <w:jc w:val="right"/>
              <w:ind w:right="6"/>
              <w:spacing w:after="0"/>
              <w:rPr>
                <w:sz w:val="20"/>
                <w:szCs w:val="20"/>
                <w:color w:val="auto"/>
              </w:rPr>
            </w:pPr>
            <w:r>
              <w:rPr>
                <w:rFonts w:ascii="Arial" w:cs="Arial" w:eastAsia="Arial" w:hAnsi="Arial"/>
                <w:sz w:val="15"/>
                <w:szCs w:val="15"/>
                <w:color w:val="auto"/>
              </w:rPr>
              <w:t>$184,933</w:t>
            </w:r>
          </w:p>
        </w:tc>
        <w:tc>
          <w:tcPr>
            <w:tcW w:w="1200" w:type="dxa"/>
            <w:vAlign w:val="bottom"/>
            <w:tcBorders>
              <w:top w:val="single" w:sz="8" w:color="582C83"/>
            </w:tcBorders>
          </w:tcPr>
          <w:p>
            <w:pPr>
              <w:jc w:val="right"/>
              <w:ind w:right="26"/>
              <w:spacing w:after="0"/>
              <w:rPr>
                <w:sz w:val="20"/>
                <w:szCs w:val="20"/>
                <w:color w:val="auto"/>
              </w:rPr>
            </w:pPr>
            <w:r>
              <w:rPr>
                <w:rFonts w:ascii="Arial" w:cs="Arial" w:eastAsia="Arial" w:hAnsi="Arial"/>
                <w:sz w:val="15"/>
                <w:szCs w:val="15"/>
                <w:color w:val="auto"/>
              </w:rPr>
              <w:t>$5,265,257</w:t>
            </w:r>
          </w:p>
        </w:tc>
      </w:tr>
      <w:tr>
        <w:trPr>
          <w:trHeight w:val="39"/>
        </w:trPr>
        <w:tc>
          <w:tcPr>
            <w:tcW w:w="1060" w:type="dxa"/>
            <w:vAlign w:val="bottom"/>
            <w:tcBorders>
              <w:bottom w:val="single" w:sz="8" w:color="582C83"/>
            </w:tcBorders>
          </w:tcPr>
          <w:p>
            <w:pPr>
              <w:spacing w:after="0"/>
              <w:rPr>
                <w:sz w:val="3"/>
                <w:szCs w:val="3"/>
                <w:color w:val="auto"/>
              </w:rPr>
            </w:pPr>
          </w:p>
        </w:tc>
        <w:tc>
          <w:tcPr>
            <w:tcW w:w="2140" w:type="dxa"/>
            <w:vAlign w:val="bottom"/>
            <w:tcBorders>
              <w:bottom w:val="single" w:sz="8" w:color="582C83"/>
            </w:tcBorders>
          </w:tcPr>
          <w:p>
            <w:pPr>
              <w:spacing w:after="0"/>
              <w:rPr>
                <w:sz w:val="3"/>
                <w:szCs w:val="3"/>
                <w:color w:val="auto"/>
              </w:rPr>
            </w:pPr>
          </w:p>
        </w:tc>
        <w:tc>
          <w:tcPr>
            <w:tcW w:w="2380" w:type="dxa"/>
            <w:vAlign w:val="bottom"/>
            <w:tcBorders>
              <w:bottom w:val="single" w:sz="8" w:color="582C83"/>
            </w:tcBorders>
          </w:tcPr>
          <w:p>
            <w:pPr>
              <w:spacing w:after="0"/>
              <w:rPr>
                <w:sz w:val="3"/>
                <w:szCs w:val="3"/>
                <w:color w:val="auto"/>
              </w:rPr>
            </w:pPr>
          </w:p>
        </w:tc>
        <w:tc>
          <w:tcPr>
            <w:tcW w:w="2060" w:type="dxa"/>
            <w:vAlign w:val="bottom"/>
            <w:tcBorders>
              <w:bottom w:val="single" w:sz="8" w:color="582C83"/>
            </w:tcBorders>
          </w:tcPr>
          <w:p>
            <w:pPr>
              <w:spacing w:after="0"/>
              <w:rPr>
                <w:sz w:val="3"/>
                <w:szCs w:val="3"/>
                <w:color w:val="auto"/>
              </w:rPr>
            </w:pPr>
          </w:p>
        </w:tc>
        <w:tc>
          <w:tcPr>
            <w:tcW w:w="196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r>
      <w:tr>
        <w:trPr>
          <w:trHeight w:val="246"/>
        </w:trPr>
        <w:tc>
          <w:tcPr>
            <w:tcW w:w="1060" w:type="dxa"/>
            <w:vAlign w:val="bottom"/>
            <w:tcBorders>
              <w:bottom w:val="single" w:sz="8" w:color="EBE6F0"/>
              <w:right w:val="single" w:sz="8" w:color="EBE6F0"/>
            </w:tcBorders>
            <w:shd w:val="clear" w:color="auto" w:fill="EBE6F0"/>
          </w:tcPr>
          <w:p>
            <w:pPr>
              <w:ind w:left="60"/>
              <w:spacing w:after="0"/>
              <w:rPr>
                <w:sz w:val="20"/>
                <w:szCs w:val="20"/>
                <w:color w:val="auto"/>
              </w:rPr>
            </w:pPr>
            <w:r>
              <w:rPr>
                <w:rFonts w:ascii="Arial" w:cs="Arial" w:eastAsia="Arial" w:hAnsi="Arial"/>
                <w:sz w:val="15"/>
                <w:szCs w:val="15"/>
                <w:color w:val="auto"/>
              </w:rPr>
              <w:t>2020</w:t>
            </w:r>
          </w:p>
        </w:tc>
        <w:tc>
          <w:tcPr>
            <w:tcW w:w="2140" w:type="dxa"/>
            <w:vAlign w:val="bottom"/>
            <w:tcBorders>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$2,358,688</w:t>
            </w:r>
          </w:p>
        </w:tc>
        <w:tc>
          <w:tcPr>
            <w:tcW w:w="2380" w:type="dxa"/>
            <w:vAlign w:val="bottom"/>
            <w:tcBorders>
              <w:bottom w:val="single" w:sz="8" w:color="EBE6F0"/>
              <w:right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$915,979</w:t>
            </w:r>
          </w:p>
        </w:tc>
        <w:tc>
          <w:tcPr>
            <w:tcW w:w="2060" w:type="dxa"/>
            <w:vAlign w:val="bottom"/>
            <w:tcBorders>
              <w:bottom w:val="single" w:sz="8" w:color="EBE6F0"/>
              <w:right w:val="single" w:sz="8" w:color="EBE6F0"/>
            </w:tcBorders>
            <w:shd w:val="clear" w:color="auto" w:fill="EBE6F0"/>
          </w:tcPr>
          <w:p>
            <w:pPr>
              <w:jc w:val="right"/>
              <w:ind w:right="26"/>
              <w:spacing w:after="0"/>
              <w:rPr>
                <w:sz w:val="20"/>
                <w:szCs w:val="20"/>
                <w:color w:val="auto"/>
              </w:rPr>
            </w:pPr>
            <w:r>
              <w:rPr>
                <w:rFonts w:ascii="Arial" w:cs="Arial" w:eastAsia="Arial" w:hAnsi="Arial"/>
                <w:sz w:val="15"/>
                <w:szCs w:val="15"/>
                <w:color w:val="auto"/>
              </w:rPr>
              <w:t>$199,404</w:t>
            </w:r>
          </w:p>
        </w:tc>
        <w:tc>
          <w:tcPr>
            <w:tcW w:w="1960" w:type="dxa"/>
            <w:vAlign w:val="bottom"/>
            <w:tcBorders>
              <w:bottom w:val="single" w:sz="8" w:color="EBE6F0"/>
            </w:tcBorders>
            <w:shd w:val="clear" w:color="auto" w:fill="EBE6F0"/>
          </w:tcPr>
          <w:p>
            <w:pPr>
              <w:jc w:val="right"/>
              <w:ind w:right="6"/>
              <w:spacing w:after="0"/>
              <w:rPr>
                <w:sz w:val="20"/>
                <w:szCs w:val="20"/>
                <w:color w:val="auto"/>
              </w:rPr>
            </w:pPr>
            <w:r>
              <w:rPr>
                <w:rFonts w:ascii="Arial" w:cs="Arial" w:eastAsia="Arial" w:hAnsi="Arial"/>
                <w:sz w:val="15"/>
                <w:szCs w:val="15"/>
                <w:color w:val="auto"/>
              </w:rPr>
              <w:t>$157,787</w:t>
            </w:r>
          </w:p>
        </w:tc>
        <w:tc>
          <w:tcPr>
            <w:tcW w:w="1200" w:type="dxa"/>
            <w:vAlign w:val="bottom"/>
            <w:tcBorders>
              <w:bottom w:val="single" w:sz="8" w:color="EBE6F0"/>
              <w:right w:val="single" w:sz="8" w:color="EBE6F0"/>
            </w:tcBorders>
            <w:shd w:val="clear" w:color="auto" w:fill="EBE6F0"/>
          </w:tcPr>
          <w:p>
            <w:pPr>
              <w:jc w:val="right"/>
              <w:ind w:right="26"/>
              <w:spacing w:after="0"/>
              <w:rPr>
                <w:sz w:val="20"/>
                <w:szCs w:val="20"/>
                <w:color w:val="auto"/>
              </w:rPr>
            </w:pPr>
            <w:r>
              <w:rPr>
                <w:rFonts w:ascii="Arial" w:cs="Arial" w:eastAsia="Arial" w:hAnsi="Arial"/>
                <w:sz w:val="15"/>
                <w:szCs w:val="15"/>
                <w:color w:val="auto"/>
              </w:rPr>
              <w:t>$3,631,858</w:t>
            </w:r>
          </w:p>
        </w:tc>
      </w:tr>
      <w:tr>
        <w:trPr>
          <w:trHeight w:val="20"/>
        </w:trPr>
        <w:tc>
          <w:tcPr>
            <w:tcW w:w="1060" w:type="dxa"/>
            <w:vAlign w:val="bottom"/>
            <w:tcBorders>
              <w:right w:val="single" w:sz="8" w:color="EBE6F0"/>
            </w:tcBorders>
            <w:shd w:val="clear" w:color="auto" w:fill="582C83"/>
          </w:tcPr>
          <w:p>
            <w:pPr>
              <w:spacing w:after="0" w:line="20" w:lineRule="exact"/>
              <w:rPr>
                <w:sz w:val="1"/>
                <w:szCs w:val="1"/>
                <w:color w:val="auto"/>
              </w:rPr>
            </w:pPr>
          </w:p>
        </w:tc>
        <w:tc>
          <w:tcPr>
            <w:tcW w:w="2140" w:type="dxa"/>
            <w:vAlign w:val="bottom"/>
            <w:shd w:val="clear" w:color="auto" w:fill="582C83"/>
          </w:tcPr>
          <w:p>
            <w:pPr>
              <w:spacing w:after="0" w:line="20" w:lineRule="exact"/>
              <w:rPr>
                <w:sz w:val="1"/>
                <w:szCs w:val="1"/>
                <w:color w:val="auto"/>
              </w:rPr>
            </w:pPr>
          </w:p>
        </w:tc>
        <w:tc>
          <w:tcPr>
            <w:tcW w:w="2380" w:type="dxa"/>
            <w:vAlign w:val="bottom"/>
            <w:tcBorders>
              <w:right w:val="single" w:sz="8" w:color="EBE6F0"/>
            </w:tcBorders>
            <w:shd w:val="clear" w:color="auto" w:fill="582C83"/>
          </w:tcPr>
          <w:p>
            <w:pPr>
              <w:spacing w:after="0" w:line="20" w:lineRule="exact"/>
              <w:rPr>
                <w:sz w:val="1"/>
                <w:szCs w:val="1"/>
                <w:color w:val="auto"/>
              </w:rPr>
            </w:pPr>
          </w:p>
        </w:tc>
        <w:tc>
          <w:tcPr>
            <w:tcW w:w="2060" w:type="dxa"/>
            <w:vAlign w:val="bottom"/>
            <w:tcBorders>
              <w:right w:val="single" w:sz="8" w:color="EBE6F0"/>
            </w:tcBorders>
            <w:shd w:val="clear" w:color="auto" w:fill="582C83"/>
          </w:tcPr>
          <w:p>
            <w:pPr>
              <w:spacing w:after="0" w:line="20" w:lineRule="exact"/>
              <w:rPr>
                <w:sz w:val="1"/>
                <w:szCs w:val="1"/>
                <w:color w:val="auto"/>
              </w:rPr>
            </w:pPr>
          </w:p>
        </w:tc>
        <w:tc>
          <w:tcPr>
            <w:tcW w:w="1960" w:type="dxa"/>
            <w:vAlign w:val="bottom"/>
            <w:shd w:val="clear" w:color="auto" w:fill="582C83"/>
          </w:tcPr>
          <w:p>
            <w:pPr>
              <w:spacing w:after="0" w:line="20" w:lineRule="exact"/>
              <w:rPr>
                <w:sz w:val="1"/>
                <w:szCs w:val="1"/>
                <w:color w:val="auto"/>
              </w:rPr>
            </w:pPr>
          </w:p>
        </w:tc>
        <w:tc>
          <w:tcPr>
            <w:tcW w:w="1200" w:type="dxa"/>
            <w:vAlign w:val="bottom"/>
            <w:tcBorders>
              <w:right w:val="single" w:sz="8" w:color="EBE6F0"/>
            </w:tcBorders>
            <w:shd w:val="clear" w:color="auto" w:fill="582C83"/>
          </w:tcPr>
          <w:p>
            <w:pPr>
              <w:spacing w:after="0" w:line="20" w:lineRule="exact"/>
              <w:rPr>
                <w:sz w:val="1"/>
                <w:szCs w:val="1"/>
                <w:color w:val="auto"/>
              </w:rPr>
            </w:pPr>
          </w:p>
        </w:tc>
      </w:tr>
    </w:tbl>
    <w:p>
      <w:pPr>
        <w:spacing w:after="0" w:line="37" w:lineRule="exact"/>
        <w:rPr>
          <w:sz w:val="20"/>
          <w:szCs w:val="20"/>
          <w:color w:val="auto"/>
        </w:rPr>
      </w:pPr>
    </w:p>
    <w:p>
      <w:pPr>
        <w:ind w:left="760" w:hanging="314"/>
        <w:spacing w:after="0"/>
        <w:tabs>
          <w:tab w:leader="none" w:pos="76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Represents the amount reported in our Summary Compensation Table in the “Change in Pension Value” column for the applicable year.</w:t>
      </w:r>
    </w:p>
    <w:p>
      <w:pPr>
        <w:spacing w:after="0" w:line="38" w:lineRule="exact"/>
        <w:rPr>
          <w:rFonts w:ascii="Arial" w:cs="Arial" w:eastAsia="Arial" w:hAnsi="Arial"/>
          <w:sz w:val="15"/>
          <w:szCs w:val="15"/>
          <w:color w:val="auto"/>
        </w:rPr>
      </w:pPr>
    </w:p>
    <w:p>
      <w:pPr>
        <w:ind w:left="760" w:right="220" w:hanging="314"/>
        <w:spacing w:after="0" w:line="253" w:lineRule="auto"/>
        <w:tabs>
          <w:tab w:leader="none" w:pos="76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Represents, for each applicable year, the aggregate of two components: (i) the actuarial determined service cost under the Pension Fund Mondelēz Switzerland for services rendered during the applicable year; and (ii) the entire cost of benefits granted in a plan amendment (or initiation) during the applicable year that are attributed by the benefit formula to services rendered in periods prior to the plan amendment or initiation, in each case, calculated in accordance with U.S. GAAP.</w:t>
      </w:r>
    </w:p>
    <w:p>
      <w:pPr>
        <w:spacing w:after="0" w:line="203" w:lineRule="exact"/>
        <w:rPr>
          <w:rFonts w:ascii="Arial" w:cs="Arial" w:eastAsia="Arial" w:hAnsi="Arial"/>
          <w:sz w:val="15"/>
          <w:szCs w:val="15"/>
          <w:color w:val="auto"/>
        </w:rPr>
      </w:pPr>
    </w:p>
    <w:p>
      <w:pPr>
        <w:ind w:left="380" w:right="440" w:hanging="319"/>
        <w:spacing w:after="0" w:line="286" w:lineRule="auto"/>
        <w:tabs>
          <w:tab w:leader="none" w:pos="3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Cumulative TSR is calculated by dividing the sum of the cumulative amount of dividends for the measurement period, assuming dividend reinvestment and the difference between our share price at the end and the beginning of the measurement period by our share price at the beginning of the measurement period.</w:t>
      </w:r>
    </w:p>
    <w:p>
      <w:pPr>
        <w:spacing w:after="0" w:line="1" w:lineRule="exact"/>
        <w:rPr>
          <w:rFonts w:ascii="Arial" w:cs="Arial" w:eastAsia="Arial" w:hAnsi="Arial"/>
          <w:sz w:val="14"/>
          <w:szCs w:val="14"/>
          <w:color w:val="auto"/>
        </w:rPr>
      </w:pPr>
    </w:p>
    <w:p>
      <w:pPr>
        <w:ind w:left="380" w:right="240" w:hanging="319"/>
        <w:spacing w:after="0" w:line="253" w:lineRule="auto"/>
        <w:tabs>
          <w:tab w:leader="none" w:pos="38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Represents the weighted peer group TSR, weighted according to the respective company’s stock market capitalization at the beginning of each period for which a return is indicated. The peer group used for this purpose is our performance peer group as reported in the Form 10-K of the applicable year, which included Campbell Soup Company, The Coca-Cola Company, Colgate-Palmolive Company, Danone S.A., General Mills, Inc., The Hershey Company, Kellogg Company, The Kraft Heinz Company, Nestlé S.A., PepsiCo, Inc., The Procter &amp; Gamble Company and Unilever PLC.</w:t>
      </w:r>
    </w:p>
    <w:p>
      <w:pPr>
        <w:spacing w:after="0" w:line="5" w:lineRule="exact"/>
        <w:rPr>
          <w:rFonts w:ascii="Arial" w:cs="Arial" w:eastAsia="Arial" w:hAnsi="Arial"/>
          <w:sz w:val="15"/>
          <w:szCs w:val="15"/>
          <w:color w:val="auto"/>
        </w:rPr>
      </w:pPr>
    </w:p>
    <w:p>
      <w:pPr>
        <w:ind w:left="380" w:right="440" w:hanging="319"/>
        <w:spacing w:after="0" w:line="267" w:lineRule="auto"/>
        <w:tabs>
          <w:tab w:leader="none" w:pos="38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Dollar values stated in millions. The dollar amounts reported represent the amount of net income reflected in our audited financial statements for the applicable year.</w:t>
      </w:r>
    </w:p>
    <w:p>
      <w:pPr>
        <w:spacing w:after="0" w:line="1" w:lineRule="exact"/>
        <w:rPr>
          <w:rFonts w:ascii="Arial" w:cs="Arial" w:eastAsia="Arial" w:hAnsi="Arial"/>
          <w:sz w:val="15"/>
          <w:szCs w:val="15"/>
          <w:color w:val="auto"/>
        </w:rPr>
      </w:pPr>
    </w:p>
    <w:p>
      <w:pPr>
        <w:ind w:left="380" w:right="620" w:hanging="319"/>
        <w:spacing w:after="0" w:line="275" w:lineRule="auto"/>
        <w:tabs>
          <w:tab w:leader="none" w:pos="38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percentages reported represent the amount of adjusted gross profit growth. A more detailed discussion, including definitions of such financial measures appears in 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42"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58358F"/>
        </w:rPr>
        <w:t>2023 PROXY STATEMENT |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16" w:name="page117"/>
    <w:bookmarkEnd w:id="116"/>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
        <w:spacing w:after="0"/>
        <w:rPr>
          <w:sz w:val="20"/>
          <w:szCs w:val="20"/>
          <w:color w:val="auto"/>
        </w:rPr>
      </w:pPr>
      <w:r>
        <w:rPr>
          <w:rFonts w:ascii="Arial" w:cs="Arial" w:eastAsia="Arial" w:hAnsi="Arial"/>
          <w:sz w:val="22"/>
          <w:szCs w:val="22"/>
          <w:b w:val="1"/>
          <w:bCs w:val="1"/>
          <w:i w:val="1"/>
          <w:iCs w:val="1"/>
          <w:color w:val="582C83"/>
        </w:rPr>
        <w:t>FINANCIAL PERFORMANCE MEASURES</w:t>
      </w:r>
    </w:p>
    <w:p>
      <w:pPr>
        <w:spacing w:after="0" w:line="92" w:lineRule="exact"/>
        <w:rPr>
          <w:sz w:val="20"/>
          <w:szCs w:val="20"/>
          <w:color w:val="auto"/>
        </w:rPr>
      </w:pPr>
    </w:p>
    <w:p>
      <w:pPr>
        <w:ind w:left="1" w:right="20"/>
        <w:spacing w:after="0" w:line="242" w:lineRule="auto"/>
        <w:rPr>
          <w:sz w:val="20"/>
          <w:szCs w:val="20"/>
          <w:color w:val="auto"/>
        </w:rPr>
      </w:pPr>
      <w:r>
        <w:rPr>
          <w:rFonts w:ascii="Arial" w:cs="Arial" w:eastAsia="Arial" w:hAnsi="Arial"/>
          <w:sz w:val="20"/>
          <w:szCs w:val="20"/>
          <w:color w:val="auto"/>
        </w:rPr>
        <w:t>As described in greater detail in “Compensation Discussion and Analysis,” our executive compensation program reflects a variable pay-for-performance philosophy. The metrics that we use for our executive awards are selected based on an objective of incentivizing our NEOs to increase the value of our enterprise for our shareholders. The most important financial performance measures we used to link executive compensation actually paid to our NEOs, for the most recently completed fiscal year, to our performance are as follows:</w:t>
      </w:r>
    </w:p>
    <w:p>
      <w:pPr>
        <w:spacing w:after="0" w:line="132" w:lineRule="exact"/>
        <w:rPr>
          <w:sz w:val="20"/>
          <w:szCs w:val="20"/>
          <w:color w:val="auto"/>
        </w:rPr>
      </w:pPr>
    </w:p>
    <w:p>
      <w:pPr>
        <w:ind w:left="161" w:hanging="161"/>
        <w:spacing w:after="0"/>
        <w:tabs>
          <w:tab w:leader="none" w:pos="161" w:val="left"/>
        </w:tabs>
        <w:numPr>
          <w:ilvl w:val="0"/>
          <w:numId w:val="102"/>
        </w:numPr>
        <w:rPr>
          <w:rFonts w:ascii="Arial" w:cs="Arial" w:eastAsia="Arial" w:hAnsi="Arial"/>
          <w:sz w:val="20"/>
          <w:szCs w:val="20"/>
          <w:color w:val="582C83"/>
        </w:rPr>
      </w:pPr>
      <w:r>
        <w:rPr>
          <w:rFonts w:ascii="Arial" w:cs="Arial" w:eastAsia="Arial" w:hAnsi="Arial"/>
          <w:sz w:val="20"/>
          <w:szCs w:val="20"/>
          <w:color w:val="auto"/>
        </w:rPr>
        <w:t>Organic Volume Growth</w:t>
      </w:r>
    </w:p>
    <w:p>
      <w:pPr>
        <w:spacing w:after="0" w:line="92" w:lineRule="exact"/>
        <w:rPr>
          <w:rFonts w:ascii="Arial" w:cs="Arial" w:eastAsia="Arial" w:hAnsi="Arial"/>
          <w:sz w:val="20"/>
          <w:szCs w:val="20"/>
          <w:color w:val="582C83"/>
        </w:rPr>
      </w:pPr>
    </w:p>
    <w:p>
      <w:pPr>
        <w:ind w:left="161" w:hanging="161"/>
        <w:spacing w:after="0"/>
        <w:tabs>
          <w:tab w:leader="none" w:pos="161" w:val="left"/>
        </w:tabs>
        <w:numPr>
          <w:ilvl w:val="0"/>
          <w:numId w:val="102"/>
        </w:numPr>
        <w:rPr>
          <w:rFonts w:ascii="Arial" w:cs="Arial" w:eastAsia="Arial" w:hAnsi="Arial"/>
          <w:sz w:val="20"/>
          <w:szCs w:val="20"/>
          <w:color w:val="582C83"/>
        </w:rPr>
      </w:pPr>
      <w:r>
        <w:rPr>
          <w:rFonts w:ascii="Arial" w:cs="Arial" w:eastAsia="Arial" w:hAnsi="Arial"/>
          <w:sz w:val="20"/>
          <w:szCs w:val="20"/>
          <w:color w:val="auto"/>
        </w:rPr>
        <w:t>Organic Net Revenue Growth</w:t>
      </w:r>
    </w:p>
    <w:p>
      <w:pPr>
        <w:spacing w:after="0" w:line="92" w:lineRule="exact"/>
        <w:rPr>
          <w:rFonts w:ascii="Arial" w:cs="Arial" w:eastAsia="Arial" w:hAnsi="Arial"/>
          <w:sz w:val="20"/>
          <w:szCs w:val="20"/>
          <w:color w:val="582C83"/>
        </w:rPr>
      </w:pPr>
    </w:p>
    <w:p>
      <w:pPr>
        <w:ind w:left="161" w:hanging="161"/>
        <w:spacing w:after="0"/>
        <w:tabs>
          <w:tab w:leader="none" w:pos="161" w:val="left"/>
        </w:tabs>
        <w:numPr>
          <w:ilvl w:val="0"/>
          <w:numId w:val="102"/>
        </w:numPr>
        <w:rPr>
          <w:rFonts w:ascii="Arial" w:cs="Arial" w:eastAsia="Arial" w:hAnsi="Arial"/>
          <w:sz w:val="20"/>
          <w:szCs w:val="20"/>
          <w:color w:val="582C83"/>
        </w:rPr>
      </w:pPr>
      <w:r>
        <w:rPr>
          <w:rFonts w:ascii="Arial" w:cs="Arial" w:eastAsia="Arial" w:hAnsi="Arial"/>
          <w:sz w:val="20"/>
          <w:szCs w:val="20"/>
          <w:color w:val="auto"/>
        </w:rPr>
        <w:t>Adjusted Gross Profit Growth</w:t>
      </w:r>
    </w:p>
    <w:p>
      <w:pPr>
        <w:spacing w:after="0" w:line="92" w:lineRule="exact"/>
        <w:rPr>
          <w:rFonts w:ascii="Arial" w:cs="Arial" w:eastAsia="Arial" w:hAnsi="Arial"/>
          <w:sz w:val="20"/>
          <w:szCs w:val="20"/>
          <w:color w:val="582C83"/>
        </w:rPr>
      </w:pPr>
    </w:p>
    <w:p>
      <w:pPr>
        <w:ind w:left="161" w:hanging="161"/>
        <w:spacing w:after="0"/>
        <w:tabs>
          <w:tab w:leader="none" w:pos="161" w:val="left"/>
        </w:tabs>
        <w:numPr>
          <w:ilvl w:val="0"/>
          <w:numId w:val="102"/>
        </w:numPr>
        <w:rPr>
          <w:rFonts w:ascii="Arial" w:cs="Arial" w:eastAsia="Arial" w:hAnsi="Arial"/>
          <w:sz w:val="20"/>
          <w:szCs w:val="20"/>
          <w:color w:val="582C83"/>
        </w:rPr>
      </w:pPr>
      <w:r>
        <w:rPr>
          <w:rFonts w:ascii="Arial" w:cs="Arial" w:eastAsia="Arial" w:hAnsi="Arial"/>
          <w:sz w:val="20"/>
          <w:szCs w:val="20"/>
          <w:color w:val="auto"/>
        </w:rPr>
        <w:t>Adjusted Operating Income Growth</w:t>
      </w:r>
    </w:p>
    <w:p>
      <w:pPr>
        <w:spacing w:after="0" w:line="92" w:lineRule="exact"/>
        <w:rPr>
          <w:rFonts w:ascii="Arial" w:cs="Arial" w:eastAsia="Arial" w:hAnsi="Arial"/>
          <w:sz w:val="20"/>
          <w:szCs w:val="20"/>
          <w:color w:val="582C83"/>
        </w:rPr>
      </w:pPr>
    </w:p>
    <w:p>
      <w:pPr>
        <w:ind w:left="161" w:hanging="161"/>
        <w:spacing w:after="0"/>
        <w:tabs>
          <w:tab w:leader="none" w:pos="161" w:val="left"/>
        </w:tabs>
        <w:numPr>
          <w:ilvl w:val="0"/>
          <w:numId w:val="102"/>
        </w:numPr>
        <w:rPr>
          <w:rFonts w:ascii="Arial" w:cs="Arial" w:eastAsia="Arial" w:hAnsi="Arial"/>
          <w:sz w:val="20"/>
          <w:szCs w:val="20"/>
          <w:color w:val="582C83"/>
        </w:rPr>
      </w:pPr>
      <w:r>
        <w:rPr>
          <w:rFonts w:ascii="Arial" w:cs="Arial" w:eastAsia="Arial" w:hAnsi="Arial"/>
          <w:sz w:val="20"/>
          <w:szCs w:val="20"/>
          <w:color w:val="auto"/>
        </w:rPr>
        <w:t>Market Share</w:t>
      </w:r>
    </w:p>
    <w:p>
      <w:pPr>
        <w:spacing w:after="0" w:line="92" w:lineRule="exact"/>
        <w:rPr>
          <w:rFonts w:ascii="Arial" w:cs="Arial" w:eastAsia="Arial" w:hAnsi="Arial"/>
          <w:sz w:val="20"/>
          <w:szCs w:val="20"/>
          <w:color w:val="582C83"/>
        </w:rPr>
      </w:pPr>
    </w:p>
    <w:p>
      <w:pPr>
        <w:ind w:left="161" w:hanging="161"/>
        <w:spacing w:after="0"/>
        <w:tabs>
          <w:tab w:leader="none" w:pos="161" w:val="left"/>
        </w:tabs>
        <w:numPr>
          <w:ilvl w:val="0"/>
          <w:numId w:val="102"/>
        </w:numPr>
        <w:rPr>
          <w:rFonts w:ascii="Arial" w:cs="Arial" w:eastAsia="Arial" w:hAnsi="Arial"/>
          <w:sz w:val="20"/>
          <w:szCs w:val="20"/>
          <w:color w:val="582C83"/>
        </w:rPr>
      </w:pPr>
      <w:r>
        <w:rPr>
          <w:rFonts w:ascii="Arial" w:cs="Arial" w:eastAsia="Arial" w:hAnsi="Arial"/>
          <w:sz w:val="20"/>
          <w:szCs w:val="20"/>
          <w:color w:val="auto"/>
        </w:rPr>
        <w:t>Adjusted Earnings Per Share Growth</w:t>
      </w:r>
    </w:p>
    <w:p>
      <w:pPr>
        <w:spacing w:after="0" w:line="92" w:lineRule="exact"/>
        <w:rPr>
          <w:rFonts w:ascii="Arial" w:cs="Arial" w:eastAsia="Arial" w:hAnsi="Arial"/>
          <w:sz w:val="20"/>
          <w:szCs w:val="20"/>
          <w:color w:val="582C83"/>
        </w:rPr>
      </w:pPr>
    </w:p>
    <w:p>
      <w:pPr>
        <w:ind w:left="161" w:hanging="161"/>
        <w:spacing w:after="0"/>
        <w:tabs>
          <w:tab w:leader="none" w:pos="161" w:val="left"/>
        </w:tabs>
        <w:numPr>
          <w:ilvl w:val="0"/>
          <w:numId w:val="102"/>
        </w:numPr>
        <w:rPr>
          <w:rFonts w:ascii="Arial" w:cs="Arial" w:eastAsia="Arial" w:hAnsi="Arial"/>
          <w:sz w:val="20"/>
          <w:szCs w:val="20"/>
          <w:color w:val="582C83"/>
        </w:rPr>
      </w:pPr>
      <w:r>
        <w:rPr>
          <w:rFonts w:ascii="Arial" w:cs="Arial" w:eastAsia="Arial" w:hAnsi="Arial"/>
          <w:sz w:val="20"/>
          <w:szCs w:val="20"/>
          <w:color w:val="auto"/>
        </w:rPr>
        <w:t>Annualized Relative Total Shareholder Return</w:t>
      </w:r>
    </w:p>
    <w:p>
      <w:pPr>
        <w:spacing w:after="0" w:line="200" w:lineRule="exact"/>
        <w:rPr>
          <w:sz w:val="20"/>
          <w:szCs w:val="20"/>
          <w:color w:val="auto"/>
        </w:rPr>
      </w:pPr>
    </w:p>
    <w:p>
      <w:pPr>
        <w:spacing w:after="0" w:line="230" w:lineRule="exact"/>
        <w:rPr>
          <w:sz w:val="20"/>
          <w:szCs w:val="20"/>
          <w:color w:val="auto"/>
        </w:rPr>
      </w:pPr>
    </w:p>
    <w:p>
      <w:pPr>
        <w:ind w:left="1"/>
        <w:spacing w:after="0"/>
        <w:rPr>
          <w:sz w:val="20"/>
          <w:szCs w:val="20"/>
          <w:color w:val="auto"/>
        </w:rPr>
      </w:pPr>
      <w:r>
        <w:rPr>
          <w:rFonts w:ascii="Arial" w:cs="Arial" w:eastAsia="Arial" w:hAnsi="Arial"/>
          <w:sz w:val="22"/>
          <w:szCs w:val="22"/>
          <w:b w:val="1"/>
          <w:bCs w:val="1"/>
          <w:i w:val="1"/>
          <w:iCs w:val="1"/>
          <w:color w:val="582C83"/>
        </w:rPr>
        <w:t>ANALYSIS OF THE INFORMATION PRESENTED IN THE PAY VERSUS PERFORMANCE TABLE</w:t>
      </w:r>
    </w:p>
    <w:p>
      <w:pPr>
        <w:spacing w:after="0" w:line="92" w:lineRule="exact"/>
        <w:rPr>
          <w:sz w:val="20"/>
          <w:szCs w:val="20"/>
          <w:color w:val="auto"/>
        </w:rPr>
      </w:pPr>
    </w:p>
    <w:p>
      <w:pPr>
        <w:ind w:left="1" w:right="460"/>
        <w:spacing w:after="0" w:line="239" w:lineRule="auto"/>
        <w:rPr>
          <w:sz w:val="20"/>
          <w:szCs w:val="20"/>
          <w:color w:val="auto"/>
        </w:rPr>
      </w:pPr>
      <w:r>
        <w:rPr>
          <w:rFonts w:ascii="Arial" w:cs="Arial" w:eastAsia="Arial" w:hAnsi="Arial"/>
          <w:sz w:val="20"/>
          <w:szCs w:val="20"/>
          <w:color w:val="auto"/>
        </w:rPr>
        <w:t>As described in more detail in the section “Compensation Discussion and Analysis,” our executive compensation program reflects a variable pay-for-performance philosophy. While we utilize several performance measures to align executive compensation with our performance, not all of those performance measures are presented in the Pay Versus Performance table. Moreover, we generally seek to incentivize long-term performance, and therefore we do not specifically align our performance measures with compensation that is actually paid (as computed in accordance with SEC rules) for a particular year. In accordance with SEC rules, we are providing the following descriptions of the relationships between information presented in the Pay Versus Performance table.</w:t>
      </w:r>
    </w:p>
    <w:p>
      <w:pPr>
        <w:spacing w:after="0" w:line="135" w:lineRule="exact"/>
        <w:rPr>
          <w:sz w:val="20"/>
          <w:szCs w:val="20"/>
          <w:color w:val="auto"/>
        </w:rPr>
      </w:pPr>
    </w:p>
    <w:p>
      <w:pPr>
        <w:ind w:left="1" w:right="120"/>
        <w:spacing w:after="0"/>
        <w:rPr>
          <w:sz w:val="20"/>
          <w:szCs w:val="20"/>
          <w:color w:val="auto"/>
        </w:rPr>
      </w:pPr>
      <w:r>
        <w:rPr>
          <w:rFonts w:ascii="Arial" w:cs="Arial" w:eastAsia="Arial" w:hAnsi="Arial"/>
          <w:sz w:val="20"/>
          <w:szCs w:val="20"/>
          <w:color w:val="auto"/>
        </w:rPr>
        <w:t>Overall, our executive compensation is closely aligned with shareholder returns. As the stock price has appreciated over the past three years, our executive compensation has also increased given that on average over 65% of our NEO’s total compensation is in the form of equity. We do not use net income as a financial performance measure that determines compensation levels or incentive plan payouts for our NEOs, therefore compensation actually paid and net income do not have a direct relationship. We have chosen adjusted gross profit growth as our company-selected metric as it is weighted at 35% in our annual incentive plan, and therefore has an impact on our compensation actually paid for the applicable year.</w:t>
      </w:r>
    </w:p>
    <w:p>
      <w:pPr>
        <w:spacing w:after="0" w:line="135" w:lineRule="exact"/>
        <w:rPr>
          <w:sz w:val="20"/>
          <w:szCs w:val="20"/>
          <w:color w:val="auto"/>
        </w:rPr>
      </w:pPr>
    </w:p>
    <w:p>
      <w:pPr>
        <w:jc w:val="both"/>
        <w:ind w:left="1" w:right="60"/>
        <w:spacing w:after="0" w:line="250" w:lineRule="auto"/>
        <w:rPr>
          <w:sz w:val="20"/>
          <w:szCs w:val="20"/>
          <w:color w:val="auto"/>
        </w:rPr>
      </w:pPr>
      <w:r>
        <w:rPr>
          <w:rFonts w:ascii="Arial" w:cs="Arial" w:eastAsia="Arial" w:hAnsi="Arial"/>
          <w:sz w:val="20"/>
          <w:szCs w:val="20"/>
          <w:color w:val="auto"/>
        </w:rPr>
        <w:t>The following charts demonstrate the relationship between compensation actually paid to Mr. Van de Put, the Company’s CEO, and average compensation actually paid to other NEOs and various performance measures of the Company for the fiscal years ending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7143115"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6816725</wp:posOffset>
            </wp:positionV>
            <wp:extent cx="7143115" cy="76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788035</wp:posOffset>
            </wp:positionH>
            <wp:positionV relativeFrom="paragraph">
              <wp:posOffset>454025</wp:posOffset>
            </wp:positionV>
            <wp:extent cx="5566410" cy="17348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566410" cy="1734820"/>
                    </a:xfrm>
                    <a:prstGeom prst="rect">
                      <a:avLst/>
                    </a:prstGeom>
                    <a:noFill/>
                  </pic:spPr>
                </pic:pic>
              </a:graphicData>
            </a:graphic>
          </wp:anchor>
        </w:drawing>
        <w:drawing>
          <wp:anchor simplePos="0" relativeHeight="251657728" behindDoc="1" locked="0" layoutInCell="0" allowOverlap="1">
            <wp:simplePos x="0" y="0"/>
            <wp:positionH relativeFrom="column">
              <wp:posOffset>788035</wp:posOffset>
            </wp:positionH>
            <wp:positionV relativeFrom="paragraph">
              <wp:posOffset>2630170</wp:posOffset>
            </wp:positionV>
            <wp:extent cx="5566410" cy="17348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566410" cy="1734820"/>
                    </a:xfrm>
                    <a:prstGeom prst="rect">
                      <a:avLst/>
                    </a:prstGeom>
                    <a:noFill/>
                  </pic:spPr>
                </pic:pic>
              </a:graphicData>
            </a:graphic>
          </wp:anchor>
        </w:drawing>
        <w:drawing>
          <wp:anchor simplePos="0" relativeHeight="251657728" behindDoc="1" locked="0" layoutInCell="0" allowOverlap="1">
            <wp:simplePos x="0" y="0"/>
            <wp:positionH relativeFrom="column">
              <wp:posOffset>788035</wp:posOffset>
            </wp:positionH>
            <wp:positionV relativeFrom="paragraph">
              <wp:posOffset>4806315</wp:posOffset>
            </wp:positionV>
            <wp:extent cx="5566410" cy="17348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566410" cy="1734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320040</wp:posOffset>
            </wp:positionV>
            <wp:extent cx="6307455" cy="1545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0"/>
        <w:spacing w:after="0"/>
        <w:rPr>
          <w:sz w:val="20"/>
          <w:szCs w:val="20"/>
          <w:color w:val="auto"/>
        </w:rPr>
      </w:pPr>
      <w:r>
        <w:rPr>
          <w:rFonts w:ascii="Arial" w:cs="Arial" w:eastAsia="Arial" w:hAnsi="Arial"/>
          <w:sz w:val="43"/>
          <w:szCs w:val="43"/>
          <w:b w:val="1"/>
          <w:bCs w:val="1"/>
          <w:color w:val="582C83"/>
        </w:rPr>
        <w:t>OWNERSHIP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right="660"/>
        <w:spacing w:after="0" w:line="242" w:lineRule="auto"/>
        <w:rPr>
          <w:sz w:val="20"/>
          <w:szCs w:val="20"/>
          <w:color w:val="auto"/>
        </w:rPr>
      </w:pPr>
      <w:r>
        <w:rPr>
          <w:rFonts w:ascii="Arial" w:cs="Arial" w:eastAsia="Arial" w:hAnsi="Arial"/>
          <w:sz w:val="20"/>
          <w:szCs w:val="20"/>
          <w:color w:val="auto"/>
        </w:rPr>
        <w:t>The following table shows the number of shares of Common Stock beneficially owned as of March 8, 2023, unless otherwise noted, by each director and NEO, as well as the number of shares beneficially owned by all of our current directors and executive officers as a group. None of the Common Stock owned by these individuals is subject to any pledge. Unless otherwise indicated, each of the named individuals has sole voting and investment power with respect to the shares shown.</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22"/>
        </w:trPr>
        <w:tc>
          <w:tcPr>
            <w:tcW w:w="4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Deferred</w:t>
            </w: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4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Stock Units/</w:t>
            </w:r>
          </w:p>
        </w:tc>
        <w:tc>
          <w:tcPr>
            <w:tcW w:w="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Beneficially</w:t>
            </w:r>
          </w:p>
        </w:tc>
      </w:tr>
      <w:tr>
        <w:trPr>
          <w:trHeight w:val="223"/>
        </w:trPr>
        <w:tc>
          <w:tcPr>
            <w:tcW w:w="4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Beneficially</w:t>
            </w: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Additional</w:t>
            </w:r>
          </w:p>
        </w:tc>
        <w:tc>
          <w:tcPr>
            <w:tcW w:w="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Owned Shares</w:t>
            </w:r>
          </w:p>
        </w:tc>
      </w:tr>
      <w:tr>
        <w:trPr>
          <w:trHeight w:val="225"/>
        </w:trPr>
        <w:tc>
          <w:tcPr>
            <w:tcW w:w="4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Owned</w:t>
            </w: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Underlying</w:t>
            </w:r>
          </w:p>
        </w:tc>
        <w:tc>
          <w:tcPr>
            <w:tcW w:w="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Interests</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Percent of</w:t>
            </w:r>
          </w:p>
        </w:tc>
      </w:tr>
      <w:tr>
        <w:trPr>
          <w:trHeight w:val="277"/>
        </w:trPr>
        <w:tc>
          <w:tcPr>
            <w:tcW w:w="482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Name of Beneficial Owner</w:t>
            </w:r>
          </w:p>
        </w:tc>
        <w:tc>
          <w:tcPr>
            <w:tcW w:w="1280" w:type="dxa"/>
            <w:vAlign w:val="bottom"/>
            <w:tcBorders>
              <w:bottom w:val="single" w:sz="8" w:color="582C83"/>
            </w:tcBorders>
          </w:tcPr>
          <w:p>
            <w:pPr>
              <w:jc w:val="right"/>
              <w:spacing w:after="0" w:line="260" w:lineRule="exact"/>
              <w:rPr>
                <w:sz w:val="20"/>
                <w:szCs w:val="20"/>
                <w:color w:val="auto"/>
              </w:rPr>
            </w:pPr>
            <w:r>
              <w:rPr>
                <w:rFonts w:ascii="Arial" w:cs="Arial" w:eastAsia="Arial" w:hAnsi="Arial"/>
                <w:sz w:val="16"/>
                <w:szCs w:val="16"/>
                <w:b w:val="1"/>
                <w:bCs w:val="1"/>
                <w:color w:val="auto"/>
              </w:rPr>
              <w:t>Shares</w:t>
            </w:r>
            <w:r>
              <w:rPr>
                <w:rFonts w:ascii="Arial" w:cs="Arial" w:eastAsia="Arial" w:hAnsi="Arial"/>
                <w:sz w:val="26"/>
                <w:szCs w:val="26"/>
                <w:b w:val="1"/>
                <w:bCs w:val="1"/>
                <w:color w:val="auto"/>
                <w:vertAlign w:val="superscript"/>
              </w:rPr>
              <w:t>(1)</w:t>
            </w:r>
          </w:p>
        </w:tc>
        <w:tc>
          <w:tcPr>
            <w:tcW w:w="20" w:type="dxa"/>
            <w:vAlign w:val="bottom"/>
            <w:tcBorders>
              <w:bottom w:val="single" w:sz="8" w:color="582C83"/>
            </w:tcBorders>
          </w:tcPr>
          <w:p>
            <w:pPr>
              <w:spacing w:after="0"/>
              <w:rPr>
                <w:sz w:val="24"/>
                <w:szCs w:val="24"/>
                <w:color w:val="auto"/>
              </w:rPr>
            </w:pPr>
          </w:p>
        </w:tc>
        <w:tc>
          <w:tcPr>
            <w:tcW w:w="1280" w:type="dxa"/>
            <w:vAlign w:val="bottom"/>
            <w:tcBorders>
              <w:bottom w:val="single" w:sz="8" w:color="582C83"/>
            </w:tcBorders>
          </w:tcPr>
          <w:p>
            <w:pPr>
              <w:jc w:val="right"/>
              <w:spacing w:after="0" w:line="260" w:lineRule="exact"/>
              <w:rPr>
                <w:sz w:val="20"/>
                <w:szCs w:val="20"/>
                <w:color w:val="auto"/>
              </w:rPr>
            </w:pPr>
            <w:r>
              <w:rPr>
                <w:rFonts w:ascii="Arial" w:cs="Arial" w:eastAsia="Arial" w:hAnsi="Arial"/>
                <w:sz w:val="16"/>
                <w:szCs w:val="16"/>
                <w:b w:val="1"/>
                <w:bCs w:val="1"/>
                <w:color w:val="auto"/>
              </w:rPr>
              <w:t>Units</w:t>
            </w:r>
            <w:r>
              <w:rPr>
                <w:rFonts w:ascii="Arial" w:cs="Arial" w:eastAsia="Arial" w:hAnsi="Arial"/>
                <w:sz w:val="26"/>
                <w:szCs w:val="26"/>
                <w:b w:val="1"/>
                <w:bCs w:val="1"/>
                <w:color w:val="auto"/>
                <w:vertAlign w:val="superscript"/>
              </w:rPr>
              <w:t>(2)</w:t>
            </w:r>
          </w:p>
        </w:tc>
        <w:tc>
          <w:tcPr>
            <w:tcW w:w="20" w:type="dxa"/>
            <w:vAlign w:val="bottom"/>
            <w:tcBorders>
              <w:bottom w:val="single" w:sz="8" w:color="582C83"/>
            </w:tcBorders>
          </w:tcPr>
          <w:p>
            <w:pPr>
              <w:spacing w:after="0"/>
              <w:rPr>
                <w:sz w:val="24"/>
                <w:szCs w:val="24"/>
                <w:color w:val="auto"/>
              </w:rPr>
            </w:pPr>
          </w:p>
        </w:tc>
        <w:tc>
          <w:tcPr>
            <w:tcW w:w="126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Held</w:t>
            </w:r>
          </w:p>
        </w:tc>
        <w:tc>
          <w:tcPr>
            <w:tcW w:w="1260" w:type="dxa"/>
            <w:vAlign w:val="bottom"/>
            <w:tcBorders>
              <w:bottom w:val="single" w:sz="8" w:color="582C83"/>
            </w:tcBorders>
          </w:tcPr>
          <w:p>
            <w:pPr>
              <w:jc w:val="right"/>
              <w:spacing w:after="0" w:line="260" w:lineRule="exact"/>
              <w:rPr>
                <w:sz w:val="20"/>
                <w:szCs w:val="20"/>
                <w:color w:val="auto"/>
              </w:rPr>
            </w:pPr>
            <w:r>
              <w:rPr>
                <w:rFonts w:ascii="Arial" w:cs="Arial" w:eastAsia="Arial" w:hAnsi="Arial"/>
                <w:sz w:val="16"/>
                <w:szCs w:val="16"/>
                <w:b w:val="1"/>
                <w:bCs w:val="1"/>
                <w:color w:val="auto"/>
              </w:rPr>
              <w:t>Class</w:t>
            </w:r>
            <w:r>
              <w:rPr>
                <w:rFonts w:ascii="Arial" w:cs="Arial" w:eastAsia="Arial" w:hAnsi="Arial"/>
                <w:sz w:val="26"/>
                <w:szCs w:val="26"/>
                <w:b w:val="1"/>
                <w:bCs w:val="1"/>
                <w:color w:val="auto"/>
                <w:vertAlign w:val="superscript"/>
              </w:rPr>
              <w:t>(3)</w:t>
            </w:r>
          </w:p>
        </w:tc>
      </w:tr>
      <w:tr>
        <w:trPr>
          <w:trHeight w:val="291"/>
        </w:trPr>
        <w:tc>
          <w:tcPr>
            <w:tcW w:w="48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Current Directors:</w:t>
            </w:r>
          </w:p>
        </w:tc>
        <w:tc>
          <w:tcPr>
            <w:tcW w:w="1280" w:type="dxa"/>
            <w:vAlign w:val="bottom"/>
            <w:tcBorders>
              <w:bottom w:val="single" w:sz="8" w:color="EBE6F0"/>
            </w:tcBorders>
            <w:shd w:val="clear" w:color="auto" w:fill="EBE6F0"/>
          </w:tcPr>
          <w:p>
            <w:pPr>
              <w:spacing w:after="0"/>
              <w:rPr>
                <w:sz w:val="24"/>
                <w:szCs w:val="24"/>
                <w:color w:val="auto"/>
              </w:rPr>
            </w:pPr>
          </w:p>
        </w:tc>
        <w:tc>
          <w:tcPr>
            <w:tcW w:w="20" w:type="dxa"/>
            <w:vAlign w:val="bottom"/>
            <w:tcBorders>
              <w:bottom w:val="single" w:sz="8" w:color="EBE6F0"/>
            </w:tcBorders>
            <w:shd w:val="clear" w:color="auto" w:fill="EBE6F0"/>
          </w:tcPr>
          <w:p>
            <w:pPr>
              <w:spacing w:after="0"/>
              <w:rPr>
                <w:sz w:val="24"/>
                <w:szCs w:val="24"/>
                <w:color w:val="auto"/>
              </w:rPr>
            </w:pPr>
          </w:p>
        </w:tc>
        <w:tc>
          <w:tcPr>
            <w:tcW w:w="1280" w:type="dxa"/>
            <w:vAlign w:val="bottom"/>
            <w:tcBorders>
              <w:bottom w:val="single" w:sz="8" w:color="EBE6F0"/>
            </w:tcBorders>
            <w:shd w:val="clear" w:color="auto" w:fill="EBE6F0"/>
          </w:tcPr>
          <w:p>
            <w:pPr>
              <w:spacing w:after="0"/>
              <w:rPr>
                <w:sz w:val="24"/>
                <w:szCs w:val="24"/>
                <w:color w:val="auto"/>
              </w:rPr>
            </w:pPr>
          </w:p>
        </w:tc>
        <w:tc>
          <w:tcPr>
            <w:tcW w:w="20" w:type="dxa"/>
            <w:vAlign w:val="bottom"/>
            <w:tcBorders>
              <w:bottom w:val="single" w:sz="8" w:color="EBE6F0"/>
            </w:tcBorders>
            <w:shd w:val="clear" w:color="auto" w:fill="EBE6F0"/>
          </w:tcPr>
          <w:p>
            <w:pPr>
              <w:spacing w:after="0"/>
              <w:rPr>
                <w:sz w:val="24"/>
                <w:szCs w:val="24"/>
                <w:color w:val="auto"/>
              </w:rPr>
            </w:pPr>
          </w:p>
        </w:tc>
        <w:tc>
          <w:tcPr>
            <w:tcW w:w="1260" w:type="dxa"/>
            <w:vAlign w:val="bottom"/>
            <w:tcBorders>
              <w:bottom w:val="single" w:sz="8" w:color="EBE6F0"/>
            </w:tcBorders>
            <w:shd w:val="clear" w:color="auto" w:fill="EBE6F0"/>
          </w:tcPr>
          <w:p>
            <w:pPr>
              <w:spacing w:after="0"/>
              <w:rPr>
                <w:sz w:val="24"/>
                <w:szCs w:val="24"/>
                <w:color w:val="auto"/>
              </w:rPr>
            </w:pPr>
          </w:p>
        </w:tc>
        <w:tc>
          <w:tcPr>
            <w:tcW w:w="1260" w:type="dxa"/>
            <w:vAlign w:val="bottom"/>
            <w:tcBorders>
              <w:bottom w:val="single" w:sz="8" w:color="EBE6F0"/>
            </w:tcBorders>
            <w:shd w:val="clear" w:color="auto" w:fill="EBE6F0"/>
          </w:tcPr>
          <w:p>
            <w:pPr>
              <w:spacing w:after="0"/>
              <w:rPr>
                <w:sz w:val="24"/>
                <w:szCs w:val="24"/>
                <w:color w:val="auto"/>
              </w:rPr>
            </w:pPr>
          </w:p>
        </w:tc>
      </w:tr>
      <w:tr>
        <w:trPr>
          <w:trHeight w:val="243"/>
        </w:trPr>
        <w:tc>
          <w:tcPr>
            <w:tcW w:w="482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Booth, Lewis W.K.</w:t>
            </w:r>
          </w:p>
        </w:tc>
        <w:tc>
          <w:tcPr>
            <w:tcW w:w="12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15,900</w:t>
            </w:r>
          </w:p>
        </w:tc>
        <w:tc>
          <w:tcPr>
            <w:tcW w:w="20" w:type="dxa"/>
            <w:vAlign w:val="bottom"/>
            <w:tcBorders>
              <w:top w:val="single" w:sz="8" w:color="EBE6F0"/>
            </w:tcBorders>
          </w:tcPr>
          <w:p>
            <w:pPr>
              <w:spacing w:after="0"/>
              <w:rPr>
                <w:sz w:val="21"/>
                <w:szCs w:val="21"/>
                <w:color w:val="auto"/>
              </w:rPr>
            </w:pPr>
          </w:p>
        </w:tc>
        <w:tc>
          <w:tcPr>
            <w:tcW w:w="12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45,906</w:t>
            </w:r>
          </w:p>
        </w:tc>
        <w:tc>
          <w:tcPr>
            <w:tcW w:w="20" w:type="dxa"/>
            <w:vAlign w:val="bottom"/>
            <w:tcBorders>
              <w:top w:val="single" w:sz="8" w:color="EBE6F0"/>
            </w:tcBorders>
          </w:tcPr>
          <w:p>
            <w:pPr>
              <w:spacing w:after="0"/>
              <w:rPr>
                <w:sz w:val="21"/>
                <w:szCs w:val="21"/>
                <w:color w:val="auto"/>
              </w:rPr>
            </w:pPr>
          </w:p>
        </w:tc>
        <w:tc>
          <w:tcPr>
            <w:tcW w:w="12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61,806</w:t>
            </w:r>
          </w:p>
        </w:tc>
        <w:tc>
          <w:tcPr>
            <w:tcW w:w="12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r>
      <w:tr>
        <w:trPr>
          <w:trHeight w:val="35"/>
        </w:trPr>
        <w:tc>
          <w:tcPr>
            <w:tcW w:w="4820" w:type="dxa"/>
            <w:vAlign w:val="bottom"/>
            <w:tcBorders>
              <w:bottom w:val="single" w:sz="8" w:color="582C83"/>
            </w:tcBorders>
          </w:tcPr>
          <w:p>
            <w:pPr>
              <w:spacing w:after="0"/>
              <w:rPr>
                <w:sz w:val="3"/>
                <w:szCs w:val="3"/>
                <w:color w:val="auto"/>
              </w:rPr>
            </w:pPr>
          </w:p>
        </w:tc>
        <w:tc>
          <w:tcPr>
            <w:tcW w:w="12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60" w:type="dxa"/>
            <w:vAlign w:val="bottom"/>
            <w:tcBorders>
              <w:bottom w:val="single" w:sz="8" w:color="582C83"/>
            </w:tcBorders>
          </w:tcPr>
          <w:p>
            <w:pPr>
              <w:spacing w:after="0"/>
              <w:rPr>
                <w:sz w:val="3"/>
                <w:szCs w:val="3"/>
                <w:color w:val="auto"/>
              </w:rPr>
            </w:pPr>
          </w:p>
        </w:tc>
        <w:tc>
          <w:tcPr>
            <w:tcW w:w="1260" w:type="dxa"/>
            <w:vAlign w:val="bottom"/>
            <w:tcBorders>
              <w:bottom w:val="single" w:sz="8" w:color="582C83"/>
            </w:tcBorders>
          </w:tcPr>
          <w:p>
            <w:pPr>
              <w:spacing w:after="0"/>
              <w:rPr>
                <w:sz w:val="3"/>
                <w:szCs w:val="3"/>
                <w:color w:val="auto"/>
              </w:rPr>
            </w:pPr>
          </w:p>
        </w:tc>
      </w:tr>
      <w:tr>
        <w:trPr>
          <w:trHeight w:val="283"/>
        </w:trPr>
        <w:tc>
          <w:tcPr>
            <w:tcW w:w="48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Bunch, Charles E.</w:t>
            </w:r>
          </w:p>
        </w:tc>
        <w:tc>
          <w:tcPr>
            <w:tcW w:w="12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14,487</w:t>
            </w:r>
          </w:p>
        </w:tc>
        <w:tc>
          <w:tcPr>
            <w:tcW w:w="20" w:type="dxa"/>
            <w:vAlign w:val="bottom"/>
            <w:tcBorders>
              <w:bottom w:val="single" w:sz="8" w:color="EBE6F0"/>
            </w:tcBorders>
            <w:shd w:val="clear" w:color="auto" w:fill="EBE6F0"/>
          </w:tcPr>
          <w:p>
            <w:pPr>
              <w:spacing w:after="0"/>
              <w:rPr>
                <w:sz w:val="24"/>
                <w:szCs w:val="24"/>
                <w:color w:val="auto"/>
              </w:rPr>
            </w:pPr>
          </w:p>
        </w:tc>
        <w:tc>
          <w:tcPr>
            <w:tcW w:w="12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26,234</w:t>
            </w:r>
          </w:p>
        </w:tc>
        <w:tc>
          <w:tcPr>
            <w:tcW w:w="20" w:type="dxa"/>
            <w:vAlign w:val="bottom"/>
            <w:tcBorders>
              <w:bottom w:val="single" w:sz="8" w:color="EBE6F0"/>
            </w:tcBorders>
            <w:shd w:val="clear" w:color="auto" w:fill="EBE6F0"/>
          </w:tcPr>
          <w:p>
            <w:pPr>
              <w:spacing w:after="0"/>
              <w:rPr>
                <w:sz w:val="24"/>
                <w:szCs w:val="24"/>
                <w:color w:val="auto"/>
              </w:rPr>
            </w:pPr>
          </w:p>
        </w:tc>
        <w:tc>
          <w:tcPr>
            <w:tcW w:w="1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40,721</w:t>
            </w:r>
          </w:p>
        </w:tc>
        <w:tc>
          <w:tcPr>
            <w:tcW w:w="1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82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Cousin, Ertharin</w:t>
            </w:r>
          </w:p>
        </w:tc>
        <w:tc>
          <w:tcPr>
            <w:tcW w:w="12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tcBorders>
          </w:tcPr>
          <w:p>
            <w:pPr>
              <w:spacing w:after="0"/>
              <w:rPr>
                <w:sz w:val="21"/>
                <w:szCs w:val="21"/>
                <w:color w:val="auto"/>
              </w:rPr>
            </w:pPr>
          </w:p>
        </w:tc>
        <w:tc>
          <w:tcPr>
            <w:tcW w:w="12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4,404</w:t>
            </w:r>
          </w:p>
        </w:tc>
        <w:tc>
          <w:tcPr>
            <w:tcW w:w="20" w:type="dxa"/>
            <w:vAlign w:val="bottom"/>
            <w:tcBorders>
              <w:top w:val="single" w:sz="8" w:color="EBE6F0"/>
            </w:tcBorders>
          </w:tcPr>
          <w:p>
            <w:pPr>
              <w:spacing w:after="0"/>
              <w:rPr>
                <w:sz w:val="21"/>
                <w:szCs w:val="21"/>
                <w:color w:val="auto"/>
              </w:rPr>
            </w:pPr>
          </w:p>
        </w:tc>
        <w:tc>
          <w:tcPr>
            <w:tcW w:w="12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4,404</w:t>
            </w:r>
          </w:p>
        </w:tc>
        <w:tc>
          <w:tcPr>
            <w:tcW w:w="12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r>
      <w:tr>
        <w:trPr>
          <w:trHeight w:val="35"/>
        </w:trPr>
        <w:tc>
          <w:tcPr>
            <w:tcW w:w="4820" w:type="dxa"/>
            <w:vAlign w:val="bottom"/>
            <w:tcBorders>
              <w:bottom w:val="single" w:sz="8" w:color="582C83"/>
            </w:tcBorders>
          </w:tcPr>
          <w:p>
            <w:pPr>
              <w:spacing w:after="0"/>
              <w:rPr>
                <w:sz w:val="3"/>
                <w:szCs w:val="3"/>
                <w:color w:val="auto"/>
              </w:rPr>
            </w:pPr>
          </w:p>
        </w:tc>
        <w:tc>
          <w:tcPr>
            <w:tcW w:w="12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60" w:type="dxa"/>
            <w:vAlign w:val="bottom"/>
            <w:tcBorders>
              <w:bottom w:val="single" w:sz="8" w:color="582C83"/>
            </w:tcBorders>
          </w:tcPr>
          <w:p>
            <w:pPr>
              <w:spacing w:after="0"/>
              <w:rPr>
                <w:sz w:val="3"/>
                <w:szCs w:val="3"/>
                <w:color w:val="auto"/>
              </w:rPr>
            </w:pPr>
          </w:p>
        </w:tc>
        <w:tc>
          <w:tcPr>
            <w:tcW w:w="1260" w:type="dxa"/>
            <w:vAlign w:val="bottom"/>
            <w:tcBorders>
              <w:bottom w:val="single" w:sz="8" w:color="582C83"/>
            </w:tcBorders>
          </w:tcPr>
          <w:p>
            <w:pPr>
              <w:spacing w:after="0"/>
              <w:rPr>
                <w:sz w:val="3"/>
                <w:szCs w:val="3"/>
                <w:color w:val="auto"/>
              </w:rPr>
            </w:pPr>
          </w:p>
        </w:tc>
      </w:tr>
      <w:tr>
        <w:trPr>
          <w:trHeight w:val="283"/>
        </w:trPr>
        <w:tc>
          <w:tcPr>
            <w:tcW w:w="48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Juliber, Lois D.</w:t>
            </w:r>
          </w:p>
        </w:tc>
        <w:tc>
          <w:tcPr>
            <w:tcW w:w="12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2,309</w:t>
            </w:r>
          </w:p>
        </w:tc>
        <w:tc>
          <w:tcPr>
            <w:tcW w:w="20" w:type="dxa"/>
            <w:vAlign w:val="bottom"/>
            <w:tcBorders>
              <w:bottom w:val="single" w:sz="8" w:color="EBE6F0"/>
            </w:tcBorders>
            <w:shd w:val="clear" w:color="auto" w:fill="EBE6F0"/>
          </w:tcPr>
          <w:p>
            <w:pPr>
              <w:spacing w:after="0"/>
              <w:rPr>
                <w:sz w:val="24"/>
                <w:szCs w:val="24"/>
                <w:color w:val="auto"/>
              </w:rPr>
            </w:pPr>
          </w:p>
        </w:tc>
        <w:tc>
          <w:tcPr>
            <w:tcW w:w="12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69,022</w:t>
            </w:r>
          </w:p>
        </w:tc>
        <w:tc>
          <w:tcPr>
            <w:tcW w:w="20" w:type="dxa"/>
            <w:vAlign w:val="bottom"/>
            <w:tcBorders>
              <w:bottom w:val="single" w:sz="8" w:color="EBE6F0"/>
            </w:tcBorders>
            <w:shd w:val="clear" w:color="auto" w:fill="EBE6F0"/>
          </w:tcPr>
          <w:p>
            <w:pPr>
              <w:spacing w:after="0"/>
              <w:rPr>
                <w:sz w:val="24"/>
                <w:szCs w:val="24"/>
                <w:color w:val="auto"/>
              </w:rPr>
            </w:pPr>
          </w:p>
        </w:tc>
        <w:tc>
          <w:tcPr>
            <w:tcW w:w="1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71,331</w:t>
            </w:r>
          </w:p>
        </w:tc>
        <w:tc>
          <w:tcPr>
            <w:tcW w:w="1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82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Mesquita, Jorge S.</w:t>
            </w:r>
          </w:p>
        </w:tc>
        <w:tc>
          <w:tcPr>
            <w:tcW w:w="12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6,500</w:t>
            </w:r>
          </w:p>
        </w:tc>
        <w:tc>
          <w:tcPr>
            <w:tcW w:w="20" w:type="dxa"/>
            <w:vAlign w:val="bottom"/>
            <w:tcBorders>
              <w:top w:val="single" w:sz="8" w:color="EBE6F0"/>
            </w:tcBorders>
          </w:tcPr>
          <w:p>
            <w:pPr>
              <w:spacing w:after="0"/>
              <w:rPr>
                <w:sz w:val="21"/>
                <w:szCs w:val="21"/>
                <w:color w:val="auto"/>
              </w:rPr>
            </w:pPr>
          </w:p>
        </w:tc>
        <w:tc>
          <w:tcPr>
            <w:tcW w:w="12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46,262</w:t>
            </w:r>
          </w:p>
        </w:tc>
        <w:tc>
          <w:tcPr>
            <w:tcW w:w="20" w:type="dxa"/>
            <w:vAlign w:val="bottom"/>
            <w:tcBorders>
              <w:top w:val="single" w:sz="8" w:color="EBE6F0"/>
            </w:tcBorders>
          </w:tcPr>
          <w:p>
            <w:pPr>
              <w:spacing w:after="0"/>
              <w:rPr>
                <w:sz w:val="21"/>
                <w:szCs w:val="21"/>
                <w:color w:val="auto"/>
              </w:rPr>
            </w:pPr>
          </w:p>
        </w:tc>
        <w:tc>
          <w:tcPr>
            <w:tcW w:w="12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52,762</w:t>
            </w:r>
          </w:p>
        </w:tc>
        <w:tc>
          <w:tcPr>
            <w:tcW w:w="12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r>
      <w:tr>
        <w:trPr>
          <w:trHeight w:val="35"/>
        </w:trPr>
        <w:tc>
          <w:tcPr>
            <w:tcW w:w="4820" w:type="dxa"/>
            <w:vAlign w:val="bottom"/>
            <w:tcBorders>
              <w:bottom w:val="single" w:sz="8" w:color="582C83"/>
            </w:tcBorders>
          </w:tcPr>
          <w:p>
            <w:pPr>
              <w:spacing w:after="0"/>
              <w:rPr>
                <w:sz w:val="3"/>
                <w:szCs w:val="3"/>
                <w:color w:val="auto"/>
              </w:rPr>
            </w:pPr>
          </w:p>
        </w:tc>
        <w:tc>
          <w:tcPr>
            <w:tcW w:w="12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60" w:type="dxa"/>
            <w:vAlign w:val="bottom"/>
            <w:tcBorders>
              <w:bottom w:val="single" w:sz="8" w:color="582C83"/>
            </w:tcBorders>
          </w:tcPr>
          <w:p>
            <w:pPr>
              <w:spacing w:after="0"/>
              <w:rPr>
                <w:sz w:val="3"/>
                <w:szCs w:val="3"/>
                <w:color w:val="auto"/>
              </w:rPr>
            </w:pPr>
          </w:p>
        </w:tc>
        <w:tc>
          <w:tcPr>
            <w:tcW w:w="1260" w:type="dxa"/>
            <w:vAlign w:val="bottom"/>
            <w:tcBorders>
              <w:bottom w:val="single" w:sz="8" w:color="582C83"/>
            </w:tcBorders>
          </w:tcPr>
          <w:p>
            <w:pPr>
              <w:spacing w:after="0"/>
              <w:rPr>
                <w:sz w:val="3"/>
                <w:szCs w:val="3"/>
                <w:color w:val="auto"/>
              </w:rPr>
            </w:pPr>
          </w:p>
        </w:tc>
      </w:tr>
      <w:tr>
        <w:trPr>
          <w:trHeight w:val="283"/>
        </w:trPr>
        <w:tc>
          <w:tcPr>
            <w:tcW w:w="48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Mukherjee, Anindita</w:t>
            </w:r>
          </w:p>
        </w:tc>
        <w:tc>
          <w:tcPr>
            <w:tcW w:w="12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BE6F0"/>
            </w:tcBorders>
            <w:shd w:val="clear" w:color="auto" w:fill="EBE6F0"/>
          </w:tcPr>
          <w:p>
            <w:pPr>
              <w:spacing w:after="0"/>
              <w:rPr>
                <w:sz w:val="24"/>
                <w:szCs w:val="24"/>
                <w:color w:val="auto"/>
              </w:rPr>
            </w:pPr>
          </w:p>
        </w:tc>
        <w:tc>
          <w:tcPr>
            <w:tcW w:w="12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1,195</w:t>
            </w:r>
          </w:p>
        </w:tc>
        <w:tc>
          <w:tcPr>
            <w:tcW w:w="20" w:type="dxa"/>
            <w:vAlign w:val="bottom"/>
            <w:tcBorders>
              <w:bottom w:val="single" w:sz="8" w:color="EBE6F0"/>
            </w:tcBorders>
            <w:shd w:val="clear" w:color="auto" w:fill="EBE6F0"/>
          </w:tcPr>
          <w:p>
            <w:pPr>
              <w:spacing w:after="0"/>
              <w:rPr>
                <w:sz w:val="24"/>
                <w:szCs w:val="24"/>
                <w:color w:val="auto"/>
              </w:rPr>
            </w:pPr>
          </w:p>
        </w:tc>
        <w:tc>
          <w:tcPr>
            <w:tcW w:w="1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1,195</w:t>
            </w:r>
          </w:p>
        </w:tc>
        <w:tc>
          <w:tcPr>
            <w:tcW w:w="1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82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Nielsen, Jane Hamilton</w:t>
            </w:r>
          </w:p>
        </w:tc>
        <w:tc>
          <w:tcPr>
            <w:tcW w:w="12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tcBorders>
          </w:tcPr>
          <w:p>
            <w:pPr>
              <w:spacing w:after="0"/>
              <w:rPr>
                <w:sz w:val="21"/>
                <w:szCs w:val="21"/>
                <w:color w:val="auto"/>
              </w:rPr>
            </w:pPr>
          </w:p>
        </w:tc>
        <w:tc>
          <w:tcPr>
            <w:tcW w:w="12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6,345</w:t>
            </w:r>
          </w:p>
        </w:tc>
        <w:tc>
          <w:tcPr>
            <w:tcW w:w="20" w:type="dxa"/>
            <w:vAlign w:val="bottom"/>
            <w:tcBorders>
              <w:top w:val="single" w:sz="8" w:color="EBE6F0"/>
            </w:tcBorders>
          </w:tcPr>
          <w:p>
            <w:pPr>
              <w:spacing w:after="0"/>
              <w:rPr>
                <w:sz w:val="21"/>
                <w:szCs w:val="21"/>
                <w:color w:val="auto"/>
              </w:rPr>
            </w:pPr>
          </w:p>
        </w:tc>
        <w:tc>
          <w:tcPr>
            <w:tcW w:w="12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6,345</w:t>
            </w:r>
          </w:p>
        </w:tc>
        <w:tc>
          <w:tcPr>
            <w:tcW w:w="12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r>
      <w:tr>
        <w:trPr>
          <w:trHeight w:val="35"/>
        </w:trPr>
        <w:tc>
          <w:tcPr>
            <w:tcW w:w="4820" w:type="dxa"/>
            <w:vAlign w:val="bottom"/>
            <w:tcBorders>
              <w:bottom w:val="single" w:sz="8" w:color="582C83"/>
            </w:tcBorders>
          </w:tcPr>
          <w:p>
            <w:pPr>
              <w:spacing w:after="0"/>
              <w:rPr>
                <w:sz w:val="3"/>
                <w:szCs w:val="3"/>
                <w:color w:val="auto"/>
              </w:rPr>
            </w:pPr>
          </w:p>
        </w:tc>
        <w:tc>
          <w:tcPr>
            <w:tcW w:w="12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60" w:type="dxa"/>
            <w:vAlign w:val="bottom"/>
            <w:tcBorders>
              <w:bottom w:val="single" w:sz="8" w:color="582C83"/>
            </w:tcBorders>
          </w:tcPr>
          <w:p>
            <w:pPr>
              <w:spacing w:after="0"/>
              <w:rPr>
                <w:sz w:val="3"/>
                <w:szCs w:val="3"/>
                <w:color w:val="auto"/>
              </w:rPr>
            </w:pPr>
          </w:p>
        </w:tc>
        <w:tc>
          <w:tcPr>
            <w:tcW w:w="1260" w:type="dxa"/>
            <w:vAlign w:val="bottom"/>
            <w:tcBorders>
              <w:bottom w:val="single" w:sz="8" w:color="582C83"/>
            </w:tcBorders>
          </w:tcPr>
          <w:p>
            <w:pPr>
              <w:spacing w:after="0"/>
              <w:rPr>
                <w:sz w:val="3"/>
                <w:szCs w:val="3"/>
                <w:color w:val="auto"/>
              </w:rPr>
            </w:pPr>
          </w:p>
        </w:tc>
      </w:tr>
      <w:tr>
        <w:trPr>
          <w:trHeight w:val="283"/>
        </w:trPr>
        <w:tc>
          <w:tcPr>
            <w:tcW w:w="48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Shi, Christiana S.</w:t>
            </w:r>
          </w:p>
        </w:tc>
        <w:tc>
          <w:tcPr>
            <w:tcW w:w="12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BE6F0"/>
            </w:tcBorders>
            <w:shd w:val="clear" w:color="auto" w:fill="EBE6F0"/>
          </w:tcPr>
          <w:p>
            <w:pPr>
              <w:spacing w:after="0"/>
              <w:rPr>
                <w:sz w:val="24"/>
                <w:szCs w:val="24"/>
                <w:color w:val="auto"/>
              </w:rPr>
            </w:pPr>
          </w:p>
        </w:tc>
        <w:tc>
          <w:tcPr>
            <w:tcW w:w="12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29,124</w:t>
            </w:r>
          </w:p>
        </w:tc>
        <w:tc>
          <w:tcPr>
            <w:tcW w:w="20" w:type="dxa"/>
            <w:vAlign w:val="bottom"/>
            <w:tcBorders>
              <w:bottom w:val="single" w:sz="8" w:color="EBE6F0"/>
            </w:tcBorders>
            <w:shd w:val="clear" w:color="auto" w:fill="EBE6F0"/>
          </w:tcPr>
          <w:p>
            <w:pPr>
              <w:spacing w:after="0"/>
              <w:rPr>
                <w:sz w:val="24"/>
                <w:szCs w:val="24"/>
                <w:color w:val="auto"/>
              </w:rPr>
            </w:pPr>
          </w:p>
        </w:tc>
        <w:tc>
          <w:tcPr>
            <w:tcW w:w="1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29,142</w:t>
            </w:r>
          </w:p>
        </w:tc>
        <w:tc>
          <w:tcPr>
            <w:tcW w:w="1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r>
      <w:tr>
        <w:trPr>
          <w:trHeight w:val="315"/>
        </w:trPr>
        <w:tc>
          <w:tcPr>
            <w:tcW w:w="4820" w:type="dxa"/>
            <w:vAlign w:val="bottom"/>
            <w:tcBorders>
              <w:top w:val="single" w:sz="8" w:color="582C83"/>
              <w:bottom w:val="single" w:sz="8" w:color="582C83"/>
            </w:tcBorders>
          </w:tcPr>
          <w:p>
            <w:pPr>
              <w:ind w:left="60"/>
              <w:spacing w:after="0"/>
              <w:rPr>
                <w:sz w:val="20"/>
                <w:szCs w:val="20"/>
                <w:color w:val="auto"/>
              </w:rPr>
            </w:pPr>
            <w:r>
              <w:rPr>
                <w:rFonts w:ascii="Arial" w:cs="Arial" w:eastAsia="Arial" w:hAnsi="Arial"/>
                <w:sz w:val="16"/>
                <w:szCs w:val="16"/>
                <w:color w:val="auto"/>
              </w:rPr>
              <w:t>Siewert, Patrick T.</w:t>
            </w:r>
            <w:r>
              <w:rPr>
                <w:rFonts w:ascii="Arial" w:cs="Arial" w:eastAsia="Arial" w:hAnsi="Arial"/>
                <w:sz w:val="26"/>
                <w:szCs w:val="26"/>
                <w:color w:val="auto"/>
                <w:vertAlign w:val="superscript"/>
              </w:rPr>
              <w:t>(4)</w:t>
            </w:r>
          </w:p>
        </w:tc>
        <w:tc>
          <w:tcPr>
            <w:tcW w:w="12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2,000</w:t>
            </w:r>
          </w:p>
        </w:tc>
        <w:tc>
          <w:tcPr>
            <w:tcW w:w="20" w:type="dxa"/>
            <w:vAlign w:val="bottom"/>
            <w:tcBorders>
              <w:top w:val="single" w:sz="8" w:color="EBE6F0"/>
              <w:bottom w:val="single" w:sz="8" w:color="582C83"/>
            </w:tcBorders>
          </w:tcPr>
          <w:p>
            <w:pPr>
              <w:spacing w:after="0"/>
              <w:rPr>
                <w:sz w:val="24"/>
                <w:szCs w:val="24"/>
                <w:color w:val="auto"/>
              </w:rPr>
            </w:pPr>
          </w:p>
        </w:tc>
        <w:tc>
          <w:tcPr>
            <w:tcW w:w="12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46,042</w:t>
            </w:r>
          </w:p>
        </w:tc>
        <w:tc>
          <w:tcPr>
            <w:tcW w:w="20" w:type="dxa"/>
            <w:vAlign w:val="bottom"/>
            <w:tcBorders>
              <w:top w:val="single" w:sz="8" w:color="EBE6F0"/>
              <w:bottom w:val="single" w:sz="8" w:color="582C83"/>
            </w:tcBorders>
          </w:tcPr>
          <w:p>
            <w:pPr>
              <w:spacing w:after="0"/>
              <w:rPr>
                <w:sz w:val="24"/>
                <w:szCs w:val="24"/>
                <w:color w:val="auto"/>
              </w:rPr>
            </w:pPr>
          </w:p>
        </w:tc>
        <w:tc>
          <w:tcPr>
            <w:tcW w:w="126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48,042</w:t>
            </w:r>
          </w:p>
        </w:tc>
        <w:tc>
          <w:tcPr>
            <w:tcW w:w="126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48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Todman, Michael A.</w:t>
            </w:r>
          </w:p>
        </w:tc>
        <w:tc>
          <w:tcPr>
            <w:tcW w:w="12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BE6F0"/>
            </w:tcBorders>
            <w:shd w:val="clear" w:color="auto" w:fill="EBE6F0"/>
          </w:tcPr>
          <w:p>
            <w:pPr>
              <w:spacing w:after="0"/>
              <w:rPr>
                <w:sz w:val="24"/>
                <w:szCs w:val="24"/>
                <w:color w:val="auto"/>
              </w:rPr>
            </w:pPr>
          </w:p>
        </w:tc>
        <w:tc>
          <w:tcPr>
            <w:tcW w:w="12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10,100</w:t>
            </w:r>
          </w:p>
        </w:tc>
        <w:tc>
          <w:tcPr>
            <w:tcW w:w="20" w:type="dxa"/>
            <w:vAlign w:val="bottom"/>
            <w:tcBorders>
              <w:bottom w:val="single" w:sz="8" w:color="EBE6F0"/>
            </w:tcBorders>
            <w:shd w:val="clear" w:color="auto" w:fill="EBE6F0"/>
          </w:tcPr>
          <w:p>
            <w:pPr>
              <w:spacing w:after="0"/>
              <w:rPr>
                <w:sz w:val="24"/>
                <w:szCs w:val="24"/>
                <w:color w:val="auto"/>
              </w:rPr>
            </w:pPr>
          </w:p>
        </w:tc>
        <w:tc>
          <w:tcPr>
            <w:tcW w:w="1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10,100</w:t>
            </w:r>
          </w:p>
        </w:tc>
        <w:tc>
          <w:tcPr>
            <w:tcW w:w="1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4820" w:type="dxa"/>
            <w:vAlign w:val="bottom"/>
            <w:tcBorders>
              <w:top w:val="single" w:sz="8" w:color="582C83"/>
            </w:tcBorders>
          </w:tcPr>
          <w:p>
            <w:pPr>
              <w:ind w:left="60"/>
              <w:spacing w:after="0"/>
              <w:rPr>
                <w:sz w:val="20"/>
                <w:szCs w:val="20"/>
                <w:color w:val="auto"/>
              </w:rPr>
            </w:pPr>
            <w:r>
              <w:rPr>
                <w:rFonts w:ascii="Arial" w:cs="Arial" w:eastAsia="Arial" w:hAnsi="Arial"/>
                <w:sz w:val="16"/>
                <w:szCs w:val="16"/>
                <w:b w:val="1"/>
                <w:bCs w:val="1"/>
                <w:color w:val="auto"/>
              </w:rPr>
              <w:t>Named Executive Officers:</w:t>
            </w:r>
          </w:p>
        </w:tc>
        <w:tc>
          <w:tcPr>
            <w:tcW w:w="1280" w:type="dxa"/>
            <w:vAlign w:val="bottom"/>
            <w:tcBorders>
              <w:top w:val="single" w:sz="8" w:color="582C83"/>
            </w:tcBorders>
          </w:tcPr>
          <w:p>
            <w:pPr>
              <w:spacing w:after="0"/>
              <w:rPr>
                <w:sz w:val="21"/>
                <w:szCs w:val="21"/>
                <w:color w:val="auto"/>
              </w:rPr>
            </w:pPr>
          </w:p>
        </w:tc>
        <w:tc>
          <w:tcPr>
            <w:tcW w:w="20" w:type="dxa"/>
            <w:vAlign w:val="bottom"/>
            <w:tcBorders>
              <w:top w:val="single" w:sz="8" w:color="EBE6F0"/>
            </w:tcBorders>
          </w:tcPr>
          <w:p>
            <w:pPr>
              <w:spacing w:after="0"/>
              <w:rPr>
                <w:sz w:val="21"/>
                <w:szCs w:val="21"/>
                <w:color w:val="auto"/>
              </w:rPr>
            </w:pPr>
          </w:p>
        </w:tc>
        <w:tc>
          <w:tcPr>
            <w:tcW w:w="1280" w:type="dxa"/>
            <w:vAlign w:val="bottom"/>
            <w:tcBorders>
              <w:top w:val="single" w:sz="8" w:color="582C83"/>
            </w:tcBorders>
          </w:tcPr>
          <w:p>
            <w:pPr>
              <w:spacing w:after="0"/>
              <w:rPr>
                <w:sz w:val="21"/>
                <w:szCs w:val="21"/>
                <w:color w:val="auto"/>
              </w:rPr>
            </w:pPr>
          </w:p>
        </w:tc>
        <w:tc>
          <w:tcPr>
            <w:tcW w:w="20" w:type="dxa"/>
            <w:vAlign w:val="bottom"/>
            <w:tcBorders>
              <w:top w:val="single" w:sz="8" w:color="EBE6F0"/>
            </w:tcBorders>
          </w:tcPr>
          <w:p>
            <w:pPr>
              <w:spacing w:after="0"/>
              <w:rPr>
                <w:sz w:val="21"/>
                <w:szCs w:val="21"/>
                <w:color w:val="auto"/>
              </w:rPr>
            </w:pPr>
          </w:p>
        </w:tc>
        <w:tc>
          <w:tcPr>
            <w:tcW w:w="1260" w:type="dxa"/>
            <w:vAlign w:val="bottom"/>
            <w:tcBorders>
              <w:top w:val="single" w:sz="8" w:color="582C83"/>
            </w:tcBorders>
          </w:tcPr>
          <w:p>
            <w:pPr>
              <w:spacing w:after="0"/>
              <w:rPr>
                <w:sz w:val="21"/>
                <w:szCs w:val="21"/>
                <w:color w:val="auto"/>
              </w:rPr>
            </w:pPr>
          </w:p>
        </w:tc>
        <w:tc>
          <w:tcPr>
            <w:tcW w:w="1260" w:type="dxa"/>
            <w:vAlign w:val="bottom"/>
            <w:tcBorders>
              <w:top w:val="single" w:sz="8" w:color="582C83"/>
            </w:tcBorders>
          </w:tcPr>
          <w:p>
            <w:pPr>
              <w:spacing w:after="0"/>
              <w:rPr>
                <w:sz w:val="21"/>
                <w:szCs w:val="21"/>
                <w:color w:val="auto"/>
              </w:rPr>
            </w:pPr>
          </w:p>
        </w:tc>
      </w:tr>
      <w:tr>
        <w:trPr>
          <w:trHeight w:val="27"/>
        </w:trPr>
        <w:tc>
          <w:tcPr>
            <w:tcW w:w="4820" w:type="dxa"/>
            <w:vAlign w:val="bottom"/>
            <w:tcBorders>
              <w:bottom w:val="single" w:sz="8" w:color="582C83"/>
            </w:tcBorders>
          </w:tcPr>
          <w:p>
            <w:pPr>
              <w:spacing w:after="0"/>
              <w:rPr>
                <w:sz w:val="2"/>
                <w:szCs w:val="2"/>
                <w:color w:val="auto"/>
              </w:rPr>
            </w:pPr>
          </w:p>
        </w:tc>
        <w:tc>
          <w:tcPr>
            <w:tcW w:w="1280" w:type="dxa"/>
            <w:vAlign w:val="bottom"/>
            <w:tcBorders>
              <w:bottom w:val="single" w:sz="8" w:color="582C83"/>
            </w:tcBorders>
          </w:tcPr>
          <w:p>
            <w:pPr>
              <w:spacing w:after="0"/>
              <w:rPr>
                <w:sz w:val="2"/>
                <w:szCs w:val="2"/>
                <w:color w:val="auto"/>
              </w:rPr>
            </w:pPr>
          </w:p>
        </w:tc>
        <w:tc>
          <w:tcPr>
            <w:tcW w:w="20" w:type="dxa"/>
            <w:vAlign w:val="bottom"/>
            <w:tcBorders>
              <w:bottom w:val="single" w:sz="8" w:color="582C83"/>
            </w:tcBorders>
          </w:tcPr>
          <w:p>
            <w:pPr>
              <w:spacing w:after="0"/>
              <w:rPr>
                <w:sz w:val="2"/>
                <w:szCs w:val="2"/>
                <w:color w:val="auto"/>
              </w:rPr>
            </w:pPr>
          </w:p>
        </w:tc>
        <w:tc>
          <w:tcPr>
            <w:tcW w:w="1280" w:type="dxa"/>
            <w:vAlign w:val="bottom"/>
            <w:tcBorders>
              <w:bottom w:val="single" w:sz="8" w:color="582C83"/>
            </w:tcBorders>
          </w:tcPr>
          <w:p>
            <w:pPr>
              <w:spacing w:after="0"/>
              <w:rPr>
                <w:sz w:val="2"/>
                <w:szCs w:val="2"/>
                <w:color w:val="auto"/>
              </w:rPr>
            </w:pPr>
          </w:p>
        </w:tc>
        <w:tc>
          <w:tcPr>
            <w:tcW w:w="20" w:type="dxa"/>
            <w:vAlign w:val="bottom"/>
            <w:tcBorders>
              <w:bottom w:val="single" w:sz="8" w:color="582C83"/>
            </w:tcBorders>
          </w:tcPr>
          <w:p>
            <w:pPr>
              <w:spacing w:after="0"/>
              <w:rPr>
                <w:sz w:val="2"/>
                <w:szCs w:val="2"/>
                <w:color w:val="auto"/>
              </w:rPr>
            </w:pPr>
          </w:p>
        </w:tc>
        <w:tc>
          <w:tcPr>
            <w:tcW w:w="1260" w:type="dxa"/>
            <w:vAlign w:val="bottom"/>
            <w:tcBorders>
              <w:bottom w:val="single" w:sz="8" w:color="582C83"/>
            </w:tcBorders>
          </w:tcPr>
          <w:p>
            <w:pPr>
              <w:spacing w:after="0"/>
              <w:rPr>
                <w:sz w:val="2"/>
                <w:szCs w:val="2"/>
                <w:color w:val="auto"/>
              </w:rPr>
            </w:pPr>
          </w:p>
        </w:tc>
        <w:tc>
          <w:tcPr>
            <w:tcW w:w="1260" w:type="dxa"/>
            <w:vAlign w:val="bottom"/>
            <w:tcBorders>
              <w:bottom w:val="single" w:sz="8" w:color="582C83"/>
            </w:tcBorders>
          </w:tcPr>
          <w:p>
            <w:pPr>
              <w:spacing w:after="0"/>
              <w:rPr>
                <w:sz w:val="2"/>
                <w:szCs w:val="2"/>
                <w:color w:val="auto"/>
              </w:rPr>
            </w:pPr>
          </w:p>
        </w:tc>
      </w:tr>
      <w:tr>
        <w:trPr>
          <w:trHeight w:val="283"/>
        </w:trPr>
        <w:tc>
          <w:tcPr>
            <w:tcW w:w="48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Brusadelli, Maurizio</w:t>
            </w:r>
          </w:p>
        </w:tc>
        <w:tc>
          <w:tcPr>
            <w:tcW w:w="12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493,339</w:t>
            </w:r>
          </w:p>
        </w:tc>
        <w:tc>
          <w:tcPr>
            <w:tcW w:w="20" w:type="dxa"/>
            <w:vAlign w:val="bottom"/>
            <w:tcBorders>
              <w:bottom w:val="single" w:sz="8" w:color="EBE6F0"/>
            </w:tcBorders>
            <w:shd w:val="clear" w:color="auto" w:fill="EBE6F0"/>
          </w:tcPr>
          <w:p>
            <w:pPr>
              <w:spacing w:after="0"/>
              <w:rPr>
                <w:sz w:val="24"/>
                <w:szCs w:val="24"/>
                <w:color w:val="auto"/>
              </w:rPr>
            </w:pPr>
          </w:p>
        </w:tc>
        <w:tc>
          <w:tcPr>
            <w:tcW w:w="12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BE6F0"/>
            </w:tcBorders>
            <w:shd w:val="clear" w:color="auto" w:fill="EBE6F0"/>
          </w:tcPr>
          <w:p>
            <w:pPr>
              <w:spacing w:after="0"/>
              <w:rPr>
                <w:sz w:val="24"/>
                <w:szCs w:val="24"/>
                <w:color w:val="auto"/>
              </w:rPr>
            </w:pPr>
          </w:p>
        </w:tc>
        <w:tc>
          <w:tcPr>
            <w:tcW w:w="1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493,339</w:t>
            </w:r>
          </w:p>
        </w:tc>
        <w:tc>
          <w:tcPr>
            <w:tcW w:w="1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82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Gruber, Vinzenz P.</w:t>
            </w:r>
          </w:p>
        </w:tc>
        <w:tc>
          <w:tcPr>
            <w:tcW w:w="12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442,329</w:t>
            </w:r>
          </w:p>
        </w:tc>
        <w:tc>
          <w:tcPr>
            <w:tcW w:w="20" w:type="dxa"/>
            <w:vAlign w:val="bottom"/>
            <w:tcBorders>
              <w:top w:val="single" w:sz="8" w:color="EBE6F0"/>
            </w:tcBorders>
          </w:tcPr>
          <w:p>
            <w:pPr>
              <w:spacing w:after="0"/>
              <w:rPr>
                <w:sz w:val="21"/>
                <w:szCs w:val="21"/>
                <w:color w:val="auto"/>
              </w:rPr>
            </w:pPr>
          </w:p>
        </w:tc>
        <w:tc>
          <w:tcPr>
            <w:tcW w:w="12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tcBorders>
          </w:tcPr>
          <w:p>
            <w:pPr>
              <w:spacing w:after="0"/>
              <w:rPr>
                <w:sz w:val="21"/>
                <w:szCs w:val="21"/>
                <w:color w:val="auto"/>
              </w:rPr>
            </w:pPr>
          </w:p>
        </w:tc>
        <w:tc>
          <w:tcPr>
            <w:tcW w:w="12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442,329</w:t>
            </w:r>
          </w:p>
        </w:tc>
        <w:tc>
          <w:tcPr>
            <w:tcW w:w="12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r>
      <w:tr>
        <w:trPr>
          <w:trHeight w:val="35"/>
        </w:trPr>
        <w:tc>
          <w:tcPr>
            <w:tcW w:w="4820" w:type="dxa"/>
            <w:vAlign w:val="bottom"/>
            <w:tcBorders>
              <w:bottom w:val="single" w:sz="8" w:color="582C83"/>
            </w:tcBorders>
          </w:tcPr>
          <w:p>
            <w:pPr>
              <w:spacing w:after="0"/>
              <w:rPr>
                <w:sz w:val="3"/>
                <w:szCs w:val="3"/>
                <w:color w:val="auto"/>
              </w:rPr>
            </w:pPr>
          </w:p>
        </w:tc>
        <w:tc>
          <w:tcPr>
            <w:tcW w:w="12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60" w:type="dxa"/>
            <w:vAlign w:val="bottom"/>
            <w:tcBorders>
              <w:bottom w:val="single" w:sz="8" w:color="582C83"/>
            </w:tcBorders>
          </w:tcPr>
          <w:p>
            <w:pPr>
              <w:spacing w:after="0"/>
              <w:rPr>
                <w:sz w:val="3"/>
                <w:szCs w:val="3"/>
                <w:color w:val="auto"/>
              </w:rPr>
            </w:pPr>
          </w:p>
        </w:tc>
        <w:tc>
          <w:tcPr>
            <w:tcW w:w="1260" w:type="dxa"/>
            <w:vAlign w:val="bottom"/>
            <w:tcBorders>
              <w:bottom w:val="single" w:sz="8" w:color="582C83"/>
            </w:tcBorders>
          </w:tcPr>
          <w:p>
            <w:pPr>
              <w:spacing w:after="0"/>
              <w:rPr>
                <w:sz w:val="3"/>
                <w:szCs w:val="3"/>
                <w:color w:val="auto"/>
              </w:rPr>
            </w:pPr>
          </w:p>
        </w:tc>
      </w:tr>
      <w:tr>
        <w:trPr>
          <w:trHeight w:val="283"/>
        </w:trPr>
        <w:tc>
          <w:tcPr>
            <w:tcW w:w="48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Valle, Gustavo</w:t>
            </w:r>
          </w:p>
        </w:tc>
        <w:tc>
          <w:tcPr>
            <w:tcW w:w="12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90,288</w:t>
            </w:r>
          </w:p>
        </w:tc>
        <w:tc>
          <w:tcPr>
            <w:tcW w:w="20" w:type="dxa"/>
            <w:vAlign w:val="bottom"/>
            <w:tcBorders>
              <w:bottom w:val="single" w:sz="8" w:color="EBE6F0"/>
            </w:tcBorders>
            <w:shd w:val="clear" w:color="auto" w:fill="EBE6F0"/>
          </w:tcPr>
          <w:p>
            <w:pPr>
              <w:spacing w:after="0"/>
              <w:rPr>
                <w:sz w:val="24"/>
                <w:szCs w:val="24"/>
                <w:color w:val="auto"/>
              </w:rPr>
            </w:pPr>
          </w:p>
        </w:tc>
        <w:tc>
          <w:tcPr>
            <w:tcW w:w="12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BE6F0"/>
            </w:tcBorders>
            <w:shd w:val="clear" w:color="auto" w:fill="EBE6F0"/>
          </w:tcPr>
          <w:p>
            <w:pPr>
              <w:spacing w:after="0"/>
              <w:rPr>
                <w:sz w:val="24"/>
                <w:szCs w:val="24"/>
                <w:color w:val="auto"/>
              </w:rPr>
            </w:pPr>
          </w:p>
        </w:tc>
        <w:tc>
          <w:tcPr>
            <w:tcW w:w="1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90,288</w:t>
            </w:r>
          </w:p>
        </w:tc>
        <w:tc>
          <w:tcPr>
            <w:tcW w:w="1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82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Van de Put, Dirk</w:t>
            </w:r>
          </w:p>
        </w:tc>
        <w:tc>
          <w:tcPr>
            <w:tcW w:w="12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2,000,091</w:t>
            </w:r>
          </w:p>
        </w:tc>
        <w:tc>
          <w:tcPr>
            <w:tcW w:w="20" w:type="dxa"/>
            <w:vAlign w:val="bottom"/>
            <w:tcBorders>
              <w:top w:val="single" w:sz="8" w:color="EBE6F0"/>
            </w:tcBorders>
          </w:tcPr>
          <w:p>
            <w:pPr>
              <w:spacing w:after="0"/>
              <w:rPr>
                <w:sz w:val="21"/>
                <w:szCs w:val="21"/>
                <w:color w:val="auto"/>
              </w:rPr>
            </w:pPr>
          </w:p>
        </w:tc>
        <w:tc>
          <w:tcPr>
            <w:tcW w:w="12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BE6F0"/>
            </w:tcBorders>
          </w:tcPr>
          <w:p>
            <w:pPr>
              <w:spacing w:after="0"/>
              <w:rPr>
                <w:sz w:val="21"/>
                <w:szCs w:val="21"/>
                <w:color w:val="auto"/>
              </w:rPr>
            </w:pPr>
          </w:p>
        </w:tc>
        <w:tc>
          <w:tcPr>
            <w:tcW w:w="12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2,000,091</w:t>
            </w:r>
          </w:p>
        </w:tc>
        <w:tc>
          <w:tcPr>
            <w:tcW w:w="12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r>
      <w:tr>
        <w:trPr>
          <w:trHeight w:val="35"/>
        </w:trPr>
        <w:tc>
          <w:tcPr>
            <w:tcW w:w="4820" w:type="dxa"/>
            <w:vAlign w:val="bottom"/>
            <w:tcBorders>
              <w:bottom w:val="single" w:sz="8" w:color="582C83"/>
            </w:tcBorders>
          </w:tcPr>
          <w:p>
            <w:pPr>
              <w:spacing w:after="0"/>
              <w:rPr>
                <w:sz w:val="3"/>
                <w:szCs w:val="3"/>
                <w:color w:val="auto"/>
              </w:rPr>
            </w:pPr>
          </w:p>
        </w:tc>
        <w:tc>
          <w:tcPr>
            <w:tcW w:w="12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1260" w:type="dxa"/>
            <w:vAlign w:val="bottom"/>
            <w:tcBorders>
              <w:bottom w:val="single" w:sz="8" w:color="582C83"/>
            </w:tcBorders>
          </w:tcPr>
          <w:p>
            <w:pPr>
              <w:spacing w:after="0"/>
              <w:rPr>
                <w:sz w:val="3"/>
                <w:szCs w:val="3"/>
                <w:color w:val="auto"/>
              </w:rPr>
            </w:pPr>
          </w:p>
        </w:tc>
        <w:tc>
          <w:tcPr>
            <w:tcW w:w="1260" w:type="dxa"/>
            <w:vAlign w:val="bottom"/>
            <w:tcBorders>
              <w:bottom w:val="single" w:sz="8" w:color="582C83"/>
            </w:tcBorders>
          </w:tcPr>
          <w:p>
            <w:pPr>
              <w:spacing w:after="0"/>
              <w:rPr>
                <w:sz w:val="3"/>
                <w:szCs w:val="3"/>
                <w:color w:val="auto"/>
              </w:rPr>
            </w:pPr>
          </w:p>
        </w:tc>
      </w:tr>
      <w:tr>
        <w:trPr>
          <w:trHeight w:val="283"/>
        </w:trPr>
        <w:tc>
          <w:tcPr>
            <w:tcW w:w="48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Zaramella, Luca</w:t>
            </w:r>
          </w:p>
        </w:tc>
        <w:tc>
          <w:tcPr>
            <w:tcW w:w="12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526,605</w:t>
            </w:r>
          </w:p>
        </w:tc>
        <w:tc>
          <w:tcPr>
            <w:tcW w:w="20" w:type="dxa"/>
            <w:vAlign w:val="bottom"/>
            <w:tcBorders>
              <w:bottom w:val="single" w:sz="8" w:color="EBE6F0"/>
            </w:tcBorders>
            <w:shd w:val="clear" w:color="auto" w:fill="EBE6F0"/>
          </w:tcPr>
          <w:p>
            <w:pPr>
              <w:spacing w:after="0"/>
              <w:rPr>
                <w:sz w:val="24"/>
                <w:szCs w:val="24"/>
                <w:color w:val="auto"/>
              </w:rPr>
            </w:pPr>
          </w:p>
        </w:tc>
        <w:tc>
          <w:tcPr>
            <w:tcW w:w="12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BE6F0"/>
            </w:tcBorders>
            <w:shd w:val="clear" w:color="auto" w:fill="EBE6F0"/>
          </w:tcPr>
          <w:p>
            <w:pPr>
              <w:spacing w:after="0"/>
              <w:rPr>
                <w:sz w:val="24"/>
                <w:szCs w:val="24"/>
                <w:color w:val="auto"/>
              </w:rPr>
            </w:pPr>
          </w:p>
        </w:tc>
        <w:tc>
          <w:tcPr>
            <w:tcW w:w="1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526,605</w:t>
            </w:r>
          </w:p>
        </w:tc>
        <w:tc>
          <w:tcPr>
            <w:tcW w:w="1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r>
      <w:tr>
        <w:trPr>
          <w:trHeight w:val="315"/>
        </w:trPr>
        <w:tc>
          <w:tcPr>
            <w:tcW w:w="4820" w:type="dxa"/>
            <w:vAlign w:val="bottom"/>
            <w:tcBorders>
              <w:top w:val="single" w:sz="8" w:color="582C83"/>
              <w:bottom w:val="single" w:sz="8" w:color="582C83"/>
            </w:tcBorders>
          </w:tcPr>
          <w:p>
            <w:pPr>
              <w:ind w:left="60"/>
              <w:spacing w:after="0"/>
              <w:rPr>
                <w:sz w:val="20"/>
                <w:szCs w:val="20"/>
                <w:color w:val="auto"/>
              </w:rPr>
            </w:pPr>
            <w:r>
              <w:rPr>
                <w:rFonts w:ascii="Arial" w:cs="Arial" w:eastAsia="Arial" w:hAnsi="Arial"/>
                <w:sz w:val="16"/>
                <w:szCs w:val="16"/>
                <w:color w:val="auto"/>
              </w:rPr>
              <w:t>All directors and executive officers as a group (19 persons)</w:t>
            </w:r>
            <w:r>
              <w:rPr>
                <w:rFonts w:ascii="Arial" w:cs="Arial" w:eastAsia="Arial" w:hAnsi="Arial"/>
                <w:sz w:val="26"/>
                <w:szCs w:val="26"/>
                <w:color w:val="auto"/>
                <w:vertAlign w:val="superscript"/>
              </w:rPr>
              <w:t>(5)</w:t>
            </w:r>
          </w:p>
        </w:tc>
        <w:tc>
          <w:tcPr>
            <w:tcW w:w="12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3,925,109</w:t>
            </w:r>
          </w:p>
        </w:tc>
        <w:tc>
          <w:tcPr>
            <w:tcW w:w="20" w:type="dxa"/>
            <w:vAlign w:val="bottom"/>
            <w:tcBorders>
              <w:top w:val="single" w:sz="8" w:color="EBE6F0"/>
              <w:bottom w:val="single" w:sz="8" w:color="582C83"/>
            </w:tcBorders>
          </w:tcPr>
          <w:p>
            <w:pPr>
              <w:spacing w:after="0"/>
              <w:rPr>
                <w:sz w:val="24"/>
                <w:szCs w:val="24"/>
                <w:color w:val="auto"/>
              </w:rPr>
            </w:pPr>
          </w:p>
        </w:tc>
        <w:tc>
          <w:tcPr>
            <w:tcW w:w="12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292,934</w:t>
            </w:r>
          </w:p>
        </w:tc>
        <w:tc>
          <w:tcPr>
            <w:tcW w:w="20" w:type="dxa"/>
            <w:vAlign w:val="bottom"/>
            <w:tcBorders>
              <w:top w:val="single" w:sz="8" w:color="EBE6F0"/>
              <w:bottom w:val="single" w:sz="8" w:color="582C83"/>
            </w:tcBorders>
          </w:tcPr>
          <w:p>
            <w:pPr>
              <w:spacing w:after="0"/>
              <w:rPr>
                <w:sz w:val="24"/>
                <w:szCs w:val="24"/>
                <w:color w:val="auto"/>
              </w:rPr>
            </w:pPr>
          </w:p>
        </w:tc>
        <w:tc>
          <w:tcPr>
            <w:tcW w:w="126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4,218,043</w:t>
            </w:r>
          </w:p>
        </w:tc>
        <w:tc>
          <w:tcPr>
            <w:tcW w:w="126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w:t>
            </w:r>
          </w:p>
        </w:tc>
      </w:tr>
    </w:tbl>
    <w:p>
      <w:pPr>
        <w:spacing w:after="0" w:line="75" w:lineRule="exact"/>
        <w:rPr>
          <w:sz w:val="20"/>
          <w:szCs w:val="20"/>
          <w:color w:val="auto"/>
        </w:rPr>
      </w:pPr>
    </w:p>
    <w:p>
      <w:pPr>
        <w:ind w:left="1040" w:hanging="321"/>
        <w:spacing w:after="0"/>
        <w:tabs>
          <w:tab w:leader="none" w:pos="104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39" w:lineRule="exact"/>
        <w:rPr>
          <w:sz w:val="20"/>
          <w:szCs w:val="20"/>
          <w:color w:val="auto"/>
        </w:rPr>
      </w:pPr>
    </w:p>
    <w:p>
      <w:pPr>
        <w:ind w:left="1040" w:right="860" w:hanging="321"/>
        <w:spacing w:after="0" w:line="286" w:lineRule="auto"/>
        <w:tabs>
          <w:tab w:leader="none" w:pos="10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Includes stock options that are exercisable or will become exercisable within 60 days after March 8, 2023 as follows: Mr. Brusadelli – 288,258; Mr. Gruber – 230,903; Mr. Valle – 70,803; Mr. Van de Put – 1,144,390; Mr. Zaramella – 322,572 and all other executive officers – 201,439.</w:t>
      </w:r>
    </w:p>
    <w:p>
      <w:pPr>
        <w:spacing w:after="0" w:line="1" w:lineRule="exact"/>
        <w:rPr>
          <w:rFonts w:ascii="Arial" w:cs="Arial" w:eastAsia="Arial" w:hAnsi="Arial"/>
          <w:sz w:val="14"/>
          <w:szCs w:val="14"/>
          <w:color w:val="auto"/>
        </w:rPr>
      </w:pPr>
    </w:p>
    <w:p>
      <w:pPr>
        <w:ind w:left="1040" w:right="1320" w:hanging="321"/>
        <w:spacing w:after="0" w:line="267" w:lineRule="auto"/>
        <w:tabs>
          <w:tab w:leader="none" w:pos="104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Includes deferred stock units granted under the 2006 Stock Compensation Plan for Non-Employee Directors and the Equity Plan. For a description of these deferred stock units, see “Compensation of Non-Employee Directors” on page 61.</w:t>
      </w:r>
    </w:p>
    <w:p>
      <w:pPr>
        <w:spacing w:after="0" w:line="1" w:lineRule="exact"/>
        <w:rPr>
          <w:rFonts w:ascii="Arial" w:cs="Arial" w:eastAsia="Arial" w:hAnsi="Arial"/>
          <w:sz w:val="15"/>
          <w:szCs w:val="15"/>
          <w:color w:val="auto"/>
        </w:rPr>
      </w:pPr>
    </w:p>
    <w:p>
      <w:pPr>
        <w:ind w:left="1040" w:hanging="321"/>
        <w:spacing w:after="0"/>
        <w:tabs>
          <w:tab w:leader="none" w:pos="104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Based on 1,363,154,035 issued and outstanding shares of our Common Stock as of March 8, 2023.</w:t>
      </w:r>
    </w:p>
    <w:p>
      <w:pPr>
        <w:spacing w:after="0" w:line="38" w:lineRule="exact"/>
        <w:rPr>
          <w:rFonts w:ascii="Arial" w:cs="Arial" w:eastAsia="Arial" w:hAnsi="Arial"/>
          <w:sz w:val="15"/>
          <w:szCs w:val="15"/>
          <w:color w:val="auto"/>
        </w:rPr>
      </w:pPr>
    </w:p>
    <w:p>
      <w:pPr>
        <w:ind w:left="1040" w:hanging="321"/>
        <w:spacing w:after="0"/>
        <w:tabs>
          <w:tab w:leader="none" w:pos="104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Includes 2,000 shares as to which Mr. Siewert disclaims beneficial ownership, as the shares are held by his father.</w:t>
      </w:r>
    </w:p>
    <w:p>
      <w:pPr>
        <w:spacing w:after="0" w:line="38" w:lineRule="exact"/>
        <w:rPr>
          <w:rFonts w:ascii="Arial" w:cs="Arial" w:eastAsia="Arial" w:hAnsi="Arial"/>
          <w:sz w:val="15"/>
          <w:szCs w:val="15"/>
          <w:color w:val="auto"/>
        </w:rPr>
      </w:pPr>
    </w:p>
    <w:p>
      <w:pPr>
        <w:ind w:left="1040" w:hanging="321"/>
        <w:spacing w:after="0"/>
        <w:tabs>
          <w:tab w:leader="none" w:pos="104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This group includes, in addition to the individuals named in the table, Paulette R. Alviti, Mariano Lozano, Daniel E. Ramos and Laura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43115"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160"/>
        <w:spacing w:after="0" w:line="268" w:lineRule="auto"/>
        <w:rPr>
          <w:sz w:val="20"/>
          <w:szCs w:val="20"/>
          <w:color w:val="auto"/>
        </w:rPr>
      </w:pPr>
      <w:r>
        <w:rPr>
          <w:rFonts w:ascii="Arial" w:cs="Arial" w:eastAsia="Arial" w:hAnsi="Arial"/>
          <w:sz w:val="20"/>
          <w:szCs w:val="20"/>
          <w:color w:val="auto"/>
        </w:rPr>
        <w:t>The following table displays information about persons we know were the beneficial owners of more than 5% of the issued and outstanding Common Stock as of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tcPr>
          <w:p>
            <w:pPr>
              <w:jc w:val="right"/>
              <w:spacing w:after="0"/>
              <w:rPr>
                <w:sz w:val="20"/>
                <w:szCs w:val="20"/>
                <w:color w:val="auto"/>
              </w:rPr>
            </w:pPr>
            <w:r>
              <w:rPr>
                <w:rFonts w:ascii="Arial" w:cs="Arial" w:eastAsia="Arial" w:hAnsi="Arial"/>
                <w:sz w:val="16"/>
                <w:szCs w:val="16"/>
                <w:b w:val="1"/>
                <w:bCs w:val="1"/>
                <w:color w:val="auto"/>
              </w:rPr>
              <w:t>Percent of Class Calculated Based on</w:t>
            </w:r>
          </w:p>
        </w:tc>
        <w:tc>
          <w:tcPr>
            <w:tcW w:w="2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40" w:type="dxa"/>
            <w:vAlign w:val="bottom"/>
          </w:tcPr>
          <w:p>
            <w:pPr>
              <w:jc w:val="right"/>
              <w:spacing w:after="0"/>
              <w:rPr>
                <w:sz w:val="20"/>
                <w:szCs w:val="20"/>
                <w:color w:val="auto"/>
              </w:rPr>
            </w:pPr>
            <w:r>
              <w:rPr>
                <w:rFonts w:ascii="Arial" w:cs="Arial" w:eastAsia="Arial" w:hAnsi="Arial"/>
                <w:sz w:val="16"/>
                <w:szCs w:val="16"/>
                <w:b w:val="1"/>
                <w:bCs w:val="1"/>
                <w:color w:val="auto"/>
              </w:rPr>
              <w:t>Amount and Nature of</w:t>
            </w:r>
          </w:p>
        </w:tc>
        <w:tc>
          <w:tcPr>
            <w:tcW w:w="20" w:type="dxa"/>
            <w:vAlign w:val="bottom"/>
          </w:tcPr>
          <w:p>
            <w:pPr>
              <w:spacing w:after="0"/>
              <w:rPr>
                <w:sz w:val="19"/>
                <w:szCs w:val="19"/>
                <w:color w:val="auto"/>
              </w:rPr>
            </w:pPr>
          </w:p>
        </w:tc>
        <w:tc>
          <w:tcPr>
            <w:tcW w:w="3720" w:type="dxa"/>
            <w:vAlign w:val="bottom"/>
          </w:tcPr>
          <w:p>
            <w:pPr>
              <w:jc w:val="right"/>
              <w:spacing w:after="0"/>
              <w:rPr>
                <w:sz w:val="20"/>
                <w:szCs w:val="20"/>
                <w:color w:val="auto"/>
              </w:rPr>
            </w:pPr>
            <w:r>
              <w:rPr>
                <w:rFonts w:ascii="Arial" w:cs="Arial" w:eastAsia="Arial" w:hAnsi="Arial"/>
                <w:sz w:val="16"/>
                <w:szCs w:val="16"/>
                <w:b w:val="1"/>
                <w:bCs w:val="1"/>
                <w:color w:val="auto"/>
              </w:rPr>
              <w:t>Shares of the Issued and Outstanding</w:t>
            </w:r>
          </w:p>
        </w:tc>
        <w:tc>
          <w:tcPr>
            <w:tcW w:w="20" w:type="dxa"/>
            <w:vAlign w:val="bottom"/>
          </w:tcPr>
          <w:p>
            <w:pPr>
              <w:spacing w:after="0"/>
              <w:rPr>
                <w:sz w:val="19"/>
                <w:szCs w:val="19"/>
                <w:color w:val="auto"/>
              </w:rPr>
            </w:pPr>
          </w:p>
        </w:tc>
      </w:tr>
      <w:tr>
        <w:trPr>
          <w:trHeight w:val="241"/>
        </w:trPr>
        <w:tc>
          <w:tcPr>
            <w:tcW w:w="20" w:type="dxa"/>
            <w:vAlign w:val="bottom"/>
            <w:tcBorders>
              <w:bottom w:val="single" w:sz="8" w:color="582C83"/>
            </w:tcBorders>
          </w:tcPr>
          <w:p>
            <w:pPr>
              <w:spacing w:after="0"/>
              <w:rPr>
                <w:sz w:val="20"/>
                <w:szCs w:val="20"/>
                <w:color w:val="auto"/>
              </w:rPr>
            </w:pPr>
          </w:p>
        </w:tc>
        <w:tc>
          <w:tcPr>
            <w:tcW w:w="3720" w:type="dxa"/>
            <w:vAlign w:val="bottom"/>
            <w:tcBorders>
              <w:bottom w:val="single" w:sz="8" w:color="582C83"/>
            </w:tcBorders>
          </w:tcPr>
          <w:p>
            <w:pPr>
              <w:ind w:left="40"/>
              <w:spacing w:after="0"/>
              <w:rPr>
                <w:sz w:val="20"/>
                <w:szCs w:val="20"/>
                <w:color w:val="auto"/>
              </w:rPr>
            </w:pPr>
            <w:r>
              <w:rPr>
                <w:rFonts w:ascii="Arial" w:cs="Arial" w:eastAsia="Arial" w:hAnsi="Arial"/>
                <w:sz w:val="16"/>
                <w:szCs w:val="16"/>
                <w:b w:val="1"/>
                <w:bCs w:val="1"/>
                <w:color w:val="auto"/>
              </w:rPr>
              <w:t>Name and Address of Beneficial Owner</w:t>
            </w:r>
          </w:p>
        </w:tc>
        <w:tc>
          <w:tcPr>
            <w:tcW w:w="20" w:type="dxa"/>
            <w:vAlign w:val="bottom"/>
            <w:tcBorders>
              <w:bottom w:val="single" w:sz="8" w:color="582C83"/>
            </w:tcBorders>
          </w:tcPr>
          <w:p>
            <w:pPr>
              <w:spacing w:after="0"/>
              <w:rPr>
                <w:sz w:val="20"/>
                <w:szCs w:val="20"/>
                <w:color w:val="auto"/>
              </w:rPr>
            </w:pPr>
          </w:p>
        </w:tc>
        <w:tc>
          <w:tcPr>
            <w:tcW w:w="37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Beneficial Ownership</w:t>
            </w:r>
          </w:p>
        </w:tc>
        <w:tc>
          <w:tcPr>
            <w:tcW w:w="20" w:type="dxa"/>
            <w:vAlign w:val="bottom"/>
            <w:tcBorders>
              <w:bottom w:val="single" w:sz="8" w:color="582C83"/>
            </w:tcBorders>
          </w:tcPr>
          <w:p>
            <w:pPr>
              <w:spacing w:after="0"/>
              <w:rPr>
                <w:sz w:val="20"/>
                <w:szCs w:val="20"/>
                <w:color w:val="auto"/>
              </w:rPr>
            </w:pPr>
          </w:p>
        </w:tc>
        <w:tc>
          <w:tcPr>
            <w:tcW w:w="372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Common Stock as of March 8, 2023</w:t>
            </w:r>
          </w:p>
        </w:tc>
        <w:tc>
          <w:tcPr>
            <w:tcW w:w="20" w:type="dxa"/>
            <w:vAlign w:val="bottom"/>
            <w:tcBorders>
              <w:bottom w:val="single" w:sz="8" w:color="582C83"/>
            </w:tcBorders>
          </w:tcPr>
          <w:p>
            <w:pPr>
              <w:spacing w:after="0"/>
              <w:rPr>
                <w:sz w:val="20"/>
                <w:szCs w:val="20"/>
                <w:color w:val="auto"/>
              </w:rPr>
            </w:pPr>
          </w:p>
        </w:tc>
      </w:tr>
      <w:tr>
        <w:trPr>
          <w:trHeight w:val="301"/>
        </w:trPr>
        <w:tc>
          <w:tcPr>
            <w:tcW w:w="20" w:type="dxa"/>
            <w:vAlign w:val="bottom"/>
            <w:shd w:val="clear" w:color="auto" w:fill="EBE6F0"/>
          </w:tcPr>
          <w:p>
            <w:pPr>
              <w:spacing w:after="0"/>
              <w:rPr>
                <w:sz w:val="24"/>
                <w:szCs w:val="24"/>
                <w:color w:val="auto"/>
              </w:rPr>
            </w:pPr>
          </w:p>
        </w:tc>
        <w:tc>
          <w:tcPr>
            <w:tcW w:w="3720" w:type="dxa"/>
            <w:vAlign w:val="bottom"/>
            <w:shd w:val="clear" w:color="auto" w:fill="EBE6F0"/>
          </w:tcPr>
          <w:p>
            <w:pPr>
              <w:ind w:left="60"/>
              <w:spacing w:after="0"/>
              <w:rPr>
                <w:sz w:val="20"/>
                <w:szCs w:val="20"/>
                <w:color w:val="auto"/>
              </w:rPr>
            </w:pPr>
            <w:r>
              <w:rPr>
                <w:rFonts w:ascii="Arial" w:cs="Arial" w:eastAsia="Arial" w:hAnsi="Arial"/>
                <w:sz w:val="16"/>
                <w:szCs w:val="16"/>
                <w:color w:val="auto"/>
              </w:rPr>
              <w:t>BlackRock, Inc.</w:t>
            </w:r>
            <w:r>
              <w:rPr>
                <w:rFonts w:ascii="Arial" w:cs="Arial" w:eastAsia="Arial" w:hAnsi="Arial"/>
                <w:sz w:val="26"/>
                <w:szCs w:val="26"/>
                <w:color w:val="auto"/>
                <w:vertAlign w:val="superscript"/>
              </w:rPr>
              <w:t>(1)</w:t>
            </w:r>
          </w:p>
        </w:tc>
        <w:tc>
          <w:tcPr>
            <w:tcW w:w="20" w:type="dxa"/>
            <w:vAlign w:val="bottom"/>
            <w:shd w:val="clear" w:color="auto" w:fill="EBE6F0"/>
          </w:tcPr>
          <w:p>
            <w:pPr>
              <w:spacing w:after="0"/>
              <w:rPr>
                <w:sz w:val="24"/>
                <w:szCs w:val="24"/>
                <w:color w:val="auto"/>
              </w:rPr>
            </w:pPr>
          </w:p>
        </w:tc>
        <w:tc>
          <w:tcPr>
            <w:tcW w:w="3740" w:type="dxa"/>
            <w:vAlign w:val="bottom"/>
            <w:shd w:val="clear" w:color="auto" w:fill="EBE6F0"/>
          </w:tcPr>
          <w:p>
            <w:pPr>
              <w:jc w:val="right"/>
              <w:spacing w:after="0"/>
              <w:rPr>
                <w:sz w:val="20"/>
                <w:szCs w:val="20"/>
                <w:color w:val="auto"/>
              </w:rPr>
            </w:pPr>
            <w:r>
              <w:rPr>
                <w:rFonts w:ascii="Arial" w:cs="Arial" w:eastAsia="Arial" w:hAnsi="Arial"/>
                <w:sz w:val="16"/>
                <w:szCs w:val="16"/>
                <w:color w:val="auto"/>
              </w:rPr>
              <w:t>98,952,039</w:t>
            </w:r>
          </w:p>
        </w:tc>
        <w:tc>
          <w:tcPr>
            <w:tcW w:w="20" w:type="dxa"/>
            <w:vAlign w:val="bottom"/>
            <w:shd w:val="clear" w:color="auto" w:fill="EBE6F0"/>
          </w:tcPr>
          <w:p>
            <w:pPr>
              <w:spacing w:after="0"/>
              <w:rPr>
                <w:sz w:val="24"/>
                <w:szCs w:val="24"/>
                <w:color w:val="auto"/>
              </w:rPr>
            </w:pPr>
          </w:p>
        </w:tc>
        <w:tc>
          <w:tcPr>
            <w:tcW w:w="3720" w:type="dxa"/>
            <w:vAlign w:val="bottom"/>
            <w:shd w:val="clear" w:color="auto" w:fill="EBE6F0"/>
          </w:tcPr>
          <w:p>
            <w:pPr>
              <w:jc w:val="right"/>
              <w:spacing w:after="0"/>
              <w:rPr>
                <w:sz w:val="20"/>
                <w:szCs w:val="20"/>
                <w:color w:val="auto"/>
              </w:rPr>
            </w:pPr>
            <w:r>
              <w:rPr>
                <w:rFonts w:ascii="Arial" w:cs="Arial" w:eastAsia="Arial" w:hAnsi="Arial"/>
                <w:sz w:val="16"/>
                <w:szCs w:val="16"/>
                <w:color w:val="auto"/>
              </w:rPr>
              <w:t>7.3%</w:t>
            </w:r>
          </w:p>
        </w:tc>
        <w:tc>
          <w:tcPr>
            <w:tcW w:w="20" w:type="dxa"/>
            <w:vAlign w:val="bottom"/>
            <w:shd w:val="clear" w:color="auto" w:fill="EBE6F0"/>
          </w:tcPr>
          <w:p>
            <w:pPr>
              <w:spacing w:after="0"/>
              <w:rPr>
                <w:sz w:val="24"/>
                <w:szCs w:val="24"/>
                <w:color w:val="auto"/>
              </w:rPr>
            </w:pPr>
          </w:p>
        </w:tc>
      </w:tr>
      <w:tr>
        <w:trPr>
          <w:trHeight w:val="257"/>
        </w:trPr>
        <w:tc>
          <w:tcPr>
            <w:tcW w:w="20" w:type="dxa"/>
            <w:vAlign w:val="bottom"/>
            <w:shd w:val="clear" w:color="auto" w:fill="EBE6F0"/>
          </w:tcPr>
          <w:p>
            <w:pPr>
              <w:spacing w:after="0"/>
              <w:rPr>
                <w:sz w:val="22"/>
                <w:szCs w:val="22"/>
                <w:color w:val="auto"/>
              </w:rPr>
            </w:pPr>
          </w:p>
        </w:tc>
        <w:tc>
          <w:tcPr>
            <w:tcW w:w="3720" w:type="dxa"/>
            <w:vAlign w:val="bottom"/>
            <w:shd w:val="clear" w:color="auto" w:fill="EBE6F0"/>
          </w:tcPr>
          <w:p>
            <w:pPr>
              <w:ind w:left="60"/>
              <w:spacing w:after="0" w:line="257" w:lineRule="exact"/>
              <w:rPr>
                <w:sz w:val="20"/>
                <w:szCs w:val="20"/>
                <w:color w:val="auto"/>
              </w:rPr>
            </w:pPr>
            <w:r>
              <w:rPr>
                <w:rFonts w:ascii="Arial" w:cs="Arial" w:eastAsia="Arial" w:hAnsi="Arial"/>
                <w:sz w:val="16"/>
                <w:szCs w:val="16"/>
                <w:color w:val="auto"/>
              </w:rPr>
              <w:t>55 East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w:t>
            </w:r>
          </w:p>
        </w:tc>
        <w:tc>
          <w:tcPr>
            <w:tcW w:w="20" w:type="dxa"/>
            <w:vAlign w:val="bottom"/>
            <w:shd w:val="clear" w:color="auto" w:fill="EBE6F0"/>
          </w:tcPr>
          <w:p>
            <w:pPr>
              <w:spacing w:after="0"/>
              <w:rPr>
                <w:sz w:val="22"/>
                <w:szCs w:val="22"/>
                <w:color w:val="auto"/>
              </w:rPr>
            </w:pPr>
          </w:p>
        </w:tc>
        <w:tc>
          <w:tcPr>
            <w:tcW w:w="3740" w:type="dxa"/>
            <w:vAlign w:val="bottom"/>
            <w:shd w:val="clear" w:color="auto" w:fill="EBE6F0"/>
          </w:tcPr>
          <w:p>
            <w:pPr>
              <w:spacing w:after="0"/>
              <w:rPr>
                <w:sz w:val="22"/>
                <w:szCs w:val="22"/>
                <w:color w:val="auto"/>
              </w:rPr>
            </w:pPr>
          </w:p>
        </w:tc>
        <w:tc>
          <w:tcPr>
            <w:tcW w:w="20" w:type="dxa"/>
            <w:vAlign w:val="bottom"/>
            <w:shd w:val="clear" w:color="auto" w:fill="EBE6F0"/>
          </w:tcPr>
          <w:p>
            <w:pPr>
              <w:spacing w:after="0"/>
              <w:rPr>
                <w:sz w:val="22"/>
                <w:szCs w:val="22"/>
                <w:color w:val="auto"/>
              </w:rPr>
            </w:pPr>
          </w:p>
        </w:tc>
        <w:tc>
          <w:tcPr>
            <w:tcW w:w="3720" w:type="dxa"/>
            <w:vAlign w:val="bottom"/>
            <w:shd w:val="clear" w:color="auto" w:fill="EBE6F0"/>
          </w:tcPr>
          <w:p>
            <w:pPr>
              <w:spacing w:after="0"/>
              <w:rPr>
                <w:sz w:val="22"/>
                <w:szCs w:val="22"/>
                <w:color w:val="auto"/>
              </w:rPr>
            </w:pPr>
          </w:p>
        </w:tc>
        <w:tc>
          <w:tcPr>
            <w:tcW w:w="20" w:type="dxa"/>
            <w:vAlign w:val="bottom"/>
            <w:shd w:val="clear" w:color="auto" w:fill="EBE6F0"/>
          </w:tcPr>
          <w:p>
            <w:pPr>
              <w:spacing w:after="0"/>
              <w:rPr>
                <w:sz w:val="22"/>
                <w:szCs w:val="22"/>
                <w:color w:val="auto"/>
              </w:rPr>
            </w:pPr>
          </w:p>
        </w:tc>
      </w:tr>
      <w:tr>
        <w:trPr>
          <w:trHeight w:val="254"/>
        </w:trPr>
        <w:tc>
          <w:tcPr>
            <w:tcW w:w="20" w:type="dxa"/>
            <w:vAlign w:val="bottom"/>
            <w:tcBorders>
              <w:bottom w:val="single" w:sz="8" w:color="EBE6F0"/>
            </w:tcBorders>
            <w:shd w:val="clear" w:color="auto" w:fill="EBE6F0"/>
          </w:tcPr>
          <w:p>
            <w:pPr>
              <w:spacing w:after="0"/>
              <w:rPr>
                <w:sz w:val="21"/>
                <w:szCs w:val="21"/>
                <w:color w:val="auto"/>
              </w:rPr>
            </w:pPr>
          </w:p>
        </w:tc>
        <w:tc>
          <w:tcPr>
            <w:tcW w:w="372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New York, NY 10055</w:t>
            </w:r>
          </w:p>
        </w:tc>
        <w:tc>
          <w:tcPr>
            <w:tcW w:w="20" w:type="dxa"/>
            <w:vAlign w:val="bottom"/>
            <w:tcBorders>
              <w:bottom w:val="single" w:sz="8" w:color="EBE6F0"/>
            </w:tcBorders>
            <w:shd w:val="clear" w:color="auto" w:fill="EBE6F0"/>
          </w:tcPr>
          <w:p>
            <w:pPr>
              <w:spacing w:after="0"/>
              <w:rPr>
                <w:sz w:val="21"/>
                <w:szCs w:val="21"/>
                <w:color w:val="auto"/>
              </w:rPr>
            </w:pPr>
          </w:p>
        </w:tc>
        <w:tc>
          <w:tcPr>
            <w:tcW w:w="3740" w:type="dxa"/>
            <w:vAlign w:val="bottom"/>
            <w:tcBorders>
              <w:bottom w:val="single" w:sz="8" w:color="EBE6F0"/>
            </w:tcBorders>
            <w:shd w:val="clear" w:color="auto" w:fill="EBE6F0"/>
          </w:tcPr>
          <w:p>
            <w:pPr>
              <w:spacing w:after="0"/>
              <w:rPr>
                <w:sz w:val="21"/>
                <w:szCs w:val="21"/>
                <w:color w:val="auto"/>
              </w:rPr>
            </w:pPr>
          </w:p>
        </w:tc>
        <w:tc>
          <w:tcPr>
            <w:tcW w:w="20" w:type="dxa"/>
            <w:vAlign w:val="bottom"/>
            <w:tcBorders>
              <w:bottom w:val="single" w:sz="8" w:color="EBE6F0"/>
            </w:tcBorders>
            <w:shd w:val="clear" w:color="auto" w:fill="EBE6F0"/>
          </w:tcPr>
          <w:p>
            <w:pPr>
              <w:spacing w:after="0"/>
              <w:rPr>
                <w:sz w:val="21"/>
                <w:szCs w:val="21"/>
                <w:color w:val="auto"/>
              </w:rPr>
            </w:pPr>
          </w:p>
        </w:tc>
        <w:tc>
          <w:tcPr>
            <w:tcW w:w="3720" w:type="dxa"/>
            <w:vAlign w:val="bottom"/>
            <w:tcBorders>
              <w:bottom w:val="single" w:sz="8" w:color="EBE6F0"/>
            </w:tcBorders>
            <w:shd w:val="clear" w:color="auto" w:fill="EBE6F0"/>
          </w:tcPr>
          <w:p>
            <w:pPr>
              <w:spacing w:after="0"/>
              <w:rPr>
                <w:sz w:val="21"/>
                <w:szCs w:val="21"/>
                <w:color w:val="auto"/>
              </w:rPr>
            </w:pPr>
          </w:p>
        </w:tc>
        <w:tc>
          <w:tcPr>
            <w:tcW w:w="20" w:type="dxa"/>
            <w:vAlign w:val="bottom"/>
            <w:tcBorders>
              <w:bottom w:val="single" w:sz="8" w:color="EBE6F0"/>
            </w:tcBorders>
            <w:shd w:val="clear" w:color="auto" w:fill="EBE6F0"/>
          </w:tcPr>
          <w:p>
            <w:pPr>
              <w:spacing w:after="0"/>
              <w:rPr>
                <w:sz w:val="21"/>
                <w:szCs w:val="21"/>
                <w:color w:val="auto"/>
              </w:rPr>
            </w:pPr>
          </w:p>
        </w:tc>
      </w:tr>
      <w:tr>
        <w:trPr>
          <w:trHeight w:val="290"/>
        </w:trPr>
        <w:tc>
          <w:tcPr>
            <w:tcW w:w="20" w:type="dxa"/>
            <w:vAlign w:val="bottom"/>
            <w:tcBorders>
              <w:top w:val="single" w:sz="8" w:color="EBE6F0"/>
            </w:tcBorders>
          </w:tcPr>
          <w:p>
            <w:pPr>
              <w:spacing w:after="0"/>
              <w:rPr>
                <w:sz w:val="24"/>
                <w:szCs w:val="24"/>
                <w:color w:val="auto"/>
              </w:rPr>
            </w:pPr>
          </w:p>
        </w:tc>
        <w:tc>
          <w:tcPr>
            <w:tcW w:w="3720" w:type="dxa"/>
            <w:vAlign w:val="bottom"/>
            <w:tcBorders>
              <w:top w:val="single" w:sz="8" w:color="582C83"/>
            </w:tcBorders>
          </w:tcPr>
          <w:p>
            <w:pPr>
              <w:ind w:left="40"/>
              <w:spacing w:after="0" w:line="290" w:lineRule="exact"/>
              <w:rPr>
                <w:sz w:val="20"/>
                <w:szCs w:val="20"/>
                <w:color w:val="auto"/>
              </w:rPr>
            </w:pPr>
            <w:r>
              <w:rPr>
                <w:rFonts w:ascii="Arial" w:cs="Arial" w:eastAsia="Arial" w:hAnsi="Arial"/>
                <w:sz w:val="16"/>
                <w:szCs w:val="16"/>
                <w:color w:val="auto"/>
              </w:rPr>
              <w:t>The Vanguard Group</w:t>
            </w:r>
            <w:r>
              <w:rPr>
                <w:rFonts w:ascii="Arial" w:cs="Arial" w:eastAsia="Arial" w:hAnsi="Arial"/>
                <w:sz w:val="26"/>
                <w:szCs w:val="26"/>
                <w:color w:val="auto"/>
                <w:vertAlign w:val="superscript"/>
              </w:rPr>
              <w:t>(2)</w:t>
            </w:r>
          </w:p>
        </w:tc>
        <w:tc>
          <w:tcPr>
            <w:tcW w:w="20" w:type="dxa"/>
            <w:vAlign w:val="bottom"/>
            <w:tcBorders>
              <w:top w:val="single" w:sz="8" w:color="EBE6F0"/>
            </w:tcBorders>
          </w:tcPr>
          <w:p>
            <w:pPr>
              <w:spacing w:after="0"/>
              <w:rPr>
                <w:sz w:val="24"/>
                <w:szCs w:val="24"/>
                <w:color w:val="auto"/>
              </w:rPr>
            </w:pPr>
          </w:p>
        </w:tc>
        <w:tc>
          <w:tcPr>
            <w:tcW w:w="374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122,569,785</w:t>
            </w:r>
          </w:p>
        </w:tc>
        <w:tc>
          <w:tcPr>
            <w:tcW w:w="20" w:type="dxa"/>
            <w:vAlign w:val="bottom"/>
            <w:tcBorders>
              <w:top w:val="single" w:sz="8" w:color="EBE6F0"/>
            </w:tcBorders>
          </w:tcPr>
          <w:p>
            <w:pPr>
              <w:spacing w:after="0"/>
              <w:rPr>
                <w:sz w:val="24"/>
                <w:szCs w:val="24"/>
                <w:color w:val="auto"/>
              </w:rPr>
            </w:pPr>
          </w:p>
        </w:tc>
        <w:tc>
          <w:tcPr>
            <w:tcW w:w="372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9.0%</w:t>
            </w:r>
          </w:p>
        </w:tc>
        <w:tc>
          <w:tcPr>
            <w:tcW w:w="20" w:type="dxa"/>
            <w:vAlign w:val="bottom"/>
            <w:tcBorders>
              <w:top w:val="single" w:sz="8" w:color="EBE6F0"/>
            </w:tcBorders>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3720" w:type="dxa"/>
            <w:vAlign w:val="bottom"/>
          </w:tcPr>
          <w:p>
            <w:pPr>
              <w:ind w:left="40"/>
              <w:spacing w:after="0"/>
              <w:rPr>
                <w:sz w:val="20"/>
                <w:szCs w:val="20"/>
                <w:color w:val="auto"/>
              </w:rPr>
            </w:pPr>
            <w:r>
              <w:rPr>
                <w:rFonts w:ascii="Arial" w:cs="Arial" w:eastAsia="Arial" w:hAnsi="Arial"/>
                <w:sz w:val="16"/>
                <w:szCs w:val="16"/>
                <w:color w:val="auto"/>
              </w:rPr>
              <w:t>100 Vanguard Blvd.</w:t>
            </w:r>
          </w:p>
        </w:tc>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20" w:type="dxa"/>
            <w:vAlign w:val="bottom"/>
          </w:tcPr>
          <w:p>
            <w:pPr>
              <w:ind w:left="40"/>
              <w:spacing w:after="0"/>
              <w:rPr>
                <w:sz w:val="20"/>
                <w:szCs w:val="20"/>
                <w:color w:val="auto"/>
              </w:rPr>
            </w:pPr>
            <w:r>
              <w:rPr>
                <w:rFonts w:ascii="Arial" w:cs="Arial" w:eastAsia="Arial" w:hAnsi="Arial"/>
                <w:sz w:val="16"/>
                <w:szCs w:val="16"/>
                <w:color w:val="auto"/>
              </w:rPr>
              <w:t>Malvern, PA 19355</w:t>
            </w:r>
          </w:p>
        </w:tc>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
        </w:trPr>
        <w:tc>
          <w:tcPr>
            <w:tcW w:w="20" w:type="dxa"/>
            <w:vAlign w:val="bottom"/>
            <w:tcBorders>
              <w:bottom w:val="single" w:sz="8" w:color="582C83"/>
            </w:tcBorders>
          </w:tcPr>
          <w:p>
            <w:pPr>
              <w:spacing w:after="0"/>
              <w:rPr>
                <w:sz w:val="3"/>
                <w:szCs w:val="3"/>
                <w:color w:val="auto"/>
              </w:rPr>
            </w:pPr>
          </w:p>
        </w:tc>
        <w:tc>
          <w:tcPr>
            <w:tcW w:w="372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374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c>
          <w:tcPr>
            <w:tcW w:w="372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75" w:lineRule="exact"/>
        <w:rPr>
          <w:sz w:val="20"/>
          <w:szCs w:val="20"/>
          <w:color w:val="auto"/>
        </w:rPr>
      </w:pPr>
    </w:p>
    <w:p>
      <w:pPr>
        <w:ind w:left="380" w:right="100" w:hanging="319"/>
        <w:spacing w:after="0" w:line="258" w:lineRule="auto"/>
        <w:tabs>
          <w:tab w:leader="none" w:pos="38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Based on the Schedule 13G/A filed by BlackRock on January 31, 2023 with the SEC. The Schedule 13G/A discloses that BlackRock, in its capacity as the parent holding company of certain subsidiaries, had sole voting power over 87,939,525 shares, shared voting power over 0 shares, sole dispositive power over 98.952,039 shares and shared voting and dispositive power over 0 shares.</w:t>
      </w:r>
    </w:p>
    <w:p>
      <w:pPr>
        <w:spacing w:after="0" w:line="2" w:lineRule="exact"/>
        <w:rPr>
          <w:rFonts w:ascii="Arial" w:cs="Arial" w:eastAsia="Arial" w:hAnsi="Arial"/>
          <w:sz w:val="15"/>
          <w:szCs w:val="15"/>
          <w:color w:val="auto"/>
        </w:rPr>
      </w:pPr>
    </w:p>
    <w:p>
      <w:pPr>
        <w:ind w:left="380" w:right="220" w:hanging="319"/>
        <w:spacing w:after="0" w:line="258" w:lineRule="auto"/>
        <w:tabs>
          <w:tab w:leader="none" w:pos="38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Based on the Schedule 13G/A filed by The Vanguard Group on February 9, 2023 with the SEC. The Schedule 13G/A discloses that The Vanguard Group, as investment advisor, had sole voting power over 0 shares, shared voting power over 1,916,477 shares, sole dispositive power over 116,767,501 shares and shared dispositive power over 5,802,284 shares.</w:t>
      </w:r>
    </w:p>
    <w:p>
      <w:pPr>
        <w:spacing w:after="0" w:line="175"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Delinquent Section 16(a) Reports</w:t>
      </w:r>
    </w:p>
    <w:p>
      <w:pPr>
        <w:spacing w:after="0" w:line="312"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Section 16(a) of the Exchange Act requires executive officers, directors and persons who beneficially own more than 10% of our Common Stock to report to the SEC their ownership of Common Stock and changes in that ownership. We reviewed copies of reports filed pursuant to Section 16(a) of the Exchange Act and written representations from reporting persons. Based solely on that review, we believe that for the fiscal year ended December 31, 2022, all required reports under Section 16(a) were filed on a timely basis, except for three reports for three transactions as follows: (i) a Form 4 filed late by Ertharin Cousin reporting her January 3, 2022 grant of deferred stock units, which was filed on January 7, 2022, (ii) a Form 4 report filed late by Mariano Lozano reporting his April 25, 2022 grant of stock options, which was filed on May 2, 2022, and (iii) a Form 4 report filed late by Ertharin Cousin reporting her July 8, 2022 sale of shares of Common Stock, which was filed on February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143115"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81" w:lineRule="exact"/>
        <w:rPr>
          <w:sz w:val="20"/>
          <w:szCs w:val="20"/>
          <w:color w:val="auto"/>
        </w:rPr>
      </w:pPr>
    </w:p>
    <w:p>
      <w:pPr>
        <w:ind w:left="8980"/>
        <w:spacing w:after="0"/>
        <w:rPr>
          <w:sz w:val="20"/>
          <w:szCs w:val="20"/>
          <w:color w:val="auto"/>
        </w:rPr>
      </w:pPr>
      <w:r>
        <w:rPr>
          <w:rFonts w:ascii="Arial" w:cs="Arial" w:eastAsia="Arial" w:hAnsi="Arial"/>
          <w:sz w:val="15"/>
          <w:szCs w:val="15"/>
          <w:b w:val="1"/>
          <w:bCs w:val="1"/>
          <w:color w:val="58358F"/>
        </w:rPr>
        <w:t>2023 PROXY STATEMENT |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311785</wp:posOffset>
            </wp:positionV>
            <wp:extent cx="6307455" cy="15455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20"/>
        <w:spacing w:after="0"/>
        <w:rPr>
          <w:sz w:val="20"/>
          <w:szCs w:val="20"/>
          <w:color w:val="auto"/>
        </w:rPr>
      </w:pPr>
      <w:r>
        <w:rPr>
          <w:rFonts w:ascii="Arial" w:cs="Arial" w:eastAsia="Arial" w:hAnsi="Arial"/>
          <w:sz w:val="41"/>
          <w:szCs w:val="41"/>
          <w:b w:val="1"/>
          <w:bCs w:val="1"/>
          <w:color w:val="58358F"/>
        </w:rPr>
        <w:t>ITEM 2. ADVISORY VOTE TO APPROVE</w:t>
      </w:r>
    </w:p>
    <w:p>
      <w:pPr>
        <w:spacing w:after="0" w:line="42" w:lineRule="exact"/>
        <w:rPr>
          <w:sz w:val="20"/>
          <w:szCs w:val="20"/>
          <w:color w:val="auto"/>
        </w:rPr>
      </w:pPr>
    </w:p>
    <w:p>
      <w:pPr>
        <w:ind w:left="2400"/>
        <w:spacing w:after="0"/>
        <w:rPr>
          <w:sz w:val="20"/>
          <w:szCs w:val="20"/>
          <w:color w:val="auto"/>
        </w:rPr>
      </w:pPr>
      <w:r>
        <w:rPr>
          <w:rFonts w:ascii="Arial" w:cs="Arial" w:eastAsia="Arial" w:hAnsi="Arial"/>
          <w:sz w:val="41"/>
          <w:szCs w:val="41"/>
          <w:b w:val="1"/>
          <w:bCs w:val="1"/>
          <w:color w:val="58358F"/>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right="720"/>
        <w:spacing w:after="0"/>
        <w:rPr>
          <w:sz w:val="20"/>
          <w:szCs w:val="20"/>
          <w:color w:val="auto"/>
        </w:rPr>
      </w:pPr>
      <w:r>
        <w:rPr>
          <w:rFonts w:ascii="Arial" w:cs="Arial" w:eastAsia="Arial" w:hAnsi="Arial"/>
          <w:sz w:val="20"/>
          <w:szCs w:val="20"/>
          <w:color w:val="auto"/>
        </w:rPr>
        <w:t>Our executives – including our NEOs – are critical to our success, and we design our executive compensation programs to attract, retain and motivate superior executive talent. At the same time, we expect our executives to deliver strong results, and we structure our executive compensation practices to focus on shareholders’ interests by incenting superior sustainable long-term performance. In so doing, we align pay and performance by making a significant portion of our NEOs’ compensation contingent on reaching specific annual and long-term performance goals and increasing shareholder value.</w:t>
      </w:r>
    </w:p>
    <w:p>
      <w:pPr>
        <w:spacing w:after="0" w:line="135" w:lineRule="exact"/>
        <w:rPr>
          <w:sz w:val="20"/>
          <w:szCs w:val="20"/>
          <w:color w:val="auto"/>
        </w:rPr>
      </w:pPr>
    </w:p>
    <w:p>
      <w:pPr>
        <w:ind w:left="660" w:right="660"/>
        <w:spacing w:after="0"/>
        <w:rPr>
          <w:sz w:val="20"/>
          <w:szCs w:val="20"/>
          <w:color w:val="auto"/>
        </w:rPr>
      </w:pPr>
      <w:r>
        <w:rPr>
          <w:rFonts w:ascii="Arial" w:cs="Arial" w:eastAsia="Arial" w:hAnsi="Arial"/>
          <w:sz w:val="20"/>
          <w:szCs w:val="20"/>
          <w:color w:val="auto"/>
        </w:rPr>
        <w:t>We have strong compensation-related design and governance practices to protect our shareholders’ interests. Our independent People and Compensation Committee regularly assesses our executive compensation program to hold executives accountable for attaining performance targets and driving shareholder value. We encourage you to read the “Compensation Discussion and Analysis” beginning on page 65 and the “Executive Compensation Tables” beginning on page 94 to learn more about our executive compensation program and how our 2022 pay aligned with 2022 performance.</w:t>
      </w:r>
    </w:p>
    <w:p>
      <w:pPr>
        <w:spacing w:after="0" w:line="135" w:lineRule="exact"/>
        <w:rPr>
          <w:sz w:val="20"/>
          <w:szCs w:val="20"/>
          <w:color w:val="auto"/>
        </w:rPr>
      </w:pPr>
    </w:p>
    <w:p>
      <w:pPr>
        <w:ind w:left="660" w:right="840"/>
        <w:spacing w:after="0" w:line="242" w:lineRule="auto"/>
        <w:rPr>
          <w:sz w:val="20"/>
          <w:szCs w:val="20"/>
          <w:color w:val="auto"/>
        </w:rPr>
      </w:pPr>
      <w:r>
        <w:rPr>
          <w:rFonts w:ascii="Arial" w:cs="Arial" w:eastAsia="Arial" w:hAnsi="Arial"/>
          <w:sz w:val="20"/>
          <w:szCs w:val="20"/>
          <w:color w:val="auto"/>
        </w:rPr>
        <w:t>The People and Compensation Committee and the Board believe that our executive compensation program serves our shareholders’ interests by linking pay with performance, and we will continue to refine our compensation program to align compensation with the Company’s business and talent strategies as well as the long-term interests of shareholders. Accordingly, and as required by SEC rules, we ask you to vote “FOR” the following resolution at the Annual Meeting:</w:t>
      </w:r>
    </w:p>
    <w:p>
      <w:pPr>
        <w:spacing w:after="0" w:line="132" w:lineRule="exact"/>
        <w:rPr>
          <w:sz w:val="20"/>
          <w:szCs w:val="20"/>
          <w:color w:val="auto"/>
        </w:rPr>
      </w:pPr>
    </w:p>
    <w:p>
      <w:pPr>
        <w:ind w:left="800" w:right="1080"/>
        <w:spacing w:after="0" w:line="244" w:lineRule="auto"/>
        <w:rPr>
          <w:sz w:val="20"/>
          <w:szCs w:val="20"/>
          <w:color w:val="auto"/>
        </w:rPr>
      </w:pPr>
      <w:r>
        <w:rPr>
          <w:rFonts w:ascii="Arial" w:cs="Arial" w:eastAsia="Arial" w:hAnsi="Arial"/>
          <w:sz w:val="20"/>
          <w:szCs w:val="20"/>
          <w:color w:val="auto"/>
        </w:rPr>
        <w:t>“RESOLVED, that Mondelēz International’s shareholders approve, on an advisory basis, the compensation paid to Mondelēz International’s NEOs, as disclosed in this Proxy Statement pursuant to the SEC’s compensation disclosure rules, including the Compensation Discussion and Analysis, the Executive Compensation Tables and related narrative discussion.”</w:t>
      </w:r>
    </w:p>
    <w:p>
      <w:pPr>
        <w:spacing w:after="0" w:line="133" w:lineRule="exact"/>
        <w:rPr>
          <w:sz w:val="20"/>
          <w:szCs w:val="20"/>
          <w:color w:val="auto"/>
        </w:rPr>
      </w:pPr>
    </w:p>
    <w:p>
      <w:pPr>
        <w:ind w:left="660" w:right="840"/>
        <w:spacing w:after="0" w:line="239" w:lineRule="auto"/>
        <w:rPr>
          <w:sz w:val="20"/>
          <w:szCs w:val="20"/>
          <w:color w:val="auto"/>
        </w:rPr>
      </w:pPr>
      <w:r>
        <w:rPr>
          <w:rFonts w:ascii="Arial" w:cs="Arial" w:eastAsia="Arial" w:hAnsi="Arial"/>
          <w:sz w:val="20"/>
          <w:szCs w:val="20"/>
          <w:color w:val="auto"/>
        </w:rPr>
        <w:t>While the annual say-on-pay vote is advisory and therefore not binding on Mondelēz International, the People and Compensation Committee or the Board, we value the opinions of our shareholders. We carefully and thoughtfully consider our shareholders’ concerns and opinions in evaluating our executive compensation program. We believe the compensation paid to our NEOs for 2022 appropriately reflects and rewards their contribution to our performance. Unless the Board modifies its policy of holding an advisory say-on-pay vote on an annual basis, including after taking into account the results of shareholder votes on Proposal 3 below, the next advisory say-on-pay vote will be held at our 2024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102235</wp:posOffset>
            </wp:positionV>
            <wp:extent cx="6307455" cy="5283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307455" cy="528320"/>
                    </a:xfrm>
                    <a:prstGeom prst="rect">
                      <a:avLst/>
                    </a:prstGeom>
                    <a:noFill/>
                  </pic:spPr>
                </pic:pic>
              </a:graphicData>
            </a:graphic>
          </wp:anchor>
        </w:drawing>
      </w:r>
    </w:p>
    <w:p>
      <w:pPr>
        <w:spacing w:after="0" w:line="277" w:lineRule="exact"/>
        <w:rPr>
          <w:sz w:val="20"/>
          <w:szCs w:val="20"/>
          <w:color w:val="auto"/>
        </w:rPr>
      </w:pPr>
    </w:p>
    <w:p>
      <w:pPr>
        <w:ind w:left="1480" w:right="2180"/>
        <w:spacing w:after="0" w:line="278" w:lineRule="auto"/>
        <w:rPr>
          <w:sz w:val="20"/>
          <w:szCs w:val="20"/>
          <w:color w:val="auto"/>
        </w:rPr>
      </w:pPr>
      <w:r>
        <w:rPr>
          <w:rFonts w:ascii="Arial" w:cs="Arial" w:eastAsia="Arial" w:hAnsi="Arial"/>
          <w:sz w:val="20"/>
          <w:szCs w:val="20"/>
          <w:b w:val="1"/>
          <w:bCs w:val="1"/>
          <w:color w:val="FFFFFF"/>
        </w:rPr>
        <w:t>THE BOARD RECOMMENDS A VOTE FOR THE APPROVAL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7143115"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311785</wp:posOffset>
            </wp:positionV>
            <wp:extent cx="6307455" cy="15455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400" w:right="980" w:hanging="1572"/>
        <w:spacing w:after="0" w:line="273" w:lineRule="auto"/>
        <w:rPr>
          <w:sz w:val="20"/>
          <w:szCs w:val="20"/>
          <w:color w:val="auto"/>
        </w:rPr>
      </w:pPr>
      <w:r>
        <w:rPr>
          <w:rFonts w:ascii="Arial" w:cs="Arial" w:eastAsia="Arial" w:hAnsi="Arial"/>
          <w:sz w:val="40"/>
          <w:szCs w:val="40"/>
          <w:b w:val="1"/>
          <w:bCs w:val="1"/>
          <w:color w:val="58358F"/>
        </w:rPr>
        <w:t>ITEM 3. ADVISORY VOTE ON THE FREQUENCY OF FUTURE ADVISORY VOTES TO APPROVE EXECUTIVE COMPENSATION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740"/>
        <w:spacing w:after="0" w:line="242" w:lineRule="auto"/>
        <w:rPr>
          <w:sz w:val="20"/>
          <w:szCs w:val="20"/>
          <w:color w:val="auto"/>
        </w:rPr>
      </w:pPr>
      <w:r>
        <w:rPr>
          <w:rFonts w:ascii="Arial" w:cs="Arial" w:eastAsia="Arial" w:hAnsi="Arial"/>
          <w:sz w:val="20"/>
          <w:szCs w:val="20"/>
          <w:color w:val="auto"/>
        </w:rPr>
        <w:t>The Dodd-Frank Act enables shareholders to indicate at least every six years how frequently (every one, two or three years) they want to vote on an advisory basis to approve the compensation of the NEOs, as disclosed pursuant to the SEC’s compensation disclosure rules. Shareholders last voted on frequency at the 2017 Annual Meeting of Shareholders. They overwhelmingly voted for an annual say-on-pay vote. Under the Dodd-Frank Act, shareholders must again vote on the frequency of future say-on-pay votes at this Annual Meeting.</w:t>
      </w:r>
    </w:p>
    <w:p>
      <w:pPr>
        <w:spacing w:after="0" w:line="132" w:lineRule="exact"/>
        <w:rPr>
          <w:sz w:val="20"/>
          <w:szCs w:val="20"/>
          <w:color w:val="auto"/>
        </w:rPr>
      </w:pPr>
    </w:p>
    <w:p>
      <w:pPr>
        <w:ind w:left="660" w:right="860"/>
        <w:spacing w:after="0" w:line="256" w:lineRule="auto"/>
        <w:rPr>
          <w:sz w:val="20"/>
          <w:szCs w:val="20"/>
          <w:color w:val="auto"/>
        </w:rPr>
      </w:pPr>
      <w:r>
        <w:rPr>
          <w:rFonts w:ascii="Arial" w:cs="Arial" w:eastAsia="Arial" w:hAnsi="Arial"/>
          <w:sz w:val="20"/>
          <w:szCs w:val="20"/>
          <w:color w:val="auto"/>
        </w:rPr>
        <w:t xml:space="preserve">After careful consideration, the Board determined that an annual advisory say-on-pay vote is the most appropriate choice for Mondelēz International. For the reasons described below, </w:t>
      </w:r>
      <w:r>
        <w:rPr>
          <w:rFonts w:ascii="Arial" w:cs="Arial" w:eastAsia="Arial" w:hAnsi="Arial"/>
          <w:sz w:val="20"/>
          <w:szCs w:val="20"/>
          <w:b w:val="1"/>
          <w:bCs w:val="1"/>
          <w:color w:val="auto"/>
        </w:rPr>
        <w:t>the Board recommends that</w:t>
      </w:r>
      <w:r>
        <w:rPr>
          <w:rFonts w:ascii="Arial" w:cs="Arial" w:eastAsia="Arial" w:hAnsi="Arial"/>
          <w:sz w:val="20"/>
          <w:szCs w:val="20"/>
          <w:color w:val="auto"/>
        </w:rPr>
        <w:t xml:space="preserve"> </w:t>
      </w:r>
      <w:r>
        <w:rPr>
          <w:rFonts w:ascii="Arial" w:cs="Arial" w:eastAsia="Arial" w:hAnsi="Arial"/>
          <w:sz w:val="20"/>
          <w:szCs w:val="20"/>
          <w:b w:val="1"/>
          <w:bCs w:val="1"/>
          <w:color w:val="auto"/>
        </w:rPr>
        <w:t>you vote for the one year advisory say-on-pay vote</w:t>
      </w:r>
      <w:r>
        <w:rPr>
          <w:rFonts w:ascii="Arial" w:cs="Arial" w:eastAsia="Arial" w:hAnsi="Arial"/>
          <w:sz w:val="20"/>
          <w:szCs w:val="20"/>
          <w:color w:val="auto"/>
        </w:rPr>
        <w:t>.</w:t>
      </w:r>
    </w:p>
    <w:p>
      <w:pPr>
        <w:spacing w:after="0" w:line="108" w:lineRule="exact"/>
        <w:rPr>
          <w:sz w:val="20"/>
          <w:szCs w:val="20"/>
          <w:color w:val="auto"/>
        </w:rPr>
      </w:pPr>
    </w:p>
    <w:p>
      <w:pPr>
        <w:ind w:left="660" w:right="660"/>
        <w:spacing w:after="0" w:line="244" w:lineRule="auto"/>
        <w:rPr>
          <w:sz w:val="20"/>
          <w:szCs w:val="20"/>
          <w:color w:val="auto"/>
        </w:rPr>
      </w:pPr>
      <w:r>
        <w:rPr>
          <w:rFonts w:ascii="Arial" w:cs="Arial" w:eastAsia="Arial" w:hAnsi="Arial"/>
          <w:sz w:val="20"/>
          <w:szCs w:val="20"/>
          <w:color w:val="auto"/>
        </w:rPr>
        <w:t>The Board believes that shareholders should vote annually to approve NEO compensation in order to provide us timely, direct input regarding our compensation philosophy, policies and practices. In addition, an annual advisory say-on-pay vote is consistent with our practice of seeking input from, and engaging with, our shareholders on corporate governance matters and our executive compensation program.</w:t>
      </w:r>
    </w:p>
    <w:p>
      <w:pPr>
        <w:spacing w:after="0" w:line="133" w:lineRule="exact"/>
        <w:rPr>
          <w:sz w:val="20"/>
          <w:szCs w:val="20"/>
          <w:color w:val="auto"/>
        </w:rPr>
      </w:pPr>
    </w:p>
    <w:p>
      <w:pPr>
        <w:ind w:left="660" w:right="1100"/>
        <w:spacing w:after="0" w:line="250" w:lineRule="auto"/>
        <w:rPr>
          <w:sz w:val="20"/>
          <w:szCs w:val="20"/>
          <w:color w:val="auto"/>
        </w:rPr>
      </w:pPr>
      <w:r>
        <w:rPr>
          <w:rFonts w:ascii="Arial" w:cs="Arial" w:eastAsia="Arial" w:hAnsi="Arial"/>
          <w:sz w:val="20"/>
          <w:szCs w:val="20"/>
          <w:color w:val="auto"/>
        </w:rPr>
        <w:t>When you vote on this proposal, you are choosing your preferred voting frequency – every one, two or three years. You are not voting “for” or “against” the Board’s recommendation for an annual frequency for future advisory say-on-pay votes.</w:t>
      </w:r>
    </w:p>
    <w:p>
      <w:pPr>
        <w:spacing w:after="0" w:line="126" w:lineRule="exact"/>
        <w:rPr>
          <w:sz w:val="20"/>
          <w:szCs w:val="20"/>
          <w:color w:val="auto"/>
        </w:rPr>
      </w:pPr>
    </w:p>
    <w:p>
      <w:pPr>
        <w:ind w:left="660" w:right="780"/>
        <w:spacing w:after="0"/>
        <w:rPr>
          <w:sz w:val="20"/>
          <w:szCs w:val="20"/>
          <w:color w:val="auto"/>
        </w:rPr>
      </w:pPr>
      <w:r>
        <w:rPr>
          <w:rFonts w:ascii="Arial" w:cs="Arial" w:eastAsia="Arial" w:hAnsi="Arial"/>
          <w:sz w:val="20"/>
          <w:szCs w:val="20"/>
          <w:color w:val="auto"/>
        </w:rPr>
        <w:t>The choice of every one-, two- or three-year intervals that receives a majority of votes cast (or the highest number of votes cast if no choice receives a majority) will be the frequency selected by shareholders for the advisory vote to approve NEO compensation. This say-on-pay vote is advisory and not binding on Mondelēz International. Therefore, the People and Compensation Committee or the Board may decide that it is in the best interests of our shareholders and Mondelēz International to hold an advisory say-on-pay vote more or less frequently than that which shareholders chose.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102235</wp:posOffset>
            </wp:positionV>
            <wp:extent cx="6307455" cy="5283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307455" cy="528320"/>
                    </a:xfrm>
                    <a:prstGeom prst="rect">
                      <a:avLst/>
                    </a:prstGeom>
                    <a:noFill/>
                  </pic:spPr>
                </pic:pic>
              </a:graphicData>
            </a:graphic>
          </wp:anchor>
        </w:drawing>
      </w:r>
    </w:p>
    <w:p>
      <w:pPr>
        <w:spacing w:after="0" w:line="227" w:lineRule="exact"/>
        <w:rPr>
          <w:sz w:val="20"/>
          <w:szCs w:val="20"/>
          <w:color w:val="auto"/>
        </w:rPr>
      </w:pPr>
    </w:p>
    <w:p>
      <w:pPr>
        <w:ind w:left="1480" w:right="720"/>
        <w:spacing w:after="0" w:line="256" w:lineRule="auto"/>
        <w:rPr>
          <w:sz w:val="20"/>
          <w:szCs w:val="20"/>
          <w:color w:val="auto"/>
        </w:rPr>
      </w:pPr>
      <w:r>
        <w:rPr>
          <w:rFonts w:ascii="Arial" w:cs="Arial" w:eastAsia="Arial" w:hAnsi="Arial"/>
          <w:sz w:val="20"/>
          <w:szCs w:val="20"/>
          <w:b w:val="1"/>
          <w:bCs w:val="1"/>
          <w:color w:val="FFFFFF"/>
        </w:rPr>
        <w:t>THE BOARD RECOMMENDS THAT YOU VOTE FOR THE OPTION OF “ONE YEAR” WITH RESPECT TO THE ADVISORY VOTE ON THE FREQUENCY OF FUTURE ADVISORY SAY-ON-PAY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143115"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311785</wp:posOffset>
            </wp:positionV>
            <wp:extent cx="6307455" cy="15455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440" w:right="820" w:hanging="1621"/>
        <w:spacing w:after="0" w:line="273" w:lineRule="auto"/>
        <w:rPr>
          <w:sz w:val="20"/>
          <w:szCs w:val="20"/>
          <w:color w:val="auto"/>
        </w:rPr>
      </w:pPr>
      <w:r>
        <w:rPr>
          <w:rFonts w:ascii="Arial" w:cs="Arial" w:eastAsia="Arial" w:hAnsi="Arial"/>
          <w:sz w:val="40"/>
          <w:szCs w:val="40"/>
          <w:b w:val="1"/>
          <w:bCs w:val="1"/>
          <w:color w:val="58358F"/>
        </w:rPr>
        <w:t>ITEM 4. RATIFICATION OF THE SELECTION OF INDEPENDENT REGISTERED PUBLIC ACCOUNTANTS FOR FISCAL YEAR 2023</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right="920"/>
        <w:spacing w:after="0" w:line="250" w:lineRule="auto"/>
        <w:rPr>
          <w:sz w:val="20"/>
          <w:szCs w:val="20"/>
          <w:color w:val="auto"/>
        </w:rPr>
      </w:pPr>
      <w:r>
        <w:rPr>
          <w:rFonts w:ascii="Arial" w:cs="Arial" w:eastAsia="Arial" w:hAnsi="Arial"/>
          <w:sz w:val="20"/>
          <w:szCs w:val="20"/>
          <w:color w:val="auto"/>
        </w:rPr>
        <w:t>The Audit Committee is directly responsible for the selection, appointment, compensation, retention, oversight and termination of the independent registered public accountants. PricewaterhouseCoopers LLP has been the Company’s independent registered public accountants since 2001.</w:t>
      </w:r>
    </w:p>
    <w:p>
      <w:pPr>
        <w:spacing w:after="0" w:line="138" w:lineRule="exact"/>
        <w:rPr>
          <w:sz w:val="20"/>
          <w:szCs w:val="20"/>
          <w:color w:val="auto"/>
        </w:rPr>
      </w:pPr>
    </w:p>
    <w:p>
      <w:pPr>
        <w:ind w:left="660"/>
        <w:spacing w:after="0"/>
        <w:rPr>
          <w:sz w:val="20"/>
          <w:szCs w:val="20"/>
          <w:color w:val="auto"/>
        </w:rPr>
      </w:pPr>
      <w:r>
        <w:rPr>
          <w:sz w:val="1"/>
          <w:szCs w:val="1"/>
          <w:color w:val="auto"/>
        </w:rPr>
        <w:drawing>
          <wp:inline distT="0" distB="0" distL="0" distR="0">
            <wp:extent cx="157480" cy="157480"/>
            <wp:effectExtent l="0" t="0" r="0" b="0"/>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Review of Independent Registered Public Accountants</w:t>
      </w:r>
    </w:p>
    <w:p>
      <w:pPr>
        <w:spacing w:after="0" w:line="213" w:lineRule="exact"/>
        <w:rPr>
          <w:sz w:val="20"/>
          <w:szCs w:val="20"/>
          <w:color w:val="auto"/>
        </w:rPr>
      </w:pPr>
    </w:p>
    <w:p>
      <w:pPr>
        <w:ind w:left="660" w:right="680"/>
        <w:spacing w:after="0" w:line="244" w:lineRule="auto"/>
        <w:rPr>
          <w:sz w:val="20"/>
          <w:szCs w:val="20"/>
          <w:color w:val="auto"/>
        </w:rPr>
      </w:pPr>
      <w:r>
        <w:rPr>
          <w:rFonts w:ascii="Arial" w:cs="Arial" w:eastAsia="Arial" w:hAnsi="Arial"/>
          <w:sz w:val="20"/>
          <w:szCs w:val="20"/>
          <w:color w:val="auto"/>
        </w:rPr>
        <w:t>The Audit Committee annually reviews the performance of the independent registered public accountants and considers whether to reappoint the firm for the following year or appoint a different firm. In determining which firm to appoint as the Company’s independent registered public accountants for 2023, the Audit Committee considered numerous factors, including:</w:t>
      </w:r>
    </w:p>
    <w:p>
      <w:pPr>
        <w:spacing w:after="0" w:line="58" w:lineRule="exact"/>
        <w:rPr>
          <w:sz w:val="20"/>
          <w:szCs w:val="20"/>
          <w:color w:val="auto"/>
        </w:rPr>
      </w:pPr>
    </w:p>
    <w:p>
      <w:pPr>
        <w:ind w:left="820" w:hanging="163"/>
        <w:spacing w:after="0"/>
        <w:tabs>
          <w:tab w:leader="none" w:pos="820" w:val="left"/>
        </w:tabs>
        <w:numPr>
          <w:ilvl w:val="0"/>
          <w:numId w:val="106"/>
        </w:numPr>
        <w:rPr>
          <w:rFonts w:ascii="Arial" w:cs="Arial" w:eastAsia="Arial" w:hAnsi="Arial"/>
          <w:sz w:val="20"/>
          <w:szCs w:val="20"/>
          <w:color w:val="582C83"/>
        </w:rPr>
      </w:pPr>
      <w:r>
        <w:rPr>
          <w:rFonts w:ascii="Arial" w:cs="Arial" w:eastAsia="Arial" w:hAnsi="Arial"/>
          <w:sz w:val="20"/>
          <w:szCs w:val="20"/>
          <w:color w:val="auto"/>
        </w:rPr>
        <w:t>firm capabilities, approach and fees;</w:t>
      </w:r>
    </w:p>
    <w:p>
      <w:pPr>
        <w:spacing w:after="0" w:line="92" w:lineRule="exact"/>
        <w:rPr>
          <w:rFonts w:ascii="Arial" w:cs="Arial" w:eastAsia="Arial" w:hAnsi="Arial"/>
          <w:sz w:val="20"/>
          <w:szCs w:val="20"/>
          <w:color w:val="582C83"/>
        </w:rPr>
      </w:pPr>
    </w:p>
    <w:p>
      <w:pPr>
        <w:ind w:left="820" w:hanging="163"/>
        <w:spacing w:after="0"/>
        <w:tabs>
          <w:tab w:leader="none" w:pos="820" w:val="left"/>
        </w:tabs>
        <w:numPr>
          <w:ilvl w:val="0"/>
          <w:numId w:val="106"/>
        </w:numPr>
        <w:rPr>
          <w:rFonts w:ascii="Arial" w:cs="Arial" w:eastAsia="Arial" w:hAnsi="Arial"/>
          <w:sz w:val="20"/>
          <w:szCs w:val="20"/>
          <w:color w:val="582C83"/>
        </w:rPr>
      </w:pPr>
      <w:r>
        <w:rPr>
          <w:rFonts w:ascii="Arial" w:cs="Arial" w:eastAsia="Arial" w:hAnsi="Arial"/>
          <w:sz w:val="20"/>
          <w:szCs w:val="20"/>
          <w:color w:val="auto"/>
        </w:rPr>
        <w:t>firm tenure as our independent registered public accountants;</w:t>
      </w:r>
    </w:p>
    <w:p>
      <w:pPr>
        <w:spacing w:after="0" w:line="92" w:lineRule="exact"/>
        <w:rPr>
          <w:rFonts w:ascii="Arial" w:cs="Arial" w:eastAsia="Arial" w:hAnsi="Arial"/>
          <w:sz w:val="20"/>
          <w:szCs w:val="20"/>
          <w:color w:val="582C83"/>
        </w:rPr>
      </w:pPr>
    </w:p>
    <w:p>
      <w:pPr>
        <w:ind w:left="820" w:right="1080" w:hanging="163"/>
        <w:spacing w:after="0" w:line="268" w:lineRule="auto"/>
        <w:tabs>
          <w:tab w:leader="none" w:pos="820" w:val="left"/>
        </w:tabs>
        <w:numPr>
          <w:ilvl w:val="0"/>
          <w:numId w:val="106"/>
        </w:numPr>
        <w:rPr>
          <w:rFonts w:ascii="Arial" w:cs="Arial" w:eastAsia="Arial" w:hAnsi="Arial"/>
          <w:sz w:val="20"/>
          <w:szCs w:val="20"/>
          <w:color w:val="582C83"/>
        </w:rPr>
      </w:pPr>
      <w:r>
        <w:rPr>
          <w:rFonts w:ascii="Arial" w:cs="Arial" w:eastAsia="Arial" w:hAnsi="Arial"/>
          <w:sz w:val="20"/>
          <w:szCs w:val="20"/>
          <w:color w:val="auto"/>
        </w:rPr>
        <w:t>the quality of the work that PricewaterhouseCoopers LLP has performed for Mondelēz International and its communications with the Audit Committee and management;</w:t>
      </w:r>
    </w:p>
    <w:p>
      <w:pPr>
        <w:spacing w:after="0" w:line="32" w:lineRule="exact"/>
        <w:rPr>
          <w:rFonts w:ascii="Arial" w:cs="Arial" w:eastAsia="Arial" w:hAnsi="Arial"/>
          <w:sz w:val="20"/>
          <w:szCs w:val="20"/>
          <w:color w:val="582C83"/>
        </w:rPr>
      </w:pPr>
    </w:p>
    <w:p>
      <w:pPr>
        <w:ind w:left="820" w:right="1140" w:hanging="163"/>
        <w:spacing w:after="0" w:line="268" w:lineRule="auto"/>
        <w:tabs>
          <w:tab w:leader="none" w:pos="820" w:val="left"/>
        </w:tabs>
        <w:numPr>
          <w:ilvl w:val="0"/>
          <w:numId w:val="106"/>
        </w:numPr>
        <w:rPr>
          <w:rFonts w:ascii="Arial" w:cs="Arial" w:eastAsia="Arial" w:hAnsi="Arial"/>
          <w:sz w:val="20"/>
          <w:szCs w:val="20"/>
          <w:color w:val="582C83"/>
        </w:rPr>
      </w:pPr>
      <w:r>
        <w:rPr>
          <w:rFonts w:ascii="Arial" w:cs="Arial" w:eastAsia="Arial" w:hAnsi="Arial"/>
          <w:sz w:val="20"/>
          <w:szCs w:val="20"/>
          <w:color w:val="auto"/>
        </w:rPr>
        <w:t>PricewaterhouseCoopers LLP’s qualifications and experience auditing companies of comparable size and complexity;</w:t>
      </w:r>
    </w:p>
    <w:p>
      <w:pPr>
        <w:spacing w:after="0" w:line="32" w:lineRule="exact"/>
        <w:rPr>
          <w:rFonts w:ascii="Arial" w:cs="Arial" w:eastAsia="Arial" w:hAnsi="Arial"/>
          <w:sz w:val="20"/>
          <w:szCs w:val="20"/>
          <w:color w:val="582C83"/>
        </w:rPr>
      </w:pPr>
    </w:p>
    <w:p>
      <w:pPr>
        <w:ind w:left="820" w:right="1020" w:hanging="163"/>
        <w:spacing w:after="0" w:line="268" w:lineRule="auto"/>
        <w:tabs>
          <w:tab w:leader="none" w:pos="820" w:val="left"/>
        </w:tabs>
        <w:numPr>
          <w:ilvl w:val="0"/>
          <w:numId w:val="106"/>
        </w:numPr>
        <w:rPr>
          <w:rFonts w:ascii="Arial" w:cs="Arial" w:eastAsia="Arial" w:hAnsi="Arial"/>
          <w:sz w:val="20"/>
          <w:szCs w:val="20"/>
          <w:color w:val="582C83"/>
        </w:rPr>
      </w:pPr>
      <w:r>
        <w:rPr>
          <w:rFonts w:ascii="Arial" w:cs="Arial" w:eastAsia="Arial" w:hAnsi="Arial"/>
          <w:sz w:val="20"/>
          <w:szCs w:val="20"/>
          <w:color w:val="auto"/>
        </w:rPr>
        <w:t>PricewaterhouseCoopers LLP’s familiarity with our global business and operations, accounting policies and practices, and internal control over financial reporting;</w:t>
      </w:r>
    </w:p>
    <w:p>
      <w:pPr>
        <w:spacing w:after="0" w:line="32" w:lineRule="exact"/>
        <w:rPr>
          <w:rFonts w:ascii="Arial" w:cs="Arial" w:eastAsia="Arial" w:hAnsi="Arial"/>
          <w:sz w:val="20"/>
          <w:szCs w:val="20"/>
          <w:color w:val="582C83"/>
        </w:rPr>
      </w:pPr>
    </w:p>
    <w:p>
      <w:pPr>
        <w:ind w:left="820" w:right="1420" w:hanging="163"/>
        <w:spacing w:after="0" w:line="250" w:lineRule="auto"/>
        <w:tabs>
          <w:tab w:leader="none" w:pos="820" w:val="left"/>
        </w:tabs>
        <w:numPr>
          <w:ilvl w:val="0"/>
          <w:numId w:val="106"/>
        </w:numPr>
        <w:rPr>
          <w:rFonts w:ascii="Arial" w:cs="Arial" w:eastAsia="Arial" w:hAnsi="Arial"/>
          <w:sz w:val="20"/>
          <w:szCs w:val="20"/>
          <w:color w:val="582C83"/>
        </w:rPr>
      </w:pPr>
      <w:r>
        <w:rPr>
          <w:rFonts w:ascii="Arial" w:cs="Arial" w:eastAsia="Arial" w:hAnsi="Arial"/>
          <w:sz w:val="20"/>
          <w:szCs w:val="20"/>
          <w:color w:val="auto"/>
        </w:rPr>
        <w:t>the potential impacts to Mondelēz International from selecting a different independent registered public accountant, including the significant time commitment and potential distraction of resources related to changing independent registered public accountants;</w:t>
      </w:r>
    </w:p>
    <w:p>
      <w:pPr>
        <w:spacing w:after="0" w:line="51" w:lineRule="exact"/>
        <w:rPr>
          <w:rFonts w:ascii="Arial" w:cs="Arial" w:eastAsia="Arial" w:hAnsi="Arial"/>
          <w:sz w:val="20"/>
          <w:szCs w:val="20"/>
          <w:color w:val="582C83"/>
        </w:rPr>
      </w:pPr>
    </w:p>
    <w:p>
      <w:pPr>
        <w:ind w:left="820" w:hanging="163"/>
        <w:spacing w:after="0"/>
        <w:tabs>
          <w:tab w:leader="none" w:pos="820" w:val="left"/>
        </w:tabs>
        <w:numPr>
          <w:ilvl w:val="0"/>
          <w:numId w:val="106"/>
        </w:numPr>
        <w:rPr>
          <w:rFonts w:ascii="Arial" w:cs="Arial" w:eastAsia="Arial" w:hAnsi="Arial"/>
          <w:sz w:val="20"/>
          <w:szCs w:val="20"/>
          <w:color w:val="582C83"/>
        </w:rPr>
      </w:pPr>
      <w:r>
        <w:rPr>
          <w:rFonts w:ascii="Arial" w:cs="Arial" w:eastAsia="Arial" w:hAnsi="Arial"/>
          <w:sz w:val="20"/>
          <w:szCs w:val="20"/>
          <w:color w:val="auto"/>
        </w:rPr>
        <w:t>external data on audit quality and performance; and</w:t>
      </w:r>
    </w:p>
    <w:p>
      <w:pPr>
        <w:spacing w:after="0" w:line="92" w:lineRule="exact"/>
        <w:rPr>
          <w:rFonts w:ascii="Arial" w:cs="Arial" w:eastAsia="Arial" w:hAnsi="Arial"/>
          <w:sz w:val="20"/>
          <w:szCs w:val="20"/>
          <w:color w:val="582C83"/>
        </w:rPr>
      </w:pPr>
    </w:p>
    <w:p>
      <w:pPr>
        <w:ind w:left="820" w:hanging="163"/>
        <w:spacing w:after="0"/>
        <w:tabs>
          <w:tab w:leader="none" w:pos="820" w:val="left"/>
        </w:tabs>
        <w:numPr>
          <w:ilvl w:val="0"/>
          <w:numId w:val="106"/>
        </w:numPr>
        <w:rPr>
          <w:rFonts w:ascii="Arial" w:cs="Arial" w:eastAsia="Arial" w:hAnsi="Arial"/>
          <w:sz w:val="20"/>
          <w:szCs w:val="20"/>
          <w:color w:val="582C83"/>
        </w:rPr>
      </w:pPr>
      <w:r>
        <w:rPr>
          <w:rFonts w:ascii="Arial" w:cs="Arial" w:eastAsia="Arial" w:hAnsi="Arial"/>
          <w:sz w:val="20"/>
          <w:szCs w:val="20"/>
          <w:color w:val="auto"/>
        </w:rPr>
        <w:t>firm independence.</w:t>
      </w:r>
    </w:p>
    <w:p>
      <w:pPr>
        <w:spacing w:after="0" w:line="167" w:lineRule="exact"/>
        <w:rPr>
          <w:sz w:val="20"/>
          <w:szCs w:val="20"/>
          <w:color w:val="auto"/>
        </w:rPr>
      </w:pPr>
    </w:p>
    <w:p>
      <w:pPr>
        <w:ind w:left="660" w:right="700"/>
        <w:spacing w:after="0" w:line="239" w:lineRule="auto"/>
        <w:rPr>
          <w:sz w:val="20"/>
          <w:szCs w:val="20"/>
          <w:color w:val="auto"/>
        </w:rPr>
      </w:pPr>
      <w:r>
        <w:rPr>
          <w:rFonts w:ascii="Arial" w:cs="Arial" w:eastAsia="Arial" w:hAnsi="Arial"/>
          <w:sz w:val="20"/>
          <w:szCs w:val="20"/>
          <w:color w:val="auto"/>
        </w:rPr>
        <w:t>In assessing the independence of the Company’s independent registered public accountants, the Audit Committee considered factors including the nature and amount of non-audit fees and services that the firm provides to Mondelēz International. We believe the Audit Committee’s periodic consideration of whether there should be a change in our independent registered public accounting firm helps ensure auditor independence. In conjunction with the required rotation of the auditing firm’s lead engagement partner at least every five years, the Audit Committee and its Chair are involved in the selection of the independent registered public accountants’ lead engagement partner through a process that includes candidate interviews.</w:t>
      </w:r>
    </w:p>
    <w:p>
      <w:pPr>
        <w:spacing w:after="0" w:line="135" w:lineRule="exact"/>
        <w:rPr>
          <w:sz w:val="20"/>
          <w:szCs w:val="20"/>
          <w:color w:val="auto"/>
        </w:rPr>
      </w:pPr>
    </w:p>
    <w:p>
      <w:pPr>
        <w:ind w:left="660" w:right="760"/>
        <w:spacing w:after="0"/>
        <w:rPr>
          <w:sz w:val="20"/>
          <w:szCs w:val="20"/>
          <w:color w:val="auto"/>
        </w:rPr>
      </w:pPr>
      <w:r>
        <w:rPr>
          <w:rFonts w:ascii="Arial" w:cs="Arial" w:eastAsia="Arial" w:hAnsi="Arial"/>
          <w:sz w:val="20"/>
          <w:szCs w:val="20"/>
          <w:color w:val="auto"/>
        </w:rPr>
        <w:t>The Audit Committee discusses with the independent registered public accountants the scope of and plans for the audit and is also responsible for the audit fees associated with the retention of the independent registered public accountants. As part of determining what firm to appoint, the Audit Committee discussed audit fees and the audit process with PricewaterhouseCoopers LLP, including how to continue to increase efficiencies in the audit, leverage the benefits of PricewaterhouseCoopers LLP’s familiarity with Mondelēz International, and utilize PricewaterhouseCoopers LLP’s technological transformation and innovations.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212725</wp:posOffset>
            </wp:positionV>
            <wp:extent cx="7143115"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Selection of Independent Registered Public Accountants</w:t>
      </w:r>
    </w:p>
    <w:p>
      <w:pPr>
        <w:spacing w:after="0" w:line="213" w:lineRule="exact"/>
        <w:rPr>
          <w:sz w:val="20"/>
          <w:szCs w:val="20"/>
          <w:color w:val="auto"/>
        </w:rPr>
      </w:pPr>
    </w:p>
    <w:p>
      <w:pPr>
        <w:ind w:right="140"/>
        <w:spacing w:after="0" w:line="242" w:lineRule="auto"/>
        <w:rPr>
          <w:sz w:val="20"/>
          <w:szCs w:val="20"/>
          <w:color w:val="auto"/>
        </w:rPr>
      </w:pPr>
      <w:r>
        <w:rPr>
          <w:rFonts w:ascii="Arial" w:cs="Arial" w:eastAsia="Arial" w:hAnsi="Arial"/>
          <w:sz w:val="20"/>
          <w:szCs w:val="20"/>
          <w:color w:val="auto"/>
        </w:rPr>
        <w:t>Following its review and consideration of the potential benefits and costs of choosing a different auditor, the Audit Committee selected PricewaterhouseCoopers LLP as the Company’s independent registered public accountants for 2023. The Audit Committee and the Board believe the continued retention of PricewaterhouseCoopers LLP as the independent external auditor is in our and our shareholders’ best interests. The Board is requesting, as a matter of good corporate governance, that shareholders ratify this selection.</w:t>
      </w:r>
    </w:p>
    <w:p>
      <w:pPr>
        <w:spacing w:after="0" w:line="132" w:lineRule="exact"/>
        <w:rPr>
          <w:sz w:val="20"/>
          <w:szCs w:val="20"/>
          <w:color w:val="auto"/>
        </w:rPr>
      </w:pPr>
    </w:p>
    <w:p>
      <w:pPr>
        <w:ind w:right="40"/>
        <w:spacing w:after="0"/>
        <w:rPr>
          <w:sz w:val="20"/>
          <w:szCs w:val="20"/>
          <w:color w:val="auto"/>
        </w:rPr>
      </w:pPr>
      <w:r>
        <w:rPr>
          <w:rFonts w:ascii="Arial" w:cs="Arial" w:eastAsia="Arial" w:hAnsi="Arial"/>
          <w:sz w:val="20"/>
          <w:szCs w:val="20"/>
          <w:color w:val="auto"/>
        </w:rPr>
        <w:t>The Audit Committee and the Board are not required to take any action as a result of the outcome of the vote on this proposal. However, if our shareholders do not ratify the selection, the Audit Committee may investigate the reasons for our shareholders’ rejection and may consider whether to retain PricewaterhouseCoopers LLP or appoint another independent registered public accountant. Even if the selection is ratified, the Audit Committee may appoint a different independent registered public accountant if, in its discretion, it determines that such a change would be in Mondelēz International’s and our shareholders’ best interests.</w:t>
      </w:r>
    </w:p>
    <w:p>
      <w:pPr>
        <w:spacing w:after="0" w:line="135" w:lineRule="exact"/>
        <w:rPr>
          <w:sz w:val="20"/>
          <w:szCs w:val="20"/>
          <w:color w:val="auto"/>
        </w:rPr>
      </w:pPr>
    </w:p>
    <w:p>
      <w:pPr>
        <w:ind w:right="740"/>
        <w:spacing w:after="0" w:line="268" w:lineRule="auto"/>
        <w:rPr>
          <w:sz w:val="20"/>
          <w:szCs w:val="20"/>
          <w:color w:val="auto"/>
        </w:rPr>
      </w:pPr>
      <w:r>
        <w:rPr>
          <w:rFonts w:ascii="Arial" w:cs="Arial" w:eastAsia="Arial" w:hAnsi="Arial"/>
          <w:sz w:val="20"/>
          <w:szCs w:val="20"/>
          <w:color w:val="auto"/>
        </w:rPr>
        <w:t>We expect that a representative of PricewaterhouseCoopers LLP will be present at the Annual Meeting and will have an opportunity to make a statement if desired and to respond to appropriate questions from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84455</wp:posOffset>
            </wp:positionV>
            <wp:extent cx="6307455" cy="5283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307455" cy="528320"/>
                    </a:xfrm>
                    <a:prstGeom prst="rect">
                      <a:avLst/>
                    </a:prstGeom>
                    <a:noFill/>
                  </pic:spPr>
                </pic:pic>
              </a:graphicData>
            </a:graphic>
          </wp:anchor>
        </w:drawing>
      </w:r>
    </w:p>
    <w:p>
      <w:pPr>
        <w:spacing w:after="0" w:line="199" w:lineRule="exact"/>
        <w:rPr>
          <w:sz w:val="20"/>
          <w:szCs w:val="20"/>
          <w:color w:val="auto"/>
        </w:rPr>
      </w:pPr>
    </w:p>
    <w:p>
      <w:pPr>
        <w:ind w:left="1480" w:right="1500"/>
        <w:spacing w:after="0" w:line="256" w:lineRule="auto"/>
        <w:rPr>
          <w:sz w:val="20"/>
          <w:szCs w:val="20"/>
          <w:color w:val="auto"/>
        </w:rPr>
      </w:pPr>
      <w:r>
        <w:rPr>
          <w:rFonts w:ascii="Arial" w:cs="Arial" w:eastAsia="Arial" w:hAnsi="Arial"/>
          <w:sz w:val="20"/>
          <w:szCs w:val="20"/>
          <w:b w:val="1"/>
          <w:bCs w:val="1"/>
          <w:color w:val="FFFFFF"/>
        </w:rPr>
        <w:t>THE BOARD RECOMMENDS A VOTE FOR RATIFICATION OF THE SELECTION OF PRICEWATERHOUSECOOPERS LLP AS MONDELĒZ INTERNATIONAL’S INDEPENDENT REGISTERED PUBLIC ACCOUNTANTS FOR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7143115"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320040</wp:posOffset>
            </wp:positionV>
            <wp:extent cx="6307455" cy="15455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0"/>
        <w:spacing w:after="0"/>
        <w:rPr>
          <w:sz w:val="20"/>
          <w:szCs w:val="20"/>
          <w:color w:val="auto"/>
        </w:rPr>
      </w:pPr>
      <w:r>
        <w:rPr>
          <w:rFonts w:ascii="Arial" w:cs="Arial" w:eastAsia="Arial" w:hAnsi="Arial"/>
          <w:sz w:val="43"/>
          <w:szCs w:val="43"/>
          <w:b w:val="1"/>
          <w:bCs w:val="1"/>
          <w:color w:val="582C83"/>
        </w:rPr>
        <w:t>SHAREHOLDER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right="780"/>
        <w:spacing w:after="0"/>
        <w:rPr>
          <w:sz w:val="20"/>
          <w:szCs w:val="20"/>
          <w:color w:val="auto"/>
        </w:rPr>
      </w:pPr>
      <w:r>
        <w:rPr>
          <w:rFonts w:ascii="Arial" w:cs="Arial" w:eastAsia="Arial" w:hAnsi="Arial"/>
          <w:sz w:val="20"/>
          <w:szCs w:val="20"/>
          <w:color w:val="auto"/>
        </w:rPr>
        <w:t xml:space="preserve">In accordance with SEC rules, we are including the following shareholder proposals (Items 5 through 7), along with the supporting statements of the respective shareholder proponent. Mondelēz International is not responsible for any inaccuracies in these proposals and supporting statements. We have put a box around materials provided by the proponents so that readers can easily distinguish between materials provided by the proponent and materials provided by the Company. Each shareholder proposal is required to be submitted to a vote at the Annual Meeting only if properly presented at the meeting. </w:t>
      </w:r>
      <w:r>
        <w:rPr>
          <w:rFonts w:ascii="Arial" w:cs="Arial" w:eastAsia="Arial" w:hAnsi="Arial"/>
          <w:sz w:val="20"/>
          <w:szCs w:val="20"/>
          <w:b w:val="1"/>
          <w:bCs w:val="1"/>
          <w:color w:val="auto"/>
        </w:rPr>
        <w:t>The Board has carefully considered the</w:t>
      </w:r>
      <w:r>
        <w:rPr>
          <w:rFonts w:ascii="Arial" w:cs="Arial" w:eastAsia="Arial" w:hAnsi="Arial"/>
          <w:sz w:val="20"/>
          <w:szCs w:val="20"/>
          <w:color w:val="auto"/>
        </w:rPr>
        <w:t xml:space="preserve"> </w:t>
      </w:r>
      <w:r>
        <w:rPr>
          <w:rFonts w:ascii="Arial" w:cs="Arial" w:eastAsia="Arial" w:hAnsi="Arial"/>
          <w:sz w:val="20"/>
          <w:szCs w:val="20"/>
          <w:b w:val="1"/>
          <w:bCs w:val="1"/>
          <w:color w:val="auto"/>
        </w:rPr>
        <w:t>three shareholder proposals and recommends that you vote AGAINST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97790</wp:posOffset>
            </wp:positionV>
            <wp:extent cx="6307455" cy="5283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307455" cy="528320"/>
                    </a:xfrm>
                    <a:prstGeom prst="rect">
                      <a:avLst/>
                    </a:prstGeom>
                    <a:noFill/>
                  </pic:spPr>
                </pic:pic>
              </a:graphicData>
            </a:graphic>
          </wp:anchor>
        </w:drawing>
      </w:r>
    </w:p>
    <w:p>
      <w:pPr>
        <w:spacing w:after="0" w:line="220" w:lineRule="exact"/>
        <w:rPr>
          <w:sz w:val="20"/>
          <w:szCs w:val="20"/>
          <w:color w:val="auto"/>
        </w:rPr>
      </w:pPr>
    </w:p>
    <w:p>
      <w:pPr>
        <w:ind w:left="1480" w:right="1880"/>
        <w:spacing w:after="0" w:line="256" w:lineRule="auto"/>
        <w:rPr>
          <w:sz w:val="20"/>
          <w:szCs w:val="20"/>
          <w:color w:val="auto"/>
        </w:rPr>
      </w:pPr>
      <w:r>
        <w:rPr>
          <w:rFonts w:ascii="Arial" w:cs="Arial" w:eastAsia="Arial" w:hAnsi="Arial"/>
          <w:sz w:val="20"/>
          <w:szCs w:val="20"/>
          <w:b w:val="1"/>
          <w:bCs w:val="1"/>
          <w:color w:val="FFFFFF"/>
        </w:rPr>
        <w:t>THE BOARD RECOMMENDS THAT YOU VOTE AGAINST THESE SHAREHOLDER PROPOSALS FOR THE REASONS SET FORTH IN THE STATEMENT IN OPPOSITION FOLLOWING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7143115"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311785</wp:posOffset>
            </wp:positionV>
            <wp:extent cx="6307455" cy="15455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80"/>
        <w:spacing w:after="0"/>
        <w:rPr>
          <w:sz w:val="20"/>
          <w:szCs w:val="20"/>
          <w:color w:val="auto"/>
        </w:rPr>
      </w:pPr>
      <w:r>
        <w:rPr>
          <w:rFonts w:ascii="Arial" w:cs="Arial" w:eastAsia="Arial" w:hAnsi="Arial"/>
          <w:sz w:val="41"/>
          <w:szCs w:val="41"/>
          <w:b w:val="1"/>
          <w:bCs w:val="1"/>
          <w:color w:val="58358F"/>
        </w:rPr>
        <w:t>ITEM 5.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sz w:val="1"/>
          <w:szCs w:val="1"/>
          <w:color w:val="auto"/>
        </w:rPr>
        <w:drawing>
          <wp:inline distT="0" distB="0" distL="0" distR="0">
            <wp:extent cx="157480" cy="157480"/>
            <wp:effectExtent l="0" t="0" r="0" b="0"/>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Require Independent Chair of the Board</w:t>
      </w:r>
    </w:p>
    <w:p>
      <w:pPr>
        <w:spacing w:after="0" w:line="213" w:lineRule="exact"/>
        <w:rPr>
          <w:sz w:val="20"/>
          <w:szCs w:val="20"/>
          <w:color w:val="auto"/>
        </w:rPr>
      </w:pPr>
    </w:p>
    <w:p>
      <w:pPr>
        <w:ind w:left="660" w:right="740"/>
        <w:spacing w:after="0" w:line="244" w:lineRule="auto"/>
        <w:rPr>
          <w:sz w:val="20"/>
          <w:szCs w:val="20"/>
          <w:color w:val="auto"/>
        </w:rPr>
      </w:pPr>
      <w:r>
        <w:rPr>
          <w:rFonts w:ascii="Arial" w:cs="Arial" w:eastAsia="Arial" w:hAnsi="Arial"/>
          <w:sz w:val="20"/>
          <w:szCs w:val="20"/>
          <w:color w:val="auto"/>
        </w:rPr>
        <w:t>National Legal and Policy Center, 107 Park Washington Court, Falls Church, VA 22046, beneficial owner of 83 shares of the Company’s Common Stock held continuously for at least three years prior to November 7, 2022, is the proponent of the following shareholder proposal and has advised that a representative will present this proposal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98425</wp:posOffset>
            </wp:positionV>
            <wp:extent cx="6312535" cy="556895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312535" cy="5568950"/>
                    </a:xfrm>
                    <a:prstGeom prst="rect">
                      <a:avLst/>
                    </a:prstGeom>
                    <a:noFill/>
                  </pic:spPr>
                </pic:pic>
              </a:graphicData>
            </a:graphic>
          </wp:anchor>
        </w:drawing>
      </w:r>
    </w:p>
    <w:p>
      <w:pPr>
        <w:spacing w:after="0" w:line="33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w:t>
      </w:r>
    </w:p>
    <w:p>
      <w:pPr>
        <w:spacing w:after="0" w:line="167" w:lineRule="exact"/>
        <w:rPr>
          <w:sz w:val="20"/>
          <w:szCs w:val="20"/>
          <w:color w:val="auto"/>
        </w:rPr>
      </w:pPr>
    </w:p>
    <w:p>
      <w:pPr>
        <w:ind w:left="660" w:right="1040"/>
        <w:spacing w:after="0" w:line="250" w:lineRule="auto"/>
        <w:rPr>
          <w:sz w:val="20"/>
          <w:szCs w:val="20"/>
          <w:color w:val="auto"/>
        </w:rPr>
      </w:pPr>
      <w:r>
        <w:rPr>
          <w:rFonts w:ascii="Arial" w:cs="Arial" w:eastAsia="Arial" w:hAnsi="Arial"/>
          <w:sz w:val="20"/>
          <w:szCs w:val="20"/>
          <w:color w:val="auto"/>
        </w:rPr>
        <w:t>Shareholders request the Board of Directors adopt as policy, and amend the governing documents as necessary, to require hereafter that that two separate people hold the office of the Chairman and the office of the CEO as follows:</w:t>
      </w:r>
    </w:p>
    <w:p>
      <w:pPr>
        <w:spacing w:after="0" w:line="126" w:lineRule="exact"/>
        <w:rPr>
          <w:sz w:val="20"/>
          <w:szCs w:val="20"/>
          <w:color w:val="auto"/>
        </w:rPr>
      </w:pPr>
    </w:p>
    <w:p>
      <w:pPr>
        <w:ind w:left="660" w:right="900"/>
        <w:spacing w:after="0" w:line="268" w:lineRule="auto"/>
        <w:rPr>
          <w:sz w:val="20"/>
          <w:szCs w:val="20"/>
          <w:color w:val="auto"/>
        </w:rPr>
      </w:pPr>
      <w:r>
        <w:rPr>
          <w:rFonts w:ascii="Arial" w:cs="Arial" w:eastAsia="Arial" w:hAnsi="Arial"/>
          <w:sz w:val="20"/>
          <w:szCs w:val="20"/>
          <w:b w:val="1"/>
          <w:bCs w:val="1"/>
          <w:color w:val="auto"/>
        </w:rPr>
        <w:t xml:space="preserve">Selection of the Chairman of the Board: </w:t>
      </w:r>
      <w:r>
        <w:rPr>
          <w:rFonts w:ascii="Arial" w:cs="Arial" w:eastAsia="Arial" w:hAnsi="Arial"/>
          <w:sz w:val="20"/>
          <w:szCs w:val="20"/>
          <w:color w:val="auto"/>
        </w:rPr>
        <w:t>The Board requires the separation of the offices of the Chairman of</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and the Chief Executive Officer.</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Whenever possible, the Chairman of the Board shall be an Independent Director.</w:t>
      </w:r>
    </w:p>
    <w:p>
      <w:pPr>
        <w:spacing w:after="0" w:line="167" w:lineRule="exact"/>
        <w:rPr>
          <w:sz w:val="20"/>
          <w:szCs w:val="20"/>
          <w:color w:val="auto"/>
        </w:rPr>
      </w:pPr>
    </w:p>
    <w:p>
      <w:pPr>
        <w:ind w:left="660" w:right="1020"/>
        <w:spacing w:after="0" w:line="268" w:lineRule="auto"/>
        <w:rPr>
          <w:sz w:val="20"/>
          <w:szCs w:val="20"/>
          <w:color w:val="auto"/>
        </w:rPr>
      </w:pPr>
      <w:r>
        <w:rPr>
          <w:rFonts w:ascii="Arial" w:cs="Arial" w:eastAsia="Arial" w:hAnsi="Arial"/>
          <w:sz w:val="20"/>
          <w:szCs w:val="20"/>
          <w:color w:val="auto"/>
        </w:rPr>
        <w:t>The Board may select a Temporary Chairman of the Board who is not an Independent Director to serve while the Board seeks an Independent Chairman of the Board.</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Chairman shall not be a former CEO of the company.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Selection of the Chairman of the Board shall be consistent with applicable law and existing contracts.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SUPPORTING STATEMENT:</w:t>
      </w:r>
    </w:p>
    <w:p>
      <w:pPr>
        <w:spacing w:after="0" w:line="167" w:lineRule="exact"/>
        <w:rPr>
          <w:sz w:val="20"/>
          <w:szCs w:val="20"/>
          <w:color w:val="auto"/>
        </w:rPr>
      </w:pPr>
    </w:p>
    <w:p>
      <w:pPr>
        <w:ind w:left="660" w:right="940"/>
        <w:spacing w:after="0" w:line="250" w:lineRule="auto"/>
        <w:rPr>
          <w:sz w:val="20"/>
          <w:szCs w:val="20"/>
          <w:color w:val="auto"/>
        </w:rPr>
      </w:pPr>
      <w:r>
        <w:rPr>
          <w:rFonts w:ascii="Arial" w:cs="Arial" w:eastAsia="Arial" w:hAnsi="Arial"/>
          <w:sz w:val="20"/>
          <w:szCs w:val="20"/>
          <w:color w:val="auto"/>
        </w:rPr>
        <w:t>The Chief Executive Officer of Mondelez International, Inc. is also Board Chairman. We believe these roles — each with separate, different responsibilities that are critical to the health of a successful corporation — are greatly diminished when held by a singular company official, thus weakening its governance structure.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Expert perspectives substantiate our position:</w:t>
      </w:r>
    </w:p>
    <w:p>
      <w:pPr>
        <w:spacing w:after="0" w:line="167" w:lineRule="exact"/>
        <w:rPr>
          <w:sz w:val="20"/>
          <w:szCs w:val="20"/>
          <w:color w:val="auto"/>
        </w:rPr>
      </w:pPr>
    </w:p>
    <w:p>
      <w:pPr>
        <w:ind w:left="980" w:right="880" w:hanging="161"/>
        <w:spacing w:after="0" w:line="244" w:lineRule="auto"/>
        <w:tabs>
          <w:tab w:leader="none" w:pos="980" w:val="left"/>
        </w:tabs>
        <w:numPr>
          <w:ilvl w:val="0"/>
          <w:numId w:val="107"/>
        </w:numPr>
        <w:rPr>
          <w:rFonts w:ascii="Arial" w:cs="Arial" w:eastAsia="Arial" w:hAnsi="Arial"/>
          <w:sz w:val="20"/>
          <w:szCs w:val="20"/>
          <w:color w:val="582C83"/>
        </w:rPr>
      </w:pPr>
      <w:r>
        <w:rPr>
          <w:rFonts w:ascii="Arial" w:cs="Arial" w:eastAsia="Arial" w:hAnsi="Arial"/>
          <w:sz w:val="20"/>
          <w:szCs w:val="20"/>
          <w:color w:val="auto"/>
        </w:rPr>
        <w:t>According to the Council of Institutional Investors ( https://bit.ly/3pKrtJK ), “A CEO who also serves as chair can exert excessive influence on the board and its agenda, weakening the board’s oversight of management. Separating the chair and CEO positions reduces this conflict, and an independent chair provides the clearest separation of power between the CEO and the rest of the board.”</w:t>
      </w:r>
    </w:p>
    <w:p>
      <w:pPr>
        <w:spacing w:after="0" w:line="58" w:lineRule="exact"/>
        <w:rPr>
          <w:rFonts w:ascii="Arial" w:cs="Arial" w:eastAsia="Arial" w:hAnsi="Arial"/>
          <w:sz w:val="20"/>
          <w:szCs w:val="20"/>
          <w:color w:val="582C83"/>
        </w:rPr>
      </w:pPr>
    </w:p>
    <w:p>
      <w:pPr>
        <w:ind w:left="980" w:right="960" w:hanging="161"/>
        <w:spacing w:after="0" w:line="213" w:lineRule="auto"/>
        <w:tabs>
          <w:tab w:leader="none" w:pos="980" w:val="left"/>
        </w:tabs>
        <w:numPr>
          <w:ilvl w:val="0"/>
          <w:numId w:val="107"/>
        </w:numPr>
        <w:rPr>
          <w:rFonts w:ascii="Arial" w:cs="Arial" w:eastAsia="Arial" w:hAnsi="Arial"/>
          <w:sz w:val="20"/>
          <w:szCs w:val="20"/>
          <w:color w:val="582C83"/>
        </w:rPr>
      </w:pPr>
      <w:r>
        <w:rPr>
          <w:rFonts w:ascii="Arial" w:cs="Arial" w:eastAsia="Arial" w:hAnsi="Arial"/>
          <w:sz w:val="20"/>
          <w:szCs w:val="20"/>
          <w:color w:val="auto"/>
        </w:rPr>
        <w:t>A 2014 report from Deloitte ( https://bit.ly/3vQGqe1 ) concluded, “The chairman should lead the board and there should be a clear division of responsibilities between the chairman and the chief executive officer (CEO)</w:t>
      </w:r>
      <w:r>
        <w:rPr>
          <w:rFonts w:ascii="Arial" w:cs="Arial" w:eastAsia="Arial" w:hAnsi="Arial"/>
          <w:sz w:val="33"/>
          <w:szCs w:val="33"/>
          <w:color w:val="auto"/>
          <w:vertAlign w:val="subscript"/>
        </w:rPr>
        <w:t>.”</w:t>
      </w:r>
    </w:p>
    <w:p>
      <w:pPr>
        <w:spacing w:after="0" w:line="62" w:lineRule="exact"/>
        <w:rPr>
          <w:rFonts w:ascii="Arial" w:cs="Arial" w:eastAsia="Arial" w:hAnsi="Arial"/>
          <w:sz w:val="20"/>
          <w:szCs w:val="20"/>
          <w:color w:val="582C83"/>
        </w:rPr>
      </w:pPr>
    </w:p>
    <w:p>
      <w:pPr>
        <w:ind w:left="980" w:right="1180" w:hanging="161"/>
        <w:spacing w:after="0" w:line="242" w:lineRule="auto"/>
        <w:tabs>
          <w:tab w:leader="none" w:pos="980" w:val="left"/>
        </w:tabs>
        <w:numPr>
          <w:ilvl w:val="0"/>
          <w:numId w:val="107"/>
        </w:numPr>
        <w:rPr>
          <w:rFonts w:ascii="Arial" w:cs="Arial" w:eastAsia="Arial" w:hAnsi="Arial"/>
          <w:sz w:val="20"/>
          <w:szCs w:val="20"/>
          <w:color w:val="582C83"/>
        </w:rPr>
      </w:pPr>
      <w:r>
        <w:rPr>
          <w:rFonts w:ascii="Arial" w:cs="Arial" w:eastAsia="Arial" w:hAnsi="Arial"/>
          <w:sz w:val="20"/>
          <w:szCs w:val="20"/>
          <w:color w:val="auto"/>
        </w:rPr>
        <w:t xml:space="preserve">A pair of business law professors wrote for </w:t>
      </w:r>
      <w:r>
        <w:rPr>
          <w:rFonts w:ascii="Arial" w:cs="Arial" w:eastAsia="Arial" w:hAnsi="Arial"/>
          <w:sz w:val="20"/>
          <w:szCs w:val="20"/>
          <w:i w:val="1"/>
          <w:iCs w:val="1"/>
          <w:color w:val="auto"/>
        </w:rPr>
        <w:t>Harvard Business Review</w:t>
      </w:r>
      <w:r>
        <w:rPr>
          <w:rFonts w:ascii="Arial" w:cs="Arial" w:eastAsia="Arial" w:hAnsi="Arial"/>
          <w:sz w:val="20"/>
          <w:szCs w:val="20"/>
          <w:color w:val="auto"/>
        </w:rPr>
        <w:t xml:space="preserve"> (https://bit.ly/3xvcIOA ) in March 2020 that “letting the CEO chair the board can compromise board discussion quality, weakening the corporation’s risk management ability... Splitting the CEO and board chair jobs between two people can help strengthen the quality of questions the corporation asks itself. When those questions remain weak, the organization is less likely to develop strategies that mitigate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7143115" cy="7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311785</wp:posOffset>
            </wp:positionV>
            <wp:extent cx="7143115" cy="8591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43115" cy="8591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right="40" w:hanging="159"/>
        <w:spacing w:after="0" w:line="244" w:lineRule="auto"/>
        <w:tabs>
          <w:tab w:leader="none" w:pos="320" w:val="left"/>
        </w:tabs>
        <w:numPr>
          <w:ilvl w:val="0"/>
          <w:numId w:val="108"/>
        </w:numPr>
        <w:rPr>
          <w:rFonts w:ascii="Arial" w:cs="Arial" w:eastAsia="Arial" w:hAnsi="Arial"/>
          <w:sz w:val="20"/>
          <w:szCs w:val="20"/>
          <w:color w:val="582C83"/>
        </w:rPr>
      </w:pPr>
      <w:r>
        <w:rPr>
          <w:rFonts w:ascii="Arial" w:cs="Arial" w:eastAsia="Arial" w:hAnsi="Arial"/>
          <w:sz w:val="20"/>
          <w:szCs w:val="20"/>
          <w:color w:val="auto"/>
        </w:rPr>
        <w:t>Proxy adviser Glass Lewis advised ( https://bit.ly/3xwuJwa ) in 2021, “the presence of an independent chair fosters the creation of a thoughtful and dynamic board not dominated by the views of senior management. Further, we believe that the separation of these two key roles eliminates the conflict of interest that inevitably occurs when a CEO is responsible for self-oversight.”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BOARD OF DIRECTORS’ STATEMENT IN OPPOSITION TO ITEM 5.</w:t>
      </w:r>
    </w:p>
    <w:p>
      <w:pPr>
        <w:spacing w:after="0" w:line="94"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Our Board has a fiduciary duty to act as it believes to be in the best interests of the Company and its shareholders, including by determining the Board leadership structure that will best serve those interests. Forcing the Company to adopt an inflexible, one-size-fits-all approach to Board leadership would hamper the Board’s ability to effectively promote Company and shareholder interests.</w:t>
      </w:r>
    </w:p>
    <w:p>
      <w:pPr>
        <w:spacing w:after="0" w:line="133"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 xml:space="preserve">Our current By-Laws provide the necessary flexibility for the Board to make thoughtful decisions about the appropriate leadership structure for the Company. </w:t>
      </w:r>
      <w:r>
        <w:rPr>
          <w:rFonts w:ascii="Arial" w:cs="Arial" w:eastAsia="Arial" w:hAnsi="Arial"/>
          <w:sz w:val="20"/>
          <w:szCs w:val="20"/>
          <w:color w:val="auto"/>
        </w:rPr>
        <w:t>Our current By-Laws provide the Board flexibility in determining the</w:t>
      </w:r>
      <w:r>
        <w:rPr>
          <w:rFonts w:ascii="Arial" w:cs="Arial" w:eastAsia="Arial" w:hAnsi="Arial"/>
          <w:sz w:val="20"/>
          <w:szCs w:val="20"/>
          <w:b w:val="1"/>
          <w:bCs w:val="1"/>
          <w:color w:val="auto"/>
        </w:rPr>
        <w:t xml:space="preserve"> </w:t>
      </w:r>
      <w:r>
        <w:rPr>
          <w:rFonts w:ascii="Arial" w:cs="Arial" w:eastAsia="Arial" w:hAnsi="Arial"/>
          <w:sz w:val="20"/>
          <w:szCs w:val="20"/>
          <w:color w:val="auto"/>
        </w:rPr>
        <w:t>appropriate leadership at a given time in light of the Company’s needs and circumstances. The Board takes several factors into account when considering which leadership structure will allow it to carry out its responsibilities most effectively and best represent Company and shareholder interests. These factors include our specific business needs, our operating and financial performance, industry conditions, economic and regulatory environments, the results of Board and committee annual self-assessments, the advantages and disadvantages of alternative leadership structures based on circumstances at that time, investor feedback, and our corporate governance practices. Removing this flexibility would restrict the Board’s ability to adapt to circumstances and select a leadership structure that it believes to be in the best interests of the Company and its shareholders at the time.</w:t>
      </w:r>
    </w:p>
    <w:p>
      <w:pPr>
        <w:spacing w:after="0" w:line="138"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b w:val="1"/>
          <w:bCs w:val="1"/>
          <w:color w:val="auto"/>
        </w:rPr>
        <w:t>We have a robust independent Lead Director role with substantive leadership responsibilities</w:t>
      </w:r>
      <w:r>
        <w:rPr>
          <w:rFonts w:ascii="Arial" w:cs="Arial" w:eastAsia="Arial" w:hAnsi="Arial"/>
          <w:sz w:val="20"/>
          <w:szCs w:val="20"/>
          <w:color w:val="auto"/>
        </w:rPr>
        <w:t>. At any time that the Board</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determines it is in the best interests of the Company and its shareholders to have a non-independent Chair, our Corporate Governance Guidelines require the Board to select an independent Lead Director with substantive duties and responsibilities. The independent directors select the Lead Director for a one-year term. The independent Lead Director duties and responsibilities are broad and have considerable overlap with those of an independent Board Chair, promoting strong management oversight and accountability. The independent Lead Director engages in planning and approving meeting schedules and agendas, including the review of briefing materials, and has the power to call meetings of the independent directors or the Board as needed. As part of the Board’s regular agenda, the independent Lead Director presides over executive sessions of the independent directors without the participation of the Chair and Chief Executive Officer. The independent Lead Director also serves as a direct point of contact for shareholders and during Fall 2022, the independent Lead Director led engagements with several investors. The independent Lead Director also frequently confers with the other independent directors on various Board and Company matters. Finally, the independent directors also may assign to the independent Lead Director additional duties over and above these fixed responsibilities as they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43115" cy="76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b w:val="1"/>
          <w:bCs w:val="1"/>
          <w:color w:val="auto"/>
        </w:rPr>
        <w:t xml:space="preserve">Our corporate governance structures and processes are consistent with best practices that promote effective oversight and accountability. </w:t>
      </w:r>
      <w:r>
        <w:rPr>
          <w:rFonts w:ascii="Arial" w:cs="Arial" w:eastAsia="Arial" w:hAnsi="Arial"/>
          <w:sz w:val="20"/>
          <w:szCs w:val="20"/>
          <w:color w:val="auto"/>
        </w:rPr>
        <w:t>Our corporate governance practices reinforce the Board’s alignment with, and accountability to,</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shareholders, and promote effective Board oversight of management. In addition to the governance practices discussed above, directors are elected annually by majority vote, directors and committees engage in an annual evaluation process, shareholders have the right to call special meetings at which they can nominate director candidates or propose other business, and shareholders can communicate directly with the Board in addition to the independent Lead Director. Every Board committee is comprised entirely of independent directors and each committee has a clearly defined area of oversight regarding key risks and Company functions.</w:t>
      </w:r>
    </w:p>
    <w:p>
      <w:pPr>
        <w:spacing w:after="0" w:line="137" w:lineRule="exact"/>
        <w:rPr>
          <w:sz w:val="20"/>
          <w:szCs w:val="20"/>
          <w:color w:val="auto"/>
        </w:rPr>
      </w:pPr>
    </w:p>
    <w:p>
      <w:pPr>
        <w:ind w:right="40"/>
        <w:spacing w:after="0"/>
        <w:rPr>
          <w:sz w:val="20"/>
          <w:szCs w:val="20"/>
          <w:color w:val="auto"/>
        </w:rPr>
      </w:pPr>
      <w:r>
        <w:rPr>
          <w:rFonts w:ascii="Arial" w:cs="Arial" w:eastAsia="Arial" w:hAnsi="Arial"/>
          <w:sz w:val="20"/>
          <w:szCs w:val="20"/>
          <w:b w:val="1"/>
          <w:bCs w:val="1"/>
          <w:color w:val="auto"/>
        </w:rPr>
        <w:t xml:space="preserve">We have delivered strong performance under our existing leadership structure. </w:t>
      </w:r>
      <w:r>
        <w:rPr>
          <w:rFonts w:ascii="Arial" w:cs="Arial" w:eastAsia="Arial" w:hAnsi="Arial"/>
          <w:sz w:val="20"/>
          <w:szCs w:val="20"/>
          <w:color w:val="auto"/>
        </w:rPr>
        <w:t>Mondelēz International has delivered</w:t>
      </w:r>
      <w:r>
        <w:rPr>
          <w:rFonts w:ascii="Arial" w:cs="Arial" w:eastAsia="Arial" w:hAnsi="Arial"/>
          <w:sz w:val="20"/>
          <w:szCs w:val="20"/>
          <w:b w:val="1"/>
          <w:bCs w:val="1"/>
          <w:color w:val="auto"/>
        </w:rPr>
        <w:t xml:space="preserve"> </w:t>
      </w:r>
      <w:r>
        <w:rPr>
          <w:rFonts w:ascii="Arial" w:cs="Arial" w:eastAsia="Arial" w:hAnsi="Arial"/>
          <w:sz w:val="20"/>
          <w:szCs w:val="20"/>
          <w:color w:val="auto"/>
        </w:rPr>
        <w:t>strong results for our shareholders under Mr. Van de Put’s leadership as Chairman and Chief Executive Officer. Since the launch of our strategy under his leadership in 2018, we have delivered strong total shareholder returns, outpacing many of our peers, and we have made sustained progress against our ESG goals. During this time, the Board has also benefited from the guidance of independent Lead Directors with strong executive experience who have brought strong independent leadership and oversight to the Board.</w:t>
      </w:r>
    </w:p>
    <w:p>
      <w:pPr>
        <w:spacing w:after="0" w:line="135"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In summary, our Board should retain the flexibility to select the leadership structure that is best suited to meet the needs of the Company and its shareholders at any given time. Adopting a rigid policy as requested by this proposal would impair the Board’s ability to structure its leadership in the manner it believes most effectively serves Company and shareholder interests. The proposal is unnecessary due to our strong governance practices, including our robust and independent Lead Director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340995</wp:posOffset>
            </wp:positionV>
            <wp:extent cx="6307455" cy="5283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307455" cy="528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480"/>
        <w:spacing w:after="0"/>
        <w:rPr>
          <w:sz w:val="20"/>
          <w:szCs w:val="20"/>
          <w:color w:val="auto"/>
        </w:rPr>
      </w:pPr>
      <w:r>
        <w:rPr>
          <w:rFonts w:ascii="Arial" w:cs="Arial" w:eastAsia="Arial" w:hAnsi="Arial"/>
          <w:sz w:val="20"/>
          <w:szCs w:val="20"/>
          <w:b w:val="1"/>
          <w:bCs w:val="1"/>
          <w:color w:val="FFFFFF"/>
        </w:rPr>
        <w:t>THE BOARD RECOMMENDS THAT YOU VOTE AGAINST THIS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390525</wp:posOffset>
            </wp:positionV>
            <wp:extent cx="7143115"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311785</wp:posOffset>
            </wp:positionV>
            <wp:extent cx="6307455" cy="15455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80"/>
        <w:spacing w:after="0"/>
        <w:rPr>
          <w:sz w:val="20"/>
          <w:szCs w:val="20"/>
          <w:color w:val="auto"/>
        </w:rPr>
      </w:pPr>
      <w:r>
        <w:rPr>
          <w:rFonts w:ascii="Arial" w:cs="Arial" w:eastAsia="Arial" w:hAnsi="Arial"/>
          <w:sz w:val="41"/>
          <w:szCs w:val="41"/>
          <w:b w:val="1"/>
          <w:bCs w:val="1"/>
          <w:color w:val="58358F"/>
        </w:rPr>
        <w:t>ITEM 6.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00" w:right="680" w:hanging="322"/>
        <w:spacing w:after="0"/>
        <w:rPr>
          <w:sz w:val="20"/>
          <w:szCs w:val="20"/>
          <w:color w:val="auto"/>
        </w:rPr>
      </w:pPr>
      <w:r>
        <w:rPr>
          <w:sz w:val="1"/>
          <w:szCs w:val="1"/>
          <w:color w:val="auto"/>
        </w:rPr>
        <w:drawing>
          <wp:inline distT="0" distB="0" distL="0" distR="0">
            <wp:extent cx="157480" cy="157480"/>
            <wp:effectExtent l="0" t="0" r="0"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Publish Annual Benchmarks for Achieving Company’s 2025 Cage-Free Egg Goal</w:t>
      </w:r>
    </w:p>
    <w:p>
      <w:pPr>
        <w:spacing w:after="0" w:line="154" w:lineRule="exact"/>
        <w:rPr>
          <w:sz w:val="20"/>
          <w:szCs w:val="20"/>
          <w:color w:val="auto"/>
        </w:rPr>
      </w:pPr>
    </w:p>
    <w:p>
      <w:pPr>
        <w:ind w:left="660" w:right="820"/>
        <w:spacing w:after="0" w:line="244" w:lineRule="auto"/>
        <w:rPr>
          <w:sz w:val="20"/>
          <w:szCs w:val="20"/>
          <w:color w:val="auto"/>
        </w:rPr>
      </w:pPr>
      <w:r>
        <w:rPr>
          <w:rFonts w:ascii="Arial" w:cs="Arial" w:eastAsia="Arial" w:hAnsi="Arial"/>
          <w:sz w:val="20"/>
          <w:szCs w:val="20"/>
          <w:color w:val="auto"/>
        </w:rPr>
        <w:t>Green Century Capital Management, Inc., 114 State Street, Suite 200, Boston, MA 02109, as representative for Green Century Equity Fund, beneficial owner of at least $25,000 worth of the Company’s Common Stock held continuously at least one year as of December 5, 2022, is the proponent of the following shareholder proposal and has advised that a representative will present this proposal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98425</wp:posOffset>
            </wp:positionV>
            <wp:extent cx="6312535" cy="513778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312535" cy="5137785"/>
                    </a:xfrm>
                    <a:prstGeom prst="rect">
                      <a:avLst/>
                    </a:prstGeom>
                    <a:noFill/>
                  </pic:spPr>
                </pic:pic>
              </a:graphicData>
            </a:graphic>
          </wp:anchor>
        </w:drawing>
      </w:r>
    </w:p>
    <w:p>
      <w:pPr>
        <w:spacing w:after="0" w:line="336" w:lineRule="exact"/>
        <w:rPr>
          <w:sz w:val="20"/>
          <w:szCs w:val="20"/>
          <w:color w:val="auto"/>
        </w:rPr>
      </w:pPr>
    </w:p>
    <w:p>
      <w:pPr>
        <w:ind w:left="840" w:right="960"/>
        <w:spacing w:after="0" w:line="26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Proponents seek updated disclosure from Mondelez regarding one of its longtime environmental,</w:t>
      </w:r>
      <w:r>
        <w:rPr>
          <w:rFonts w:ascii="Arial" w:cs="Arial" w:eastAsia="Arial" w:hAnsi="Arial"/>
          <w:sz w:val="20"/>
          <w:szCs w:val="20"/>
          <w:b w:val="1"/>
          <w:bCs w:val="1"/>
          <w:color w:val="auto"/>
        </w:rPr>
        <w:t xml:space="preserve"> </w:t>
      </w:r>
      <w:r>
        <w:rPr>
          <w:rFonts w:ascii="Arial" w:cs="Arial" w:eastAsia="Arial" w:hAnsi="Arial"/>
          <w:sz w:val="20"/>
          <w:szCs w:val="20"/>
          <w:color w:val="auto"/>
        </w:rPr>
        <w:t>social, governance (ESG) commitments.</w:t>
      </w:r>
    </w:p>
    <w:p>
      <w:pPr>
        <w:spacing w:after="0" w:line="107" w:lineRule="exact"/>
        <w:rPr>
          <w:sz w:val="20"/>
          <w:szCs w:val="20"/>
          <w:color w:val="auto"/>
        </w:rPr>
      </w:pPr>
    </w:p>
    <w:p>
      <w:pPr>
        <w:ind w:left="840" w:right="1240"/>
        <w:spacing w:after="0" w:line="268" w:lineRule="auto"/>
        <w:rPr>
          <w:sz w:val="20"/>
          <w:szCs w:val="20"/>
          <w:color w:val="auto"/>
        </w:rPr>
      </w:pPr>
      <w:r>
        <w:rPr>
          <w:rFonts w:ascii="Arial" w:cs="Arial" w:eastAsia="Arial" w:hAnsi="Arial"/>
          <w:sz w:val="20"/>
          <w:szCs w:val="20"/>
          <w:color w:val="auto"/>
        </w:rPr>
        <w:t>Corporate accountability for significant policy commitments, particularly those relating to ESG matters, is being subjected to increasing public and stakeholder scrutiny.</w:t>
      </w:r>
    </w:p>
    <w:p>
      <w:pPr>
        <w:spacing w:after="0" w:line="107" w:lineRule="exact"/>
        <w:rPr>
          <w:sz w:val="20"/>
          <w:szCs w:val="20"/>
          <w:color w:val="auto"/>
        </w:rPr>
      </w:pPr>
    </w:p>
    <w:p>
      <w:pPr>
        <w:ind w:left="840" w:right="840"/>
        <w:spacing w:after="0" w:line="239" w:lineRule="auto"/>
        <w:rPr>
          <w:sz w:val="20"/>
          <w:szCs w:val="20"/>
          <w:color w:val="auto"/>
        </w:rPr>
      </w:pPr>
      <w:r>
        <w:rPr>
          <w:rFonts w:ascii="Arial" w:cs="Arial" w:eastAsia="Arial" w:hAnsi="Arial"/>
          <w:sz w:val="20"/>
          <w:szCs w:val="20"/>
          <w:color w:val="auto"/>
        </w:rPr>
        <w:t>Shareholders may recall that in 2022, irregularities in what McDonald’s was publicly reporting (compared to its actions) on one of its animal welfare commitments were thrust into the global spotlight. This controversy was featured in the Wall Street Journal, New York Times, Washington Post, Bloomberg, Financial Times, and more. Two board members were challenged in a proxy contest by Carl Icahn, and when Institutional Shareholder Services (ISS) evaluated the issue, it concluded that only “cautionary support” was warranted for the two existing directors, pointing out that it, “serves as a reminder to shareholders to demand greater specificity from corporate leaders seeking to address ESG concerns[.]”</w:t>
      </w:r>
    </w:p>
    <w:p>
      <w:pPr>
        <w:spacing w:after="0" w:line="13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It is precisely that “greater specificity” which this proposal calls for.</w:t>
      </w:r>
    </w:p>
    <w:p>
      <w:pPr>
        <w:spacing w:after="0" w:line="167" w:lineRule="exact"/>
        <w:rPr>
          <w:sz w:val="20"/>
          <w:szCs w:val="20"/>
          <w:color w:val="auto"/>
        </w:rPr>
      </w:pPr>
    </w:p>
    <w:p>
      <w:pPr>
        <w:ind w:left="840" w:right="1040"/>
        <w:spacing w:after="0" w:line="268" w:lineRule="auto"/>
        <w:rPr>
          <w:sz w:val="20"/>
          <w:szCs w:val="20"/>
          <w:color w:val="auto"/>
        </w:rPr>
      </w:pPr>
      <w:r>
        <w:rPr>
          <w:rFonts w:ascii="Arial" w:cs="Arial" w:eastAsia="Arial" w:hAnsi="Arial"/>
          <w:sz w:val="20"/>
          <w:szCs w:val="20"/>
          <w:color w:val="auto"/>
        </w:rPr>
        <w:t>Mondelez has touted to shareholders a commitment regarding animal welfare in its supply chain: that it will switch to 100 percent cage-free eggs worldwide by 2025.</w:t>
      </w:r>
    </w:p>
    <w:p>
      <w:pPr>
        <w:spacing w:after="0" w:line="10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Mondelez reports that between 2018 and 2021, it increased sourcing from 15 to 39 percent cage-free eggs</w:t>
      </w:r>
    </w:p>
    <w:p>
      <w:pPr>
        <w:spacing w:after="0" w:line="14" w:lineRule="exact"/>
        <w:rPr>
          <w:sz w:val="20"/>
          <w:szCs w:val="20"/>
          <w:color w:val="auto"/>
        </w:rPr>
      </w:pPr>
    </w:p>
    <w:p>
      <w:pPr>
        <w:ind w:left="840" w:right="1320"/>
        <w:spacing w:after="0" w:line="247" w:lineRule="auto"/>
        <w:rPr>
          <w:sz w:val="20"/>
          <w:szCs w:val="20"/>
          <w:color w:val="auto"/>
        </w:rPr>
      </w:pPr>
      <w:r>
        <w:rPr>
          <w:rFonts w:ascii="Arial" w:cs="Arial" w:eastAsia="Arial" w:hAnsi="Arial"/>
          <w:sz w:val="20"/>
          <w:szCs w:val="20"/>
          <w:color w:val="auto"/>
        </w:rPr>
        <w:t>— representing an increase of 24 percent over those four years. With the company’s 2025 deadline two years away, shareholders are concerned about whether Mondelez will actually reach its goal.</w:t>
      </w:r>
    </w:p>
    <w:p>
      <w:pPr>
        <w:spacing w:after="0" w:line="127" w:lineRule="exact"/>
        <w:rPr>
          <w:sz w:val="20"/>
          <w:szCs w:val="20"/>
          <w:color w:val="auto"/>
        </w:rPr>
      </w:pPr>
    </w:p>
    <w:p>
      <w:pPr>
        <w:ind w:left="840" w:right="1140"/>
        <w:spacing w:after="0" w:line="268" w:lineRule="auto"/>
        <w:rPr>
          <w:sz w:val="20"/>
          <w:szCs w:val="20"/>
          <w:color w:val="auto"/>
        </w:rPr>
      </w:pPr>
      <w:r>
        <w:rPr>
          <w:rFonts w:ascii="Arial" w:cs="Arial" w:eastAsia="Arial" w:hAnsi="Arial"/>
          <w:sz w:val="20"/>
          <w:szCs w:val="20"/>
          <w:color w:val="auto"/>
        </w:rPr>
        <w:t>Meanwhile, other consumer packaged goods companies with similar commitments have disclosed annual glidepath benchmarks indicating how they plan to reach their cage-free egg goals. For example:</w:t>
      </w:r>
    </w:p>
    <w:p>
      <w:pPr>
        <w:spacing w:after="0" w:line="107" w:lineRule="exact"/>
        <w:rPr>
          <w:sz w:val="20"/>
          <w:szCs w:val="20"/>
          <w:color w:val="auto"/>
        </w:rPr>
      </w:pPr>
    </w:p>
    <w:p>
      <w:pPr>
        <w:ind w:left="1140" w:right="1260" w:hanging="172"/>
        <w:spacing w:after="0" w:line="250" w:lineRule="auto"/>
        <w:tabs>
          <w:tab w:leader="none" w:pos="1140" w:val="left"/>
        </w:tabs>
        <w:numPr>
          <w:ilvl w:val="0"/>
          <w:numId w:val="110"/>
        </w:numPr>
        <w:rPr>
          <w:rFonts w:ascii="Arial" w:cs="Arial" w:eastAsia="Arial" w:hAnsi="Arial"/>
          <w:sz w:val="20"/>
          <w:szCs w:val="20"/>
          <w:color w:val="582C83"/>
        </w:rPr>
      </w:pPr>
      <w:r>
        <w:rPr>
          <w:rFonts w:ascii="Arial" w:cs="Arial" w:eastAsia="Arial" w:hAnsi="Arial"/>
          <w:sz w:val="20"/>
          <w:szCs w:val="20"/>
          <w:color w:val="auto"/>
        </w:rPr>
        <w:t>General Mills discloses that, “by the end of 2022, 75 — 80 percent of the eggs we purchase for our operations globally will come from cage-free chickens, 80 — 85 percent by the end of 2023, 85 — 90 percent by the end of 2024 and 100 percent by the end of 2025.”</w:t>
      </w:r>
    </w:p>
    <w:p>
      <w:pPr>
        <w:spacing w:after="0" w:line="51" w:lineRule="exact"/>
        <w:rPr>
          <w:rFonts w:ascii="Arial" w:cs="Arial" w:eastAsia="Arial" w:hAnsi="Arial"/>
          <w:sz w:val="20"/>
          <w:szCs w:val="20"/>
          <w:color w:val="582C83"/>
        </w:rPr>
      </w:pPr>
    </w:p>
    <w:p>
      <w:pPr>
        <w:ind w:left="1140" w:right="800" w:hanging="172"/>
        <w:spacing w:after="0" w:line="250" w:lineRule="auto"/>
        <w:tabs>
          <w:tab w:leader="none" w:pos="1140" w:val="left"/>
        </w:tabs>
        <w:numPr>
          <w:ilvl w:val="0"/>
          <w:numId w:val="110"/>
        </w:numPr>
        <w:rPr>
          <w:rFonts w:ascii="Arial" w:cs="Arial" w:eastAsia="Arial" w:hAnsi="Arial"/>
          <w:sz w:val="20"/>
          <w:szCs w:val="20"/>
          <w:color w:val="582C83"/>
        </w:rPr>
      </w:pPr>
      <w:r>
        <w:rPr>
          <w:rFonts w:ascii="Arial" w:cs="Arial" w:eastAsia="Arial" w:hAnsi="Arial"/>
          <w:sz w:val="20"/>
          <w:szCs w:val="20"/>
          <w:color w:val="auto"/>
        </w:rPr>
        <w:t>And Conagra Brands has “plans to convert approximately....45 — 50 percent to cage-free by the end of 2022; approximately 60 to 70 percent to cage-free by the end 2023; and directly source 100 percent cage-free eggs by the end 2024.”</w:t>
      </w:r>
    </w:p>
    <w:p>
      <w:pPr>
        <w:spacing w:after="0" w:line="51" w:lineRule="exact"/>
        <w:rPr>
          <w:sz w:val="20"/>
          <w:szCs w:val="20"/>
          <w:color w:val="auto"/>
        </w:rPr>
      </w:pPr>
    </w:p>
    <w:p>
      <w:pPr>
        <w:ind w:left="840" w:right="880"/>
        <w:spacing w:after="0" w:line="250" w:lineRule="auto"/>
        <w:rPr>
          <w:sz w:val="20"/>
          <w:szCs w:val="20"/>
          <w:color w:val="auto"/>
        </w:rPr>
      </w:pPr>
      <w:r>
        <w:rPr>
          <w:rFonts w:ascii="Arial" w:cs="Arial" w:eastAsia="Arial" w:hAnsi="Arial"/>
          <w:sz w:val="20"/>
          <w:szCs w:val="20"/>
          <w:color w:val="auto"/>
        </w:rPr>
        <w:t>Target, Cracker Barrel, Royal Caribbean Cruise Lines, Norwegian Cruise Lines, Carnival Corporation, Jack in the Box, Denny’s, Dine Brands, Bloomin’ Brands and other companies have all disclosed similar cage-free egg glidepaths to their shareholders. However, Mondelez has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332740</wp:posOffset>
            </wp:positionV>
            <wp:extent cx="7143115"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9" w:name="page130"/>
    <w:bookmarkEnd w:id="129"/>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309880</wp:posOffset>
            </wp:positionV>
            <wp:extent cx="7148195" cy="14478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48195" cy="14478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1" w:right="600"/>
        <w:spacing w:after="0" w:line="250" w:lineRule="auto"/>
        <w:rPr>
          <w:sz w:val="20"/>
          <w:szCs w:val="20"/>
          <w:color w:val="auto"/>
        </w:rPr>
      </w:pPr>
      <w:r>
        <w:rPr>
          <w:rFonts w:ascii="Arial" w:cs="Arial" w:eastAsia="Arial" w:hAnsi="Arial"/>
          <w:sz w:val="20"/>
          <w:szCs w:val="20"/>
          <w:color w:val="auto"/>
        </w:rPr>
        <w:t>The McDonald’s example illustrates the need for companies to ensure they take meaningful action in fulfilling their ESG promises. Whether a company keeps or breaks its animal welfare (or other significant policy) commitments may carry weighty consequences.</w:t>
      </w:r>
    </w:p>
    <w:p>
      <w:pPr>
        <w:spacing w:after="0" w:line="126" w:lineRule="exact"/>
        <w:rPr>
          <w:sz w:val="20"/>
          <w:szCs w:val="20"/>
          <w:color w:val="auto"/>
        </w:rPr>
      </w:pPr>
    </w:p>
    <w:p>
      <w:pPr>
        <w:ind w:left="181" w:right="480"/>
        <w:spacing w:after="0" w:line="244" w:lineRule="auto"/>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Shareholders ask Mondelez to disclose any annual glidepath benchmarks the company may have for</w:t>
      </w:r>
      <w:r>
        <w:rPr>
          <w:rFonts w:ascii="Arial" w:cs="Arial" w:eastAsia="Arial" w:hAnsi="Arial"/>
          <w:sz w:val="20"/>
          <w:szCs w:val="20"/>
          <w:b w:val="1"/>
          <w:bCs w:val="1"/>
          <w:color w:val="auto"/>
        </w:rPr>
        <w:t xml:space="preserve"> </w:t>
      </w:r>
      <w:r>
        <w:rPr>
          <w:rFonts w:ascii="Arial" w:cs="Arial" w:eastAsia="Arial" w:hAnsi="Arial"/>
          <w:sz w:val="20"/>
          <w:szCs w:val="20"/>
          <w:color w:val="auto"/>
        </w:rPr>
        <w:t>achieving its global cage-free egg goal. If the company does not have any such glidepath, shareholders ask it to develop and disclose one. This should be done within three months of the 2023 shareholder meeting, at a reasonable cost, and omitting proprietary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582C83"/>
        </w:rPr>
        <w:t>BOARD OF DIRECTORS’ STATEMENT IN OPPOSITION TO ITEM 6.</w:t>
      </w:r>
    </w:p>
    <w:p>
      <w:pPr>
        <w:spacing w:after="0" w:line="94" w:lineRule="exact"/>
        <w:rPr>
          <w:sz w:val="20"/>
          <w:szCs w:val="20"/>
          <w:color w:val="auto"/>
        </w:rPr>
      </w:pPr>
    </w:p>
    <w:p>
      <w:pPr>
        <w:ind w:left="1"/>
        <w:spacing w:after="0"/>
        <w:rPr>
          <w:sz w:val="20"/>
          <w:szCs w:val="20"/>
          <w:color w:val="auto"/>
        </w:rPr>
      </w:pPr>
      <w:r>
        <w:rPr>
          <w:rFonts w:ascii="Arial" w:cs="Arial" w:eastAsia="Arial" w:hAnsi="Arial"/>
          <w:sz w:val="20"/>
          <w:szCs w:val="20"/>
          <w:color w:val="auto"/>
        </w:rPr>
        <w:t>Mondelēz International takes seriously the link between animal welfare and the health of animals raised to provide food. The</w:t>
      </w:r>
    </w:p>
    <w:p>
      <w:pPr>
        <w:spacing w:after="0" w:line="19" w:lineRule="exact"/>
        <w:rPr>
          <w:sz w:val="20"/>
          <w:szCs w:val="20"/>
          <w:color w:val="auto"/>
        </w:rPr>
      </w:pPr>
    </w:p>
    <w:p>
      <w:pPr>
        <w:ind w:left="1" w:right="200"/>
        <w:spacing w:after="0" w:line="218" w:lineRule="auto"/>
        <w:rPr>
          <w:sz w:val="20"/>
          <w:szCs w:val="20"/>
          <w:color w:val="auto"/>
        </w:rPr>
      </w:pPr>
      <w:r>
        <w:rPr>
          <w:rFonts w:ascii="Arial" w:cs="Arial" w:eastAsia="Arial" w:hAnsi="Arial"/>
          <w:sz w:val="20"/>
          <w:szCs w:val="20"/>
          <w:color w:val="auto"/>
        </w:rPr>
        <w:t>Company has publicly announced a goal of making virtually all our global egg</w:t>
      </w:r>
      <w:r>
        <w:rPr>
          <w:rFonts w:ascii="Arial" w:cs="Arial" w:eastAsia="Arial" w:hAnsi="Arial"/>
          <w:sz w:val="33"/>
          <w:szCs w:val="33"/>
          <w:color w:val="auto"/>
          <w:vertAlign w:val="superscript"/>
        </w:rPr>
        <w:t>(1)</w:t>
      </w:r>
      <w:r>
        <w:rPr>
          <w:rFonts w:ascii="Arial" w:cs="Arial" w:eastAsia="Arial" w:hAnsi="Arial"/>
          <w:sz w:val="20"/>
          <w:szCs w:val="20"/>
          <w:color w:val="auto"/>
        </w:rPr>
        <w:t xml:space="preserve"> supply cage-free by 2025, excluding Ukraine and Russia, and we report our progress annually in our ESG report, S</w:t>
      </w:r>
      <w:r>
        <w:rPr>
          <w:rFonts w:ascii="Arial" w:cs="Arial" w:eastAsia="Arial" w:hAnsi="Arial"/>
          <w:sz w:val="20"/>
          <w:szCs w:val="20"/>
          <w:i w:val="1"/>
          <w:iCs w:val="1"/>
          <w:color w:val="auto"/>
        </w:rPr>
        <w:t>nacking Made Right</w:t>
      </w:r>
      <w:r>
        <w:rPr>
          <w:rFonts w:ascii="Arial" w:cs="Arial" w:eastAsia="Arial" w:hAnsi="Arial"/>
          <w:sz w:val="20"/>
          <w:szCs w:val="20"/>
          <w:color w:val="auto"/>
        </w:rPr>
        <w:t>. Requiring the Company to publish, within three months of the 2023 Annual Meeting, additional benchmarks toward that goal in the form of a forward-looking glidepath would be unnecessary, duplicative and impractical – diverting time and resources, while providing little incremental benefit to shareholders or the Company.</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 xml:space="preserve">Mondelēz International already reports annual progress toward the goal of making our global egg supply cage-free by 2025. </w:t>
      </w:r>
      <w:r>
        <w:rPr>
          <w:rFonts w:ascii="Arial" w:cs="Arial" w:eastAsia="Arial" w:hAnsi="Arial"/>
          <w:sz w:val="20"/>
          <w:szCs w:val="20"/>
          <w:color w:val="auto"/>
        </w:rPr>
        <w:t>The Company already discloses annual progress toward the goal of making our global egg supply cage-free by 2025,</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excluding Ukraine and Russia. As reported in our last </w:t>
      </w:r>
      <w:r>
        <w:rPr>
          <w:rFonts w:ascii="Arial" w:cs="Arial" w:eastAsia="Arial" w:hAnsi="Arial"/>
          <w:sz w:val="20"/>
          <w:szCs w:val="20"/>
          <w:i w:val="1"/>
          <w:iCs w:val="1"/>
          <w:color w:val="auto"/>
        </w:rPr>
        <w:t>Snacking Made Right</w:t>
      </w:r>
      <w:r>
        <w:rPr>
          <w:rFonts w:ascii="Arial" w:cs="Arial" w:eastAsia="Arial" w:hAnsi="Arial"/>
          <w:sz w:val="20"/>
          <w:szCs w:val="20"/>
          <w:color w:val="auto"/>
        </w:rPr>
        <w:t xml:space="preserve"> report, at year-end 2021, approximately 39% of eggs supplied globally were cage-free, excluding Russia and Ukraine volumes, representing an increase of approximately 12% year-on-year. While we are still finalizing our 2022 </w:t>
      </w:r>
      <w:r>
        <w:rPr>
          <w:rFonts w:ascii="Arial" w:cs="Arial" w:eastAsia="Arial" w:hAnsi="Arial"/>
          <w:sz w:val="20"/>
          <w:szCs w:val="20"/>
          <w:i w:val="1"/>
          <w:iCs w:val="1"/>
          <w:color w:val="auto"/>
        </w:rPr>
        <w:t>Snacking Made Right</w:t>
      </w:r>
      <w:r>
        <w:rPr>
          <w:rFonts w:ascii="Arial" w:cs="Arial" w:eastAsia="Arial" w:hAnsi="Arial"/>
          <w:sz w:val="20"/>
          <w:szCs w:val="20"/>
          <w:color w:val="auto"/>
        </w:rPr>
        <w:t xml:space="preserve"> data, we expect the share of eggs sourced globally that are cage-free to continue to increase.</w:t>
      </w:r>
    </w:p>
    <w:p>
      <w:pPr>
        <w:spacing w:after="0" w:line="135" w:lineRule="exact"/>
        <w:rPr>
          <w:sz w:val="20"/>
          <w:szCs w:val="20"/>
          <w:color w:val="auto"/>
        </w:rPr>
      </w:pPr>
    </w:p>
    <w:p>
      <w:pPr>
        <w:ind w:left="1"/>
        <w:spacing w:after="0" w:line="239" w:lineRule="auto"/>
        <w:rPr>
          <w:sz w:val="20"/>
          <w:szCs w:val="20"/>
          <w:color w:val="auto"/>
        </w:rPr>
      </w:pPr>
      <w:r>
        <w:rPr>
          <w:rFonts w:ascii="Arial" w:cs="Arial" w:eastAsia="Arial" w:hAnsi="Arial"/>
          <w:sz w:val="20"/>
          <w:szCs w:val="20"/>
          <w:b w:val="1"/>
          <w:bCs w:val="1"/>
          <w:color w:val="auto"/>
        </w:rPr>
        <w:t xml:space="preserve">Mondelēz International believes it is more effective and practical to report verifiable, measurable, yearly progress toward sustainability goals, rather than forward-looking, interim targets that have not yet been achieved. </w:t>
      </w:r>
      <w:r>
        <w:rPr>
          <w:rFonts w:ascii="Arial" w:cs="Arial" w:eastAsia="Arial" w:hAnsi="Arial"/>
          <w:sz w:val="20"/>
          <w:szCs w:val="20"/>
          <w:color w:val="auto"/>
        </w:rPr>
        <w:t>This practice is</w:t>
      </w:r>
      <w:r>
        <w:rPr>
          <w:rFonts w:ascii="Arial" w:cs="Arial" w:eastAsia="Arial" w:hAnsi="Arial"/>
          <w:sz w:val="20"/>
          <w:szCs w:val="20"/>
          <w:b w:val="1"/>
          <w:bCs w:val="1"/>
          <w:color w:val="auto"/>
        </w:rPr>
        <w:t xml:space="preserve"> </w:t>
      </w:r>
      <w:r>
        <w:rPr>
          <w:rFonts w:ascii="Arial" w:cs="Arial" w:eastAsia="Arial" w:hAnsi="Arial"/>
          <w:sz w:val="20"/>
          <w:szCs w:val="20"/>
          <w:color w:val="auto"/>
        </w:rPr>
        <w:t>particularly important when progress towards the goal in question, such as cage-free eggs, is not necessarily linear and may be subject to factors beyond our control, such as Avian Flu outbreaks, supply chain disruption and the war in Ukraine. Requiring the Company to publish and track periodic, interim, prospective targets against previously announced multi-year goals — despite the fact the Company is already providing annual progress updates against those same goals — would be burdensome, unnecessary and duplicative, and the various numbers could generate confusion among our stakeholders.</w:t>
      </w:r>
    </w:p>
    <w:p>
      <w:pPr>
        <w:spacing w:after="0" w:line="135" w:lineRule="exact"/>
        <w:rPr>
          <w:sz w:val="20"/>
          <w:szCs w:val="20"/>
          <w:color w:val="auto"/>
        </w:rPr>
      </w:pPr>
    </w:p>
    <w:p>
      <w:pPr>
        <w:ind w:left="1" w:right="80"/>
        <w:spacing w:after="0" w:line="238" w:lineRule="auto"/>
        <w:rPr>
          <w:sz w:val="20"/>
          <w:szCs w:val="20"/>
          <w:color w:val="auto"/>
        </w:rPr>
      </w:pPr>
      <w:r>
        <w:rPr>
          <w:rFonts w:ascii="Arial" w:cs="Arial" w:eastAsia="Arial" w:hAnsi="Arial"/>
          <w:sz w:val="20"/>
          <w:szCs w:val="20"/>
          <w:b w:val="1"/>
          <w:bCs w:val="1"/>
          <w:color w:val="auto"/>
        </w:rPr>
        <w:t xml:space="preserve">Mondelēz International does not own, raise, transport or process any hens, and the Company does not use eggs in most of its products. </w:t>
      </w:r>
      <w:r>
        <w:rPr>
          <w:rFonts w:ascii="Arial" w:cs="Arial" w:eastAsia="Arial" w:hAnsi="Arial"/>
          <w:sz w:val="20"/>
          <w:szCs w:val="20"/>
          <w:color w:val="auto"/>
        </w:rPr>
        <w:t>The overwhelming majority of our product portfolio consists of chocolate, biscuits and baked snacks that</w:t>
      </w:r>
      <w:r>
        <w:rPr>
          <w:rFonts w:ascii="Arial" w:cs="Arial" w:eastAsia="Arial" w:hAnsi="Arial"/>
          <w:sz w:val="20"/>
          <w:szCs w:val="20"/>
          <w:b w:val="1"/>
          <w:bCs w:val="1"/>
          <w:color w:val="auto"/>
        </w:rPr>
        <w:t xml:space="preserve"> </w:t>
      </w:r>
      <w:r>
        <w:rPr>
          <w:rFonts w:ascii="Arial" w:cs="Arial" w:eastAsia="Arial" w:hAnsi="Arial"/>
          <w:sz w:val="20"/>
          <w:szCs w:val="20"/>
          <w:color w:val="auto"/>
        </w:rPr>
        <w:t>do not contain eggs. We purchase eggs for use in making only a few specialized products in select markets. Since 2020, approximately 100% of the egg ingredients we purchased in the United States and Canada have been cage-free. While we are still calculating final 2022 data, we expect the total share of cage-free eggs used in our North America products to decline slightly, to about 99%, due to the recent Avian Flu outbreak in Canada, while we continued to source virtually 100% cage-free eggs in the United States. Additionally, the supply of cage-free eggs is limited in certain markets in the Asia-Pacific region, which we are working with suppliers to address.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1" w:hanging="341"/>
        <w:spacing w:after="0"/>
        <w:tabs>
          <w:tab w:leader="none" w:pos="341" w:val="left"/>
        </w:tabs>
        <w:numPr>
          <w:ilvl w:val="0"/>
          <w:numId w:val="111"/>
        </w:numPr>
        <w:rPr>
          <w:rFonts w:ascii="Arial" w:cs="Arial" w:eastAsia="Arial" w:hAnsi="Arial"/>
          <w:sz w:val="15"/>
          <w:szCs w:val="15"/>
          <w:i w:val="1"/>
          <w:iCs w:val="1"/>
          <w:color w:val="auto"/>
        </w:rPr>
      </w:pPr>
      <w:r>
        <w:rPr>
          <w:rFonts w:ascii="Arial" w:cs="Arial" w:eastAsia="Arial" w:hAnsi="Arial"/>
          <w:sz w:val="15"/>
          <w:szCs w:val="15"/>
          <w:i w:val="1"/>
          <w:iCs w:val="1"/>
          <w:color w:val="auto"/>
        </w:rPr>
        <w:t>As used in this Statement in Opposition, the term “egg(s)” means egg(s) produced by hens (female chickens).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43115"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140"/>
        <w:spacing w:after="0"/>
        <w:rPr>
          <w:sz w:val="20"/>
          <w:szCs w:val="20"/>
          <w:color w:val="auto"/>
        </w:rPr>
      </w:pPr>
      <w:r>
        <w:rPr>
          <w:rFonts w:ascii="Arial" w:cs="Arial" w:eastAsia="Arial" w:hAnsi="Arial"/>
          <w:sz w:val="20"/>
          <w:szCs w:val="20"/>
          <w:b w:val="1"/>
          <w:bCs w:val="1"/>
          <w:color w:val="auto"/>
        </w:rPr>
        <w:t xml:space="preserve">Mondelēz International supports agricultural programs and farming practices that help maintain a high-quality supply of raw materials – including the movement toward cage-free eggs. </w:t>
      </w:r>
      <w:r>
        <w:rPr>
          <w:rFonts w:ascii="Arial" w:cs="Arial" w:eastAsia="Arial" w:hAnsi="Arial"/>
          <w:sz w:val="20"/>
          <w:szCs w:val="20"/>
          <w:color w:val="auto"/>
        </w:rPr>
        <w:t>We continue to work with our suppliers to help</w:t>
      </w:r>
      <w:r>
        <w:rPr>
          <w:rFonts w:ascii="Arial" w:cs="Arial" w:eastAsia="Arial" w:hAnsi="Arial"/>
          <w:sz w:val="20"/>
          <w:szCs w:val="20"/>
          <w:b w:val="1"/>
          <w:bCs w:val="1"/>
          <w:color w:val="auto"/>
        </w:rPr>
        <w:t xml:space="preserve"> </w:t>
      </w:r>
      <w:r>
        <w:rPr>
          <w:rFonts w:ascii="Arial" w:cs="Arial" w:eastAsia="Arial" w:hAnsi="Arial"/>
          <w:sz w:val="20"/>
          <w:szCs w:val="20"/>
          <w:color w:val="auto"/>
        </w:rPr>
        <w:t>overcome supply chain risks and to increase our supply of cage-free eggs. We expect suppliers of ingredients that come from farm animals to comply with applicable laws and regulations regarding animal welfare. We also expect suppliers to promote better standards in quality, safety and animal welfare. Additionally, Mondelēz International is part of a joint industry call seeking to phase out the use of cages in animal farming in the European Union.</w:t>
      </w:r>
    </w:p>
    <w:p>
      <w:pPr>
        <w:spacing w:after="0" w:line="135" w:lineRule="exact"/>
        <w:rPr>
          <w:sz w:val="20"/>
          <w:szCs w:val="20"/>
          <w:color w:val="auto"/>
        </w:rPr>
      </w:pPr>
    </w:p>
    <w:p>
      <w:pPr>
        <w:ind w:right="20"/>
        <w:spacing w:after="0"/>
        <w:rPr>
          <w:sz w:val="20"/>
          <w:szCs w:val="20"/>
          <w:color w:val="auto"/>
        </w:rPr>
      </w:pPr>
      <w:r>
        <w:rPr>
          <w:rFonts w:ascii="Arial" w:cs="Arial" w:eastAsia="Arial" w:hAnsi="Arial"/>
          <w:sz w:val="20"/>
          <w:szCs w:val="20"/>
          <w:color w:val="auto"/>
        </w:rPr>
        <w:t xml:space="preserve">In summary, Mondelēz International already discloses in </w:t>
      </w:r>
      <w:r>
        <w:rPr>
          <w:rFonts w:ascii="Arial" w:cs="Arial" w:eastAsia="Arial" w:hAnsi="Arial"/>
          <w:sz w:val="20"/>
          <w:szCs w:val="20"/>
          <w:i w:val="1"/>
          <w:iCs w:val="1"/>
          <w:color w:val="auto"/>
        </w:rPr>
        <w:t>Snacking Made Right</w:t>
      </w:r>
      <w:r>
        <w:rPr>
          <w:rFonts w:ascii="Arial" w:cs="Arial" w:eastAsia="Arial" w:hAnsi="Arial"/>
          <w:sz w:val="20"/>
          <w:szCs w:val="20"/>
          <w:color w:val="auto"/>
        </w:rPr>
        <w:t xml:space="preserve"> its annual progress toward the goal of making its global egg supply cage-free by 2025, excluding Ukraine and Russia, and we continue to work with our suppliers to source more cage-free eggs and help drive further industry-wide progress. Because our annual reporting already provides shareholders and other stakeholders with documented, verifiable progress toward our goal, we believe the requirement sought by this proposal for additional, incremental reporting within three months of the 2023 Annual Meeting is overly prescriptive, duplicative, impractical and unnecessary.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354330</wp:posOffset>
            </wp:positionV>
            <wp:extent cx="6307455" cy="5283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307455" cy="528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480"/>
        <w:spacing w:after="0"/>
        <w:rPr>
          <w:sz w:val="20"/>
          <w:szCs w:val="20"/>
          <w:color w:val="auto"/>
        </w:rPr>
      </w:pPr>
      <w:r>
        <w:rPr>
          <w:rFonts w:ascii="Arial" w:cs="Arial" w:eastAsia="Arial" w:hAnsi="Arial"/>
          <w:sz w:val="20"/>
          <w:szCs w:val="20"/>
          <w:b w:val="1"/>
          <w:bCs w:val="1"/>
          <w:color w:val="FFFFFF"/>
        </w:rPr>
        <w:t>THE BOARD RECOMMENDS THAT YOU VOTE AGAINST THIS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390525</wp:posOffset>
            </wp:positionV>
            <wp:extent cx="7143115" cy="76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1" w:name="page132"/>
    <w:bookmarkEnd w:id="131"/>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311785</wp:posOffset>
            </wp:positionV>
            <wp:extent cx="6307455" cy="15455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80"/>
        <w:spacing w:after="0"/>
        <w:rPr>
          <w:sz w:val="20"/>
          <w:szCs w:val="20"/>
          <w:color w:val="auto"/>
        </w:rPr>
      </w:pPr>
      <w:r>
        <w:rPr>
          <w:rFonts w:ascii="Arial" w:cs="Arial" w:eastAsia="Arial" w:hAnsi="Arial"/>
          <w:sz w:val="41"/>
          <w:szCs w:val="41"/>
          <w:b w:val="1"/>
          <w:bCs w:val="1"/>
          <w:color w:val="58358F"/>
        </w:rPr>
        <w:t>ITEM 7.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60"/>
        <w:spacing w:after="0"/>
        <w:rPr>
          <w:sz w:val="20"/>
          <w:szCs w:val="20"/>
          <w:color w:val="auto"/>
        </w:rPr>
      </w:pPr>
      <w:r>
        <w:rPr>
          <w:sz w:val="1"/>
          <w:szCs w:val="1"/>
          <w:color w:val="auto"/>
        </w:rPr>
        <w:drawing>
          <wp:inline distT="0" distB="0" distL="0" distR="0">
            <wp:extent cx="157480" cy="157480"/>
            <wp:effectExtent l="0" t="0" r="0"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Adopt Public Targets to Eradicate Child Labor in Cocoa Supply Chain</w:t>
      </w:r>
    </w:p>
    <w:p>
      <w:pPr>
        <w:spacing w:after="0" w:line="213" w:lineRule="exact"/>
        <w:rPr>
          <w:sz w:val="20"/>
          <w:szCs w:val="20"/>
          <w:color w:val="auto"/>
        </w:rPr>
      </w:pPr>
    </w:p>
    <w:p>
      <w:pPr>
        <w:ind w:left="660" w:right="800"/>
        <w:spacing w:after="0" w:line="257" w:lineRule="auto"/>
        <w:rPr>
          <w:sz w:val="20"/>
          <w:szCs w:val="20"/>
          <w:color w:val="auto"/>
        </w:rPr>
      </w:pPr>
      <w:r>
        <w:rPr>
          <w:rFonts w:ascii="Arial" w:cs="Arial" w:eastAsia="Arial" w:hAnsi="Arial"/>
          <w:sz w:val="19"/>
          <w:szCs w:val="19"/>
          <w:color w:val="auto"/>
        </w:rPr>
        <w:t>Tulipshare Ltd as representative of the Maryknoll Sisters of St. Dominic, P.O. Box 311, Maryknoll, New York 10545-0311, and Sisters of the Presentation of the Blessed Virgin Mary of Aberdeen South Dakota, 1702 S 7th Ave, #210, Sioux Falls, South Dakota 57105, beneficial owner of at least $2,000 worth of the Company’s Common Stock held continuously at least three years as of December 7, 2022, is the proponent of the following shareholder proposal and has advised that a representative will present this proposal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91440</wp:posOffset>
            </wp:positionV>
            <wp:extent cx="6312535" cy="58000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312535" cy="5800090"/>
                    </a:xfrm>
                    <a:prstGeom prst="rect">
                      <a:avLst/>
                    </a:prstGeom>
                    <a:noFill/>
                  </pic:spPr>
                </pic:pic>
              </a:graphicData>
            </a:graphic>
          </wp:anchor>
        </w:drawing>
      </w:r>
    </w:p>
    <w:p>
      <w:pPr>
        <w:spacing w:after="0" w:line="325" w:lineRule="exact"/>
        <w:rPr>
          <w:sz w:val="20"/>
          <w:szCs w:val="20"/>
          <w:color w:val="auto"/>
        </w:rPr>
      </w:pPr>
    </w:p>
    <w:p>
      <w:pPr>
        <w:ind w:left="840" w:right="920"/>
        <w:spacing w:after="0" w:line="242" w:lineRule="auto"/>
        <w:rPr>
          <w:sz w:val="20"/>
          <w:szCs w:val="20"/>
          <w:color w:val="auto"/>
        </w:rPr>
      </w:pPr>
      <w:r>
        <w:rPr>
          <w:rFonts w:ascii="Arial" w:cs="Arial" w:eastAsia="Arial" w:hAnsi="Arial"/>
          <w:sz w:val="20"/>
          <w:szCs w:val="20"/>
          <w:b w:val="1"/>
          <w:bCs w:val="1"/>
          <w:color w:val="auto"/>
        </w:rPr>
        <w:t xml:space="preserve">Resolved: </w:t>
      </w:r>
      <w:r>
        <w:rPr>
          <w:rFonts w:ascii="Arial" w:cs="Arial" w:eastAsia="Arial" w:hAnsi="Arial"/>
          <w:sz w:val="20"/>
          <w:szCs w:val="20"/>
          <w:color w:val="auto"/>
        </w:rPr>
        <w:t>Shareholders request that, within one year, the Board of Directors adopt targets and publicly</w:t>
      </w:r>
      <w:r>
        <w:rPr>
          <w:rFonts w:ascii="Arial" w:cs="Arial" w:eastAsia="Arial" w:hAnsi="Arial"/>
          <w:sz w:val="20"/>
          <w:szCs w:val="20"/>
          <w:b w:val="1"/>
          <w:bCs w:val="1"/>
          <w:color w:val="auto"/>
        </w:rPr>
        <w:t xml:space="preserve"> </w:t>
      </w:r>
      <w:r>
        <w:rPr>
          <w:rFonts w:ascii="Arial" w:cs="Arial" w:eastAsia="Arial" w:hAnsi="Arial"/>
          <w:sz w:val="20"/>
          <w:szCs w:val="20"/>
          <w:color w:val="auto"/>
        </w:rPr>
        <w:t>report quantitative metrics appropriate to assessing whether Mondelēz is on course to eradicate child labor in all forms from the Company’s cocoa supply chain by 2025. In the Board and management’s discretion, such metrics may include: current estimates of the total numbers of children in its supply chain on a regional basis, working in hazardous jobs, working during school hours, and employed after school hours.</w:t>
      </w:r>
    </w:p>
    <w:p>
      <w:pPr>
        <w:spacing w:after="0" w:line="132" w:lineRule="exact"/>
        <w:rPr>
          <w:sz w:val="20"/>
          <w:szCs w:val="20"/>
          <w:color w:val="auto"/>
        </w:rPr>
      </w:pPr>
    </w:p>
    <w:p>
      <w:pPr>
        <w:ind w:left="840" w:right="1160"/>
        <w:spacing w:after="0" w:line="238"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Hazardous child labor on cocoa farms, which includes using machetes and harmful pesticides,</w:t>
      </w:r>
      <w:r>
        <w:rPr>
          <w:rFonts w:ascii="Arial" w:cs="Arial" w:eastAsia="Arial" w:hAnsi="Arial"/>
          <w:sz w:val="19"/>
          <w:szCs w:val="19"/>
          <w:b w:val="1"/>
          <w:bCs w:val="1"/>
          <w:color w:val="auto"/>
        </w:rPr>
        <w:t xml:space="preserve"> </w:t>
      </w:r>
      <w:r>
        <w:rPr>
          <w:rFonts w:ascii="Arial" w:cs="Arial" w:eastAsia="Arial" w:hAnsi="Arial"/>
          <w:sz w:val="19"/>
          <w:szCs w:val="19"/>
          <w:color w:val="auto"/>
        </w:rPr>
        <w:t>meets the International Labor Organization’s definition of the “worst forms of child labor.”</w:t>
      </w:r>
      <w:r>
        <w:rPr>
          <w:rFonts w:ascii="Arial" w:cs="Arial" w:eastAsia="Arial" w:hAnsi="Arial"/>
          <w:sz w:val="32"/>
          <w:szCs w:val="32"/>
          <w:color w:val="auto"/>
          <w:vertAlign w:val="superscript"/>
        </w:rPr>
        <w:t>1</w:t>
      </w:r>
      <w:r>
        <w:rPr>
          <w:rFonts w:ascii="Arial" w:cs="Arial" w:eastAsia="Arial" w:hAnsi="Arial"/>
          <w:sz w:val="19"/>
          <w:szCs w:val="19"/>
          <w:color w:val="auto"/>
        </w:rPr>
        <w:t xml:space="preserve"> International agreements have repeatedly failed to eradicate hazardous child labor from the cocoa supply chain.</w:t>
      </w:r>
      <w:r>
        <w:rPr>
          <w:rFonts w:ascii="Arial" w:cs="Arial" w:eastAsia="Arial" w:hAnsi="Arial"/>
          <w:sz w:val="32"/>
          <w:szCs w:val="32"/>
          <w:color w:val="auto"/>
          <w:vertAlign w:val="superscript"/>
        </w:rPr>
        <w:t>2</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Over twenty years ago, Mondelēz signed the Harkin-Engel Protocol, voluntarily committing to end the worst</w:t>
      </w:r>
    </w:p>
    <w:p>
      <w:pPr>
        <w:spacing w:after="0" w:line="14" w:lineRule="exact"/>
        <w:rPr>
          <w:sz w:val="20"/>
          <w:szCs w:val="20"/>
          <w:color w:val="auto"/>
        </w:rPr>
      </w:pPr>
    </w:p>
    <w:p>
      <w:pPr>
        <w:ind w:left="840" w:right="1120"/>
        <w:spacing w:after="0" w:line="203" w:lineRule="auto"/>
        <w:rPr>
          <w:sz w:val="20"/>
          <w:szCs w:val="20"/>
          <w:color w:val="auto"/>
        </w:rPr>
      </w:pPr>
      <w:r>
        <w:rPr>
          <w:rFonts w:ascii="Arial" w:cs="Arial" w:eastAsia="Arial" w:hAnsi="Arial"/>
          <w:sz w:val="19"/>
          <w:szCs w:val="19"/>
          <w:color w:val="auto"/>
        </w:rPr>
        <w:t>forms of child labor, including forced labor, in West African cocoa production by 2005.</w:t>
      </w:r>
      <w:r>
        <w:rPr>
          <w:rFonts w:ascii="Arial" w:cs="Arial" w:eastAsia="Arial" w:hAnsi="Arial"/>
          <w:sz w:val="32"/>
          <w:szCs w:val="32"/>
          <w:color w:val="auto"/>
          <w:vertAlign w:val="superscript"/>
        </w:rPr>
        <w:t>2</w:t>
      </w:r>
      <w:r>
        <w:rPr>
          <w:rFonts w:ascii="Arial" w:cs="Arial" w:eastAsia="Arial" w:hAnsi="Arial"/>
          <w:sz w:val="19"/>
          <w:szCs w:val="19"/>
          <w:color w:val="auto"/>
        </w:rPr>
        <w:t xml:space="preserve"> Yet, cocoa farming remains plagued by child labor in seven countries according to the Bureau of International Labor Affairs’</w:t>
      </w:r>
    </w:p>
    <w:p>
      <w:pPr>
        <w:spacing w:after="0" w:line="1" w:lineRule="exact"/>
        <w:rPr>
          <w:sz w:val="20"/>
          <w:szCs w:val="20"/>
          <w:color w:val="auto"/>
        </w:rPr>
      </w:pPr>
    </w:p>
    <w:p>
      <w:pPr>
        <w:ind w:left="840" w:right="1200"/>
        <w:spacing w:after="0" w:line="183" w:lineRule="auto"/>
        <w:rPr>
          <w:sz w:val="20"/>
          <w:szCs w:val="20"/>
          <w:color w:val="auto"/>
        </w:rPr>
      </w:pPr>
      <w:r>
        <w:rPr>
          <w:rFonts w:ascii="Arial" w:cs="Arial" w:eastAsia="Arial" w:hAnsi="Arial"/>
          <w:sz w:val="19"/>
          <w:szCs w:val="19"/>
          <w:color w:val="auto"/>
        </w:rPr>
        <w:t>2022 report.</w:t>
      </w:r>
      <w:r>
        <w:rPr>
          <w:rFonts w:ascii="Arial" w:cs="Arial" w:eastAsia="Arial" w:hAnsi="Arial"/>
          <w:sz w:val="31"/>
          <w:szCs w:val="31"/>
          <w:color w:val="auto"/>
          <w:vertAlign w:val="superscript"/>
        </w:rPr>
        <w:t>3</w:t>
      </w:r>
      <w:r>
        <w:rPr>
          <w:rFonts w:ascii="Arial" w:cs="Arial" w:eastAsia="Arial" w:hAnsi="Arial"/>
          <w:sz w:val="19"/>
          <w:szCs w:val="19"/>
          <w:color w:val="auto"/>
        </w:rPr>
        <w:t xml:space="preserve"> The Department of Labor estimates that 1.56 million children engage in hazardous work on cocoa farms in Ghana and Côte d’Ivoire, where 60 percent of cocoa is produced.</w:t>
      </w:r>
      <w:r>
        <w:rPr>
          <w:rFonts w:ascii="Arial" w:cs="Arial" w:eastAsia="Arial" w:hAnsi="Arial"/>
          <w:sz w:val="31"/>
          <w:szCs w:val="31"/>
          <w:color w:val="auto"/>
          <w:vertAlign w:val="superscript"/>
        </w:rPr>
        <w:t>4</w:t>
      </w:r>
      <w:r>
        <w:rPr>
          <w:rFonts w:ascii="Arial" w:cs="Arial" w:eastAsia="Arial" w:hAnsi="Arial"/>
          <w:sz w:val="19"/>
          <w:szCs w:val="19"/>
          <w:color w:val="auto"/>
        </w:rPr>
        <w:t xml:space="preserve"> Despite Mondelēz’s</w:t>
      </w:r>
    </w:p>
    <w:p>
      <w:pPr>
        <w:spacing w:after="0" w:line="3" w:lineRule="exact"/>
        <w:rPr>
          <w:sz w:val="20"/>
          <w:szCs w:val="20"/>
          <w:color w:val="auto"/>
        </w:rPr>
      </w:pPr>
    </w:p>
    <w:p>
      <w:pPr>
        <w:ind w:left="840" w:right="1180"/>
        <w:spacing w:after="0" w:line="203" w:lineRule="auto"/>
        <w:rPr>
          <w:sz w:val="20"/>
          <w:szCs w:val="20"/>
          <w:color w:val="auto"/>
        </w:rPr>
      </w:pPr>
      <w:r>
        <w:rPr>
          <w:rFonts w:ascii="Arial" w:cs="Arial" w:eastAsia="Arial" w:hAnsi="Arial"/>
          <w:sz w:val="19"/>
          <w:szCs w:val="19"/>
          <w:color w:val="auto"/>
        </w:rPr>
        <w:t>Cocoa Life program, established a decade ago to stamp out child labor, and its monetary commitments,</w:t>
      </w:r>
      <w:r>
        <w:rPr>
          <w:rFonts w:ascii="Arial" w:cs="Arial" w:eastAsia="Arial" w:hAnsi="Arial"/>
          <w:sz w:val="32"/>
          <w:szCs w:val="32"/>
          <w:color w:val="auto"/>
          <w:vertAlign w:val="superscript"/>
        </w:rPr>
        <w:t>4</w:t>
      </w:r>
      <w:r>
        <w:rPr>
          <w:rFonts w:ascii="Arial" w:cs="Arial" w:eastAsia="Arial" w:hAnsi="Arial"/>
          <w:sz w:val="19"/>
          <w:szCs w:val="19"/>
          <w:color w:val="auto"/>
        </w:rPr>
        <w:t xml:space="preserve"> children exposed to child labor on cocoa farms in Ghana rose by 10 percent since 2009, amounting to 55</w:t>
      </w:r>
    </w:p>
    <w:p>
      <w:pPr>
        <w:spacing w:after="0" w:line="1" w:lineRule="exact"/>
        <w:rPr>
          <w:sz w:val="20"/>
          <w:szCs w:val="20"/>
          <w:color w:val="auto"/>
        </w:rPr>
      </w:pPr>
    </w:p>
    <w:p>
      <w:pPr>
        <w:ind w:left="840" w:right="980"/>
        <w:spacing w:after="0" w:line="221" w:lineRule="auto"/>
        <w:rPr>
          <w:sz w:val="20"/>
          <w:szCs w:val="20"/>
          <w:color w:val="auto"/>
        </w:rPr>
      </w:pPr>
      <w:r>
        <w:rPr>
          <w:rFonts w:ascii="Arial" w:cs="Arial" w:eastAsia="Arial" w:hAnsi="Arial"/>
          <w:sz w:val="20"/>
          <w:szCs w:val="20"/>
          <w:color w:val="auto"/>
        </w:rPr>
        <w:t>percent.</w:t>
      </w:r>
      <w:r>
        <w:rPr>
          <w:rFonts w:ascii="Arial" w:cs="Arial" w:eastAsia="Arial" w:hAnsi="Arial"/>
          <w:sz w:val="33"/>
          <w:szCs w:val="33"/>
          <w:color w:val="auto"/>
          <w:vertAlign w:val="superscript"/>
        </w:rPr>
        <w:t>5</w:t>
      </w:r>
      <w:r>
        <w:rPr>
          <w:rFonts w:ascii="Arial" w:cs="Arial" w:eastAsia="Arial" w:hAnsi="Arial"/>
          <w:sz w:val="20"/>
          <w:szCs w:val="20"/>
          <w:color w:val="auto"/>
        </w:rPr>
        <w:t xml:space="preserve"> Furthermore, 95 percent of cocoa farming children in West Africa are “involved in hazardous child labor.”</w:t>
      </w:r>
      <w:r>
        <w:rPr>
          <w:rFonts w:ascii="Arial" w:cs="Arial" w:eastAsia="Arial" w:hAnsi="Arial"/>
          <w:sz w:val="33"/>
          <w:szCs w:val="33"/>
          <w:color w:val="auto"/>
          <w:vertAlign w:val="superscript"/>
        </w:rPr>
        <w:t>6</w:t>
      </w:r>
    </w:p>
    <w:p>
      <w:pPr>
        <w:spacing w:after="0" w:line="5" w:lineRule="exact"/>
        <w:rPr>
          <w:sz w:val="20"/>
          <w:szCs w:val="20"/>
          <w:color w:val="auto"/>
        </w:rPr>
      </w:pPr>
    </w:p>
    <w:p>
      <w:pPr>
        <w:ind w:left="840" w:right="860"/>
        <w:spacing w:after="0" w:line="210" w:lineRule="auto"/>
        <w:rPr>
          <w:sz w:val="20"/>
          <w:szCs w:val="20"/>
          <w:color w:val="auto"/>
        </w:rPr>
      </w:pPr>
      <w:r>
        <w:rPr>
          <w:rFonts w:ascii="Arial" w:cs="Arial" w:eastAsia="Arial" w:hAnsi="Arial"/>
          <w:sz w:val="20"/>
          <w:szCs w:val="20"/>
          <w:color w:val="auto"/>
        </w:rPr>
        <w:t>Mondelēz acknowledges that “cocoa farmers and their communities are still facing big challenges.”</w:t>
      </w:r>
      <w:r>
        <w:rPr>
          <w:rFonts w:ascii="Arial" w:cs="Arial" w:eastAsia="Arial" w:hAnsi="Arial"/>
          <w:sz w:val="33"/>
          <w:szCs w:val="33"/>
          <w:color w:val="auto"/>
          <w:vertAlign w:val="superscript"/>
        </w:rPr>
        <w:t>7</w:t>
      </w:r>
      <w:r>
        <w:rPr>
          <w:rFonts w:ascii="Arial" w:cs="Arial" w:eastAsia="Arial" w:hAnsi="Arial"/>
          <w:sz w:val="20"/>
          <w:szCs w:val="20"/>
          <w:color w:val="auto"/>
        </w:rPr>
        <w:t xml:space="preserve"> While Mondelēz states it’s “on track” to achieve its goal of Child Labor Monitoring &amp; Remediation Systems covering 100 percent of Cocoa Life communities in West Africa by 2025, it currently reports only 61 percent</w:t>
      </w:r>
    </w:p>
    <w:p>
      <w:pPr>
        <w:spacing w:after="0" w:line="2" w:lineRule="exact"/>
        <w:rPr>
          <w:sz w:val="20"/>
          <w:szCs w:val="20"/>
          <w:color w:val="auto"/>
        </w:rPr>
      </w:pPr>
    </w:p>
    <w:p>
      <w:pPr>
        <w:ind w:left="840" w:right="940"/>
        <w:spacing w:after="0" w:line="203" w:lineRule="auto"/>
        <w:rPr>
          <w:sz w:val="20"/>
          <w:szCs w:val="20"/>
          <w:color w:val="auto"/>
        </w:rPr>
      </w:pPr>
      <w:r>
        <w:rPr>
          <w:rFonts w:ascii="Arial" w:cs="Arial" w:eastAsia="Arial" w:hAnsi="Arial"/>
          <w:sz w:val="19"/>
          <w:szCs w:val="19"/>
          <w:color w:val="auto"/>
        </w:rPr>
        <w:t>coverage.</w:t>
      </w:r>
      <w:r>
        <w:rPr>
          <w:rFonts w:ascii="Arial" w:cs="Arial" w:eastAsia="Arial" w:hAnsi="Arial"/>
          <w:sz w:val="32"/>
          <w:szCs w:val="32"/>
          <w:color w:val="auto"/>
          <w:vertAlign w:val="superscript"/>
        </w:rPr>
        <w:t>8</w:t>
      </w:r>
      <w:r>
        <w:rPr>
          <w:rFonts w:ascii="Arial" w:cs="Arial" w:eastAsia="Arial" w:hAnsi="Arial"/>
          <w:sz w:val="19"/>
          <w:szCs w:val="19"/>
          <w:color w:val="auto"/>
        </w:rPr>
        <w:t xml:space="preserve"> Even if Mondelēz reaches this goal by 2025, that does not guarantee that its cocoa will be child labor-free. Failure to adhere to United Nations Sustainable Development Goal 8.7, calling for the elimination</w:t>
      </w:r>
    </w:p>
    <w:p>
      <w:pPr>
        <w:spacing w:after="0" w:line="1" w:lineRule="exact"/>
        <w:rPr>
          <w:sz w:val="20"/>
          <w:szCs w:val="20"/>
          <w:color w:val="auto"/>
        </w:rPr>
      </w:pPr>
    </w:p>
    <w:p>
      <w:pPr>
        <w:ind w:left="840" w:right="900"/>
        <w:spacing w:after="0" w:line="201" w:lineRule="auto"/>
        <w:rPr>
          <w:sz w:val="20"/>
          <w:szCs w:val="20"/>
          <w:color w:val="auto"/>
        </w:rPr>
      </w:pPr>
      <w:r>
        <w:rPr>
          <w:rFonts w:ascii="Arial" w:cs="Arial" w:eastAsia="Arial" w:hAnsi="Arial"/>
          <w:sz w:val="20"/>
          <w:szCs w:val="20"/>
          <w:color w:val="auto"/>
        </w:rPr>
        <w:t>of all child labor by 2025,</w:t>
      </w:r>
      <w:r>
        <w:rPr>
          <w:rFonts w:ascii="Arial" w:cs="Arial" w:eastAsia="Arial" w:hAnsi="Arial"/>
          <w:sz w:val="33"/>
          <w:szCs w:val="33"/>
          <w:color w:val="auto"/>
          <w:vertAlign w:val="superscript"/>
        </w:rPr>
        <w:t>9</w:t>
      </w:r>
      <w:r>
        <w:rPr>
          <w:rFonts w:ascii="Arial" w:cs="Arial" w:eastAsia="Arial" w:hAnsi="Arial"/>
          <w:sz w:val="20"/>
          <w:szCs w:val="20"/>
          <w:color w:val="auto"/>
        </w:rPr>
        <w:t xml:space="preserve"> exposes Mondelēz and its investors to significant financial, legal, and reputational risks.</w:t>
      </w:r>
    </w:p>
    <w:p>
      <w:pPr>
        <w:spacing w:after="0" w:line="135" w:lineRule="exact"/>
        <w:rPr>
          <w:sz w:val="20"/>
          <w:szCs w:val="20"/>
          <w:color w:val="auto"/>
        </w:rPr>
      </w:pPr>
    </w:p>
    <w:p>
      <w:pPr>
        <w:jc w:val="both"/>
        <w:ind w:left="840" w:right="1100"/>
        <w:spacing w:after="0" w:line="230" w:lineRule="auto"/>
        <w:rPr>
          <w:sz w:val="20"/>
          <w:szCs w:val="20"/>
          <w:color w:val="auto"/>
        </w:rPr>
      </w:pPr>
      <w:r>
        <w:rPr>
          <w:rFonts w:ascii="Arial" w:cs="Arial" w:eastAsia="Arial" w:hAnsi="Arial"/>
          <w:sz w:val="20"/>
          <w:szCs w:val="20"/>
          <w:color w:val="auto"/>
        </w:rPr>
        <w:t>Mondelēz is noticeably absent from Slave Free Chocolate’s list of companies that only use ethically grown cocoa,</w:t>
      </w:r>
      <w:r>
        <w:rPr>
          <w:rFonts w:ascii="Arial" w:cs="Arial" w:eastAsia="Arial" w:hAnsi="Arial"/>
          <w:sz w:val="33"/>
          <w:szCs w:val="33"/>
          <w:color w:val="auto"/>
          <w:vertAlign w:val="superscript"/>
        </w:rPr>
        <w:t>10</w:t>
      </w:r>
      <w:r>
        <w:rPr>
          <w:rFonts w:ascii="Arial" w:cs="Arial" w:eastAsia="Arial" w:hAnsi="Arial"/>
          <w:sz w:val="20"/>
          <w:szCs w:val="20"/>
          <w:color w:val="auto"/>
        </w:rPr>
        <w:t xml:space="preserve"> and “would not guarantee that any of their products were free of child labor” per </w:t>
      </w:r>
      <w:r>
        <w:rPr>
          <w:rFonts w:ascii="Arial" w:cs="Arial" w:eastAsia="Arial" w:hAnsi="Arial"/>
          <w:sz w:val="20"/>
          <w:szCs w:val="20"/>
          <w:i w:val="1"/>
          <w:iCs w:val="1"/>
          <w:color w:val="auto"/>
        </w:rPr>
        <w:t>The Washington</w:t>
      </w:r>
      <w:r>
        <w:rPr>
          <w:rFonts w:ascii="Arial" w:cs="Arial" w:eastAsia="Arial" w:hAnsi="Arial"/>
          <w:sz w:val="20"/>
          <w:szCs w:val="20"/>
          <w:color w:val="auto"/>
        </w:rPr>
        <w:t xml:space="preserve"> </w:t>
      </w:r>
      <w:r>
        <w:rPr>
          <w:rFonts w:ascii="Arial" w:cs="Arial" w:eastAsia="Arial" w:hAnsi="Arial"/>
          <w:sz w:val="20"/>
          <w:szCs w:val="20"/>
          <w:i w:val="1"/>
          <w:iCs w:val="1"/>
          <w:color w:val="auto"/>
        </w:rPr>
        <w:t>Post</w:t>
      </w:r>
      <w:r>
        <w:rPr>
          <w:rFonts w:ascii="Arial" w:cs="Arial" w:eastAsia="Arial" w:hAnsi="Arial"/>
          <w:sz w:val="20"/>
          <w:szCs w:val="20"/>
          <w:color w:val="auto"/>
        </w:rPr>
        <w:t>.</w:t>
      </w:r>
      <w:r>
        <w:rPr>
          <w:rFonts w:ascii="Arial" w:cs="Arial" w:eastAsia="Arial" w:hAnsi="Arial"/>
          <w:sz w:val="33"/>
          <w:szCs w:val="33"/>
          <w:color w:val="auto"/>
          <w:vertAlign w:val="superscript"/>
        </w:rPr>
        <w:t>11</w:t>
      </w:r>
    </w:p>
    <w:p>
      <w:pPr>
        <w:spacing w:after="0" w:line="5" w:lineRule="exact"/>
        <w:rPr>
          <w:sz w:val="20"/>
          <w:szCs w:val="20"/>
          <w:color w:val="auto"/>
        </w:rPr>
      </w:pPr>
    </w:p>
    <w:p>
      <w:pPr>
        <w:ind w:left="840" w:right="900"/>
        <w:spacing w:after="0" w:line="221" w:lineRule="auto"/>
        <w:rPr>
          <w:sz w:val="20"/>
          <w:szCs w:val="20"/>
          <w:color w:val="auto"/>
        </w:rPr>
      </w:pPr>
      <w:r>
        <w:rPr>
          <w:rFonts w:ascii="Arial" w:cs="Arial" w:eastAsia="Arial" w:hAnsi="Arial"/>
          <w:sz w:val="20"/>
          <w:szCs w:val="20"/>
          <w:color w:val="auto"/>
        </w:rPr>
        <w:t>Mondelēz states, “No amount of child labor in the cocoa supply chain should be acceptable.”</w:t>
      </w:r>
      <w:r>
        <w:rPr>
          <w:rFonts w:ascii="Arial" w:cs="Arial" w:eastAsia="Arial" w:hAnsi="Arial"/>
          <w:sz w:val="33"/>
          <w:szCs w:val="33"/>
          <w:color w:val="auto"/>
          <w:vertAlign w:val="superscript"/>
        </w:rPr>
        <w:t>I2</w:t>
      </w:r>
      <w:r>
        <w:rPr>
          <w:rFonts w:ascii="Arial" w:cs="Arial" w:eastAsia="Arial" w:hAnsi="Arial"/>
          <w:sz w:val="20"/>
          <w:szCs w:val="20"/>
          <w:color w:val="auto"/>
        </w:rPr>
        <w:t xml:space="preserve"> Shareholders agree, and considering that the number of exploited children in cocoa production has increased over the past twenty years, shareholders require the requested report to assure that management fulfills its fiduciary duty to protect Mondelēz and its investors from adverse risks associated with continued use of child labor within its cocoa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339090</wp:posOffset>
            </wp:positionV>
            <wp:extent cx="7143115"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48195" cy="355028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48195"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80" w:right="60" w:firstLine="6"/>
        <w:spacing w:after="0" w:line="194" w:lineRule="auto"/>
        <w:tabs>
          <w:tab w:leader="none" w:pos="292" w:val="left"/>
        </w:tabs>
        <w:numPr>
          <w:ilvl w:val="0"/>
          <w:numId w:val="112"/>
        </w:numPr>
        <w:rPr>
          <w:rFonts w:ascii="Arial" w:cs="Arial" w:eastAsia="Arial" w:hAnsi="Arial"/>
          <w:sz w:val="27"/>
          <w:szCs w:val="27"/>
          <w:color w:val="auto"/>
          <w:vertAlign w:val="superscript"/>
        </w:rPr>
      </w:pPr>
      <w:r>
        <w:rPr>
          <w:rFonts w:ascii="Arial" w:cs="Arial" w:eastAsia="Arial" w:hAnsi="Arial"/>
          <w:sz w:val="16"/>
          <w:szCs w:val="16"/>
          <w:color w:val="auto"/>
        </w:rPr>
        <w:t>https://www.norc.org/Research/Projects/Pages/assessing-progress-in-reducing-child-labor-in-cocoa-growing-areas-of-c%C3%B4te-d%E2%80%99ivoire-and-ghana.aspx;</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https://www.ilo.org/ipec/Campaignandadvocacy/Youthinaction/C182-Youth-orientated/worstforms/lang--en/index.htm</w:t>
      </w:r>
    </w:p>
    <w:p>
      <w:pPr>
        <w:spacing w:after="0" w:line="164" w:lineRule="exact"/>
        <w:rPr>
          <w:sz w:val="20"/>
          <w:szCs w:val="20"/>
          <w:color w:val="auto"/>
        </w:rPr>
      </w:pPr>
    </w:p>
    <w:p>
      <w:pPr>
        <w:ind w:left="180" w:right="2940" w:firstLine="6"/>
        <w:spacing w:after="0" w:line="208" w:lineRule="auto"/>
        <w:tabs>
          <w:tab w:leader="none" w:pos="292" w:val="left"/>
        </w:tabs>
        <w:numPr>
          <w:ilvl w:val="0"/>
          <w:numId w:val="113"/>
        </w:numPr>
        <w:rPr>
          <w:rFonts w:ascii="Arial" w:cs="Arial" w:eastAsia="Arial" w:hAnsi="Arial"/>
          <w:sz w:val="25"/>
          <w:szCs w:val="25"/>
          <w:color w:val="auto"/>
          <w:vertAlign w:val="superscript"/>
        </w:rPr>
      </w:pPr>
      <w:r>
        <w:rPr>
          <w:rFonts w:ascii="Arial" w:cs="Arial" w:eastAsia="Arial" w:hAnsi="Arial"/>
          <w:sz w:val="15"/>
          <w:szCs w:val="15"/>
          <w:color w:val="auto"/>
        </w:rPr>
        <w:t>https://www.businessinsider.com/cocoa-companies-child-labor-complicity-lawsuit-2021-2#: —:text=ln%202001%2C%20the%20companies%20signed,2005%2C%20according%20to%20the%20IRAdvocate</w:t>
      </w:r>
    </w:p>
    <w:p>
      <w:pPr>
        <w:spacing w:after="0" w:line="39" w:lineRule="exact"/>
        <w:rPr>
          <w:sz w:val="20"/>
          <w:szCs w:val="20"/>
          <w:color w:val="auto"/>
        </w:rPr>
      </w:pPr>
    </w:p>
    <w:p>
      <w:pPr>
        <w:ind w:left="300" w:hanging="114"/>
        <w:spacing w:after="0"/>
        <w:tabs>
          <w:tab w:leader="none" w:pos="300" w:val="left"/>
        </w:tabs>
        <w:numPr>
          <w:ilvl w:val="0"/>
          <w:numId w:val="114"/>
        </w:numPr>
        <w:rPr>
          <w:rFonts w:ascii="Arial" w:cs="Arial" w:eastAsia="Arial" w:hAnsi="Arial"/>
          <w:sz w:val="27"/>
          <w:szCs w:val="27"/>
          <w:color w:val="auto"/>
          <w:vertAlign w:val="superscript"/>
        </w:rPr>
      </w:pPr>
      <w:r>
        <w:rPr>
          <w:rFonts w:ascii="Arial" w:cs="Arial" w:eastAsia="Arial" w:hAnsi="Arial"/>
          <w:sz w:val="16"/>
          <w:szCs w:val="16"/>
          <w:color w:val="auto"/>
        </w:rPr>
        <w:t>https://www.dol.gov/sites/dolgov/files/ILAB/child_labor_reports/tda2021/2022-TVPRA-List-of-Goods-v3.pdf</w:t>
      </w:r>
    </w:p>
    <w:p>
      <w:pPr>
        <w:spacing w:after="0" w:line="37" w:lineRule="exact"/>
        <w:rPr>
          <w:sz w:val="20"/>
          <w:szCs w:val="20"/>
          <w:color w:val="auto"/>
        </w:rPr>
      </w:pPr>
    </w:p>
    <w:p>
      <w:pPr>
        <w:ind w:left="300" w:hanging="114"/>
        <w:spacing w:after="0"/>
        <w:tabs>
          <w:tab w:leader="none" w:pos="300" w:val="left"/>
        </w:tabs>
        <w:numPr>
          <w:ilvl w:val="0"/>
          <w:numId w:val="115"/>
        </w:numPr>
        <w:rPr>
          <w:rFonts w:ascii="Arial" w:cs="Arial" w:eastAsia="Arial" w:hAnsi="Arial"/>
          <w:sz w:val="27"/>
          <w:szCs w:val="27"/>
          <w:color w:val="auto"/>
          <w:vertAlign w:val="superscript"/>
        </w:rPr>
      </w:pPr>
      <w:r>
        <w:rPr>
          <w:rFonts w:ascii="Arial" w:cs="Arial" w:eastAsia="Arial" w:hAnsi="Arial"/>
          <w:sz w:val="16"/>
          <w:szCs w:val="16"/>
          <w:color w:val="auto"/>
        </w:rPr>
        <w:t>https://www.reuters.com/business/sustainable-business/cadbury-maker-mondelez-invest-600-mln-sustainable-cocoa-sourcing-2022-10-25/</w:t>
      </w:r>
    </w:p>
    <w:p>
      <w:pPr>
        <w:spacing w:after="0" w:line="37" w:lineRule="exact"/>
        <w:rPr>
          <w:sz w:val="20"/>
          <w:szCs w:val="20"/>
          <w:color w:val="auto"/>
        </w:rPr>
      </w:pPr>
    </w:p>
    <w:p>
      <w:pPr>
        <w:ind w:left="300" w:hanging="114"/>
        <w:spacing w:after="0"/>
        <w:tabs>
          <w:tab w:leader="none" w:pos="300" w:val="left"/>
        </w:tabs>
        <w:numPr>
          <w:ilvl w:val="0"/>
          <w:numId w:val="116"/>
        </w:numPr>
        <w:rPr>
          <w:rFonts w:ascii="Arial" w:cs="Arial" w:eastAsia="Arial" w:hAnsi="Arial"/>
          <w:sz w:val="27"/>
          <w:szCs w:val="27"/>
          <w:color w:val="auto"/>
          <w:vertAlign w:val="superscript"/>
        </w:rPr>
      </w:pPr>
      <w:r>
        <w:rPr>
          <w:rFonts w:ascii="Arial" w:cs="Arial" w:eastAsia="Arial" w:hAnsi="Arial"/>
          <w:sz w:val="16"/>
          <w:szCs w:val="16"/>
          <w:color w:val="auto"/>
        </w:rPr>
        <w:t>https://nypost.com/2022/04/04/investigation-uncovers-horrible-truth-behind-cadburys-creme-egg/</w:t>
      </w:r>
    </w:p>
    <w:p>
      <w:pPr>
        <w:spacing w:after="0" w:line="110" w:lineRule="exact"/>
        <w:rPr>
          <w:rFonts w:ascii="Arial" w:cs="Arial" w:eastAsia="Arial" w:hAnsi="Arial"/>
          <w:sz w:val="27"/>
          <w:szCs w:val="27"/>
          <w:color w:val="auto"/>
          <w:vertAlign w:val="superscript"/>
        </w:rPr>
      </w:pPr>
    </w:p>
    <w:p>
      <w:pPr>
        <w:ind w:left="180"/>
        <w:spacing w:after="0"/>
        <w:rPr>
          <w:rFonts w:ascii="Arial" w:cs="Arial" w:eastAsia="Arial" w:hAnsi="Arial"/>
          <w:sz w:val="27"/>
          <w:szCs w:val="27"/>
          <w:color w:val="auto"/>
          <w:vertAlign w:val="superscript"/>
        </w:rPr>
      </w:pPr>
      <w:r>
        <w:rPr>
          <w:rFonts w:ascii="Arial" w:cs="Arial" w:eastAsia="Arial" w:hAnsi="Arial"/>
          <w:sz w:val="26"/>
          <w:szCs w:val="26"/>
          <w:color w:val="auto"/>
          <w:vertAlign w:val="superscript"/>
        </w:rPr>
        <w:t>6</w:t>
      </w:r>
      <w:r>
        <w:rPr>
          <w:rFonts w:ascii="Arial" w:cs="Arial" w:eastAsia="Arial" w:hAnsi="Arial"/>
          <w:sz w:val="16"/>
          <w:szCs w:val="16"/>
          <w:i w:val="1"/>
          <w:iCs w:val="1"/>
          <w:color w:val="auto"/>
        </w:rPr>
        <w:t xml:space="preserve"> Id</w:t>
      </w:r>
      <w:r>
        <w:rPr>
          <w:rFonts w:ascii="Arial" w:cs="Arial" w:eastAsia="Arial" w:hAnsi="Arial"/>
          <w:sz w:val="16"/>
          <w:szCs w:val="16"/>
          <w:color w:val="auto"/>
        </w:rPr>
        <w:t>.</w:t>
      </w:r>
    </w:p>
    <w:p>
      <w:pPr>
        <w:ind w:left="300" w:hanging="114"/>
        <w:spacing w:after="0" w:line="220" w:lineRule="auto"/>
        <w:tabs>
          <w:tab w:leader="none" w:pos="300" w:val="left"/>
        </w:tabs>
        <w:numPr>
          <w:ilvl w:val="0"/>
          <w:numId w:val="117"/>
        </w:numPr>
        <w:rPr>
          <w:rFonts w:ascii="Arial" w:cs="Arial" w:eastAsia="Arial" w:hAnsi="Arial"/>
          <w:sz w:val="27"/>
          <w:szCs w:val="27"/>
          <w:color w:val="auto"/>
          <w:vertAlign w:val="superscript"/>
        </w:rPr>
      </w:pPr>
      <w:r>
        <w:rPr>
          <w:rFonts w:ascii="Arial" w:cs="Arial" w:eastAsia="Arial" w:hAnsi="Arial"/>
          <w:sz w:val="16"/>
          <w:szCs w:val="16"/>
          <w:color w:val="auto"/>
        </w:rPr>
        <w:t>https://www.cocoalife.org/progress/next-phase-of-cocoa-life</w:t>
      </w:r>
    </w:p>
    <w:p>
      <w:pPr>
        <w:spacing w:after="0" w:line="38" w:lineRule="exact"/>
        <w:rPr>
          <w:sz w:val="20"/>
          <w:szCs w:val="20"/>
          <w:color w:val="auto"/>
        </w:rPr>
      </w:pPr>
    </w:p>
    <w:p>
      <w:pPr>
        <w:ind w:left="300" w:hanging="114"/>
        <w:spacing w:after="0"/>
        <w:tabs>
          <w:tab w:leader="none" w:pos="300" w:val="left"/>
        </w:tabs>
        <w:numPr>
          <w:ilvl w:val="0"/>
          <w:numId w:val="118"/>
        </w:numPr>
        <w:rPr>
          <w:rFonts w:ascii="Arial" w:cs="Arial" w:eastAsia="Arial" w:hAnsi="Arial"/>
          <w:sz w:val="27"/>
          <w:szCs w:val="27"/>
          <w:color w:val="auto"/>
          <w:vertAlign w:val="superscript"/>
        </w:rPr>
      </w:pPr>
      <w:r>
        <w:rPr>
          <w:rFonts w:ascii="Arial" w:cs="Arial" w:eastAsia="Arial" w:hAnsi="Arial"/>
          <w:sz w:val="16"/>
          <w:szCs w:val="16"/>
          <w:color w:val="auto"/>
        </w:rPr>
        <w:t>https://www.mondelezinternational.com/Snacking-Made-Right/Reporting-and-Disclosure/Goals-and-Progress</w:t>
      </w:r>
    </w:p>
    <w:p>
      <w:pPr>
        <w:spacing w:after="0" w:line="37" w:lineRule="exact"/>
        <w:rPr>
          <w:sz w:val="20"/>
          <w:szCs w:val="20"/>
          <w:color w:val="auto"/>
        </w:rPr>
      </w:pPr>
    </w:p>
    <w:p>
      <w:pPr>
        <w:ind w:left="300" w:hanging="114"/>
        <w:spacing w:after="0"/>
        <w:tabs>
          <w:tab w:leader="none" w:pos="300" w:val="left"/>
        </w:tabs>
        <w:numPr>
          <w:ilvl w:val="0"/>
          <w:numId w:val="119"/>
        </w:numPr>
        <w:rPr>
          <w:rFonts w:ascii="Arial" w:cs="Arial" w:eastAsia="Arial" w:hAnsi="Arial"/>
          <w:sz w:val="27"/>
          <w:szCs w:val="27"/>
          <w:color w:val="auto"/>
          <w:vertAlign w:val="superscript"/>
        </w:rPr>
      </w:pPr>
      <w:r>
        <w:rPr>
          <w:rFonts w:ascii="Arial" w:cs="Arial" w:eastAsia="Arial" w:hAnsi="Arial"/>
          <w:sz w:val="16"/>
          <w:szCs w:val="16"/>
          <w:color w:val="auto"/>
        </w:rPr>
        <w:t>https://www.unodc.org/roseap/en/sustainable-development-goals.html</w:t>
      </w:r>
    </w:p>
    <w:p>
      <w:pPr>
        <w:spacing w:after="0" w:line="49" w:lineRule="exact"/>
        <w:rPr>
          <w:sz w:val="20"/>
          <w:szCs w:val="20"/>
          <w:color w:val="auto"/>
        </w:rPr>
      </w:pPr>
    </w:p>
    <w:p>
      <w:pPr>
        <w:ind w:left="380" w:hanging="194"/>
        <w:spacing w:after="0"/>
        <w:tabs>
          <w:tab w:leader="none" w:pos="380" w:val="left"/>
        </w:tabs>
        <w:numPr>
          <w:ilvl w:val="0"/>
          <w:numId w:val="120"/>
        </w:numPr>
        <w:rPr>
          <w:rFonts w:ascii="Arial" w:cs="Arial" w:eastAsia="Arial" w:hAnsi="Arial"/>
          <w:sz w:val="26"/>
          <w:szCs w:val="26"/>
          <w:color w:val="auto"/>
          <w:vertAlign w:val="superscript"/>
        </w:rPr>
      </w:pPr>
      <w:r>
        <w:rPr>
          <w:rFonts w:ascii="Arial" w:cs="Arial" w:eastAsia="Arial" w:hAnsi="Arial"/>
          <w:sz w:val="16"/>
          <w:szCs w:val="16"/>
          <w:color w:val="auto"/>
        </w:rPr>
        <w:t>https://www.slavefreechocolate.org/ethical-chocolate-companies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26"/>
          <w:szCs w:val="26"/>
          <w:color w:val="auto"/>
          <w:vertAlign w:val="superscript"/>
        </w:rPr>
        <w:t>11</w:t>
      </w:r>
      <w:r>
        <w:rPr>
          <w:rFonts w:ascii="Arial" w:cs="Arial" w:eastAsia="Arial" w:hAnsi="Arial"/>
          <w:sz w:val="16"/>
          <w:szCs w:val="16"/>
          <w:color w:val="auto"/>
        </w:rPr>
        <w:t>https://www.washingtonpost.com/graphics/2019/business/hershey-nestle-mars-chocolate-child-labor-west-africa/?utm_term-.6cb753bcb6f8</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26"/>
          <w:szCs w:val="26"/>
          <w:color w:val="auto"/>
          <w:vertAlign w:val="superscript"/>
        </w:rPr>
        <w:t>12</w:t>
      </w:r>
      <w:r>
        <w:rPr>
          <w:rFonts w:ascii="Arial" w:cs="Arial" w:eastAsia="Arial" w:hAnsi="Arial"/>
          <w:sz w:val="16"/>
          <w:szCs w:val="16"/>
          <w:color w:val="auto"/>
        </w:rPr>
        <w:t>https://www.cocoalife.org/the-program/child-labor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BOARD OF DIRECTORS’ STATEMENT IN OPPOSITION TO ITEM 7.</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 xml:space="preserve">Mondelēz International takes seriously the commitment to “Snacking Made Right.” In our annual </w:t>
      </w:r>
      <w:r>
        <w:rPr>
          <w:rFonts w:ascii="Arial" w:cs="Arial" w:eastAsia="Arial" w:hAnsi="Arial"/>
          <w:sz w:val="19"/>
          <w:szCs w:val="19"/>
          <w:i w:val="1"/>
          <w:iCs w:val="1"/>
          <w:color w:val="auto"/>
        </w:rPr>
        <w:t>Snacking Made Right</w:t>
      </w:r>
      <w:r>
        <w:rPr>
          <w:rFonts w:ascii="Arial" w:cs="Arial" w:eastAsia="Arial" w:hAnsi="Arial"/>
          <w:sz w:val="19"/>
          <w:szCs w:val="19"/>
          <w:color w:val="auto"/>
        </w:rPr>
        <w:t xml:space="preserve"> report, we transparently publish progress updates, metrics and robust performance data on our ESG priorities, including our efforts to reduce child labor in the supply chain. We also provide information about this work in our annual </w:t>
      </w:r>
      <w:r>
        <w:rPr>
          <w:rFonts w:ascii="Arial" w:cs="Arial" w:eastAsia="Arial" w:hAnsi="Arial"/>
          <w:sz w:val="19"/>
          <w:szCs w:val="19"/>
          <w:i w:val="1"/>
          <w:iCs w:val="1"/>
          <w:color w:val="auto"/>
        </w:rPr>
        <w:t>Human Rights Due Diligence &amp;</w:t>
      </w:r>
      <w:r>
        <w:rPr>
          <w:rFonts w:ascii="Arial" w:cs="Arial" w:eastAsia="Arial" w:hAnsi="Arial"/>
          <w:sz w:val="19"/>
          <w:szCs w:val="19"/>
          <w:color w:val="auto"/>
        </w:rPr>
        <w:t xml:space="preserve"> </w:t>
      </w:r>
      <w:r>
        <w:rPr>
          <w:rFonts w:ascii="Arial" w:cs="Arial" w:eastAsia="Arial" w:hAnsi="Arial"/>
          <w:sz w:val="19"/>
          <w:szCs w:val="19"/>
          <w:i w:val="1"/>
          <w:iCs w:val="1"/>
          <w:color w:val="auto"/>
        </w:rPr>
        <w:t>Modern Slavery Report</w:t>
      </w:r>
      <w:r>
        <w:rPr>
          <w:rFonts w:ascii="Arial" w:cs="Arial" w:eastAsia="Arial" w:hAnsi="Arial"/>
          <w:sz w:val="19"/>
          <w:szCs w:val="19"/>
          <w:color w:val="auto"/>
        </w:rPr>
        <w:t>. At the same time, Mondelēz International helps tackle the root causes of systemic environmental and</w:t>
      </w:r>
      <w:r>
        <w:rPr>
          <w:rFonts w:ascii="Arial" w:cs="Arial" w:eastAsia="Arial" w:hAnsi="Arial"/>
          <w:sz w:val="19"/>
          <w:szCs w:val="19"/>
          <w:i w:val="1"/>
          <w:iCs w:val="1"/>
          <w:color w:val="auto"/>
        </w:rPr>
        <w:t xml:space="preserve"> </w:t>
      </w:r>
      <w:r>
        <w:rPr>
          <w:rFonts w:ascii="Arial" w:cs="Arial" w:eastAsia="Arial" w:hAnsi="Arial"/>
          <w:sz w:val="19"/>
          <w:szCs w:val="19"/>
          <w:color w:val="auto"/>
        </w:rPr>
        <w:t>human rights challenges through both sector-wide initiatives and Cocoa Life, our signature program focused on securing a supply of more sustainable cocoa, including efforts to help prevent and combat the risk of child labor. Because our robust ESG reporting already provides significant transparency and disclosure on this issue, the additional report sought by the proposal would be unproductive and duplicative, while diverting resources from the Company’s ongoing efforts to address the core issue.</w:t>
      </w:r>
    </w:p>
    <w:p>
      <w:pPr>
        <w:spacing w:after="0" w:line="127"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b w:val="1"/>
          <w:bCs w:val="1"/>
          <w:color w:val="auto"/>
        </w:rPr>
        <w:t xml:space="preserve">Mondelēz International already publishes </w:t>
      </w:r>
      <w:r>
        <w:rPr>
          <w:rFonts w:ascii="Arial" w:cs="Arial" w:eastAsia="Arial" w:hAnsi="Arial"/>
          <w:sz w:val="20"/>
          <w:szCs w:val="20"/>
          <w:b w:val="1"/>
          <w:bCs w:val="1"/>
          <w:i w:val="1"/>
          <w:iCs w:val="1"/>
          <w:color w:val="auto"/>
        </w:rPr>
        <w:t>Snacking Made Right</w:t>
      </w:r>
      <w:r>
        <w:rPr>
          <w:rFonts w:ascii="Arial" w:cs="Arial" w:eastAsia="Arial" w:hAnsi="Arial"/>
          <w:sz w:val="20"/>
          <w:szCs w:val="20"/>
          <w:b w:val="1"/>
          <w:bCs w:val="1"/>
          <w:color w:val="auto"/>
        </w:rPr>
        <w:t xml:space="preserve">, a robust ESG report providing progress updates on our efforts to help address the systemic issue of child labor in the cocoa supply chain. </w:t>
      </w:r>
      <w:r>
        <w:rPr>
          <w:rFonts w:ascii="Arial" w:cs="Arial" w:eastAsia="Arial" w:hAnsi="Arial"/>
          <w:sz w:val="20"/>
          <w:szCs w:val="20"/>
          <w:color w:val="auto"/>
        </w:rPr>
        <w:t>This annual report provides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updates documenting the Company’s progress toward helping reduce the risk of child labor in the cocoa supply chain, including reporting against our previously announced ambition to have in place Child Labor Monitoring Remediation Systems covering 100% of our Cocoa Life communities in West Africa by 2025. In our last </w:t>
      </w:r>
      <w:r>
        <w:rPr>
          <w:rFonts w:ascii="Arial" w:cs="Arial" w:eastAsia="Arial" w:hAnsi="Arial"/>
          <w:sz w:val="20"/>
          <w:szCs w:val="20"/>
          <w:i w:val="1"/>
          <w:iCs w:val="1"/>
          <w:color w:val="auto"/>
        </w:rPr>
        <w:t>Snacking Made Right</w:t>
      </w:r>
      <w:r>
        <w:rPr>
          <w:rFonts w:ascii="Arial" w:cs="Arial" w:eastAsia="Arial" w:hAnsi="Arial"/>
          <w:sz w:val="20"/>
          <w:szCs w:val="20"/>
          <w:color w:val="auto"/>
        </w:rPr>
        <w:t xml:space="preserve"> report, we disclosed that in 2021 we had achieved about 61% coverage of Cocoa Life communities in West Africa. Despite certain monitoring challenges experienced at the height of the Covid-19 pandemic, we are on track to meet our 2025 goal. In 2022 we also published our enhanced child protection strategy on our website. These reports are easily accessible via the internet. Our next </w:t>
      </w:r>
      <w:r>
        <w:rPr>
          <w:rFonts w:ascii="Arial" w:cs="Arial" w:eastAsia="Arial" w:hAnsi="Arial"/>
          <w:sz w:val="20"/>
          <w:szCs w:val="20"/>
          <w:i w:val="1"/>
          <w:iCs w:val="1"/>
          <w:color w:val="auto"/>
        </w:rPr>
        <w:t>Snacking</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Made Right </w:t>
      </w:r>
      <w:r>
        <w:rPr>
          <w:rFonts w:ascii="Arial" w:cs="Arial" w:eastAsia="Arial" w:hAnsi="Arial"/>
          <w:sz w:val="20"/>
          <w:szCs w:val="20"/>
          <w:color w:val="auto"/>
        </w:rPr>
        <w:t>report is slated for publication in May 2023, and we expect to report that the coverage of Child Labor Monitoring</w:t>
      </w:r>
      <w:r>
        <w:rPr>
          <w:rFonts w:ascii="Arial" w:cs="Arial" w:eastAsia="Arial" w:hAnsi="Arial"/>
          <w:sz w:val="20"/>
          <w:szCs w:val="20"/>
          <w:i w:val="1"/>
          <w:iCs w:val="1"/>
          <w:color w:val="auto"/>
        </w:rPr>
        <w:t xml:space="preserve"> </w:t>
      </w:r>
      <w:r>
        <w:rPr>
          <w:rFonts w:ascii="Arial" w:cs="Arial" w:eastAsia="Arial" w:hAnsi="Arial"/>
          <w:sz w:val="20"/>
          <w:szCs w:val="20"/>
          <w:color w:val="auto"/>
        </w:rPr>
        <w:t>Remediation Systems in West Africa has continued to increase. Additional reporting would be duplicative, diverting resources from the Company’s ongoing efforts to address the core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7143115"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3" w:name="page134"/>
    <w:bookmarkEnd w:id="133"/>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line="237" w:lineRule="auto"/>
        <w:rPr>
          <w:sz w:val="20"/>
          <w:szCs w:val="20"/>
          <w:color w:val="auto"/>
        </w:rPr>
      </w:pPr>
      <w:r>
        <w:rPr>
          <w:rFonts w:ascii="Arial" w:cs="Arial" w:eastAsia="Arial" w:hAnsi="Arial"/>
          <w:sz w:val="20"/>
          <w:szCs w:val="20"/>
          <w:b w:val="1"/>
          <w:bCs w:val="1"/>
          <w:color w:val="auto"/>
        </w:rPr>
        <w:t xml:space="preserve">Mondelēz International collaborates with sector-wide efforts to help address systemic environmental and human rights challenges and improve cocoa farmer livelihoods. </w:t>
      </w:r>
      <w:r>
        <w:rPr>
          <w:rFonts w:ascii="Arial" w:cs="Arial" w:eastAsia="Arial" w:hAnsi="Arial"/>
          <w:sz w:val="20"/>
          <w:szCs w:val="20"/>
          <w:color w:val="auto"/>
        </w:rPr>
        <w:t>Underpinning our strategy is the reality that protecting children requires</w:t>
      </w:r>
      <w:r>
        <w:rPr>
          <w:rFonts w:ascii="Arial" w:cs="Arial" w:eastAsia="Arial" w:hAnsi="Arial"/>
          <w:sz w:val="20"/>
          <w:szCs w:val="20"/>
          <w:b w:val="1"/>
          <w:bCs w:val="1"/>
          <w:color w:val="auto"/>
        </w:rPr>
        <w:t xml:space="preserve"> </w:t>
      </w:r>
      <w:r>
        <w:rPr>
          <w:rFonts w:ascii="Arial" w:cs="Arial" w:eastAsia="Arial" w:hAnsi="Arial"/>
          <w:sz w:val="20"/>
          <w:szCs w:val="20"/>
          <w:color w:val="auto"/>
        </w:rPr>
        <w:t>collaboration and coordination with governments, suppliers, communities, NGO partners, peer companies and multi-sector partners. To drive long-lasting positive change for children in cocoa-growing regions, all actors along the cocoa supply chain should play their part in helping combat the systemic issues underlying child labor. Through our active membership, Mondelēz International supports the work of the World Cocoa Foundation and the International Cocoa Initiative. Additionally, we support legislative efforts aimed at enabling practical, proactive and ongoing human rights due diligence. Consequently, we welcome the European Commission’s Corporate Sustainability Due Diligence directive, which requires companies to identify and address human rights and environmental risks in their value chain.</w:t>
      </w:r>
    </w:p>
    <w:p>
      <w:pPr>
        <w:spacing w:after="0" w:line="141" w:lineRule="exact"/>
        <w:rPr>
          <w:sz w:val="20"/>
          <w:szCs w:val="20"/>
          <w:color w:val="auto"/>
        </w:rPr>
      </w:pPr>
    </w:p>
    <w:p>
      <w:pPr>
        <w:spacing w:after="0" w:line="236" w:lineRule="auto"/>
        <w:rPr>
          <w:sz w:val="20"/>
          <w:szCs w:val="20"/>
          <w:color w:val="auto"/>
        </w:rPr>
      </w:pPr>
      <w:r>
        <w:rPr>
          <w:rFonts w:ascii="Arial" w:cs="Arial" w:eastAsia="Arial" w:hAnsi="Arial"/>
          <w:sz w:val="20"/>
          <w:szCs w:val="20"/>
          <w:b w:val="1"/>
          <w:bCs w:val="1"/>
          <w:color w:val="auto"/>
        </w:rPr>
        <w:t>Mondelēz International’s expanded investment in the Cocoa Life program shows the Company’s deep commitment to securing a supply of more sustainable cocoa and tackling the root causes of systemic issues in the cocoa supply chain</w:t>
      </w:r>
      <w:r>
        <w:rPr>
          <w:rFonts w:ascii="Arial" w:cs="Arial" w:eastAsia="Arial" w:hAnsi="Arial"/>
          <w:sz w:val="20"/>
          <w:szCs w:val="20"/>
          <w:color w:val="auto"/>
        </w:rPr>
        <w:t>. We launched Cocoa Life in 2012 to help secure a supply of more sustainable cocoa, while pioneering an integrated</w:t>
      </w:r>
      <w:r>
        <w:rPr>
          <w:rFonts w:ascii="Arial" w:cs="Arial" w:eastAsia="Arial" w:hAnsi="Arial"/>
          <w:sz w:val="20"/>
          <w:szCs w:val="20"/>
          <w:b w:val="1"/>
          <w:bCs w:val="1"/>
          <w:color w:val="auto"/>
        </w:rPr>
        <w:t xml:space="preserve"> </w:t>
      </w:r>
      <w:r>
        <w:rPr>
          <w:rFonts w:ascii="Arial" w:cs="Arial" w:eastAsia="Arial" w:hAnsi="Arial"/>
          <w:sz w:val="20"/>
          <w:szCs w:val="20"/>
          <w:color w:val="auto"/>
        </w:rPr>
        <w:t>approach to help tackle the root causes of systemic issues -- farm productivity, farmer livelihoods, community development, women’s empowerment, and helping combat child labor and deforestation -- together in one program. We do not own or directly purchase from farms enrolled in the Cocoa Life program, but instead purchase cocoa from suppliers who acquire cocoa produced on these farms. Ten years on, the program has achieved critical scale, with more than 200,000 farmers participating. We also are making strong progress in helping combat deforestation in West Africa. To take Cocoa Life to the next level, we are investing a cumulative total of $1 billion in the program by 2030. Our 2030 goal is to further enhance child protection systems and improve access to quality education in Cocoa Life communities, while further increasing volume sourced from the program. Toward that end, Cocoa Life works with NGOs to mirror UNICEF’s international child protection system strengthening standards, focused on prevention, monitoring and remediation, and helping enable systemic solutions. So, although Mondelēz International did not directly sign the Harkin Engel Protocol in 2001, we have an established track record of working to address environmental and human rights issues in the cocoa supply chain.</w:t>
      </w:r>
    </w:p>
    <w:p>
      <w:pPr>
        <w:spacing w:after="0" w:line="137" w:lineRule="exact"/>
        <w:rPr>
          <w:sz w:val="20"/>
          <w:szCs w:val="20"/>
          <w:color w:val="auto"/>
        </w:rPr>
      </w:pPr>
    </w:p>
    <w:p>
      <w:pPr>
        <w:ind w:right="120"/>
        <w:spacing w:after="0"/>
        <w:rPr>
          <w:sz w:val="20"/>
          <w:szCs w:val="20"/>
          <w:color w:val="auto"/>
        </w:rPr>
      </w:pPr>
      <w:r>
        <w:rPr>
          <w:rFonts w:ascii="Arial" w:cs="Arial" w:eastAsia="Arial" w:hAnsi="Arial"/>
          <w:sz w:val="20"/>
          <w:szCs w:val="20"/>
          <w:b w:val="1"/>
          <w:bCs w:val="1"/>
          <w:i w:val="1"/>
          <w:iCs w:val="1"/>
          <w:color w:val="auto"/>
        </w:rPr>
        <w:t xml:space="preserve">Sustainability </w:t>
      </w:r>
      <w:r>
        <w:rPr>
          <w:rFonts w:ascii="Arial" w:cs="Arial" w:eastAsia="Arial" w:hAnsi="Arial"/>
          <w:sz w:val="20"/>
          <w:szCs w:val="20"/>
          <w:b w:val="1"/>
          <w:bCs w:val="1"/>
          <w:color w:val="auto"/>
        </w:rPr>
        <w:t>is a key pillar in Mondelēz International’s long-term strategy, and sourcing cocoa more sustainably is a</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 xml:space="preserve">key priority within that pillar. </w:t>
      </w:r>
      <w:r>
        <w:rPr>
          <w:rFonts w:ascii="Arial" w:cs="Arial" w:eastAsia="Arial" w:hAnsi="Arial"/>
          <w:sz w:val="20"/>
          <w:szCs w:val="20"/>
          <w:color w:val="auto"/>
        </w:rPr>
        <w:t>Recognizing the importance of helping address challenges facing our communities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planet, Mondelēz International has elevated </w:t>
      </w:r>
      <w:r>
        <w:rPr>
          <w:rFonts w:ascii="Arial" w:cs="Arial" w:eastAsia="Arial" w:hAnsi="Arial"/>
          <w:sz w:val="20"/>
          <w:szCs w:val="20"/>
          <w:i w:val="1"/>
          <w:iCs w:val="1"/>
          <w:color w:val="auto"/>
        </w:rPr>
        <w:t>Sustainability</w:t>
      </w:r>
      <w:r>
        <w:rPr>
          <w:rFonts w:ascii="Arial" w:cs="Arial" w:eastAsia="Arial" w:hAnsi="Arial"/>
          <w:sz w:val="20"/>
          <w:szCs w:val="20"/>
          <w:color w:val="auto"/>
        </w:rPr>
        <w:t xml:space="preserve"> to become the fourth pillar of our “Vision 2030” growth acceleration strategy. We aim to create long-term value for our business, shareholders and stakeholders by helping drive positive change at scale across a focused set of ESG priorities. Our expanded investments in Cocoa Life demonstrate the importance of the </w:t>
      </w:r>
      <w:r>
        <w:rPr>
          <w:rFonts w:ascii="Arial" w:cs="Arial" w:eastAsia="Arial" w:hAnsi="Arial"/>
          <w:sz w:val="20"/>
          <w:szCs w:val="20"/>
          <w:i w:val="1"/>
          <w:iCs w:val="1"/>
          <w:color w:val="auto"/>
        </w:rPr>
        <w:t xml:space="preserve">Sustainability </w:t>
      </w:r>
      <w:r>
        <w:rPr>
          <w:rFonts w:ascii="Arial" w:cs="Arial" w:eastAsia="Arial" w:hAnsi="Arial"/>
          <w:sz w:val="20"/>
          <w:szCs w:val="20"/>
          <w:color w:val="auto"/>
        </w:rPr>
        <w:t>agenda within our Company’s overall strategy.</w:t>
      </w:r>
    </w:p>
    <w:p>
      <w:pPr>
        <w:spacing w:after="0" w:line="135"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In summary, Mondelēz International is engaged in helping combat the multifaceted challenges of child labor in the cocoa supply chain on numerous fronts, and the Company already provides transparent disclosure of our progress in our annual ESG report. The additional report sought in this proposal would be duplicative, unproductive and an unnecessary diversion of Company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179705</wp:posOffset>
            </wp:positionV>
            <wp:extent cx="6307455" cy="5283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307455" cy="52832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480"/>
        <w:spacing w:after="0"/>
        <w:rPr>
          <w:sz w:val="20"/>
          <w:szCs w:val="20"/>
          <w:color w:val="auto"/>
        </w:rPr>
      </w:pPr>
      <w:r>
        <w:rPr>
          <w:rFonts w:ascii="Arial" w:cs="Arial" w:eastAsia="Arial" w:hAnsi="Arial"/>
          <w:sz w:val="20"/>
          <w:szCs w:val="20"/>
          <w:b w:val="1"/>
          <w:bCs w:val="1"/>
          <w:color w:val="FFFFFF"/>
        </w:rPr>
        <w:t>THE BOARD RECOMMENDS THAT YOU VOTE AGAINST THIS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390525</wp:posOffset>
            </wp:positionV>
            <wp:extent cx="7143115" cy="76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4" w:name="page135"/>
    <w:bookmarkEnd w:id="134"/>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320040</wp:posOffset>
            </wp:positionV>
            <wp:extent cx="6307455" cy="15455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0" w:right="740"/>
        <w:spacing w:after="0" w:line="291" w:lineRule="auto"/>
        <w:rPr>
          <w:sz w:val="20"/>
          <w:szCs w:val="20"/>
          <w:color w:val="auto"/>
        </w:rPr>
      </w:pPr>
      <w:r>
        <w:rPr>
          <w:rFonts w:ascii="Arial" w:cs="Arial" w:eastAsia="Arial" w:hAnsi="Arial"/>
          <w:sz w:val="43"/>
          <w:szCs w:val="43"/>
          <w:b w:val="1"/>
          <w:bCs w:val="1"/>
          <w:color w:val="582C83"/>
        </w:rPr>
        <w:t>OTHER MATTERS THAT MAY BE PRESENTED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right="980"/>
        <w:spacing w:after="0"/>
        <w:rPr>
          <w:sz w:val="20"/>
          <w:szCs w:val="20"/>
          <w:color w:val="auto"/>
        </w:rPr>
      </w:pPr>
      <w:r>
        <w:rPr>
          <w:rFonts w:ascii="Arial" w:cs="Arial" w:eastAsia="Arial" w:hAnsi="Arial"/>
          <w:sz w:val="20"/>
          <w:szCs w:val="20"/>
          <w:color w:val="auto"/>
        </w:rPr>
        <w:t>Other than Items 1 through 7, we do not expect any matters to be presented for action at the Annual Meeting. The requirements for shareholders to properly submit proposals and nominations at the Annual Meeting were described in the proxy statement for the 2022 Annual Meeting of Shareholders. (They are similar to those described below under “2024 Annual Meeting of Shareholders.”) The Chairman of the Annual Meeting may refuse to allow the presentation of a proposal or a nomination for the Board at the Annual Meeting if it is not properly submitted.</w:t>
      </w:r>
    </w:p>
    <w:p>
      <w:pPr>
        <w:spacing w:after="0" w:line="135" w:lineRule="exact"/>
        <w:rPr>
          <w:sz w:val="20"/>
          <w:szCs w:val="20"/>
          <w:color w:val="auto"/>
        </w:rPr>
      </w:pPr>
    </w:p>
    <w:p>
      <w:pPr>
        <w:ind w:left="660" w:right="1220"/>
        <w:spacing w:after="0" w:line="268" w:lineRule="auto"/>
        <w:rPr>
          <w:sz w:val="20"/>
          <w:szCs w:val="20"/>
          <w:color w:val="auto"/>
        </w:rPr>
      </w:pPr>
      <w:r>
        <w:rPr>
          <w:rFonts w:ascii="Arial" w:cs="Arial" w:eastAsia="Arial" w:hAnsi="Arial"/>
          <w:sz w:val="20"/>
          <w:szCs w:val="20"/>
          <w:color w:val="auto"/>
        </w:rPr>
        <w:t>If any other matters properly come before the Annual Meeting, your proxy gives authority to the designated proxies to vote on such matters in accordance with their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143115" cy="76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5" w:name="page136"/>
    <w:bookmarkEnd w:id="135"/>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311785</wp:posOffset>
            </wp:positionV>
            <wp:extent cx="6307455" cy="15455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80" w:right="940"/>
        <w:spacing w:after="0" w:line="287" w:lineRule="auto"/>
        <w:rPr>
          <w:sz w:val="20"/>
          <w:szCs w:val="20"/>
          <w:color w:val="auto"/>
        </w:rPr>
      </w:pPr>
      <w:r>
        <w:rPr>
          <w:rFonts w:ascii="Arial" w:cs="Arial" w:eastAsia="Arial" w:hAnsi="Arial"/>
          <w:sz w:val="41"/>
          <w:szCs w:val="41"/>
          <w:b w:val="1"/>
          <w:bCs w:val="1"/>
          <w:color w:val="58358F"/>
        </w:rPr>
        <w:t>FREQUENTLY ASKED QUESTIONS ABOUT THE ANNUAL MEETING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sz w:val="1"/>
          <w:szCs w:val="1"/>
          <w:color w:val="auto"/>
        </w:rPr>
        <w:drawing>
          <wp:inline distT="0" distB="0" distL="0" distR="0">
            <wp:extent cx="157480" cy="157480"/>
            <wp:effectExtent l="0" t="0" r="0"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Voting Instructions to Proxies</w:t>
      </w:r>
    </w:p>
    <w:p>
      <w:pPr>
        <w:spacing w:after="0" w:line="213" w:lineRule="exact"/>
        <w:rPr>
          <w:sz w:val="20"/>
          <w:szCs w:val="20"/>
          <w:color w:val="auto"/>
        </w:rPr>
      </w:pPr>
    </w:p>
    <w:p>
      <w:pPr>
        <w:ind w:left="660" w:right="680"/>
        <w:spacing w:after="0" w:line="239" w:lineRule="auto"/>
        <w:rPr>
          <w:sz w:val="20"/>
          <w:szCs w:val="20"/>
          <w:color w:val="auto"/>
        </w:rPr>
      </w:pPr>
      <w:r>
        <w:rPr>
          <w:rFonts w:ascii="Arial" w:cs="Arial" w:eastAsia="Arial" w:hAnsi="Arial"/>
          <w:sz w:val="20"/>
          <w:szCs w:val="20"/>
          <w:color w:val="auto"/>
        </w:rPr>
        <w:t>At the Annual Meeting, the individuals named as proxies on each shareholder’s Proxy Card will vote the shares represented by the Proxy Card FOR or AGAINST or ABSTAIN from voting with respect to each of the nominees listed in Item 1 and with respect to Items 2, 4, 5, 6 and 7 and for ONE YEAR, TWO YEARS or THREE YEARS or ABSTAIN from voting with respect to Item 3, as indicated in the shareholder’s voting instructions. If a properly executed Proxy Card does not include voting instructions, proxies will vote FOR each of the director nominees listed in Item 1, FOR Items 2 and 4, ONE YEAR with respect to Item 3 and AGAINST Items 5, 6 and 7, and in their discretion upon such other business as properly comes before the meeting.</w:t>
      </w:r>
    </w:p>
    <w:p>
      <w:pPr>
        <w:spacing w:after="0" w:line="148" w:lineRule="exact"/>
        <w:rPr>
          <w:sz w:val="20"/>
          <w:szCs w:val="20"/>
          <w:color w:val="auto"/>
        </w:rPr>
      </w:pPr>
    </w:p>
    <w:p>
      <w:pPr>
        <w:ind w:left="660"/>
        <w:spacing w:after="0"/>
        <w:rPr>
          <w:sz w:val="20"/>
          <w:szCs w:val="20"/>
          <w:color w:val="auto"/>
        </w:rPr>
      </w:pPr>
      <w:r>
        <w:rPr>
          <w:sz w:val="1"/>
          <w:szCs w:val="1"/>
          <w:color w:val="auto"/>
        </w:rPr>
        <w:drawing>
          <wp:inline distT="0" distB="0" distL="0" distR="0">
            <wp:extent cx="157480" cy="157480"/>
            <wp:effectExtent l="0" t="0" r="0" b="0"/>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Attending and Voting at the Annual Meeting</w:t>
      </w:r>
    </w:p>
    <w:p>
      <w:pPr>
        <w:spacing w:after="0" w:line="213" w:lineRule="exact"/>
        <w:rPr>
          <w:sz w:val="20"/>
          <w:szCs w:val="20"/>
          <w:color w:val="auto"/>
        </w:rPr>
      </w:pPr>
    </w:p>
    <w:p>
      <w:pPr>
        <w:ind w:left="660" w:right="900"/>
        <w:spacing w:after="0"/>
        <w:rPr>
          <w:sz w:val="20"/>
          <w:szCs w:val="20"/>
          <w:color w:val="auto"/>
        </w:rPr>
      </w:pPr>
      <w:r>
        <w:rPr>
          <w:rFonts w:ascii="Arial" w:cs="Arial" w:eastAsia="Arial" w:hAnsi="Arial"/>
          <w:sz w:val="20"/>
          <w:szCs w:val="20"/>
          <w:color w:val="auto"/>
        </w:rPr>
        <w:t xml:space="preserve">The Annual Meeting will be held virtually. All shareholders of record as of March 8, 2023, may attend, vote and submit questions during the Annual Meeting by visiting </w:t>
      </w:r>
      <w:r>
        <w:rPr>
          <w:rFonts w:ascii="Arial" w:cs="Arial" w:eastAsia="Arial" w:hAnsi="Arial"/>
          <w:sz w:val="20"/>
          <w:szCs w:val="20"/>
          <w:i w:val="1"/>
          <w:iCs w:val="1"/>
          <w:color w:val="582C83"/>
        </w:rPr>
        <w:t>www.virtualshareholdermeeting.com/MDLZ2023</w:t>
      </w:r>
      <w:r>
        <w:rPr>
          <w:rFonts w:ascii="Arial" w:cs="Arial" w:eastAsia="Arial" w:hAnsi="Arial"/>
          <w:sz w:val="20"/>
          <w:szCs w:val="20"/>
          <w:color w:val="auto"/>
        </w:rPr>
        <w:t xml:space="preserve"> and using the 16-digit control number that is shown on your Notice of Internet Availability of Proxy Materials (“Notice”), Proxy Card or VIF. If you are not a shareholder or if you are a shareholder but do not have a control number, you may access the meeting as a guest, but you will not be able to submit questions or vote. See Question 7 on page 133 for detailed voting information.</w:t>
      </w:r>
    </w:p>
    <w:p>
      <w:pPr>
        <w:spacing w:after="0" w:line="148" w:lineRule="exact"/>
        <w:rPr>
          <w:sz w:val="20"/>
          <w:szCs w:val="20"/>
          <w:color w:val="auto"/>
        </w:rPr>
      </w:pPr>
    </w:p>
    <w:p>
      <w:pPr>
        <w:ind w:left="1000" w:right="1420" w:hanging="322"/>
        <w:spacing w:after="0"/>
        <w:rPr>
          <w:sz w:val="20"/>
          <w:szCs w:val="20"/>
          <w:color w:val="auto"/>
        </w:rPr>
      </w:pPr>
      <w:r>
        <w:rPr>
          <w:sz w:val="1"/>
          <w:szCs w:val="1"/>
          <w:color w:val="auto"/>
        </w:rPr>
        <w:drawing>
          <wp:inline distT="0" distB="0" distL="0" distR="0">
            <wp:extent cx="157480" cy="157480"/>
            <wp:effectExtent l="0" t="0" r="0" b="0"/>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Getting Information and Asking Questions Before and During the Annual Meeting</w:t>
      </w:r>
    </w:p>
    <w:p>
      <w:pPr>
        <w:spacing w:after="0" w:line="154" w:lineRule="exact"/>
        <w:rPr>
          <w:sz w:val="20"/>
          <w:szCs w:val="20"/>
          <w:color w:val="auto"/>
        </w:rPr>
      </w:pPr>
    </w:p>
    <w:p>
      <w:pPr>
        <w:ind w:left="660" w:right="660"/>
        <w:spacing w:after="0" w:line="236" w:lineRule="auto"/>
        <w:rPr>
          <w:sz w:val="20"/>
          <w:szCs w:val="20"/>
          <w:color w:val="auto"/>
        </w:rPr>
      </w:pPr>
      <w:r>
        <w:rPr>
          <w:rFonts w:ascii="Arial" w:cs="Arial" w:eastAsia="Arial" w:hAnsi="Arial"/>
          <w:sz w:val="20"/>
          <w:szCs w:val="20"/>
          <w:color w:val="auto"/>
        </w:rPr>
        <w:t xml:space="preserve">On April 7, 2023 an online portal will be available to shareholders of record at </w:t>
      </w:r>
      <w:r>
        <w:rPr>
          <w:rFonts w:ascii="Arial" w:cs="Arial" w:eastAsia="Arial" w:hAnsi="Arial"/>
          <w:sz w:val="20"/>
          <w:szCs w:val="20"/>
          <w:i w:val="1"/>
          <w:iCs w:val="1"/>
          <w:color w:val="582C83"/>
        </w:rPr>
        <w:t>www.proxyvote.com</w:t>
      </w:r>
      <w:r>
        <w:rPr>
          <w:rFonts w:ascii="Arial" w:cs="Arial" w:eastAsia="Arial" w:hAnsi="Arial"/>
          <w:sz w:val="20"/>
          <w:szCs w:val="20"/>
          <w:color w:val="auto"/>
        </w:rPr>
        <w:t xml:space="preserve">, where you can view and download our Proxy Materials and 2022 Form 10-K and vote your shares. On the day of and during the Annual Meeting, you can view our agenda and meeting procedures and submit questions on </w:t>
      </w:r>
      <w:r>
        <w:rPr>
          <w:rFonts w:ascii="Arial" w:cs="Arial" w:eastAsia="Arial" w:hAnsi="Arial"/>
          <w:sz w:val="20"/>
          <w:szCs w:val="20"/>
          <w:i w:val="1"/>
          <w:iCs w:val="1"/>
          <w:color w:val="582C83"/>
        </w:rPr>
        <w:t>www.virtualshareholdermeeting.com/MDLZ2023</w:t>
      </w:r>
      <w:r>
        <w:rPr>
          <w:rFonts w:ascii="Arial" w:cs="Arial" w:eastAsia="Arial" w:hAnsi="Arial"/>
          <w:sz w:val="20"/>
          <w:szCs w:val="20"/>
          <w:color w:val="000000"/>
        </w:rPr>
        <w:t>. Shareholders who have a 16-digit control number will have an</w:t>
      </w:r>
      <w:r>
        <w:rPr>
          <w:rFonts w:ascii="Arial" w:cs="Arial" w:eastAsia="Arial" w:hAnsi="Arial"/>
          <w:sz w:val="20"/>
          <w:szCs w:val="20"/>
          <w:i w:val="1"/>
          <w:iCs w:val="1"/>
          <w:color w:val="582C83"/>
        </w:rPr>
        <w:t xml:space="preserve"> </w:t>
      </w:r>
      <w:r>
        <w:rPr>
          <w:rFonts w:ascii="Arial" w:cs="Arial" w:eastAsia="Arial" w:hAnsi="Arial"/>
          <w:sz w:val="20"/>
          <w:szCs w:val="20"/>
          <w:color w:val="000000"/>
        </w:rPr>
        <w:t>opportunity to raise questions about the items of business for the meeting. In addition, after the business portion of the Annual Meeting concludes and the meeting is adjourned, shareholders will have another opportunity to raise questions of a more general nature. We intend to answer all questions submitted during the Annual Meeting that are pertinent to the Company and the items being voted on by shareholders, as time permits and in accordance with our meeting procedures. Answers to questions not addressed during the Annual Meeting will be posted following the meeting on the investor relations section of our website. Questions and answers will be grouped by topic, and substantially similar questions will be answered only once. To promote fairness, efficiently use the Company’s resources, and address all shareholder questions, we will respond to no more than three questions from any single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43115" cy="76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6" w:name="page137"/>
    <w:bookmarkEnd w:id="136"/>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Frequently Asked Questions About the Annual Meeting and Voting</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582C83"/>
        </w:rPr>
        <w:t>1.  When and where is the Annual Meeting?</w:t>
      </w:r>
    </w:p>
    <w:p>
      <w:pPr>
        <w:spacing w:after="0" w:line="93" w:lineRule="exact"/>
        <w:rPr>
          <w:sz w:val="20"/>
          <w:szCs w:val="20"/>
          <w:color w:val="auto"/>
        </w:rPr>
      </w:pPr>
    </w:p>
    <w:p>
      <w:pPr>
        <w:ind w:right="380"/>
        <w:spacing w:after="0" w:line="244" w:lineRule="auto"/>
        <w:rPr>
          <w:sz w:val="20"/>
          <w:szCs w:val="20"/>
          <w:color w:val="auto"/>
        </w:rPr>
      </w:pPr>
      <w:r>
        <w:rPr>
          <w:rFonts w:ascii="Arial" w:cs="Arial" w:eastAsia="Arial" w:hAnsi="Arial"/>
          <w:sz w:val="20"/>
          <w:szCs w:val="20"/>
          <w:color w:val="auto"/>
        </w:rPr>
        <w:t xml:space="preserve">The Board has determined we will hold a virtual Annual Meeting conducted via webcast. We will hold the Annual Meeting at 9:00 a.m. CDT on May 17, 2023. Shareholders may attend, vote and submit questions by visiting </w:t>
      </w:r>
      <w:r>
        <w:rPr>
          <w:rFonts w:ascii="Arial" w:cs="Arial" w:eastAsia="Arial" w:hAnsi="Arial"/>
          <w:sz w:val="20"/>
          <w:szCs w:val="20"/>
          <w:i w:val="1"/>
          <w:iCs w:val="1"/>
          <w:color w:val="582C83"/>
        </w:rPr>
        <w:t xml:space="preserve">www.virtualshareholdermeeting.com/MDLZ2023 </w:t>
      </w:r>
      <w:r>
        <w:rPr>
          <w:rFonts w:ascii="Arial" w:cs="Arial" w:eastAsia="Arial" w:hAnsi="Arial"/>
          <w:sz w:val="20"/>
          <w:szCs w:val="20"/>
          <w:color w:val="000000"/>
        </w:rPr>
        <w:t>and using the 16-digit control number shown on your Notice, Proxy Card or</w:t>
      </w:r>
      <w:r>
        <w:rPr>
          <w:rFonts w:ascii="Arial" w:cs="Arial" w:eastAsia="Arial" w:hAnsi="Arial"/>
          <w:sz w:val="20"/>
          <w:szCs w:val="20"/>
          <w:i w:val="1"/>
          <w:iCs w:val="1"/>
          <w:color w:val="582C83"/>
        </w:rPr>
        <w:t xml:space="preserve"> </w:t>
      </w:r>
      <w:r>
        <w:rPr>
          <w:rFonts w:ascii="Arial" w:cs="Arial" w:eastAsia="Arial" w:hAnsi="Arial"/>
          <w:sz w:val="20"/>
          <w:szCs w:val="20"/>
          <w:color w:val="000000"/>
        </w:rPr>
        <w:t>VIF.</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582C83"/>
        </w:rPr>
        <w:t>2.  Who is entitled to vote at the Annual Meeting?</w:t>
      </w:r>
    </w:p>
    <w:p>
      <w:pPr>
        <w:spacing w:after="0" w:line="93"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The Board established March 8, 2023, as the record date (the “Record Date”) for the Annual Meeting. Each shareholder (registered or beneficial) who held shares of Common Stock at the close of business on the Record Date is entitled to receive notice of the Annual Meeting, to attend the Annual Meeting, and to vote on all matters that properly come before the Annual Meeting.</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At the close of business on the Record Date, 1,363,154,035 shares of Common Stock were outstanding and entitled to vote.</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Each share is entitled to one vote on each matter to be voted upon at the Annual Meeting.</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582C83"/>
        </w:rPr>
        <w:t>3.  Why did I receive these Proxy Materials?</w:t>
      </w:r>
    </w:p>
    <w:p>
      <w:pPr>
        <w:spacing w:after="0" w:line="93" w:lineRule="exact"/>
        <w:rPr>
          <w:sz w:val="20"/>
          <w:szCs w:val="20"/>
          <w:color w:val="auto"/>
        </w:rPr>
      </w:pPr>
    </w:p>
    <w:p>
      <w:pPr>
        <w:ind w:right="100"/>
        <w:spacing w:after="0" w:line="239" w:lineRule="auto"/>
        <w:rPr>
          <w:sz w:val="20"/>
          <w:szCs w:val="20"/>
          <w:color w:val="auto"/>
        </w:rPr>
      </w:pPr>
      <w:r>
        <w:rPr>
          <w:rFonts w:ascii="Arial" w:cs="Arial" w:eastAsia="Arial" w:hAnsi="Arial"/>
          <w:sz w:val="20"/>
          <w:szCs w:val="20"/>
          <w:color w:val="auto"/>
        </w:rPr>
        <w:t>You received these Proxy Materials because as of the Record Date, you directly or indirectly held, and had the right to vote, shares of Common Stock. In connection with the Board’s solicitation of proxies to be voted at the Annual Meeting, we are providing shareholders entitled to vote at the Annual Meeting with this Proxy Statement, the 2022 Form 10-K and a Proxy Card or VIF. We are providing your Proxy Card or VIF in the form of a paper card or a unique control number that allows you to give your proxy voting instructions online or by phone. We refer to these materials collectively as the “Proxy Materials.” These materials provide important information about Mondelēz International and describe the voting procedures and the matters to be voted on at the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582C83"/>
        </w:rPr>
        <w:t>4.  What is the difference between registered shareholders and beneficial shareholders?</w:t>
      </w:r>
    </w:p>
    <w:p>
      <w:pPr>
        <w:spacing w:after="0" w:line="93"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 xml:space="preserve">Shareholders who hold Mondelēz International stock directly with our stock registrar and transfer agent, EQ Shareowner Services, are </w:t>
      </w:r>
      <w:r>
        <w:rPr>
          <w:rFonts w:ascii="Arial" w:cs="Arial" w:eastAsia="Arial" w:hAnsi="Arial"/>
          <w:sz w:val="20"/>
          <w:szCs w:val="20"/>
          <w:i w:val="1"/>
          <w:iCs w:val="1"/>
          <w:color w:val="auto"/>
        </w:rPr>
        <w:t>registered shareholders</w:t>
      </w:r>
      <w:r>
        <w:rPr>
          <w:rFonts w:ascii="Arial" w:cs="Arial" w:eastAsia="Arial" w:hAnsi="Arial"/>
          <w:sz w:val="20"/>
          <w:szCs w:val="20"/>
          <w:color w:val="auto"/>
        </w:rPr>
        <w:t>. If you are a registered shareholder, the proxy distributors will send the Proxy Materials directly to you, and your vote instructs the proxies how to vote your shares.</w:t>
      </w:r>
    </w:p>
    <w:p>
      <w:pPr>
        <w:spacing w:after="0" w:line="126"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 xml:space="preserve">Shareholders who hold stock indirectly through an account with an institutional or other nominee holder of stock, such as a broker or bank, are referred to as </w:t>
      </w:r>
      <w:r>
        <w:rPr>
          <w:rFonts w:ascii="Arial" w:cs="Arial" w:eastAsia="Arial" w:hAnsi="Arial"/>
          <w:sz w:val="20"/>
          <w:szCs w:val="20"/>
          <w:i w:val="1"/>
          <w:iCs w:val="1"/>
          <w:color w:val="auto"/>
        </w:rPr>
        <w:t>beneficial shareholders</w:t>
      </w:r>
      <w:r>
        <w:rPr>
          <w:rFonts w:ascii="Arial" w:cs="Arial" w:eastAsia="Arial" w:hAnsi="Arial"/>
          <w:sz w:val="20"/>
          <w:szCs w:val="20"/>
          <w:color w:val="auto"/>
        </w:rPr>
        <w:t xml:space="preserve"> or shareholders “in street name.” If you are a beneficial shareholder, your broker, bank or other nominee delivers the Proxy Materials to you, and your vote instructs your nominee how to vote your shares; your nominee in turn instructs the proxies how to vote your shares.</w:t>
      </w:r>
    </w:p>
    <w:p>
      <w:pPr>
        <w:spacing w:after="0" w:line="133"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 xml:space="preserve">If you hold your shares </w:t>
      </w:r>
      <w:r>
        <w:rPr>
          <w:rFonts w:ascii="Arial" w:cs="Arial" w:eastAsia="Arial" w:hAnsi="Arial"/>
          <w:sz w:val="20"/>
          <w:szCs w:val="20"/>
          <w:i w:val="1"/>
          <w:iCs w:val="1"/>
          <w:color w:val="auto"/>
        </w:rPr>
        <w:t>beneficially in an employee benefit plan</w:t>
      </w:r>
      <w:r>
        <w:rPr>
          <w:rFonts w:ascii="Arial" w:cs="Arial" w:eastAsia="Arial" w:hAnsi="Arial"/>
          <w:sz w:val="20"/>
          <w:szCs w:val="20"/>
          <w:color w:val="auto"/>
        </w:rPr>
        <w:t>, your shares are voted by the trustee of the plan per your instructions. If you do not give instructions, your shares will be voted in accordance with the plan’s governing documents and applicable law.</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582C83"/>
        </w:rPr>
        <w:t>5.  How is Mondelēz International distributing Proxy Materials?</w:t>
      </w:r>
    </w:p>
    <w:p>
      <w:pPr>
        <w:spacing w:after="0" w:line="93"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We are furnishing Proxy Materials to our shareholders primarily via “Notice and Access” delivery. On or about April 6, 2023, we mailed to our shareholders (other than those who previously requested email or paper delivery) the Notice containing instructions on how to access the Proxy Materials electronically.</w:t>
      </w:r>
    </w:p>
    <w:p>
      <w:pPr>
        <w:spacing w:after="0" w:line="126" w:lineRule="exact"/>
        <w:rPr>
          <w:sz w:val="20"/>
          <w:szCs w:val="20"/>
          <w:color w:val="auto"/>
        </w:rPr>
      </w:pPr>
    </w:p>
    <w:p>
      <w:pPr>
        <w:spacing w:after="0" w:line="268" w:lineRule="auto"/>
        <w:rPr>
          <w:sz w:val="20"/>
          <w:szCs w:val="20"/>
          <w:color w:val="auto"/>
        </w:rPr>
      </w:pPr>
      <w:r>
        <w:rPr>
          <w:rFonts w:ascii="Arial" w:cs="Arial" w:eastAsia="Arial" w:hAnsi="Arial"/>
          <w:sz w:val="20"/>
          <w:szCs w:val="20"/>
          <w:color w:val="auto"/>
        </w:rPr>
        <w:t>If you receive the Notice by mail, you will not receive a printed copy of the Proxy Materials. Instead, the Notice instructs you how to access the Proxy Materials and vote by going to a secure website. However, if you received the Notice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143115"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7" w:name="page138"/>
    <w:bookmarkEnd w:id="137"/>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both"/>
        <w:ind w:left="1" w:right="260"/>
        <w:spacing w:after="0" w:line="250" w:lineRule="auto"/>
        <w:rPr>
          <w:sz w:val="20"/>
          <w:szCs w:val="20"/>
          <w:color w:val="auto"/>
        </w:rPr>
      </w:pPr>
      <w:r>
        <w:rPr>
          <w:rFonts w:ascii="Arial" w:cs="Arial" w:eastAsia="Arial" w:hAnsi="Arial"/>
          <w:sz w:val="20"/>
          <w:szCs w:val="20"/>
          <w:color w:val="auto"/>
        </w:rPr>
        <w:t>mail and would like to receive paper copies of the Proxy Materials in the mail on a one-time or ongoing basis, or if you would like to receive an electronic copy of the Proxy Materials by email on a one-time or ongoing basis, follow the instructions in the Notice for making such a request.</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20"/>
          <w:szCs w:val="20"/>
          <w:b w:val="1"/>
          <w:bCs w:val="1"/>
          <w:i w:val="1"/>
          <w:iCs w:val="1"/>
          <w:color w:val="auto"/>
        </w:rPr>
        <w:t>The Notice is not a Proxy Card. You cannot use it to vote your shares.</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582C83"/>
        </w:rPr>
        <w:t>6.  How may I request printed copies of the Proxy Materials?</w:t>
      </w:r>
    </w:p>
    <w:p>
      <w:pPr>
        <w:spacing w:after="0" w:line="93" w:lineRule="exact"/>
        <w:rPr>
          <w:sz w:val="20"/>
          <w:szCs w:val="20"/>
          <w:color w:val="auto"/>
        </w:rPr>
      </w:pPr>
    </w:p>
    <w:p>
      <w:pPr>
        <w:jc w:val="both"/>
        <w:ind w:left="1" w:right="80"/>
        <w:spacing w:after="0" w:line="256" w:lineRule="auto"/>
        <w:rPr>
          <w:sz w:val="20"/>
          <w:szCs w:val="20"/>
          <w:color w:val="auto"/>
        </w:rPr>
      </w:pPr>
      <w:r>
        <w:rPr>
          <w:rFonts w:ascii="Arial" w:cs="Arial" w:eastAsia="Arial" w:hAnsi="Arial"/>
          <w:sz w:val="20"/>
          <w:szCs w:val="20"/>
          <w:b w:val="1"/>
          <w:bCs w:val="1"/>
          <w:color w:val="auto"/>
        </w:rPr>
        <w:t>We will send printed, paper copies of Proxy Materials, including the 2022 Form 10-K, free of charge to any shareholder who requests copies in writing to: Investor Relations, Mondelēz International, Inc., 905 West Fulton Market, Suite 200, Chicago, Illinois 60607.</w:t>
      </w:r>
    </w:p>
    <w:p>
      <w:pPr>
        <w:spacing w:after="0" w:line="108" w:lineRule="exact"/>
        <w:rPr>
          <w:sz w:val="20"/>
          <w:szCs w:val="20"/>
          <w:color w:val="auto"/>
        </w:rPr>
      </w:pPr>
    </w:p>
    <w:p>
      <w:pPr>
        <w:ind w:left="1"/>
        <w:spacing w:after="0"/>
        <w:rPr>
          <w:sz w:val="20"/>
          <w:szCs w:val="20"/>
          <w:color w:val="auto"/>
        </w:rPr>
      </w:pPr>
      <w:r>
        <w:rPr>
          <w:rFonts w:ascii="Arial" w:cs="Arial" w:eastAsia="Arial" w:hAnsi="Arial"/>
          <w:sz w:val="20"/>
          <w:szCs w:val="20"/>
          <w:color w:val="auto"/>
        </w:rPr>
        <w:t>Shareholders may also request copies of these materials using one of the following methods:</w:t>
      </w:r>
    </w:p>
    <w:p>
      <w:pPr>
        <w:spacing w:after="0" w:line="167" w:lineRule="exact"/>
        <w:rPr>
          <w:sz w:val="20"/>
          <w:szCs w:val="20"/>
          <w:color w:val="auto"/>
        </w:rPr>
      </w:pPr>
    </w:p>
    <w:p>
      <w:pPr>
        <w:ind w:left="161" w:hanging="161"/>
        <w:spacing w:after="0"/>
        <w:tabs>
          <w:tab w:leader="none" w:pos="161" w:val="left"/>
        </w:tabs>
        <w:numPr>
          <w:ilvl w:val="0"/>
          <w:numId w:val="121"/>
        </w:numPr>
        <w:rPr>
          <w:rFonts w:ascii="Arial" w:cs="Arial" w:eastAsia="Arial" w:hAnsi="Arial"/>
          <w:sz w:val="20"/>
          <w:szCs w:val="20"/>
          <w:color w:val="582C83"/>
        </w:rPr>
      </w:pPr>
      <w:r>
        <w:rPr>
          <w:rFonts w:ascii="Arial" w:cs="Arial" w:eastAsia="Arial" w:hAnsi="Arial"/>
          <w:sz w:val="20"/>
          <w:szCs w:val="20"/>
          <w:b w:val="1"/>
          <w:bCs w:val="1"/>
          <w:color w:val="auto"/>
        </w:rPr>
        <w:t xml:space="preserve">By telephone: </w:t>
      </w:r>
      <w:r>
        <w:rPr>
          <w:rFonts w:ascii="Arial" w:cs="Arial" w:eastAsia="Arial" w:hAnsi="Arial"/>
          <w:sz w:val="20"/>
          <w:szCs w:val="20"/>
          <w:color w:val="auto"/>
        </w:rPr>
        <w:t>Call free of charge 1-800-579-1639 in the United States and Canada.</w:t>
      </w:r>
    </w:p>
    <w:p>
      <w:pPr>
        <w:spacing w:after="0" w:line="92" w:lineRule="exact"/>
        <w:rPr>
          <w:rFonts w:ascii="Arial" w:cs="Arial" w:eastAsia="Arial" w:hAnsi="Arial"/>
          <w:sz w:val="20"/>
          <w:szCs w:val="20"/>
          <w:color w:val="582C83"/>
        </w:rPr>
      </w:pPr>
    </w:p>
    <w:p>
      <w:pPr>
        <w:ind w:left="161" w:right="40" w:hanging="161"/>
        <w:spacing w:after="0" w:line="268" w:lineRule="auto"/>
        <w:tabs>
          <w:tab w:leader="none" w:pos="161" w:val="left"/>
        </w:tabs>
        <w:numPr>
          <w:ilvl w:val="0"/>
          <w:numId w:val="121"/>
        </w:numPr>
        <w:rPr>
          <w:rFonts w:ascii="Arial" w:cs="Arial" w:eastAsia="Arial" w:hAnsi="Arial"/>
          <w:sz w:val="20"/>
          <w:szCs w:val="20"/>
          <w:color w:val="582C83"/>
        </w:rPr>
      </w:pPr>
      <w:r>
        <w:rPr>
          <w:rFonts w:ascii="Arial" w:cs="Arial" w:eastAsia="Arial" w:hAnsi="Arial"/>
          <w:sz w:val="20"/>
          <w:szCs w:val="20"/>
          <w:b w:val="1"/>
          <w:bCs w:val="1"/>
          <w:color w:val="auto"/>
        </w:rPr>
        <w:t xml:space="preserve">Via the Internet: </w:t>
      </w:r>
      <w:r>
        <w:rPr>
          <w:rFonts w:ascii="Arial" w:cs="Arial" w:eastAsia="Arial" w:hAnsi="Arial"/>
          <w:sz w:val="20"/>
          <w:szCs w:val="20"/>
          <w:color w:val="auto"/>
        </w:rPr>
        <w:t>Access the Internet and go to</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582C83"/>
        </w:rPr>
        <w:t>www.proxyvote.com</w:t>
      </w:r>
      <w:r>
        <w:rPr>
          <w:rFonts w:ascii="Arial" w:cs="Arial" w:eastAsia="Arial" w:hAnsi="Arial"/>
          <w:sz w:val="20"/>
          <w:szCs w:val="20"/>
          <w:b w:val="1"/>
          <w:bCs w:val="1"/>
          <w:color w:val="auto"/>
        </w:rPr>
        <w:t xml:space="preserve"> </w:t>
      </w:r>
      <w:r>
        <w:rPr>
          <w:rFonts w:ascii="Arial" w:cs="Arial" w:eastAsia="Arial" w:hAnsi="Arial"/>
          <w:sz w:val="20"/>
          <w:szCs w:val="20"/>
          <w:color w:val="auto"/>
        </w:rPr>
        <w:t>and follow the instructions to log in and order copies. You</w:t>
      </w:r>
      <w:r>
        <w:rPr>
          <w:rFonts w:ascii="Arial" w:cs="Arial" w:eastAsia="Arial" w:hAnsi="Arial"/>
          <w:sz w:val="20"/>
          <w:szCs w:val="20"/>
          <w:b w:val="1"/>
          <w:bCs w:val="1"/>
          <w:color w:val="auto"/>
        </w:rPr>
        <w:t xml:space="preserve"> </w:t>
      </w:r>
      <w:r>
        <w:rPr>
          <w:rFonts w:ascii="Arial" w:cs="Arial" w:eastAsia="Arial" w:hAnsi="Arial"/>
          <w:sz w:val="20"/>
          <w:szCs w:val="20"/>
          <w:color w:val="auto"/>
        </w:rPr>
        <w:t>can select from the following:</w:t>
      </w:r>
    </w:p>
    <w:p>
      <w:pPr>
        <w:spacing w:after="0" w:line="45" w:lineRule="exact"/>
        <w:rPr>
          <w:rFonts w:ascii="Arial" w:cs="Arial" w:eastAsia="Arial" w:hAnsi="Arial"/>
          <w:sz w:val="20"/>
          <w:szCs w:val="20"/>
          <w:color w:val="582C83"/>
        </w:rPr>
      </w:pPr>
    </w:p>
    <w:p>
      <w:pPr>
        <w:ind w:left="81"/>
        <w:spacing w:after="0"/>
        <w:rPr>
          <w:rFonts w:ascii="Arial" w:cs="Arial" w:eastAsia="Arial" w:hAnsi="Arial"/>
          <w:sz w:val="20"/>
          <w:szCs w:val="20"/>
          <w:color w:val="582C83"/>
        </w:rPr>
      </w:pPr>
      <w:r>
        <w:rPr>
          <w:rFonts w:ascii="Arial" w:cs="Arial" w:eastAsia="Arial" w:hAnsi="Arial"/>
          <w:sz w:val="16"/>
          <w:szCs w:val="16"/>
          <w:color w:val="582C83"/>
        </w:rPr>
        <w:t xml:space="preserve">— </w:t>
      </w:r>
      <w:r>
        <w:rPr>
          <w:rFonts w:ascii="Arial" w:cs="Arial" w:eastAsia="Arial" w:hAnsi="Arial"/>
          <w:sz w:val="16"/>
          <w:szCs w:val="16"/>
          <w:color w:val="000000"/>
        </w:rPr>
        <w:t>your preference to receive (a) printed materials via mail or (b) an e-mail with links to the electronic materials; and</w:t>
      </w:r>
    </w:p>
    <w:p>
      <w:pPr>
        <w:spacing w:after="0" w:line="101" w:lineRule="exact"/>
        <w:rPr>
          <w:rFonts w:ascii="Arial" w:cs="Arial" w:eastAsia="Arial" w:hAnsi="Arial"/>
          <w:sz w:val="20"/>
          <w:szCs w:val="20"/>
          <w:color w:val="582C83"/>
        </w:rPr>
      </w:pPr>
    </w:p>
    <w:p>
      <w:pPr>
        <w:ind w:left="81"/>
        <w:spacing w:after="0"/>
        <w:rPr>
          <w:rFonts w:ascii="Arial" w:cs="Arial" w:eastAsia="Arial" w:hAnsi="Arial"/>
          <w:sz w:val="20"/>
          <w:szCs w:val="20"/>
          <w:color w:val="582C83"/>
        </w:rPr>
      </w:pPr>
      <w:r>
        <w:rPr>
          <w:rFonts w:ascii="Arial" w:cs="Arial" w:eastAsia="Arial" w:hAnsi="Arial"/>
          <w:sz w:val="16"/>
          <w:szCs w:val="16"/>
          <w:color w:val="582C83"/>
        </w:rPr>
        <w:t xml:space="preserve">— </w:t>
      </w:r>
      <w:r>
        <w:rPr>
          <w:rFonts w:ascii="Arial" w:cs="Arial" w:eastAsia="Arial" w:hAnsi="Arial"/>
          <w:sz w:val="16"/>
          <w:szCs w:val="16"/>
          <w:color w:val="000000"/>
        </w:rPr>
        <w:t>if you would like your election to apply to the delivery of materials for all future meetings.</w:t>
      </w:r>
    </w:p>
    <w:p>
      <w:pPr>
        <w:spacing w:after="0" w:line="88" w:lineRule="exact"/>
        <w:rPr>
          <w:rFonts w:ascii="Arial" w:cs="Arial" w:eastAsia="Arial" w:hAnsi="Arial"/>
          <w:sz w:val="20"/>
          <w:szCs w:val="20"/>
          <w:color w:val="582C83"/>
        </w:rPr>
      </w:pPr>
    </w:p>
    <w:p>
      <w:pPr>
        <w:ind w:left="161" w:right="460" w:hanging="161"/>
        <w:spacing w:after="0" w:line="268" w:lineRule="auto"/>
        <w:tabs>
          <w:tab w:leader="none" w:pos="161" w:val="left"/>
        </w:tabs>
        <w:numPr>
          <w:ilvl w:val="0"/>
          <w:numId w:val="121"/>
        </w:numPr>
        <w:rPr>
          <w:rFonts w:ascii="Arial" w:cs="Arial" w:eastAsia="Arial" w:hAnsi="Arial"/>
          <w:sz w:val="20"/>
          <w:szCs w:val="20"/>
          <w:color w:val="582C83"/>
        </w:rPr>
      </w:pPr>
      <w:r>
        <w:rPr>
          <w:rFonts w:ascii="Arial" w:cs="Arial" w:eastAsia="Arial" w:hAnsi="Arial"/>
          <w:sz w:val="20"/>
          <w:szCs w:val="20"/>
          <w:b w:val="1"/>
          <w:bCs w:val="1"/>
          <w:color w:val="auto"/>
        </w:rPr>
        <w:t xml:space="preserve">Via e-mail: </w:t>
      </w:r>
      <w:r>
        <w:rPr>
          <w:rFonts w:ascii="Arial" w:cs="Arial" w:eastAsia="Arial" w:hAnsi="Arial"/>
          <w:sz w:val="20"/>
          <w:szCs w:val="20"/>
          <w:color w:val="auto"/>
        </w:rPr>
        <w:t>Please send a blank e-mail to</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582C83"/>
        </w:rPr>
        <w:t>sendmaterial@proxyvote.com</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control number that is printed in the box</w:t>
      </w:r>
      <w:r>
        <w:rPr>
          <w:rFonts w:ascii="Arial" w:cs="Arial" w:eastAsia="Arial" w:hAnsi="Arial"/>
          <w:sz w:val="20"/>
          <w:szCs w:val="20"/>
          <w:b w:val="1"/>
          <w:bCs w:val="1"/>
          <w:color w:val="auto"/>
        </w:rPr>
        <w:t xml:space="preserve"> </w:t>
      </w:r>
      <w:r>
        <w:rPr>
          <w:rFonts w:ascii="Arial" w:cs="Arial" w:eastAsia="Arial" w:hAnsi="Arial"/>
          <w:sz w:val="20"/>
          <w:szCs w:val="20"/>
          <w:color w:val="auto"/>
        </w:rPr>
        <w:t>marked by the arrow in the subject line.</w:t>
      </w:r>
    </w:p>
    <w:p>
      <w:pPr>
        <w:spacing w:after="0" w:line="10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 xml:space="preserve">These materials are also available at </w:t>
      </w:r>
      <w:r>
        <w:rPr>
          <w:rFonts w:ascii="Arial" w:cs="Arial" w:eastAsia="Arial" w:hAnsi="Arial"/>
          <w:sz w:val="20"/>
          <w:szCs w:val="20"/>
          <w:b w:val="1"/>
          <w:bCs w:val="1"/>
          <w:i w:val="1"/>
          <w:iCs w:val="1"/>
          <w:color w:val="auto"/>
        </w:rPr>
        <w:t>http://materials.proxyvote.com/609207</w:t>
      </w:r>
      <w:r>
        <w:rPr>
          <w:rFonts w:ascii="Arial" w:cs="Arial" w:eastAsia="Arial" w:hAnsi="Arial"/>
          <w:sz w:val="20"/>
          <w:szCs w:val="20"/>
          <w:color w:val="auto"/>
        </w:rPr>
        <w:t>.</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582C83"/>
        </w:rPr>
        <w:t>7.  How do I vote my shares?</w:t>
      </w:r>
    </w:p>
    <w:p>
      <w:pPr>
        <w:spacing w:after="0" w:line="93" w:lineRule="exact"/>
        <w:rPr>
          <w:sz w:val="20"/>
          <w:szCs w:val="20"/>
          <w:color w:val="auto"/>
        </w:rPr>
      </w:pPr>
    </w:p>
    <w:p>
      <w:pPr>
        <w:ind w:left="1"/>
        <w:spacing w:after="0"/>
        <w:rPr>
          <w:sz w:val="20"/>
          <w:szCs w:val="20"/>
          <w:color w:val="auto"/>
        </w:rPr>
      </w:pPr>
      <w:r>
        <w:rPr>
          <w:rFonts w:ascii="Arial" w:cs="Arial" w:eastAsia="Arial" w:hAnsi="Arial"/>
          <w:sz w:val="20"/>
          <w:szCs w:val="20"/>
          <w:color w:val="auto"/>
        </w:rPr>
        <w:t xml:space="preserve">If you are a </w:t>
      </w:r>
      <w:r>
        <w:rPr>
          <w:rFonts w:ascii="Arial" w:cs="Arial" w:eastAsia="Arial" w:hAnsi="Arial"/>
          <w:sz w:val="20"/>
          <w:szCs w:val="20"/>
          <w:i w:val="1"/>
          <w:iCs w:val="1"/>
          <w:color w:val="auto"/>
        </w:rPr>
        <w:t>registered shareholder</w:t>
      </w:r>
      <w:r>
        <w:rPr>
          <w:rFonts w:ascii="Arial" w:cs="Arial" w:eastAsia="Arial" w:hAnsi="Arial"/>
          <w:sz w:val="20"/>
          <w:szCs w:val="20"/>
          <w:color w:val="auto"/>
        </w:rPr>
        <w:t>, you may vote any of these four ways:</w:t>
      </w:r>
    </w:p>
    <w:p>
      <w:pPr>
        <w:spacing w:after="0" w:line="167" w:lineRule="exact"/>
        <w:rPr>
          <w:sz w:val="20"/>
          <w:szCs w:val="20"/>
          <w:color w:val="auto"/>
        </w:rPr>
      </w:pPr>
    </w:p>
    <w:p>
      <w:pPr>
        <w:ind w:left="161" w:right="180" w:hanging="161"/>
        <w:spacing w:after="0" w:line="268" w:lineRule="auto"/>
        <w:tabs>
          <w:tab w:leader="none" w:pos="161" w:val="left"/>
        </w:tabs>
        <w:numPr>
          <w:ilvl w:val="0"/>
          <w:numId w:val="122"/>
        </w:numPr>
        <w:rPr>
          <w:rFonts w:ascii="Arial" w:cs="Arial" w:eastAsia="Arial" w:hAnsi="Arial"/>
          <w:sz w:val="20"/>
          <w:szCs w:val="20"/>
          <w:color w:val="582C83"/>
        </w:rPr>
      </w:pPr>
      <w:r>
        <w:rPr>
          <w:rFonts w:ascii="Arial" w:cs="Arial" w:eastAsia="Arial" w:hAnsi="Arial"/>
          <w:sz w:val="20"/>
          <w:szCs w:val="20"/>
          <w:color w:val="auto"/>
        </w:rPr>
        <w:t xml:space="preserve">online before the Annual Meeting at </w:t>
      </w:r>
      <w:r>
        <w:rPr>
          <w:rFonts w:ascii="Arial" w:cs="Arial" w:eastAsia="Arial" w:hAnsi="Arial"/>
          <w:sz w:val="20"/>
          <w:szCs w:val="20"/>
          <w:i w:val="1"/>
          <w:iCs w:val="1"/>
          <w:color w:val="582C83"/>
        </w:rPr>
        <w:t>www.proxyvote.com</w:t>
      </w:r>
      <w:r>
        <w:rPr>
          <w:rFonts w:ascii="Arial" w:cs="Arial" w:eastAsia="Arial" w:hAnsi="Arial"/>
          <w:sz w:val="20"/>
          <w:szCs w:val="20"/>
          <w:color w:val="auto"/>
        </w:rPr>
        <w:t xml:space="preserve"> or scan the QR barcode provided (control number is required). The Internet voting system will be available 24 hours a day until 11:59 p.m. EDT on May 16, 2023;</w:t>
      </w:r>
    </w:p>
    <w:p>
      <w:pPr>
        <w:spacing w:after="0" w:line="32" w:lineRule="exact"/>
        <w:rPr>
          <w:rFonts w:ascii="Arial" w:cs="Arial" w:eastAsia="Arial" w:hAnsi="Arial"/>
          <w:sz w:val="20"/>
          <w:szCs w:val="20"/>
          <w:color w:val="582C83"/>
        </w:rPr>
      </w:pPr>
    </w:p>
    <w:p>
      <w:pPr>
        <w:ind w:left="161" w:right="660" w:hanging="161"/>
        <w:spacing w:after="0" w:line="268" w:lineRule="auto"/>
        <w:tabs>
          <w:tab w:leader="none" w:pos="161" w:val="left"/>
        </w:tabs>
        <w:numPr>
          <w:ilvl w:val="0"/>
          <w:numId w:val="122"/>
        </w:numPr>
        <w:rPr>
          <w:rFonts w:ascii="Arial" w:cs="Arial" w:eastAsia="Arial" w:hAnsi="Arial"/>
          <w:sz w:val="20"/>
          <w:szCs w:val="20"/>
          <w:color w:val="582C83"/>
        </w:rPr>
      </w:pPr>
      <w:r>
        <w:rPr>
          <w:rFonts w:ascii="Arial" w:cs="Arial" w:eastAsia="Arial" w:hAnsi="Arial"/>
          <w:sz w:val="20"/>
          <w:szCs w:val="20"/>
          <w:color w:val="auto"/>
        </w:rPr>
        <w:t>by telephone, if you are located within the United States and Canada. Call 1-800-690-6903 (toll-free) from a touch-tone telephone. The telephone voting system will be available 24 hours a day until 11:59 p.m. EDT on May 16, 2023;</w:t>
      </w:r>
    </w:p>
    <w:p>
      <w:pPr>
        <w:spacing w:after="0" w:line="32" w:lineRule="exact"/>
        <w:rPr>
          <w:rFonts w:ascii="Arial" w:cs="Arial" w:eastAsia="Arial" w:hAnsi="Arial"/>
          <w:sz w:val="20"/>
          <w:szCs w:val="20"/>
          <w:color w:val="582C83"/>
        </w:rPr>
      </w:pPr>
    </w:p>
    <w:p>
      <w:pPr>
        <w:ind w:left="161" w:right="180" w:hanging="161"/>
        <w:spacing w:after="0" w:line="268" w:lineRule="auto"/>
        <w:tabs>
          <w:tab w:leader="none" w:pos="161" w:val="left"/>
        </w:tabs>
        <w:numPr>
          <w:ilvl w:val="0"/>
          <w:numId w:val="122"/>
        </w:numPr>
        <w:rPr>
          <w:rFonts w:ascii="Arial" w:cs="Arial" w:eastAsia="Arial" w:hAnsi="Arial"/>
          <w:sz w:val="20"/>
          <w:szCs w:val="20"/>
          <w:color w:val="582C83"/>
        </w:rPr>
      </w:pPr>
      <w:r>
        <w:rPr>
          <w:rFonts w:ascii="Arial" w:cs="Arial" w:eastAsia="Arial" w:hAnsi="Arial"/>
          <w:sz w:val="20"/>
          <w:szCs w:val="20"/>
          <w:color w:val="auto"/>
        </w:rPr>
        <w:t>by returning a properly executed Proxy Card. We must receive your Proxy Card before the polls close at the Annual Meeting on May 17, 2023; or</w:t>
      </w:r>
    </w:p>
    <w:p>
      <w:pPr>
        <w:spacing w:after="0" w:line="32" w:lineRule="exact"/>
        <w:rPr>
          <w:rFonts w:ascii="Arial" w:cs="Arial" w:eastAsia="Arial" w:hAnsi="Arial"/>
          <w:sz w:val="20"/>
          <w:szCs w:val="20"/>
          <w:color w:val="582C83"/>
        </w:rPr>
      </w:pPr>
    </w:p>
    <w:p>
      <w:pPr>
        <w:ind w:left="161" w:right="40" w:hanging="161"/>
        <w:spacing w:after="0" w:line="294" w:lineRule="auto"/>
        <w:tabs>
          <w:tab w:leader="none" w:pos="161" w:val="left"/>
        </w:tabs>
        <w:numPr>
          <w:ilvl w:val="0"/>
          <w:numId w:val="122"/>
        </w:numPr>
        <w:rPr>
          <w:rFonts w:ascii="Arial" w:cs="Arial" w:eastAsia="Arial" w:hAnsi="Arial"/>
          <w:sz w:val="19"/>
          <w:szCs w:val="19"/>
          <w:color w:val="582C83"/>
        </w:rPr>
      </w:pPr>
      <w:r>
        <w:rPr>
          <w:rFonts w:ascii="Arial" w:cs="Arial" w:eastAsia="Arial" w:hAnsi="Arial"/>
          <w:sz w:val="19"/>
          <w:szCs w:val="19"/>
          <w:color w:val="auto"/>
        </w:rPr>
        <w:t xml:space="preserve">online during the Annual Meeting through the online portal hosting the virtual Annual Meeting. Please log in to </w:t>
      </w:r>
      <w:r>
        <w:rPr>
          <w:rFonts w:ascii="Arial" w:cs="Arial" w:eastAsia="Arial" w:hAnsi="Arial"/>
          <w:sz w:val="19"/>
          <w:szCs w:val="19"/>
          <w:i w:val="1"/>
          <w:iCs w:val="1"/>
          <w:color w:val="582C83"/>
        </w:rPr>
        <w:t xml:space="preserve">www.virtualshareholdermeeting.com/MDLZ2023 </w:t>
      </w:r>
      <w:r>
        <w:rPr>
          <w:rFonts w:ascii="Arial" w:cs="Arial" w:eastAsia="Arial" w:hAnsi="Arial"/>
          <w:sz w:val="19"/>
          <w:szCs w:val="19"/>
          <w:color w:val="000000"/>
        </w:rPr>
        <w:t>using the 16-digit control number that is shown on your Notice or Proxy</w:t>
      </w:r>
      <w:r>
        <w:rPr>
          <w:rFonts w:ascii="Times New Roman" w:cs="Times New Roman" w:eastAsia="Times New Roman" w:hAnsi="Times New Roman"/>
          <w:sz w:val="19"/>
          <w:szCs w:val="19"/>
          <w:color w:val="000000"/>
        </w:rPr>
        <w:t> </w:t>
      </w:r>
      <w:r>
        <w:rPr>
          <w:rFonts w:ascii="Arial" w:cs="Arial" w:eastAsia="Arial" w:hAnsi="Arial"/>
          <w:sz w:val="19"/>
          <w:szCs w:val="19"/>
          <w:color w:val="000000"/>
        </w:rPr>
        <w:t>Card.</w:t>
      </w:r>
    </w:p>
    <w:p>
      <w:pPr>
        <w:spacing w:after="0" w:line="85" w:lineRule="exact"/>
        <w:rPr>
          <w:sz w:val="20"/>
          <w:szCs w:val="20"/>
          <w:color w:val="auto"/>
        </w:rPr>
      </w:pPr>
    </w:p>
    <w:p>
      <w:pPr>
        <w:ind w:left="1"/>
        <w:spacing w:after="0"/>
        <w:rPr>
          <w:sz w:val="20"/>
          <w:szCs w:val="20"/>
          <w:color w:val="auto"/>
        </w:rPr>
      </w:pPr>
      <w:r>
        <w:rPr>
          <w:rFonts w:ascii="Arial" w:cs="Arial" w:eastAsia="Arial" w:hAnsi="Arial"/>
          <w:sz w:val="20"/>
          <w:szCs w:val="20"/>
          <w:color w:val="auto"/>
        </w:rPr>
        <w:t xml:space="preserve">If you are a </w:t>
      </w:r>
      <w:r>
        <w:rPr>
          <w:rFonts w:ascii="Arial" w:cs="Arial" w:eastAsia="Arial" w:hAnsi="Arial"/>
          <w:sz w:val="20"/>
          <w:szCs w:val="20"/>
          <w:i w:val="1"/>
          <w:iCs w:val="1"/>
          <w:color w:val="auto"/>
        </w:rPr>
        <w:t>beneficial shareholder</w:t>
      </w:r>
      <w:r>
        <w:rPr>
          <w:rFonts w:ascii="Arial" w:cs="Arial" w:eastAsia="Arial" w:hAnsi="Arial"/>
          <w:sz w:val="20"/>
          <w:szCs w:val="20"/>
          <w:color w:val="auto"/>
        </w:rPr>
        <w:t>, you may vote any of these four ways:</w:t>
      </w:r>
    </w:p>
    <w:p>
      <w:pPr>
        <w:spacing w:after="0" w:line="167" w:lineRule="exact"/>
        <w:rPr>
          <w:sz w:val="20"/>
          <w:szCs w:val="20"/>
          <w:color w:val="auto"/>
        </w:rPr>
      </w:pPr>
    </w:p>
    <w:p>
      <w:pPr>
        <w:ind w:left="161" w:right="180" w:hanging="161"/>
        <w:spacing w:after="0" w:line="250" w:lineRule="auto"/>
        <w:tabs>
          <w:tab w:leader="none" w:pos="161" w:val="left"/>
        </w:tabs>
        <w:numPr>
          <w:ilvl w:val="0"/>
          <w:numId w:val="123"/>
        </w:numPr>
        <w:rPr>
          <w:rFonts w:ascii="Arial" w:cs="Arial" w:eastAsia="Arial" w:hAnsi="Arial"/>
          <w:sz w:val="20"/>
          <w:szCs w:val="20"/>
          <w:color w:val="582C83"/>
        </w:rPr>
      </w:pPr>
      <w:r>
        <w:rPr>
          <w:rFonts w:ascii="Arial" w:cs="Arial" w:eastAsia="Arial" w:hAnsi="Arial"/>
          <w:sz w:val="20"/>
          <w:szCs w:val="20"/>
          <w:color w:val="auto"/>
        </w:rPr>
        <w:t xml:space="preserve">online before the Annual Meeting at </w:t>
      </w:r>
      <w:r>
        <w:rPr>
          <w:rFonts w:ascii="Arial" w:cs="Arial" w:eastAsia="Arial" w:hAnsi="Arial"/>
          <w:sz w:val="20"/>
          <w:szCs w:val="20"/>
          <w:i w:val="1"/>
          <w:iCs w:val="1"/>
          <w:color w:val="582C83"/>
        </w:rPr>
        <w:t>www.proxyvote.com</w:t>
      </w:r>
      <w:r>
        <w:rPr>
          <w:rFonts w:ascii="Arial" w:cs="Arial" w:eastAsia="Arial" w:hAnsi="Arial"/>
          <w:sz w:val="20"/>
          <w:szCs w:val="20"/>
          <w:color w:val="auto"/>
        </w:rPr>
        <w:t xml:space="preserve"> or scan the QR barcode provided (control number is required). The Internet voting system will be available 24 hours a day until 11:59 p.m. EDT on May 16, 2023 (May 12, 2023 for plan participants);</w:t>
      </w:r>
    </w:p>
    <w:p>
      <w:pPr>
        <w:spacing w:after="0" w:line="51" w:lineRule="exact"/>
        <w:rPr>
          <w:rFonts w:ascii="Arial" w:cs="Arial" w:eastAsia="Arial" w:hAnsi="Arial"/>
          <w:sz w:val="20"/>
          <w:szCs w:val="20"/>
          <w:color w:val="582C83"/>
        </w:rPr>
      </w:pPr>
    </w:p>
    <w:p>
      <w:pPr>
        <w:ind w:left="161" w:right="80" w:hanging="161"/>
        <w:spacing w:after="0" w:line="268" w:lineRule="auto"/>
        <w:tabs>
          <w:tab w:leader="none" w:pos="161" w:val="left"/>
        </w:tabs>
        <w:numPr>
          <w:ilvl w:val="0"/>
          <w:numId w:val="123"/>
        </w:numPr>
        <w:rPr>
          <w:rFonts w:ascii="Arial" w:cs="Arial" w:eastAsia="Arial" w:hAnsi="Arial"/>
          <w:sz w:val="20"/>
          <w:szCs w:val="20"/>
          <w:color w:val="582C83"/>
        </w:rPr>
      </w:pPr>
      <w:r>
        <w:rPr>
          <w:rFonts w:ascii="Arial" w:cs="Arial" w:eastAsia="Arial" w:hAnsi="Arial"/>
          <w:sz w:val="20"/>
          <w:szCs w:val="20"/>
          <w:color w:val="auto"/>
        </w:rPr>
        <w:t>by telephone, if you are located within the United States and Canada call 1-800-454-8683 (toll-free) or by the “vote-by-phone” number indicated on your VIF as instructed by your bank or broker;</w:t>
      </w:r>
    </w:p>
    <w:p>
      <w:pPr>
        <w:spacing w:after="0" w:line="32" w:lineRule="exact"/>
        <w:rPr>
          <w:rFonts w:ascii="Arial" w:cs="Arial" w:eastAsia="Arial" w:hAnsi="Arial"/>
          <w:sz w:val="20"/>
          <w:szCs w:val="20"/>
          <w:color w:val="582C83"/>
        </w:rPr>
      </w:pPr>
    </w:p>
    <w:p>
      <w:pPr>
        <w:ind w:left="161" w:hanging="161"/>
        <w:spacing w:after="0"/>
        <w:tabs>
          <w:tab w:leader="none" w:pos="161" w:val="left"/>
        </w:tabs>
        <w:numPr>
          <w:ilvl w:val="0"/>
          <w:numId w:val="123"/>
        </w:numPr>
        <w:rPr>
          <w:rFonts w:ascii="Arial" w:cs="Arial" w:eastAsia="Arial" w:hAnsi="Arial"/>
          <w:sz w:val="20"/>
          <w:szCs w:val="20"/>
          <w:color w:val="582C83"/>
        </w:rPr>
      </w:pPr>
      <w:r>
        <w:rPr>
          <w:rFonts w:ascii="Arial" w:cs="Arial" w:eastAsia="Arial" w:hAnsi="Arial"/>
          <w:sz w:val="20"/>
          <w:szCs w:val="20"/>
          <w:color w:val="auto"/>
        </w:rPr>
        <w:t>by returning a properly executed VIF by mail specified by your broker, bank or other nominee;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7143115"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138" w:name="page139"/>
    <w:bookmarkEnd w:id="138"/>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61" w:right="260" w:hanging="161"/>
        <w:spacing w:after="0" w:line="250" w:lineRule="auto"/>
        <w:tabs>
          <w:tab w:leader="none" w:pos="161" w:val="left"/>
        </w:tabs>
        <w:numPr>
          <w:ilvl w:val="0"/>
          <w:numId w:val="124"/>
        </w:numPr>
        <w:rPr>
          <w:rFonts w:ascii="Arial" w:cs="Arial" w:eastAsia="Arial" w:hAnsi="Arial"/>
          <w:sz w:val="20"/>
          <w:szCs w:val="20"/>
          <w:color w:val="582C83"/>
        </w:rPr>
      </w:pPr>
      <w:r>
        <w:rPr>
          <w:rFonts w:ascii="Arial" w:cs="Arial" w:eastAsia="Arial" w:hAnsi="Arial"/>
          <w:sz w:val="20"/>
          <w:szCs w:val="20"/>
          <w:color w:val="auto"/>
        </w:rPr>
        <w:t xml:space="preserve">online during the Annual Meeting through the online portal hosting the virtual Annual Meeting. Please log in to </w:t>
      </w:r>
      <w:r>
        <w:rPr>
          <w:rFonts w:ascii="Arial" w:cs="Arial" w:eastAsia="Arial" w:hAnsi="Arial"/>
          <w:sz w:val="20"/>
          <w:szCs w:val="20"/>
          <w:i w:val="1"/>
          <w:iCs w:val="1"/>
          <w:color w:val="582C83"/>
        </w:rPr>
        <w:t xml:space="preserve">www.virtualshareholdermeeting.com/MDLZ2023 </w:t>
      </w:r>
      <w:r>
        <w:rPr>
          <w:rFonts w:ascii="Arial" w:cs="Arial" w:eastAsia="Arial" w:hAnsi="Arial"/>
          <w:sz w:val="20"/>
          <w:szCs w:val="20"/>
          <w:color w:val="000000"/>
        </w:rPr>
        <w:t>using the 16-digit control number that is shown on your Notice, your VIF or</w:t>
      </w:r>
      <w:r>
        <w:rPr>
          <w:rFonts w:ascii="Arial" w:cs="Arial" w:eastAsia="Arial" w:hAnsi="Arial"/>
          <w:sz w:val="20"/>
          <w:szCs w:val="20"/>
          <w:i w:val="1"/>
          <w:iCs w:val="1"/>
          <w:color w:val="582C83"/>
        </w:rPr>
        <w:t xml:space="preserve"> </w:t>
      </w:r>
      <w:r>
        <w:rPr>
          <w:rFonts w:ascii="Arial" w:cs="Arial" w:eastAsia="Arial" w:hAnsi="Arial"/>
          <w:sz w:val="20"/>
          <w:szCs w:val="20"/>
          <w:color w:val="000000"/>
        </w:rPr>
        <w:t>your power of attorney issued by your bank or broker.</w:t>
      </w:r>
    </w:p>
    <w:p>
      <w:pPr>
        <w:spacing w:after="0" w:line="126" w:lineRule="exact"/>
        <w:rPr>
          <w:sz w:val="20"/>
          <w:szCs w:val="20"/>
          <w:color w:val="auto"/>
        </w:rPr>
      </w:pPr>
    </w:p>
    <w:p>
      <w:pPr>
        <w:ind w:left="321" w:right="100" w:hanging="321"/>
        <w:spacing w:after="0" w:line="248" w:lineRule="auto"/>
        <w:tabs>
          <w:tab w:leader="none" w:pos="321" w:val="left"/>
        </w:tabs>
        <w:numPr>
          <w:ilvl w:val="0"/>
          <w:numId w:val="125"/>
        </w:numPr>
        <w:rPr>
          <w:rFonts w:ascii="Arial" w:cs="Arial" w:eastAsia="Arial" w:hAnsi="Arial"/>
          <w:sz w:val="20"/>
          <w:szCs w:val="20"/>
          <w:b w:val="1"/>
          <w:bCs w:val="1"/>
          <w:color w:val="582C83"/>
        </w:rPr>
      </w:pPr>
      <w:r>
        <w:rPr>
          <w:rFonts w:ascii="Arial" w:cs="Arial" w:eastAsia="Arial" w:hAnsi="Arial"/>
          <w:sz w:val="20"/>
          <w:szCs w:val="20"/>
          <w:b w:val="1"/>
          <w:bCs w:val="1"/>
          <w:color w:val="582C83"/>
        </w:rPr>
        <w:t>I am a participant in the Altria Deferred Profit Sharing Plan for Hourly Employees, the Altria Deferred Profit Sharing Plan for Salaried Employees, the Philip Morris International Deferred Profit-Sharing Plan or The Molson Coors Employees Retirement &amp; Savings Plan and have investments in the Mondelēz International Stock Fund(s). Can I vote? If so, how do I vote?</w:t>
      </w:r>
    </w:p>
    <w:p>
      <w:pPr>
        <w:spacing w:after="0" w:line="43" w:lineRule="exact"/>
        <w:rPr>
          <w:sz w:val="20"/>
          <w:szCs w:val="20"/>
          <w:color w:val="auto"/>
        </w:rPr>
      </w:pPr>
    </w:p>
    <w:p>
      <w:pPr>
        <w:ind w:left="1" w:right="160"/>
        <w:spacing w:after="0" w:line="250" w:lineRule="auto"/>
        <w:rPr>
          <w:sz w:val="20"/>
          <w:szCs w:val="20"/>
          <w:color w:val="auto"/>
        </w:rPr>
      </w:pPr>
      <w:r>
        <w:rPr>
          <w:rFonts w:ascii="Arial" w:cs="Arial" w:eastAsia="Arial" w:hAnsi="Arial"/>
          <w:sz w:val="20"/>
          <w:szCs w:val="20"/>
          <w:color w:val="auto"/>
        </w:rPr>
        <w:t>Yes, you are entitled to vote. Your Proxy Card or control number for voting electronically includes all shares allocated to your Mondelēz International Stock Fund account(s). With regard to each plan in which you hold the stock, your vote directs the plan trustee how to vote the shares allocated to you.</w:t>
      </w:r>
    </w:p>
    <w:p>
      <w:pPr>
        <w:spacing w:after="0" w:line="126" w:lineRule="exact"/>
        <w:rPr>
          <w:sz w:val="20"/>
          <w:szCs w:val="20"/>
          <w:color w:val="auto"/>
        </w:rPr>
      </w:pPr>
    </w:p>
    <w:p>
      <w:pPr>
        <w:ind w:left="1" w:right="80"/>
        <w:spacing w:after="0" w:line="238" w:lineRule="auto"/>
        <w:rPr>
          <w:sz w:val="20"/>
          <w:szCs w:val="20"/>
          <w:color w:val="auto"/>
        </w:rPr>
      </w:pPr>
      <w:r>
        <w:rPr>
          <w:rFonts w:ascii="Arial" w:cs="Arial" w:eastAsia="Arial" w:hAnsi="Arial"/>
          <w:sz w:val="20"/>
          <w:szCs w:val="20"/>
          <w:color w:val="auto"/>
        </w:rPr>
        <w:t>In order to direct the plan trustee how to vote the shares held in your Mondelēz International Stock Fund account(s), you must vote these plan shares (whether by Internet, QR barcode, telephone or mailed Proxy Card) by 11:59 p.m. EDT on May 12, 2023. If the trustee(s) does not receive your voting instructions or Proxy Card by that time, the trustee(s) will vote the shares allocated to your account(s) in the same proportion as the respective plan shares for which the trustee timely received voting instructions, unless doing so would be contrary to the Employee Retirement Income Security Act of 1974. Please follow the instructions for registered shareholders described in Question 7 above to cast your vote. Note that although you may attend the Annual Meeting online, you may not vote shares held in your Mondelēz International Stock Fund account(s) at the Annual Meeting.</w:t>
      </w:r>
    </w:p>
    <w:p>
      <w:pPr>
        <w:spacing w:after="0" w:line="13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582C83"/>
        </w:rPr>
        <w:t>9.  How do I vote if I participate in Mondelēz International’s Direct Purchase Plan?</w:t>
      </w:r>
    </w:p>
    <w:p>
      <w:pPr>
        <w:spacing w:after="0" w:line="93" w:lineRule="exact"/>
        <w:rPr>
          <w:sz w:val="20"/>
          <w:szCs w:val="20"/>
          <w:color w:val="auto"/>
        </w:rPr>
      </w:pPr>
    </w:p>
    <w:p>
      <w:pPr>
        <w:jc w:val="both"/>
        <w:ind w:left="1" w:right="40"/>
        <w:spacing w:after="0" w:line="256" w:lineRule="auto"/>
        <w:rPr>
          <w:sz w:val="20"/>
          <w:szCs w:val="20"/>
          <w:color w:val="auto"/>
        </w:rPr>
      </w:pPr>
      <w:r>
        <w:rPr>
          <w:rFonts w:ascii="Arial" w:cs="Arial" w:eastAsia="Arial" w:hAnsi="Arial"/>
          <w:sz w:val="20"/>
          <w:szCs w:val="20"/>
          <w:color w:val="auto"/>
        </w:rPr>
        <w:t xml:space="preserve">If you hold shares in the Direct Purchase Plan, follow the instructions for registered shareholders described in Question 7 above to vote your shares. When you vote those shares, you will be voting all the shares you hold at our transfer agent as a registered shareholder. If you do not vote your shares, they will not be voted. </w:t>
      </w:r>
      <w:r>
        <w:rPr>
          <w:rFonts w:ascii="Arial" w:cs="Arial" w:eastAsia="Arial" w:hAnsi="Arial"/>
          <w:sz w:val="20"/>
          <w:szCs w:val="20"/>
          <w:b w:val="1"/>
          <w:bCs w:val="1"/>
          <w:color w:val="auto"/>
        </w:rPr>
        <w:t>PLEASE VOTE</w:t>
      </w:r>
      <w:r>
        <w:rPr>
          <w:rFonts w:ascii="Arial" w:cs="Arial" w:eastAsia="Arial" w:hAnsi="Arial"/>
          <w:sz w:val="20"/>
          <w:szCs w:val="20"/>
          <w:color w:val="auto"/>
        </w:rPr>
        <w:t>.</w:t>
      </w:r>
    </w:p>
    <w:p>
      <w:pPr>
        <w:spacing w:after="0" w:line="108" w:lineRule="exact"/>
        <w:rPr>
          <w:sz w:val="20"/>
          <w:szCs w:val="20"/>
          <w:color w:val="auto"/>
        </w:rPr>
      </w:pPr>
    </w:p>
    <w:p>
      <w:pPr>
        <w:ind w:left="321" w:right="260" w:hanging="321"/>
        <w:spacing w:after="0" w:line="256" w:lineRule="auto"/>
        <w:tabs>
          <w:tab w:leader="none" w:pos="321" w:val="left"/>
        </w:tabs>
        <w:numPr>
          <w:ilvl w:val="0"/>
          <w:numId w:val="126"/>
        </w:numPr>
        <w:rPr>
          <w:rFonts w:ascii="Arial" w:cs="Arial" w:eastAsia="Arial" w:hAnsi="Arial"/>
          <w:sz w:val="20"/>
          <w:szCs w:val="20"/>
          <w:b w:val="1"/>
          <w:bCs w:val="1"/>
          <w:color w:val="582C83"/>
        </w:rPr>
      </w:pPr>
      <w:r>
        <w:rPr>
          <w:rFonts w:ascii="Arial" w:cs="Arial" w:eastAsia="Arial" w:hAnsi="Arial"/>
          <w:sz w:val="20"/>
          <w:szCs w:val="20"/>
          <w:b w:val="1"/>
          <w:bCs w:val="1"/>
          <w:color w:val="582C83"/>
        </w:rPr>
        <w:t>I hold CREST Depository Interests (“CDIs”) that represent entitlements to shares of Common Stock as a result of Mondelēz International’s acquisition of Cadbury in 2010. Can I vote the shares of Common Stock underlying my CDIs? If so, how do I vote?</w:t>
      </w:r>
    </w:p>
    <w:p>
      <w:pPr>
        <w:spacing w:after="0" w:line="34" w:lineRule="exact"/>
        <w:rPr>
          <w:sz w:val="20"/>
          <w:szCs w:val="20"/>
          <w:color w:val="auto"/>
        </w:rPr>
      </w:pPr>
    </w:p>
    <w:p>
      <w:pPr>
        <w:ind w:left="1" w:right="140"/>
        <w:spacing w:after="0" w:line="238" w:lineRule="auto"/>
        <w:rPr>
          <w:sz w:val="20"/>
          <w:szCs w:val="20"/>
          <w:color w:val="auto"/>
        </w:rPr>
      </w:pPr>
      <w:r>
        <w:rPr>
          <w:rFonts w:ascii="Arial" w:cs="Arial" w:eastAsia="Arial" w:hAnsi="Arial"/>
          <w:sz w:val="20"/>
          <w:szCs w:val="20"/>
          <w:color w:val="auto"/>
        </w:rPr>
        <w:t xml:space="preserve">Computershare Investor Services Plc (“Computershare”) will send all CREST Participants (including nominee companies and sponsored individuals) that hold CDIs a notice and Form of Proxy that allow these participants to vote prior to the Annual Meeting. If you hold your CDIs in CREST, you can vote the underlying shares by completing and sending the Form of Proxy to the Voting Agent, Computershare, or via CREST as detailed on the Form of Proxy. Computershare must receive your vote by 3:00 p.m. London time on May 12, 2023. Computershare will then notify the Registrar of the vote for the underlying shares and your vote will be included in the final tally for the Annual Meeting. If you wish to attend the meeting and/or vote at the Annual Meeting, you must notify Computershare 48 hours prior to the Annual Meeting in writing or email at </w:t>
      </w:r>
      <w:r>
        <w:rPr>
          <w:rFonts w:ascii="Arial" w:cs="Arial" w:eastAsia="Arial" w:hAnsi="Arial"/>
          <w:sz w:val="20"/>
          <w:szCs w:val="20"/>
          <w:i w:val="1"/>
          <w:iCs w:val="1"/>
          <w:color w:val="582C83"/>
        </w:rPr>
        <w:t xml:space="preserve">csnditeam@computershare.co.uk </w:t>
      </w:r>
      <w:r>
        <w:rPr>
          <w:rFonts w:ascii="Arial" w:cs="Arial" w:eastAsia="Arial" w:hAnsi="Arial"/>
          <w:sz w:val="20"/>
          <w:szCs w:val="20"/>
          <w:color w:val="000000"/>
        </w:rPr>
        <w:t>to receive a 16-digit pin number for the meeting.</w:t>
      </w:r>
    </w:p>
    <w:p>
      <w:pPr>
        <w:spacing w:after="0" w:line="137" w:lineRule="exact"/>
        <w:rPr>
          <w:sz w:val="20"/>
          <w:szCs w:val="20"/>
          <w:color w:val="auto"/>
        </w:rPr>
      </w:pPr>
    </w:p>
    <w:p>
      <w:pPr>
        <w:ind w:left="1" w:right="20"/>
        <w:spacing w:after="0" w:line="237" w:lineRule="auto"/>
        <w:rPr>
          <w:sz w:val="20"/>
          <w:szCs w:val="20"/>
          <w:color w:val="auto"/>
        </w:rPr>
      </w:pPr>
      <w:r>
        <w:rPr>
          <w:rFonts w:ascii="Arial" w:cs="Arial" w:eastAsia="Arial" w:hAnsi="Arial"/>
          <w:sz w:val="20"/>
          <w:szCs w:val="20"/>
          <w:color w:val="auto"/>
        </w:rPr>
        <w:t xml:space="preserve">If Computershare holds your CDIs on your behalf within Mondelēz International Corporate Sponsored Nominee Service, Computershare, as the international nominee for your CDIs, will send you a notice and Form of Direction. You may direct Computershare how to vote your underlying shares online or by returning your Form of Direction according to the instructions in the notice and Form of Direction by 3:00 p.m. London time on May 11, 2023. Computershare will then arrange to vote your underlying shares according to your instructions. If you wish to attend or vote at the Annual Meeting, please inform Computershare 48 hours prior to the meeting to receive a letter of representation with respect to your CDI holding that will contain the 16-digit pin number that will enable you to attend, submit a question or vote your underlying shares at the Annual Meeting on Computershare’s behalf. You can notify Computershare by emailing them at </w:t>
      </w:r>
      <w:r>
        <w:rPr>
          <w:rFonts w:ascii="Arial" w:cs="Arial" w:eastAsia="Arial" w:hAnsi="Arial"/>
          <w:sz w:val="20"/>
          <w:szCs w:val="20"/>
          <w:i w:val="1"/>
          <w:iCs w:val="1"/>
          <w:color w:val="582C83"/>
        </w:rPr>
        <w:t>csnditeam@computershare.co.uk</w:t>
      </w:r>
      <w:r>
        <w:rPr>
          <w:rFonts w:ascii="Arial" w:cs="Arial" w:eastAsia="Arial" w:hAnsi="Arial"/>
          <w:sz w:val="20"/>
          <w:szCs w:val="20"/>
          <w:color w:val="auto"/>
        </w:rPr>
        <w:t xml:space="preserve"> or by calling the helpline on 0344 472 6005.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143115" cy="76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139" w:name="page140"/>
    <w:bookmarkEnd w:id="139"/>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 w:right="220"/>
        <w:spacing w:after="0" w:line="244" w:lineRule="auto"/>
        <w:rPr>
          <w:sz w:val="20"/>
          <w:szCs w:val="20"/>
          <w:color w:val="auto"/>
        </w:rPr>
      </w:pPr>
      <w:r>
        <w:rPr>
          <w:rFonts w:ascii="Arial" w:cs="Arial" w:eastAsia="Arial" w:hAnsi="Arial"/>
          <w:sz w:val="20"/>
          <w:szCs w:val="20"/>
          <w:color w:val="auto"/>
        </w:rPr>
        <w:t>If another international nominee holds your CDIs on your behalf, your nominee may have its own arrangements in place to provide you with a separate notice of the Annual Meeting and proxy voting card with respect to your underlying shares. In that case, please follow your nominee’s voting instructions to direct your nominee how to vote your underlying shares. Please vote by the deadline stated on the nominee’s notice and proxy voting card.</w:t>
      </w:r>
    </w:p>
    <w:p>
      <w:pPr>
        <w:spacing w:after="0" w:line="133" w:lineRule="exact"/>
        <w:rPr>
          <w:sz w:val="20"/>
          <w:szCs w:val="20"/>
          <w:color w:val="auto"/>
        </w:rPr>
      </w:pPr>
    </w:p>
    <w:p>
      <w:pPr>
        <w:ind w:left="1" w:right="880"/>
        <w:spacing w:after="0" w:line="268" w:lineRule="auto"/>
        <w:rPr>
          <w:sz w:val="20"/>
          <w:szCs w:val="20"/>
          <w:color w:val="auto"/>
        </w:rPr>
      </w:pPr>
      <w:r>
        <w:rPr>
          <w:rFonts w:ascii="Arial" w:cs="Arial" w:eastAsia="Arial" w:hAnsi="Arial"/>
          <w:sz w:val="20"/>
          <w:szCs w:val="20"/>
          <w:color w:val="auto"/>
        </w:rPr>
        <w:t>If you hold CDIs and have questions about voting your shares of Common Stock underlying your CDIs, please contact Computershare at +44 (0)344 472 6005.</w:t>
      </w:r>
    </w:p>
    <w:p>
      <w:pPr>
        <w:spacing w:after="0" w:line="107" w:lineRule="exact"/>
        <w:rPr>
          <w:sz w:val="20"/>
          <w:szCs w:val="20"/>
          <w:color w:val="auto"/>
        </w:rPr>
      </w:pPr>
    </w:p>
    <w:p>
      <w:pPr>
        <w:ind w:left="321" w:hanging="321"/>
        <w:spacing w:after="0"/>
        <w:tabs>
          <w:tab w:leader="none" w:pos="321" w:val="left"/>
        </w:tabs>
        <w:numPr>
          <w:ilvl w:val="0"/>
          <w:numId w:val="127"/>
        </w:numPr>
        <w:rPr>
          <w:rFonts w:ascii="Arial" w:cs="Arial" w:eastAsia="Arial" w:hAnsi="Arial"/>
          <w:sz w:val="20"/>
          <w:szCs w:val="20"/>
          <w:b w:val="1"/>
          <w:bCs w:val="1"/>
          <w:color w:val="582C83"/>
        </w:rPr>
      </w:pPr>
      <w:r>
        <w:rPr>
          <w:rFonts w:ascii="Arial" w:cs="Arial" w:eastAsia="Arial" w:hAnsi="Arial"/>
          <w:sz w:val="20"/>
          <w:szCs w:val="20"/>
          <w:b w:val="1"/>
          <w:bCs w:val="1"/>
          <w:color w:val="582C83"/>
        </w:rPr>
        <w:t>May I change or revoke my vote?</w:t>
      </w:r>
    </w:p>
    <w:p>
      <w:pPr>
        <w:spacing w:after="0" w:line="92" w:lineRule="exact"/>
        <w:rPr>
          <w:rFonts w:ascii="Arial" w:cs="Arial" w:eastAsia="Arial" w:hAnsi="Arial"/>
          <w:sz w:val="20"/>
          <w:szCs w:val="20"/>
          <w:b w:val="1"/>
          <w:bCs w:val="1"/>
          <w:color w:val="582C83"/>
        </w:rPr>
      </w:pPr>
    </w:p>
    <w:p>
      <w:pPr>
        <w:ind w:left="1"/>
        <w:spacing w:after="0"/>
        <w:rPr>
          <w:rFonts w:ascii="Arial" w:cs="Arial" w:eastAsia="Arial" w:hAnsi="Arial"/>
          <w:sz w:val="20"/>
          <w:szCs w:val="20"/>
          <w:b w:val="1"/>
          <w:bCs w:val="1"/>
          <w:color w:val="582C83"/>
        </w:rPr>
      </w:pPr>
      <w:r>
        <w:rPr>
          <w:rFonts w:ascii="Arial" w:cs="Arial" w:eastAsia="Arial" w:hAnsi="Arial"/>
          <w:sz w:val="20"/>
          <w:szCs w:val="20"/>
          <w:color w:val="auto"/>
        </w:rPr>
        <w:t>Yes.</w:t>
      </w:r>
    </w:p>
    <w:p>
      <w:pPr>
        <w:spacing w:after="0" w:line="167" w:lineRule="exact"/>
        <w:rPr>
          <w:sz w:val="20"/>
          <w:szCs w:val="20"/>
          <w:color w:val="auto"/>
        </w:rPr>
      </w:pPr>
    </w:p>
    <w:p>
      <w:pPr>
        <w:ind w:left="1" w:right="200"/>
        <w:spacing w:after="0" w:line="262" w:lineRule="auto"/>
        <w:rPr>
          <w:sz w:val="20"/>
          <w:szCs w:val="20"/>
          <w:color w:val="auto"/>
        </w:rPr>
      </w:pPr>
      <w:r>
        <w:rPr>
          <w:rFonts w:ascii="Arial" w:cs="Arial" w:eastAsia="Arial" w:hAnsi="Arial"/>
          <w:sz w:val="19"/>
          <w:szCs w:val="19"/>
          <w:color w:val="auto"/>
        </w:rPr>
        <w:t xml:space="preserve">If you are a </w:t>
      </w:r>
      <w:r>
        <w:rPr>
          <w:rFonts w:ascii="Arial" w:cs="Arial" w:eastAsia="Arial" w:hAnsi="Arial"/>
          <w:sz w:val="19"/>
          <w:szCs w:val="19"/>
          <w:i w:val="1"/>
          <w:iCs w:val="1"/>
          <w:color w:val="auto"/>
        </w:rPr>
        <w:t>registered shareholder</w:t>
      </w:r>
      <w:r>
        <w:rPr>
          <w:rFonts w:ascii="Arial" w:cs="Arial" w:eastAsia="Arial" w:hAnsi="Arial"/>
          <w:sz w:val="19"/>
          <w:szCs w:val="19"/>
          <w:color w:val="auto"/>
        </w:rPr>
        <w:t xml:space="preserve"> , any subsequent vote you cast will replace your earlier vote. This applies whether you vote by mailing a Proxy Card or via QR barcode, telephone or the Internet. You may also revoke an earlier vote by voting online at the Annual Meeting before the polls close. Alternatively, you may revoke your proxy by submitting a written revocation to the Corporate Secretary at Mondelēz International, Inc., 905 West Fulton Market, Suite 200, Chicago, Illinois 60607.</w:t>
      </w:r>
    </w:p>
    <w:p>
      <w:pPr>
        <w:spacing w:after="0" w:line="114" w:lineRule="exact"/>
        <w:rPr>
          <w:sz w:val="20"/>
          <w:szCs w:val="20"/>
          <w:color w:val="auto"/>
        </w:rPr>
      </w:pPr>
    </w:p>
    <w:p>
      <w:pPr>
        <w:ind w:left="1" w:right="500"/>
        <w:spacing w:after="0" w:line="268" w:lineRule="auto"/>
        <w:rPr>
          <w:sz w:val="20"/>
          <w:szCs w:val="20"/>
          <w:color w:val="auto"/>
        </w:rPr>
      </w:pPr>
      <w:r>
        <w:rPr>
          <w:rFonts w:ascii="Arial" w:cs="Arial" w:eastAsia="Arial" w:hAnsi="Arial"/>
          <w:sz w:val="20"/>
          <w:szCs w:val="20"/>
          <w:color w:val="auto"/>
        </w:rPr>
        <w:t xml:space="preserve">If you are a </w:t>
      </w:r>
      <w:r>
        <w:rPr>
          <w:rFonts w:ascii="Arial" w:cs="Arial" w:eastAsia="Arial" w:hAnsi="Arial"/>
          <w:sz w:val="20"/>
          <w:szCs w:val="20"/>
          <w:i w:val="1"/>
          <w:iCs w:val="1"/>
          <w:color w:val="auto"/>
        </w:rPr>
        <w:t>beneficial shareholder</w:t>
      </w:r>
      <w:r>
        <w:rPr>
          <w:rFonts w:ascii="Arial" w:cs="Arial" w:eastAsia="Arial" w:hAnsi="Arial"/>
          <w:sz w:val="20"/>
          <w:szCs w:val="20"/>
          <w:color w:val="auto"/>
        </w:rPr>
        <w:t>, you must contact your broker, bank or other nominee for specific instructions on how to change or revoke your vote.</w:t>
      </w:r>
    </w:p>
    <w:p>
      <w:pPr>
        <w:spacing w:after="0" w:line="10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582C83"/>
        </w:rPr>
        <w:t>12. What is the quorum requirement for the Annual Meeting?</w:t>
      </w:r>
    </w:p>
    <w:p>
      <w:pPr>
        <w:spacing w:after="0" w:line="93" w:lineRule="exact"/>
        <w:rPr>
          <w:sz w:val="20"/>
          <w:szCs w:val="20"/>
          <w:color w:val="auto"/>
        </w:rPr>
      </w:pPr>
    </w:p>
    <w:p>
      <w:pPr>
        <w:jc w:val="both"/>
        <w:ind w:left="1" w:right="100"/>
        <w:spacing w:after="0" w:line="295" w:lineRule="auto"/>
        <w:rPr>
          <w:sz w:val="20"/>
          <w:szCs w:val="20"/>
          <w:color w:val="auto"/>
        </w:rPr>
      </w:pPr>
      <w:r>
        <w:rPr>
          <w:rFonts w:ascii="Arial" w:cs="Arial" w:eastAsia="Arial" w:hAnsi="Arial"/>
          <w:sz w:val="19"/>
          <w:szCs w:val="19"/>
          <w:color w:val="auto"/>
        </w:rPr>
        <w:t>We need a quorum of shareholders to validly hold the Annual Meeting. A quorum will be present if a majority of the outstanding shares of Common Stock entitled to vote as of the Record Date is represented at the Annual Meeting, either online or by proxy.</w:t>
      </w:r>
    </w:p>
    <w:p>
      <w:pPr>
        <w:spacing w:after="0" w:line="84" w:lineRule="exact"/>
        <w:rPr>
          <w:sz w:val="20"/>
          <w:szCs w:val="20"/>
          <w:color w:val="auto"/>
        </w:rPr>
      </w:pPr>
    </w:p>
    <w:p>
      <w:pPr>
        <w:ind w:left="1" w:right="300"/>
        <w:spacing w:after="0" w:line="268" w:lineRule="auto"/>
        <w:rPr>
          <w:sz w:val="20"/>
          <w:szCs w:val="20"/>
          <w:color w:val="auto"/>
        </w:rPr>
      </w:pPr>
      <w:r>
        <w:rPr>
          <w:rFonts w:ascii="Arial" w:cs="Arial" w:eastAsia="Arial" w:hAnsi="Arial"/>
          <w:sz w:val="20"/>
          <w:szCs w:val="20"/>
          <w:color w:val="auto"/>
        </w:rPr>
        <w:t>Abstentions and broker non-votes (described in Question 15 below) will be counted for the purpose of determining whether a quorum is present for the Annual Meeting.</w:t>
      </w:r>
    </w:p>
    <w:p>
      <w:pPr>
        <w:spacing w:after="0" w:line="10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582C83"/>
        </w:rPr>
        <w:t>13. What vote is needed to elect directors?</w:t>
      </w:r>
    </w:p>
    <w:p>
      <w:pPr>
        <w:spacing w:after="0" w:line="93" w:lineRule="exact"/>
        <w:rPr>
          <w:sz w:val="20"/>
          <w:szCs w:val="20"/>
          <w:color w:val="auto"/>
        </w:rPr>
      </w:pPr>
    </w:p>
    <w:p>
      <w:pPr>
        <w:ind w:left="1"/>
        <w:spacing w:after="0" w:line="250" w:lineRule="auto"/>
        <w:rPr>
          <w:sz w:val="20"/>
          <w:szCs w:val="20"/>
          <w:color w:val="auto"/>
        </w:rPr>
      </w:pPr>
      <w:r>
        <w:rPr>
          <w:rFonts w:ascii="Arial" w:cs="Arial" w:eastAsia="Arial" w:hAnsi="Arial"/>
          <w:sz w:val="20"/>
          <w:szCs w:val="20"/>
          <w:color w:val="auto"/>
        </w:rPr>
        <w:t>To be elected in an uncontested election such as at this Annual Meeting, a director nominee must receive a majority of the votes cast – i.e., more votes FOR than AGAINST. Abstentions and broker non-votes (described in Question 15 below) are not considered votes cast and will have no effect on the vote outcome for these matters.</w:t>
      </w:r>
    </w:p>
    <w:p>
      <w:pPr>
        <w:spacing w:after="0" w:line="126" w:lineRule="exact"/>
        <w:rPr>
          <w:sz w:val="20"/>
          <w:szCs w:val="20"/>
          <w:color w:val="auto"/>
        </w:rPr>
      </w:pPr>
    </w:p>
    <w:p>
      <w:pPr>
        <w:ind w:left="1"/>
        <w:spacing w:after="0" w:line="238" w:lineRule="auto"/>
        <w:rPr>
          <w:sz w:val="20"/>
          <w:szCs w:val="20"/>
          <w:color w:val="auto"/>
        </w:rPr>
      </w:pPr>
      <w:r>
        <w:rPr>
          <w:rFonts w:ascii="Arial" w:cs="Arial" w:eastAsia="Arial" w:hAnsi="Arial"/>
          <w:sz w:val="20"/>
          <w:szCs w:val="20"/>
          <w:color w:val="auto"/>
        </w:rPr>
        <w:t>In an uncontested election, if an incumbent director nominated for re-election receives a greater number of votes AGAINST than votes FOR, the director must tender a resignation to the Governance Committee for its consideration following certification of the election results. The Governance Committee then will recommend to the Board whether to accept the resignation. The director will continue to serve until the Board decides whether to accept the resignation, but will not participate in the committee’s recommendation or the Board’s action regarding whether to accept the resignation offer. The Board considers all factors it deems relevant to the Company’s best interests and will publicly disclose its decision and rationale within 90 days after certification of the election results. If the Board does not accept the director’s resignation, the director will continue to serve until the next annual meeting of shareholders or until the director’s successor is duly elected and qualified.</w:t>
      </w:r>
    </w:p>
    <w:p>
      <w:pPr>
        <w:spacing w:after="0" w:line="13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582C83"/>
        </w:rPr>
        <w:t>14. What vote is needed to approve the other proposals?</w:t>
      </w:r>
    </w:p>
    <w:p>
      <w:pPr>
        <w:spacing w:after="0" w:line="93" w:lineRule="exact"/>
        <w:rPr>
          <w:sz w:val="20"/>
          <w:szCs w:val="20"/>
          <w:color w:val="auto"/>
        </w:rPr>
      </w:pPr>
    </w:p>
    <w:p>
      <w:pPr>
        <w:ind w:left="1" w:right="160"/>
        <w:spacing w:after="0" w:line="244" w:lineRule="auto"/>
        <w:rPr>
          <w:sz w:val="20"/>
          <w:szCs w:val="20"/>
          <w:color w:val="auto"/>
        </w:rPr>
      </w:pPr>
      <w:r>
        <w:rPr>
          <w:rFonts w:ascii="Arial" w:cs="Arial" w:eastAsia="Arial" w:hAnsi="Arial"/>
          <w:sz w:val="20"/>
          <w:szCs w:val="20"/>
          <w:color w:val="auto"/>
        </w:rPr>
        <w:t>Approval of each of Item 2 (Advisory Vote to Approve Executive Compensation), Item 3 (Advisory Vote on the Frequency of an Executive Compensation Vote), Item 4 (Ratification of the Selection of the Independent Registered Public Accountants) and Items 5, 6 and 7 (Shareholder Proposals) also require a majority of votes cast – i.e., more votes FOR than AGAINST. Abstentions and broker non-votes (described in Question 15 below) are not considered votes cast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210820</wp:posOffset>
            </wp:positionV>
            <wp:extent cx="7143115"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140" w:name="page141"/>
    <w:bookmarkEnd w:id="140"/>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120"/>
        <w:spacing w:after="0" w:line="268" w:lineRule="auto"/>
        <w:rPr>
          <w:sz w:val="20"/>
          <w:szCs w:val="20"/>
          <w:color w:val="auto"/>
        </w:rPr>
      </w:pPr>
      <w:r>
        <w:rPr>
          <w:rFonts w:ascii="Arial" w:cs="Arial" w:eastAsia="Arial" w:hAnsi="Arial"/>
          <w:sz w:val="20"/>
          <w:szCs w:val="20"/>
          <w:color w:val="auto"/>
        </w:rPr>
        <w:t>will have no effect on the vote outcome for Items 2, 3, 5, 6 and 7. We do not expect that there will be any broker non-votes with respect to Item 4 (as explained in Question 15 below).</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582C83"/>
        </w:rPr>
        <w:t>15. What are broker non-votes?</w:t>
      </w:r>
    </w:p>
    <w:p>
      <w:pPr>
        <w:spacing w:after="0" w:line="93"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If you are a beneficial shareholder, your vote instructs your broker, bank or other nominee, as the holder of record, how to vote your shares. If you do not provide voting instructions to your broker, bank or other nominee, your nominee has discretion to vote your shares only on matters classified as “routine” under stock exchange rules. The ratification of the selection of the independent registered public accountants (Item 4) is the only item on the agenda for the Annual Meeting that is expected to be considered routine. If you do not provide voting instructions to your broker or other nominee, your nominee may vote your shares only on Item 4. In that case, your shares will count toward the quorum for the Annual Meeting and be voted on Item 4, which is expected to be routine, but they will not be voted on Items 1, 2, 3, 5, 6 and 7, which are expected to be non-routine, and any other matters that may come to vote at the Annual Meeting. This is called a “broker non-vote.” Note that whether a proposal is considered routine or non-routine is subject to stock exchange rules and final determination by the stock exchange. Even with respect to routine matters, some brokers are choosing not to exercise discretionary voting authority. As a result, we urge you to direct your bank, broker, trustee or other nominee on how to vote your shares on all proposals to ensure that your vote is counted.</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582C83"/>
        </w:rPr>
        <w:t>16. Who bears the cost of soliciting votes for the Annual Meeting?</w:t>
      </w:r>
    </w:p>
    <w:p>
      <w:pPr>
        <w:spacing w:after="0" w:line="9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Company bears the cost of soliciting your vote. The Company’s directors, officers or employees may solicit proxies or votes in person, by telephone or by electronic communication. They will not receive any additional compensation for these solicitation activities.</w:t>
      </w:r>
    </w:p>
    <w:p>
      <w:pPr>
        <w:spacing w:after="0" w:line="126" w:lineRule="exact"/>
        <w:rPr>
          <w:sz w:val="20"/>
          <w:szCs w:val="20"/>
          <w:color w:val="auto"/>
        </w:rPr>
      </w:pPr>
    </w:p>
    <w:p>
      <w:pPr>
        <w:ind w:right="160"/>
        <w:spacing w:after="0" w:line="270" w:lineRule="auto"/>
        <w:rPr>
          <w:sz w:val="20"/>
          <w:szCs w:val="20"/>
          <w:color w:val="auto"/>
        </w:rPr>
      </w:pPr>
      <w:r>
        <w:rPr>
          <w:rFonts w:ascii="Arial" w:cs="Arial" w:eastAsia="Arial" w:hAnsi="Arial"/>
          <w:sz w:val="19"/>
          <w:szCs w:val="19"/>
          <w:color w:val="auto"/>
        </w:rPr>
        <w:t>The Company will enlist the help of banks, brokers and other nominee holders in soliciting proxies for the Annual Meeting from their customers (i.e., beneficial shareholders) and reimburse those firms for related out-of-pocket expenses. We retained Morrow Sodali LLC to aid in soliciting votes for the Annual Meeting for a fee not to exceed $30,000 plus reasonable expenses.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582C83"/>
        </w:rPr>
        <w:t>17. Two shareholders live at my address. Why did we only receive one set of Proxy Materials?</w:t>
      </w:r>
    </w:p>
    <w:p>
      <w:pPr>
        <w:spacing w:after="0" w:line="93" w:lineRule="exact"/>
        <w:rPr>
          <w:sz w:val="20"/>
          <w:szCs w:val="20"/>
          <w:color w:val="auto"/>
        </w:rPr>
      </w:pPr>
    </w:p>
    <w:p>
      <w:pPr>
        <w:ind w:right="20"/>
        <w:spacing w:after="0"/>
        <w:rPr>
          <w:sz w:val="20"/>
          <w:szCs w:val="20"/>
          <w:color w:val="auto"/>
        </w:rPr>
      </w:pPr>
      <w:r>
        <w:rPr>
          <w:rFonts w:ascii="Arial" w:cs="Arial" w:eastAsia="Arial" w:hAnsi="Arial"/>
          <w:sz w:val="20"/>
          <w:szCs w:val="20"/>
          <w:color w:val="auto"/>
        </w:rPr>
        <w:t>We have adopted procedures that allow us to deliver Proxy Materials more cost effectively. If you are a beneficial shareholder and you and other residents at your mailing address share the same last name and also own shares of Common Stock in an account at the same broker, bank or other nominee, your nominee delivered a single Notice or set of Proxy Materials to your address, unless you provided contrary instructions. This method of delivery is known as householding. Householding reduces the number of mailings you receive, saves on printing and postage costs, and helps the environment. Shareholders participating in householding continue to receive separate proxy cards and control numbers for voting electronically.</w:t>
      </w:r>
    </w:p>
    <w:p>
      <w:pPr>
        <w:spacing w:after="0" w:line="135"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A shareholder who received a single Notice or set of Proxy Materials at a shared address may request a separate copy of the Notice or Proxy Materials by writing to Broadridge Financial Solutions, Inc., Householding Department at 51 Mercedes Way, Edgewood, New York, 11717, or calling 1-866-540-7095. We will deliver promptly a separate copy of the Notice or Proxy Materials to a shareholder at a shared address to which a single copy was delivered, if requested. If you would like to opt out of householding for future deliveries of Proxy Materials, please contact your broker, bank or other nominee.</w:t>
      </w:r>
    </w:p>
    <w:p>
      <w:pPr>
        <w:spacing w:after="0" w:line="132" w:lineRule="exact"/>
        <w:rPr>
          <w:sz w:val="20"/>
          <w:szCs w:val="20"/>
          <w:color w:val="auto"/>
        </w:rPr>
      </w:pPr>
    </w:p>
    <w:p>
      <w:pPr>
        <w:ind w:right="440"/>
        <w:spacing w:after="0" w:line="268" w:lineRule="auto"/>
        <w:rPr>
          <w:sz w:val="20"/>
          <w:szCs w:val="20"/>
          <w:color w:val="auto"/>
        </w:rPr>
      </w:pPr>
      <w:r>
        <w:rPr>
          <w:rFonts w:ascii="Arial" w:cs="Arial" w:eastAsia="Arial" w:hAnsi="Arial"/>
          <w:sz w:val="20"/>
          <w:szCs w:val="20"/>
          <w:i w:val="1"/>
          <w:iCs w:val="1"/>
          <w:color w:val="auto"/>
        </w:rPr>
        <w:t xml:space="preserve">Beneficial shareholders </w:t>
      </w:r>
      <w:r>
        <w:rPr>
          <w:rFonts w:ascii="Arial" w:cs="Arial" w:eastAsia="Arial" w:hAnsi="Arial"/>
          <w:sz w:val="20"/>
          <w:szCs w:val="20"/>
          <w:color w:val="auto"/>
        </w:rPr>
        <w:t>who share an address and receive multiple copies of the Proxy Materials but want to receive only a</w:t>
      </w:r>
      <w:r>
        <w:rPr>
          <w:rFonts w:ascii="Arial" w:cs="Arial" w:eastAsia="Arial" w:hAnsi="Arial"/>
          <w:sz w:val="20"/>
          <w:szCs w:val="20"/>
          <w:i w:val="1"/>
          <w:iCs w:val="1"/>
          <w:color w:val="auto"/>
        </w:rPr>
        <w:t xml:space="preserve"> </w:t>
      </w:r>
      <w:r>
        <w:rPr>
          <w:rFonts w:ascii="Arial" w:cs="Arial" w:eastAsia="Arial" w:hAnsi="Arial"/>
          <w:sz w:val="20"/>
          <w:szCs w:val="20"/>
          <w:color w:val="auto"/>
        </w:rPr>
        <w:t>single copy of these materials in the future should contact their broker, bank or other nominee and make this request.</w:t>
      </w:r>
    </w:p>
    <w:p>
      <w:pPr>
        <w:spacing w:after="0" w:line="107" w:lineRule="exact"/>
        <w:rPr>
          <w:sz w:val="20"/>
          <w:szCs w:val="20"/>
          <w:color w:val="auto"/>
        </w:rPr>
      </w:pPr>
    </w:p>
    <w:p>
      <w:pPr>
        <w:ind w:right="320"/>
        <w:spacing w:after="0" w:line="268" w:lineRule="auto"/>
        <w:rPr>
          <w:sz w:val="20"/>
          <w:szCs w:val="20"/>
          <w:color w:val="auto"/>
        </w:rPr>
      </w:pPr>
      <w:r>
        <w:rPr>
          <w:rFonts w:ascii="Arial" w:cs="Arial" w:eastAsia="Arial" w:hAnsi="Arial"/>
          <w:sz w:val="20"/>
          <w:szCs w:val="20"/>
          <w:color w:val="auto"/>
        </w:rPr>
        <w:t xml:space="preserve">If you are a </w:t>
      </w:r>
      <w:r>
        <w:rPr>
          <w:rFonts w:ascii="Arial" w:cs="Arial" w:eastAsia="Arial" w:hAnsi="Arial"/>
          <w:sz w:val="20"/>
          <w:szCs w:val="20"/>
          <w:i w:val="1"/>
          <w:iCs w:val="1"/>
          <w:color w:val="auto"/>
        </w:rPr>
        <w:t>registered shareholder</w:t>
      </w:r>
      <w:r>
        <w:rPr>
          <w:rFonts w:ascii="Arial" w:cs="Arial" w:eastAsia="Arial" w:hAnsi="Arial"/>
          <w:sz w:val="20"/>
          <w:szCs w:val="20"/>
          <w:color w:val="auto"/>
        </w:rPr>
        <w:t xml:space="preserve"> or hold your shares in an employee benefit plan, we sent you and each registered or plan shareholder at your address separate Notices or sets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143115" cy="76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1" w:name="page142"/>
    <w:bookmarkEnd w:id="141"/>
    <w:p>
      <w:pPr>
        <w:ind w:left="1"/>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582C83"/>
        </w:rPr>
        <w:t>18. Are my votes confidential?</w:t>
      </w:r>
    </w:p>
    <w:p>
      <w:pPr>
        <w:spacing w:after="0" w:line="93" w:lineRule="exact"/>
        <w:rPr>
          <w:sz w:val="20"/>
          <w:szCs w:val="20"/>
          <w:color w:val="auto"/>
        </w:rPr>
      </w:pPr>
    </w:p>
    <w:p>
      <w:pPr>
        <w:ind w:left="1"/>
        <w:spacing w:after="0"/>
        <w:rPr>
          <w:sz w:val="20"/>
          <w:szCs w:val="20"/>
          <w:color w:val="auto"/>
        </w:rPr>
      </w:pPr>
      <w:r>
        <w:rPr>
          <w:rFonts w:ascii="Arial" w:cs="Arial" w:eastAsia="Arial" w:hAnsi="Arial"/>
          <w:sz w:val="20"/>
          <w:szCs w:val="20"/>
          <w:color w:val="auto"/>
        </w:rPr>
        <w:t>Yes. Your votes will not be disclosed to our directors, officers or employees except:</w:t>
      </w:r>
    </w:p>
    <w:p>
      <w:pPr>
        <w:spacing w:after="0" w:line="167" w:lineRule="exact"/>
        <w:rPr>
          <w:sz w:val="20"/>
          <w:szCs w:val="20"/>
          <w:color w:val="auto"/>
        </w:rPr>
      </w:pPr>
    </w:p>
    <w:p>
      <w:pPr>
        <w:ind w:left="161" w:hanging="161"/>
        <w:spacing w:after="0"/>
        <w:tabs>
          <w:tab w:leader="none" w:pos="161" w:val="left"/>
        </w:tabs>
        <w:numPr>
          <w:ilvl w:val="0"/>
          <w:numId w:val="128"/>
        </w:numPr>
        <w:rPr>
          <w:rFonts w:ascii="Arial" w:cs="Arial" w:eastAsia="Arial" w:hAnsi="Arial"/>
          <w:sz w:val="20"/>
          <w:szCs w:val="20"/>
          <w:color w:val="582C83"/>
        </w:rPr>
      </w:pPr>
      <w:r>
        <w:rPr>
          <w:rFonts w:ascii="Arial" w:cs="Arial" w:eastAsia="Arial" w:hAnsi="Arial"/>
          <w:sz w:val="20"/>
          <w:szCs w:val="20"/>
          <w:color w:val="auto"/>
        </w:rPr>
        <w:t>as necessary to meet applicable legal requirements and to assert or defend claims for or against us;</w:t>
      </w:r>
    </w:p>
    <w:p>
      <w:pPr>
        <w:spacing w:after="0" w:line="92" w:lineRule="exact"/>
        <w:rPr>
          <w:rFonts w:ascii="Arial" w:cs="Arial" w:eastAsia="Arial" w:hAnsi="Arial"/>
          <w:sz w:val="20"/>
          <w:szCs w:val="20"/>
          <w:color w:val="582C83"/>
        </w:rPr>
      </w:pPr>
    </w:p>
    <w:p>
      <w:pPr>
        <w:ind w:left="161" w:hanging="161"/>
        <w:spacing w:after="0"/>
        <w:tabs>
          <w:tab w:leader="none" w:pos="161" w:val="left"/>
        </w:tabs>
        <w:numPr>
          <w:ilvl w:val="0"/>
          <w:numId w:val="128"/>
        </w:numPr>
        <w:rPr>
          <w:rFonts w:ascii="Arial" w:cs="Arial" w:eastAsia="Arial" w:hAnsi="Arial"/>
          <w:sz w:val="20"/>
          <w:szCs w:val="20"/>
          <w:color w:val="582C83"/>
        </w:rPr>
      </w:pPr>
      <w:r>
        <w:rPr>
          <w:rFonts w:ascii="Arial" w:cs="Arial" w:eastAsia="Arial" w:hAnsi="Arial"/>
          <w:sz w:val="20"/>
          <w:szCs w:val="20"/>
          <w:color w:val="auto"/>
        </w:rPr>
        <w:t>in the case of a contested proxy solicitation;</w:t>
      </w:r>
    </w:p>
    <w:p>
      <w:pPr>
        <w:spacing w:after="0" w:line="92" w:lineRule="exact"/>
        <w:rPr>
          <w:rFonts w:ascii="Arial" w:cs="Arial" w:eastAsia="Arial" w:hAnsi="Arial"/>
          <w:sz w:val="20"/>
          <w:szCs w:val="20"/>
          <w:color w:val="582C83"/>
        </w:rPr>
      </w:pPr>
    </w:p>
    <w:p>
      <w:pPr>
        <w:ind w:left="161" w:hanging="161"/>
        <w:spacing w:after="0"/>
        <w:tabs>
          <w:tab w:leader="none" w:pos="161" w:val="left"/>
        </w:tabs>
        <w:numPr>
          <w:ilvl w:val="0"/>
          <w:numId w:val="128"/>
        </w:numPr>
        <w:rPr>
          <w:rFonts w:ascii="Arial" w:cs="Arial" w:eastAsia="Arial" w:hAnsi="Arial"/>
          <w:sz w:val="20"/>
          <w:szCs w:val="20"/>
          <w:color w:val="582C83"/>
        </w:rPr>
      </w:pPr>
      <w:r>
        <w:rPr>
          <w:rFonts w:ascii="Arial" w:cs="Arial" w:eastAsia="Arial" w:hAnsi="Arial"/>
          <w:sz w:val="20"/>
          <w:szCs w:val="20"/>
          <w:color w:val="auto"/>
        </w:rPr>
        <w:t>if you provide a comment with your proxy or otherwise communicate your vote to us outside of the normal procedures; or</w:t>
      </w:r>
    </w:p>
    <w:p>
      <w:pPr>
        <w:spacing w:after="0" w:line="92" w:lineRule="exact"/>
        <w:rPr>
          <w:rFonts w:ascii="Arial" w:cs="Arial" w:eastAsia="Arial" w:hAnsi="Arial"/>
          <w:sz w:val="20"/>
          <w:szCs w:val="20"/>
          <w:color w:val="582C83"/>
        </w:rPr>
      </w:pPr>
    </w:p>
    <w:p>
      <w:pPr>
        <w:ind w:left="161" w:hanging="161"/>
        <w:spacing w:after="0"/>
        <w:tabs>
          <w:tab w:leader="none" w:pos="161" w:val="left"/>
        </w:tabs>
        <w:numPr>
          <w:ilvl w:val="0"/>
          <w:numId w:val="128"/>
        </w:numPr>
        <w:rPr>
          <w:rFonts w:ascii="Arial" w:cs="Arial" w:eastAsia="Arial" w:hAnsi="Arial"/>
          <w:sz w:val="20"/>
          <w:szCs w:val="20"/>
          <w:color w:val="582C83"/>
        </w:rPr>
      </w:pPr>
      <w:r>
        <w:rPr>
          <w:rFonts w:ascii="Arial" w:cs="Arial" w:eastAsia="Arial" w:hAnsi="Arial"/>
          <w:sz w:val="20"/>
          <w:szCs w:val="20"/>
          <w:color w:val="auto"/>
        </w:rPr>
        <w:t>as necessary to allow the inspector of election to certify the resu</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582C83"/>
        </w:rPr>
        <w:t>19. Who counts the votes and certifies the voting results?</w:t>
      </w:r>
    </w:p>
    <w:p>
      <w:pPr>
        <w:spacing w:after="0" w:line="93" w:lineRule="exact"/>
        <w:rPr>
          <w:sz w:val="20"/>
          <w:szCs w:val="20"/>
          <w:color w:val="auto"/>
        </w:rPr>
      </w:pPr>
    </w:p>
    <w:p>
      <w:pPr>
        <w:ind w:left="1" w:right="80"/>
        <w:spacing w:after="0" w:line="268" w:lineRule="auto"/>
        <w:rPr>
          <w:sz w:val="20"/>
          <w:szCs w:val="20"/>
          <w:color w:val="auto"/>
        </w:rPr>
      </w:pPr>
      <w:r>
        <w:rPr>
          <w:rFonts w:ascii="Arial" w:cs="Arial" w:eastAsia="Arial" w:hAnsi="Arial"/>
          <w:sz w:val="20"/>
          <w:szCs w:val="20"/>
          <w:color w:val="auto"/>
        </w:rPr>
        <w:t>Broadridge Financial Solutions will receive and tabulate the proxies. Representatives of Hagberg Associates LLC will act as the inspectors of election and will certify the results.</w:t>
      </w:r>
    </w:p>
    <w:p>
      <w:pPr>
        <w:spacing w:after="0" w:line="10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582C83"/>
        </w:rPr>
        <w:t>20. How do I find out the voting results?</w:t>
      </w:r>
    </w:p>
    <w:p>
      <w:pPr>
        <w:spacing w:after="0" w:line="93" w:lineRule="exact"/>
        <w:rPr>
          <w:sz w:val="20"/>
          <w:szCs w:val="20"/>
          <w:color w:val="auto"/>
        </w:rPr>
      </w:pPr>
    </w:p>
    <w:p>
      <w:pPr>
        <w:ind w:left="1" w:right="20"/>
        <w:spacing w:after="0" w:line="250" w:lineRule="auto"/>
        <w:rPr>
          <w:sz w:val="20"/>
          <w:szCs w:val="20"/>
          <w:color w:val="auto"/>
        </w:rPr>
      </w:pPr>
      <w:r>
        <w:rPr>
          <w:rFonts w:ascii="Arial" w:cs="Arial" w:eastAsia="Arial" w:hAnsi="Arial"/>
          <w:sz w:val="20"/>
          <w:szCs w:val="20"/>
          <w:color w:val="auto"/>
        </w:rPr>
        <w:t xml:space="preserve">We expect to announce preliminary voting results at the Annual Meeting. We will disclose final voting results in a Current Report on Form 8-K to be filed with the SEC on or before May 23, 2023. The Form 8-K will be available at </w:t>
      </w:r>
      <w:r>
        <w:rPr>
          <w:rFonts w:ascii="Arial" w:cs="Arial" w:eastAsia="Arial" w:hAnsi="Arial"/>
          <w:sz w:val="20"/>
          <w:szCs w:val="20"/>
          <w:i w:val="1"/>
          <w:iCs w:val="1"/>
          <w:color w:val="582C83"/>
        </w:rPr>
        <w:t xml:space="preserve">http://ir.mondelezinternational.com/sec.cfm </w:t>
      </w:r>
      <w:r>
        <w:rPr>
          <w:rFonts w:ascii="Arial" w:cs="Arial" w:eastAsia="Arial" w:hAnsi="Arial"/>
          <w:sz w:val="20"/>
          <w:szCs w:val="20"/>
          <w:color w:val="000000"/>
        </w:rPr>
        <w:t>and on the SEC’s website at</w:t>
      </w:r>
      <w:r>
        <w:rPr>
          <w:rFonts w:ascii="Arial" w:cs="Arial" w:eastAsia="Arial" w:hAnsi="Arial"/>
          <w:sz w:val="20"/>
          <w:szCs w:val="20"/>
          <w:i w:val="1"/>
          <w:iCs w:val="1"/>
          <w:color w:val="582C83"/>
        </w:rPr>
        <w:t xml:space="preserve"> www.sec.gov</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7143115" cy="76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142" w:name="page143"/>
    <w:bookmarkEnd w:id="142"/>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320040</wp:posOffset>
            </wp:positionV>
            <wp:extent cx="6307455" cy="15455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0"/>
        <w:spacing w:after="0"/>
        <w:rPr>
          <w:sz w:val="20"/>
          <w:szCs w:val="20"/>
          <w:color w:val="auto"/>
        </w:rPr>
      </w:pPr>
      <w:r>
        <w:rPr>
          <w:rFonts w:ascii="Arial" w:cs="Arial" w:eastAsia="Arial" w:hAnsi="Arial"/>
          <w:sz w:val="43"/>
          <w:szCs w:val="43"/>
          <w:b w:val="1"/>
          <w:bCs w:val="1"/>
          <w:color w:val="582C83"/>
        </w:rPr>
        <w:t>2024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right="1000"/>
        <w:spacing w:after="0" w:line="268" w:lineRule="auto"/>
        <w:rPr>
          <w:sz w:val="20"/>
          <w:szCs w:val="20"/>
          <w:color w:val="auto"/>
        </w:rPr>
      </w:pPr>
      <w:r>
        <w:rPr>
          <w:rFonts w:ascii="Arial" w:cs="Arial" w:eastAsia="Arial" w:hAnsi="Arial"/>
          <w:sz w:val="20"/>
          <w:szCs w:val="20"/>
          <w:color w:val="auto"/>
        </w:rPr>
        <w:t>We currently anticipate holding the 2024 Annual Meeting of Shareholders on approximately the same date as this year’s Annual Meeting.</w:t>
      </w:r>
    </w:p>
    <w:p>
      <w:pPr>
        <w:spacing w:after="0" w:line="120" w:lineRule="exact"/>
        <w:rPr>
          <w:sz w:val="20"/>
          <w:szCs w:val="20"/>
          <w:color w:val="auto"/>
        </w:rPr>
      </w:pPr>
    </w:p>
    <w:p>
      <w:pPr>
        <w:ind w:left="660"/>
        <w:spacing w:after="0"/>
        <w:rPr>
          <w:sz w:val="20"/>
          <w:szCs w:val="20"/>
          <w:color w:val="auto"/>
        </w:rPr>
      </w:pPr>
      <w:r>
        <w:rPr>
          <w:sz w:val="1"/>
          <w:szCs w:val="1"/>
          <w:color w:val="auto"/>
        </w:rPr>
        <w:drawing>
          <wp:inline distT="0" distB="0" distL="0" distR="0">
            <wp:extent cx="157480" cy="157480"/>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Shareholder Nominations and Proposals for the 2024 Annual Meeting</w:t>
      </w:r>
    </w:p>
    <w:p>
      <w:pPr>
        <w:spacing w:after="0" w:line="188" w:lineRule="exact"/>
        <w:rPr>
          <w:sz w:val="20"/>
          <w:szCs w:val="20"/>
          <w:color w:val="auto"/>
        </w:rPr>
      </w:pPr>
    </w:p>
    <w:p>
      <w:pPr>
        <w:ind w:left="660" w:right="920"/>
        <w:spacing w:after="0" w:line="268" w:lineRule="auto"/>
        <w:rPr>
          <w:sz w:val="20"/>
          <w:szCs w:val="20"/>
          <w:color w:val="auto"/>
        </w:rPr>
      </w:pPr>
      <w:r>
        <w:rPr>
          <w:rFonts w:ascii="Arial" w:cs="Arial" w:eastAsia="Arial" w:hAnsi="Arial"/>
          <w:sz w:val="20"/>
          <w:szCs w:val="20"/>
          <w:color w:val="auto"/>
        </w:rPr>
        <w:t>Shareholders should mail all nominations and proposals to the Corporate Secretary at Mondelēz International, Inc., 905 West Fulton Market, Suite 200, Chicago, Illinois 60607.</w:t>
      </w:r>
    </w:p>
    <w:p>
      <w:pPr>
        <w:spacing w:after="0" w:line="20" w:lineRule="exact"/>
        <w:rPr>
          <w:sz w:val="20"/>
          <w:szCs w:val="20"/>
          <w:color w:val="auto"/>
        </w:rPr>
      </w:pPr>
    </w:p>
    <w:p>
      <w:pPr>
        <w:ind w:left="660" w:right="720"/>
        <w:spacing w:after="0" w:line="268" w:lineRule="auto"/>
        <w:rPr>
          <w:sz w:val="20"/>
          <w:szCs w:val="20"/>
          <w:color w:val="auto"/>
        </w:rPr>
      </w:pPr>
      <w:r>
        <w:rPr>
          <w:rFonts w:ascii="Arial" w:cs="Arial" w:eastAsia="Arial" w:hAnsi="Arial"/>
          <w:sz w:val="20"/>
          <w:szCs w:val="20"/>
          <w:color w:val="auto"/>
        </w:rPr>
        <w:t xml:space="preserve">You may obtain a copy of the By-Laws from the Corporate Secretary (please make a written request to the same address) or by visiting </w:t>
      </w:r>
      <w:r>
        <w:rPr>
          <w:rFonts w:ascii="Arial" w:cs="Arial" w:eastAsia="Arial" w:hAnsi="Arial"/>
          <w:sz w:val="20"/>
          <w:szCs w:val="20"/>
          <w:i w:val="1"/>
          <w:iCs w:val="1"/>
          <w:color w:val="582C83"/>
        </w:rPr>
        <w:t>www.mondelezinternational.com/investors/corporate-governance</w:t>
      </w:r>
      <w:r>
        <w:rPr>
          <w:rFonts w:ascii="Arial" w:cs="Arial" w:eastAsia="Arial" w:hAnsi="Arial"/>
          <w:sz w:val="20"/>
          <w:szCs w:val="20"/>
          <w:color w:val="auto"/>
        </w:rPr>
        <w:t>.</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582C83"/>
        </w:rPr>
        <w:t>Shareholder Director Candidates for Possible Inclusion in the Company’s 2024 Proxy Materials (“Proxy Access”)</w:t>
      </w:r>
    </w:p>
    <w:p>
      <w:pPr>
        <w:spacing w:after="0" w:line="44" w:lineRule="exact"/>
        <w:rPr>
          <w:sz w:val="20"/>
          <w:szCs w:val="20"/>
          <w:color w:val="auto"/>
        </w:rPr>
      </w:pPr>
    </w:p>
    <w:p>
      <w:pPr>
        <w:ind w:left="660" w:right="840"/>
        <w:spacing w:after="0" w:line="242" w:lineRule="auto"/>
        <w:rPr>
          <w:sz w:val="20"/>
          <w:szCs w:val="20"/>
          <w:color w:val="auto"/>
        </w:rPr>
      </w:pPr>
      <w:r>
        <w:rPr>
          <w:rFonts w:ascii="Arial" w:cs="Arial" w:eastAsia="Arial" w:hAnsi="Arial"/>
          <w:sz w:val="20"/>
          <w:szCs w:val="20"/>
          <w:color w:val="auto"/>
        </w:rPr>
        <w:t>The By-Laws provide for proxy access. One or more shareholders may nominate and include in the 2024 proxy materials director nominees provided that the shareholder(s) and the nominee(s) satisfy the terms, conditions and requirements specified in the By-Laws. The key parameters are:</w:t>
      </w:r>
    </w:p>
    <w:p>
      <w:pPr>
        <w:spacing w:after="0" w:line="59" w:lineRule="exact"/>
        <w:rPr>
          <w:sz w:val="20"/>
          <w:szCs w:val="20"/>
          <w:color w:val="auto"/>
        </w:rPr>
      </w:pPr>
    </w:p>
    <w:p>
      <w:pPr>
        <w:ind w:left="820" w:right="1300" w:hanging="163"/>
        <w:spacing w:after="0" w:line="268" w:lineRule="auto"/>
        <w:tabs>
          <w:tab w:leader="none" w:pos="820" w:val="left"/>
        </w:tabs>
        <w:numPr>
          <w:ilvl w:val="0"/>
          <w:numId w:val="129"/>
        </w:numPr>
        <w:rPr>
          <w:rFonts w:ascii="Arial" w:cs="Arial" w:eastAsia="Arial" w:hAnsi="Arial"/>
          <w:sz w:val="20"/>
          <w:szCs w:val="20"/>
          <w:color w:val="582C83"/>
        </w:rPr>
      </w:pPr>
      <w:r>
        <w:rPr>
          <w:rFonts w:ascii="Arial" w:cs="Arial" w:eastAsia="Arial" w:hAnsi="Arial"/>
          <w:sz w:val="20"/>
          <w:szCs w:val="20"/>
          <w:i w:val="1"/>
          <w:iCs w:val="1"/>
          <w:color w:val="582C83"/>
        </w:rPr>
        <w:t>Minimum Ownership Threshold</w:t>
      </w:r>
      <w:r>
        <w:rPr>
          <w:rFonts w:ascii="Arial" w:cs="Arial" w:eastAsia="Arial" w:hAnsi="Arial"/>
          <w:sz w:val="20"/>
          <w:szCs w:val="20"/>
          <w:color w:val="000000"/>
        </w:rPr>
        <w:t>: the nominating shareholder(s) must own 3% or more of the outstanding</w:t>
      </w:r>
      <w:r>
        <w:rPr>
          <w:rFonts w:ascii="Arial" w:cs="Arial" w:eastAsia="Arial" w:hAnsi="Arial"/>
          <w:sz w:val="20"/>
          <w:szCs w:val="20"/>
          <w:i w:val="1"/>
          <w:iCs w:val="1"/>
          <w:color w:val="582C83"/>
        </w:rPr>
        <w:t xml:space="preserve"> </w:t>
      </w:r>
      <w:r>
        <w:rPr>
          <w:rFonts w:ascii="Arial" w:cs="Arial" w:eastAsia="Arial" w:hAnsi="Arial"/>
          <w:sz w:val="20"/>
          <w:szCs w:val="20"/>
          <w:color w:val="000000"/>
        </w:rPr>
        <w:t>Common Stock;</w:t>
      </w:r>
    </w:p>
    <w:p>
      <w:pPr>
        <w:spacing w:after="0" w:line="32" w:lineRule="exact"/>
        <w:rPr>
          <w:rFonts w:ascii="Arial" w:cs="Arial" w:eastAsia="Arial" w:hAnsi="Arial"/>
          <w:sz w:val="20"/>
          <w:szCs w:val="20"/>
          <w:color w:val="582C83"/>
        </w:rPr>
      </w:pPr>
    </w:p>
    <w:p>
      <w:pPr>
        <w:ind w:left="820" w:hanging="163"/>
        <w:spacing w:after="0"/>
        <w:tabs>
          <w:tab w:leader="none" w:pos="820" w:val="left"/>
        </w:tabs>
        <w:numPr>
          <w:ilvl w:val="0"/>
          <w:numId w:val="129"/>
        </w:numPr>
        <w:rPr>
          <w:rFonts w:ascii="Arial" w:cs="Arial" w:eastAsia="Arial" w:hAnsi="Arial"/>
          <w:sz w:val="20"/>
          <w:szCs w:val="20"/>
          <w:color w:val="582C83"/>
        </w:rPr>
      </w:pPr>
      <w:r>
        <w:rPr>
          <w:rFonts w:ascii="Arial" w:cs="Arial" w:eastAsia="Arial" w:hAnsi="Arial"/>
          <w:sz w:val="20"/>
          <w:szCs w:val="20"/>
          <w:i w:val="1"/>
          <w:iCs w:val="1"/>
          <w:color w:val="582C83"/>
        </w:rPr>
        <w:t>Ownership Duration</w:t>
      </w:r>
      <w:r>
        <w:rPr>
          <w:rFonts w:ascii="Arial" w:cs="Arial" w:eastAsia="Arial" w:hAnsi="Arial"/>
          <w:sz w:val="20"/>
          <w:szCs w:val="20"/>
          <w:color w:val="000000"/>
        </w:rPr>
        <w:t>: such Common Stock must have been held continuously for at least three years;</w:t>
      </w:r>
    </w:p>
    <w:p>
      <w:pPr>
        <w:spacing w:after="0" w:line="92" w:lineRule="exact"/>
        <w:rPr>
          <w:rFonts w:ascii="Arial" w:cs="Arial" w:eastAsia="Arial" w:hAnsi="Arial"/>
          <w:sz w:val="20"/>
          <w:szCs w:val="20"/>
          <w:color w:val="582C83"/>
        </w:rPr>
      </w:pPr>
    </w:p>
    <w:p>
      <w:pPr>
        <w:ind w:left="820" w:hanging="163"/>
        <w:spacing w:after="0"/>
        <w:tabs>
          <w:tab w:leader="none" w:pos="820" w:val="left"/>
        </w:tabs>
        <w:numPr>
          <w:ilvl w:val="0"/>
          <w:numId w:val="129"/>
        </w:numPr>
        <w:rPr>
          <w:rFonts w:ascii="Arial" w:cs="Arial" w:eastAsia="Arial" w:hAnsi="Arial"/>
          <w:sz w:val="20"/>
          <w:szCs w:val="20"/>
          <w:color w:val="582C83"/>
        </w:rPr>
      </w:pPr>
      <w:r>
        <w:rPr>
          <w:rFonts w:ascii="Arial" w:cs="Arial" w:eastAsia="Arial" w:hAnsi="Arial"/>
          <w:sz w:val="20"/>
          <w:szCs w:val="20"/>
          <w:i w:val="1"/>
          <w:iCs w:val="1"/>
          <w:color w:val="582C83"/>
        </w:rPr>
        <w:t>Nominating Group Size</w:t>
      </w:r>
      <w:r>
        <w:rPr>
          <w:rFonts w:ascii="Arial" w:cs="Arial" w:eastAsia="Arial" w:hAnsi="Arial"/>
          <w:sz w:val="20"/>
          <w:szCs w:val="20"/>
          <w:color w:val="000000"/>
        </w:rPr>
        <w:t>: a nominating shareholder group cannot consist of more than 20 shareholders; and</w:t>
      </w:r>
    </w:p>
    <w:p>
      <w:pPr>
        <w:spacing w:after="0" w:line="92" w:lineRule="exact"/>
        <w:rPr>
          <w:rFonts w:ascii="Arial" w:cs="Arial" w:eastAsia="Arial" w:hAnsi="Arial"/>
          <w:sz w:val="20"/>
          <w:szCs w:val="20"/>
          <w:color w:val="582C83"/>
        </w:rPr>
      </w:pPr>
    </w:p>
    <w:p>
      <w:pPr>
        <w:ind w:left="820" w:hanging="163"/>
        <w:spacing w:after="0"/>
        <w:tabs>
          <w:tab w:leader="none" w:pos="820" w:val="left"/>
        </w:tabs>
        <w:numPr>
          <w:ilvl w:val="0"/>
          <w:numId w:val="129"/>
        </w:numPr>
        <w:rPr>
          <w:rFonts w:ascii="Arial" w:cs="Arial" w:eastAsia="Arial" w:hAnsi="Arial"/>
          <w:sz w:val="20"/>
          <w:szCs w:val="20"/>
          <w:color w:val="582C83"/>
        </w:rPr>
      </w:pPr>
      <w:r>
        <w:rPr>
          <w:rFonts w:ascii="Arial" w:cs="Arial" w:eastAsia="Arial" w:hAnsi="Arial"/>
          <w:sz w:val="20"/>
          <w:szCs w:val="20"/>
          <w:i w:val="1"/>
          <w:iCs w:val="1"/>
          <w:color w:val="582C83"/>
        </w:rPr>
        <w:t>Number of Nominees</w:t>
      </w:r>
      <w:r>
        <w:rPr>
          <w:rFonts w:ascii="Arial" w:cs="Arial" w:eastAsia="Arial" w:hAnsi="Arial"/>
          <w:sz w:val="20"/>
          <w:szCs w:val="20"/>
          <w:color w:val="000000"/>
        </w:rPr>
        <w:t>: appropriate shareholders may nominate the greater of 20% of the Board or 2 nominees.</w:t>
      </w:r>
    </w:p>
    <w:p>
      <w:pPr>
        <w:spacing w:after="0" w:line="167" w:lineRule="exact"/>
        <w:rPr>
          <w:sz w:val="20"/>
          <w:szCs w:val="20"/>
          <w:color w:val="auto"/>
        </w:rPr>
      </w:pPr>
    </w:p>
    <w:p>
      <w:pPr>
        <w:ind w:left="660" w:right="1120"/>
        <w:spacing w:after="0" w:line="250" w:lineRule="auto"/>
        <w:rPr>
          <w:sz w:val="20"/>
          <w:szCs w:val="20"/>
          <w:color w:val="auto"/>
        </w:rPr>
      </w:pPr>
      <w:r>
        <w:rPr>
          <w:rFonts w:ascii="Arial" w:cs="Arial" w:eastAsia="Arial" w:hAnsi="Arial"/>
          <w:sz w:val="20"/>
          <w:szCs w:val="20"/>
          <w:color w:val="auto"/>
        </w:rPr>
        <w:t>To be included in the proxy materials for the 2024 Annual Meeting of Shareholders, the Corporate Secretary must receive the required written notice and required information specified in the By-Laws on or before December 8, 2023.</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582C83"/>
        </w:rPr>
        <w:t>Shareholder Proposals for Possible Inclusion in the Company’s 2024 Proxy Materials</w:t>
      </w:r>
    </w:p>
    <w:p>
      <w:pPr>
        <w:spacing w:after="0" w:line="44" w:lineRule="exact"/>
        <w:rPr>
          <w:sz w:val="20"/>
          <w:szCs w:val="20"/>
          <w:color w:val="auto"/>
        </w:rPr>
      </w:pPr>
    </w:p>
    <w:p>
      <w:pPr>
        <w:ind w:left="660" w:right="840"/>
        <w:spacing w:after="0" w:line="252" w:lineRule="auto"/>
        <w:rPr>
          <w:sz w:val="20"/>
          <w:szCs w:val="20"/>
          <w:color w:val="auto"/>
        </w:rPr>
      </w:pPr>
      <w:r>
        <w:rPr>
          <w:rFonts w:ascii="Arial" w:cs="Arial" w:eastAsia="Arial" w:hAnsi="Arial"/>
          <w:sz w:val="19"/>
          <w:szCs w:val="19"/>
          <w:color w:val="auto"/>
        </w:rPr>
        <w:t>Under SEC Rule 14a-8, a shareholder may submit a proposal for possible inclusion in the 2024 proxy materials for an annual meeting of shareholders. The Corporate Secretary must receive the proposal and other required information at our principal executive offices not later than 120 calendar days before the one-year anniversary date of the proxy statement’s release for the previous year’s annual meeting. Accordingly, to be considered for inclusion in the proxy materials for the 2024 Annual Meeting of Shareholders, the Corporate Secretary must receive a shareholder’s submission of a proposal on or before the close of business on December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205105</wp:posOffset>
            </wp:positionV>
            <wp:extent cx="7143115" cy="76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3" w:name="page144"/>
    <w:bookmarkEnd w:id="143"/>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Other Proposals and Nominations for the 2024 Annual Meeting</w:t>
      </w:r>
    </w:p>
    <w:p>
      <w:pPr>
        <w:spacing w:after="0" w:line="44"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Under the By-Laws, a shareholder may nominate a candidate for election as a director or propose business for consideration at an annual meeting of shareholders (but, in either case, not for inclusion in the proxy materials) by delivering written notice that contains certain required information to the Corporate Secretary and otherwise complying with other requirements included in our By-Laws. To be considered at the 2024 Annual Meeting of Shareholders, the Corporate Secretary must receive a shareholder’s written notice of nomination or proposal between January 18, 2024, and February 17, 2024. If we change the date of an annual meeting by more than 30 days from the date of this year’s annual meeting, then we must receive this written notice no later than 60 days before the date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6038850</wp:posOffset>
            </wp:positionH>
            <wp:positionV relativeFrom="paragraph">
              <wp:posOffset>436245</wp:posOffset>
            </wp:positionV>
            <wp:extent cx="1103630" cy="30734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103630" cy="30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Ellen M. Smith</w:t>
      </w:r>
    </w:p>
    <w:p>
      <w:pPr>
        <w:spacing w:after="0" w:line="7"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Senior Vice President &amp; Chief Counsel,</w:t>
      </w:r>
    </w:p>
    <w:p>
      <w:pPr>
        <w:jc w:val="right"/>
        <w:spacing w:after="0"/>
        <w:rPr>
          <w:sz w:val="20"/>
          <w:szCs w:val="20"/>
          <w:color w:val="auto"/>
        </w:rPr>
      </w:pPr>
      <w:r>
        <w:rPr>
          <w:rFonts w:ascii="Arial" w:cs="Arial" w:eastAsia="Arial" w:hAnsi="Arial"/>
          <w:sz w:val="20"/>
          <w:szCs w:val="20"/>
          <w:color w:val="auto"/>
        </w:rPr>
        <w:t>Chief Compliance Officer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143115" cy="762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39445" cy="7620"/>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311785</wp:posOffset>
            </wp:positionV>
            <wp:extent cx="6307455" cy="15455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630745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41"/>
          <w:szCs w:val="41"/>
          <w:b w:val="1"/>
          <w:bCs w:val="1"/>
          <w:color w:val="58358F"/>
        </w:rPr>
        <w:t>ANNEX A:FINANCIAL MEASURES 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680"/>
        <w:spacing w:after="0" w:line="239" w:lineRule="auto"/>
        <w:rPr>
          <w:sz w:val="20"/>
          <w:szCs w:val="20"/>
          <w:color w:val="auto"/>
        </w:rPr>
      </w:pPr>
      <w:r>
        <w:rPr>
          <w:rFonts w:ascii="Arial" w:cs="Arial" w:eastAsia="Arial" w:hAnsi="Arial"/>
          <w:sz w:val="20"/>
          <w:szCs w:val="20"/>
          <w:color w:val="auto"/>
        </w:rPr>
        <w:t>We report our financial results in accordance with U.S. GAAP. However, we use non-GAAP financial measures in making financial, operating and planning decisions, and in evaluating our performance. Therefore, we also base financial targets for our AIP and PSUs grants on non-GAAP and other financial measures. The chart below defines each measure and describes the adjustments to the related GAAP measure (if applicable), modifications to our non-GAAP measures for purposes of our compensation targets and our reasons for using these measures. (See our 2022 Form 10-K for additional information on our non-GAAP financial measures and definitions of terms used in the Definitions column below.)</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61"/>
        </w:trPr>
        <w:tc>
          <w:tcPr>
            <w:tcW w:w="1480" w:type="dxa"/>
            <w:vAlign w:val="bottom"/>
          </w:tcPr>
          <w:p>
            <w:pPr>
              <w:spacing w:after="0"/>
              <w:rPr>
                <w:sz w:val="22"/>
                <w:szCs w:val="22"/>
                <w:color w:val="auto"/>
              </w:rPr>
            </w:pPr>
          </w:p>
        </w:tc>
        <w:tc>
          <w:tcPr>
            <w:tcW w:w="4150" w:type="dxa"/>
            <w:vAlign w:val="bottom"/>
          </w:tcPr>
          <w:p>
            <w:pPr>
              <w:ind w:left="60"/>
              <w:spacing w:after="0"/>
              <w:rPr>
                <w:sz w:val="20"/>
                <w:szCs w:val="20"/>
                <w:color w:val="auto"/>
              </w:rPr>
            </w:pPr>
            <w:r>
              <w:rPr>
                <w:rFonts w:ascii="Arial" w:cs="Arial" w:eastAsia="Arial" w:hAnsi="Arial"/>
                <w:sz w:val="20"/>
                <w:szCs w:val="20"/>
                <w:b w:val="1"/>
                <w:bCs w:val="1"/>
                <w:color w:val="auto"/>
              </w:rPr>
              <w:t>Definitions</w:t>
            </w:r>
          </w:p>
        </w:tc>
        <w:tc>
          <w:tcPr>
            <w:tcW w:w="2260" w:type="dxa"/>
            <w:vAlign w:val="bottom"/>
          </w:tcPr>
          <w:p>
            <w:pPr>
              <w:spacing w:after="0"/>
              <w:rPr>
                <w:sz w:val="22"/>
                <w:szCs w:val="22"/>
                <w:color w:val="auto"/>
              </w:rPr>
            </w:pPr>
          </w:p>
        </w:tc>
        <w:tc>
          <w:tcPr>
            <w:tcW w:w="2050" w:type="dxa"/>
            <w:vAlign w:val="bottom"/>
          </w:tcPr>
          <w:p>
            <w:pPr>
              <w:spacing w:after="0"/>
              <w:rPr>
                <w:sz w:val="22"/>
                <w:szCs w:val="22"/>
                <w:color w:val="auto"/>
              </w:rPr>
            </w:pPr>
          </w:p>
        </w:tc>
      </w:tr>
      <w:tr>
        <w:trPr>
          <w:trHeight w:val="223"/>
        </w:trPr>
        <w:tc>
          <w:tcPr>
            <w:tcW w:w="1480" w:type="dxa"/>
            <w:vAlign w:val="bottom"/>
          </w:tcPr>
          <w:p>
            <w:pPr>
              <w:spacing w:after="0"/>
              <w:rPr>
                <w:sz w:val="19"/>
                <w:szCs w:val="19"/>
                <w:color w:val="auto"/>
              </w:rPr>
            </w:pPr>
          </w:p>
        </w:tc>
        <w:tc>
          <w:tcPr>
            <w:tcW w:w="4150" w:type="dxa"/>
            <w:vAlign w:val="bottom"/>
          </w:tcPr>
          <w:p>
            <w:pPr>
              <w:ind w:left="60"/>
              <w:spacing w:after="0" w:line="224" w:lineRule="exact"/>
              <w:rPr>
                <w:sz w:val="20"/>
                <w:szCs w:val="20"/>
                <w:color w:val="auto"/>
              </w:rPr>
            </w:pPr>
            <w:r>
              <w:rPr>
                <w:rFonts w:ascii="Arial" w:cs="Arial" w:eastAsia="Arial" w:hAnsi="Arial"/>
                <w:sz w:val="20"/>
                <w:szCs w:val="20"/>
                <w:b w:val="1"/>
                <w:bCs w:val="1"/>
                <w:color w:val="auto"/>
              </w:rPr>
              <w:t>(Including Adjustment to GAAP</w:t>
            </w:r>
          </w:p>
        </w:tc>
        <w:tc>
          <w:tcPr>
            <w:tcW w:w="2260" w:type="dxa"/>
            <w:vAlign w:val="bottom"/>
          </w:tcPr>
          <w:p>
            <w:pPr>
              <w:spacing w:after="0"/>
              <w:rPr>
                <w:sz w:val="19"/>
                <w:szCs w:val="19"/>
                <w:color w:val="auto"/>
              </w:rPr>
            </w:pPr>
          </w:p>
        </w:tc>
        <w:tc>
          <w:tcPr>
            <w:tcW w:w="2050" w:type="dxa"/>
            <w:vAlign w:val="bottom"/>
          </w:tcPr>
          <w:p>
            <w:pPr>
              <w:spacing w:after="0"/>
              <w:rPr>
                <w:sz w:val="19"/>
                <w:szCs w:val="19"/>
                <w:color w:val="auto"/>
              </w:rPr>
            </w:pPr>
          </w:p>
        </w:tc>
      </w:tr>
      <w:tr>
        <w:trPr>
          <w:trHeight w:val="292"/>
        </w:trPr>
        <w:tc>
          <w:tcPr>
            <w:tcW w:w="1480" w:type="dxa"/>
            <w:vAlign w:val="bottom"/>
            <w:tcBorders>
              <w:bottom w:val="single" w:sz="8" w:color="582C83"/>
            </w:tcBorders>
          </w:tcPr>
          <w:p>
            <w:pPr>
              <w:ind w:left="60"/>
              <w:spacing w:after="0"/>
              <w:rPr>
                <w:sz w:val="20"/>
                <w:szCs w:val="20"/>
                <w:color w:val="auto"/>
              </w:rPr>
            </w:pPr>
            <w:r>
              <w:rPr>
                <w:rFonts w:ascii="Arial" w:cs="Arial" w:eastAsia="Arial" w:hAnsi="Arial"/>
                <w:sz w:val="20"/>
                <w:szCs w:val="20"/>
                <w:b w:val="1"/>
                <w:bCs w:val="1"/>
                <w:color w:val="auto"/>
              </w:rPr>
              <w:t>Measures</w:t>
            </w:r>
          </w:p>
        </w:tc>
        <w:tc>
          <w:tcPr>
            <w:tcW w:w="4150" w:type="dxa"/>
            <w:vAlign w:val="bottom"/>
            <w:tcBorders>
              <w:bottom w:val="single" w:sz="8" w:color="582C83"/>
            </w:tcBorders>
          </w:tcPr>
          <w:p>
            <w:pPr>
              <w:ind w:left="60"/>
              <w:spacing w:after="0"/>
              <w:rPr>
                <w:sz w:val="20"/>
                <w:szCs w:val="20"/>
                <w:color w:val="auto"/>
              </w:rPr>
            </w:pPr>
            <w:r>
              <w:rPr>
                <w:rFonts w:ascii="Arial" w:cs="Arial" w:eastAsia="Arial" w:hAnsi="Arial"/>
                <w:sz w:val="20"/>
                <w:szCs w:val="20"/>
                <w:b w:val="1"/>
                <w:bCs w:val="1"/>
                <w:color w:val="auto"/>
              </w:rPr>
              <w:t>Measure)</w:t>
            </w:r>
          </w:p>
        </w:tc>
        <w:tc>
          <w:tcPr>
            <w:tcW w:w="2260" w:type="dxa"/>
            <w:vAlign w:val="bottom"/>
            <w:tcBorders>
              <w:bottom w:val="single" w:sz="8" w:color="582C83"/>
            </w:tcBorders>
          </w:tcPr>
          <w:p>
            <w:pPr>
              <w:ind w:left="50"/>
              <w:spacing w:after="0"/>
              <w:rPr>
                <w:sz w:val="20"/>
                <w:szCs w:val="20"/>
                <w:color w:val="auto"/>
              </w:rPr>
            </w:pPr>
            <w:r>
              <w:rPr>
                <w:rFonts w:ascii="Arial" w:cs="Arial" w:eastAsia="Arial" w:hAnsi="Arial"/>
                <w:sz w:val="20"/>
                <w:szCs w:val="20"/>
                <w:b w:val="1"/>
                <w:bCs w:val="1"/>
                <w:color w:val="auto"/>
              </w:rPr>
              <w:t>Modifications</w:t>
            </w:r>
          </w:p>
        </w:tc>
        <w:tc>
          <w:tcPr>
            <w:tcW w:w="2050" w:type="dxa"/>
            <w:vAlign w:val="bottom"/>
            <w:tcBorders>
              <w:bottom w:val="single" w:sz="8" w:color="582C83"/>
            </w:tcBorders>
          </w:tcPr>
          <w:p>
            <w:pPr>
              <w:ind w:left="50"/>
              <w:spacing w:after="0"/>
              <w:rPr>
                <w:sz w:val="20"/>
                <w:szCs w:val="20"/>
                <w:color w:val="auto"/>
              </w:rPr>
            </w:pPr>
            <w:r>
              <w:rPr>
                <w:rFonts w:ascii="Arial" w:cs="Arial" w:eastAsia="Arial" w:hAnsi="Arial"/>
                <w:sz w:val="20"/>
                <w:szCs w:val="20"/>
                <w:b w:val="1"/>
                <w:bCs w:val="1"/>
                <w:color w:val="auto"/>
              </w:rPr>
              <w:t>Rationale</w:t>
            </w:r>
          </w:p>
        </w:tc>
      </w:tr>
      <w:tr>
        <w:trPr>
          <w:trHeight w:val="247"/>
        </w:trPr>
        <w:tc>
          <w:tcPr>
            <w:tcW w:w="148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auto"/>
              </w:rPr>
              <w:t>Organic</w:t>
            </w:r>
          </w:p>
        </w:tc>
        <w:tc>
          <w:tcPr>
            <w:tcW w:w="4150" w:type="dxa"/>
            <w:vAlign w:val="bottom"/>
            <w:shd w:val="clear" w:color="auto" w:fill="EBE6F0"/>
          </w:tcPr>
          <w:p>
            <w:pPr>
              <w:ind w:left="60"/>
              <w:spacing w:after="0"/>
              <w:rPr>
                <w:sz w:val="20"/>
                <w:szCs w:val="20"/>
                <w:color w:val="auto"/>
              </w:rPr>
            </w:pPr>
            <w:r>
              <w:rPr>
                <w:rFonts w:ascii="Arial" w:cs="Arial" w:eastAsia="Arial" w:hAnsi="Arial"/>
                <w:sz w:val="20"/>
                <w:szCs w:val="20"/>
                <w:color w:val="auto"/>
              </w:rPr>
              <w:t>Organic Volume is defined as volume</w:t>
            </w:r>
          </w:p>
        </w:tc>
        <w:tc>
          <w:tcPr>
            <w:tcW w:w="2260" w:type="dxa"/>
            <w:vAlign w:val="bottom"/>
            <w:shd w:val="clear" w:color="auto" w:fill="EBE6F0"/>
          </w:tcPr>
          <w:p>
            <w:pPr>
              <w:spacing w:after="0"/>
              <w:rPr>
                <w:sz w:val="21"/>
                <w:szCs w:val="21"/>
                <w:color w:val="auto"/>
              </w:rPr>
            </w:pPr>
          </w:p>
        </w:tc>
        <w:tc>
          <w:tcPr>
            <w:tcW w:w="2050" w:type="dxa"/>
            <w:vAlign w:val="bottom"/>
            <w:shd w:val="clear" w:color="auto" w:fill="EBE6F0"/>
          </w:tcPr>
          <w:p>
            <w:pPr>
              <w:ind w:left="70"/>
              <w:spacing w:after="0"/>
              <w:rPr>
                <w:sz w:val="20"/>
                <w:szCs w:val="20"/>
                <w:color w:val="auto"/>
              </w:rPr>
            </w:pPr>
            <w:r>
              <w:rPr>
                <w:rFonts w:ascii="Arial" w:cs="Arial" w:eastAsia="Arial" w:hAnsi="Arial"/>
                <w:sz w:val="20"/>
                <w:szCs w:val="20"/>
                <w:color w:val="auto"/>
              </w:rPr>
              <w:t>Reflects the volume</w:t>
            </w:r>
          </w:p>
        </w:tc>
      </w:tr>
      <w:tr>
        <w:trPr>
          <w:trHeight w:val="223"/>
        </w:trPr>
        <w:tc>
          <w:tcPr>
            <w:tcW w:w="148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b w:val="1"/>
                <w:bCs w:val="1"/>
                <w:color w:val="auto"/>
              </w:rPr>
              <w:t>Volume</w:t>
            </w:r>
          </w:p>
        </w:tc>
        <w:tc>
          <w:tcPr>
            <w:tcW w:w="415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auto"/>
              </w:rPr>
              <w:t>excluding the impacts of:</w:t>
            </w:r>
          </w:p>
        </w:tc>
        <w:tc>
          <w:tcPr>
            <w:tcW w:w="2260" w:type="dxa"/>
            <w:vAlign w:val="bottom"/>
            <w:shd w:val="clear" w:color="auto" w:fill="EBE6F0"/>
          </w:tcPr>
          <w:p>
            <w:pPr>
              <w:spacing w:after="0"/>
              <w:rPr>
                <w:sz w:val="19"/>
                <w:szCs w:val="19"/>
                <w:color w:val="auto"/>
              </w:rPr>
            </w:pPr>
          </w:p>
        </w:tc>
        <w:tc>
          <w:tcPr>
            <w:tcW w:w="2050" w:type="dxa"/>
            <w:vAlign w:val="bottom"/>
            <w:shd w:val="clear" w:color="auto" w:fill="EBE6F0"/>
          </w:tcPr>
          <w:p>
            <w:pPr>
              <w:ind w:left="70"/>
              <w:spacing w:after="0" w:line="224" w:lineRule="exact"/>
              <w:rPr>
                <w:sz w:val="20"/>
                <w:szCs w:val="20"/>
                <w:color w:val="auto"/>
              </w:rPr>
            </w:pPr>
            <w:r>
              <w:rPr>
                <w:rFonts w:ascii="Arial" w:cs="Arial" w:eastAsia="Arial" w:hAnsi="Arial"/>
                <w:sz w:val="20"/>
                <w:szCs w:val="20"/>
                <w:color w:val="auto"/>
              </w:rPr>
              <w:t>growth rates for our</w:t>
            </w:r>
          </w:p>
        </w:tc>
      </w:tr>
      <w:tr>
        <w:trPr>
          <w:trHeight w:val="237"/>
        </w:trPr>
        <w:tc>
          <w:tcPr>
            <w:tcW w:w="148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auto"/>
              </w:rPr>
              <w:t>Growth</w:t>
            </w:r>
          </w:p>
        </w:tc>
        <w:tc>
          <w:tcPr>
            <w:tcW w:w="4150" w:type="dxa"/>
            <w:vAlign w:val="bottom"/>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acquisitions; and</w:t>
            </w:r>
          </w:p>
        </w:tc>
        <w:tc>
          <w:tcPr>
            <w:tcW w:w="2260" w:type="dxa"/>
            <w:vAlign w:val="bottom"/>
            <w:shd w:val="clear" w:color="auto" w:fill="EBE6F0"/>
          </w:tcPr>
          <w:p>
            <w:pPr>
              <w:spacing w:after="0"/>
              <w:rPr>
                <w:sz w:val="20"/>
                <w:szCs w:val="20"/>
                <w:color w:val="auto"/>
              </w:rPr>
            </w:pPr>
          </w:p>
        </w:tc>
        <w:tc>
          <w:tcPr>
            <w:tcW w:w="2050" w:type="dxa"/>
            <w:vAlign w:val="bottom"/>
            <w:shd w:val="clear" w:color="auto" w:fill="EBE6F0"/>
          </w:tcPr>
          <w:p>
            <w:pPr>
              <w:ind w:left="70"/>
              <w:spacing w:after="0"/>
              <w:rPr>
                <w:sz w:val="20"/>
                <w:szCs w:val="20"/>
                <w:color w:val="auto"/>
              </w:rPr>
            </w:pPr>
            <w:r>
              <w:rPr>
                <w:rFonts w:ascii="Arial" w:cs="Arial" w:eastAsia="Arial" w:hAnsi="Arial"/>
                <w:sz w:val="20"/>
                <w:szCs w:val="20"/>
                <w:color w:val="auto"/>
              </w:rPr>
              <w:t>base business by</w:t>
            </w:r>
          </w:p>
        </w:tc>
      </w:tr>
      <w:tr>
        <w:trPr>
          <w:trHeight w:val="310"/>
        </w:trPr>
        <w:tc>
          <w:tcPr>
            <w:tcW w:w="148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auto"/>
              </w:rPr>
              <w:t>(AIP)</w:t>
            </w:r>
          </w:p>
        </w:tc>
        <w:tc>
          <w:tcPr>
            <w:tcW w:w="4150" w:type="dxa"/>
            <w:vAlign w:val="bottom"/>
            <w:shd w:val="clear" w:color="auto" w:fill="EBE6F0"/>
          </w:tcPr>
          <w:p>
            <w:pPr>
              <w:ind w:left="60"/>
              <w:spacing w:after="0" w:line="311" w:lineRule="exact"/>
              <w:rPr>
                <w:sz w:val="20"/>
                <w:szCs w:val="20"/>
                <w:color w:val="auto"/>
              </w:rPr>
            </w:pPr>
            <w:r>
              <w:rPr>
                <w:rFonts w:ascii="Arial" w:cs="Arial" w:eastAsia="Arial" w:hAnsi="Arial"/>
                <w:sz w:val="35"/>
                <w:szCs w:val="35"/>
                <w:color w:val="582C83"/>
                <w:vertAlign w:val="superscript"/>
              </w:rPr>
              <w:t>•</w:t>
            </w:r>
            <w:r>
              <w:rPr>
                <w:rFonts w:ascii="Arial" w:cs="Arial" w:eastAsia="Arial" w:hAnsi="Arial"/>
                <w:sz w:val="18"/>
                <w:szCs w:val="18"/>
                <w:color w:val="auto"/>
              </w:rPr>
              <w:t xml:space="preserve"> divestitures</w:t>
            </w:r>
            <w:r>
              <w:rPr>
                <w:rFonts w:ascii="Arial" w:cs="Arial" w:eastAsia="Arial" w:hAnsi="Arial"/>
                <w:sz w:val="30"/>
                <w:szCs w:val="30"/>
                <w:color w:val="auto"/>
                <w:vertAlign w:val="superscript"/>
              </w:rPr>
              <w:t>(1)</w:t>
            </w:r>
            <w:r>
              <w:rPr>
                <w:rFonts w:ascii="Arial" w:cs="Arial" w:eastAsia="Arial" w:hAnsi="Arial"/>
                <w:sz w:val="18"/>
                <w:szCs w:val="18"/>
                <w:color w:val="auto"/>
              </w:rPr>
              <w:t>.</w:t>
            </w:r>
          </w:p>
        </w:tc>
        <w:tc>
          <w:tcPr>
            <w:tcW w:w="2260" w:type="dxa"/>
            <w:vAlign w:val="bottom"/>
            <w:shd w:val="clear" w:color="auto" w:fill="EBE6F0"/>
          </w:tcPr>
          <w:p>
            <w:pPr>
              <w:spacing w:after="0"/>
              <w:rPr>
                <w:sz w:val="24"/>
                <w:szCs w:val="24"/>
                <w:color w:val="auto"/>
              </w:rPr>
            </w:pPr>
          </w:p>
        </w:tc>
        <w:tc>
          <w:tcPr>
            <w:tcW w:w="2050" w:type="dxa"/>
            <w:vAlign w:val="bottom"/>
            <w:shd w:val="clear" w:color="auto" w:fill="EBE6F0"/>
          </w:tcPr>
          <w:p>
            <w:pPr>
              <w:ind w:left="70"/>
              <w:spacing w:after="0"/>
              <w:rPr>
                <w:sz w:val="20"/>
                <w:szCs w:val="20"/>
                <w:color w:val="auto"/>
              </w:rPr>
            </w:pPr>
            <w:r>
              <w:rPr>
                <w:rFonts w:ascii="Arial" w:cs="Arial" w:eastAsia="Arial" w:hAnsi="Arial"/>
                <w:sz w:val="20"/>
                <w:szCs w:val="20"/>
                <w:color w:val="auto"/>
              </w:rPr>
              <w:t>eliminating the</w:t>
            </w:r>
          </w:p>
        </w:tc>
      </w:tr>
      <w:tr>
        <w:trPr>
          <w:trHeight w:val="123"/>
        </w:trPr>
        <w:tc>
          <w:tcPr>
            <w:tcW w:w="1480" w:type="dxa"/>
            <w:vAlign w:val="bottom"/>
            <w:shd w:val="clear" w:color="auto" w:fill="EBE6F0"/>
          </w:tcPr>
          <w:p>
            <w:pPr>
              <w:spacing w:after="0"/>
              <w:rPr>
                <w:sz w:val="10"/>
                <w:szCs w:val="10"/>
                <w:color w:val="auto"/>
              </w:rPr>
            </w:pPr>
          </w:p>
        </w:tc>
        <w:tc>
          <w:tcPr>
            <w:tcW w:w="4150" w:type="dxa"/>
            <w:vAlign w:val="bottom"/>
            <w:shd w:val="clear" w:color="auto" w:fill="EBE6F0"/>
          </w:tcPr>
          <w:p>
            <w:pPr>
              <w:spacing w:after="0"/>
              <w:rPr>
                <w:sz w:val="10"/>
                <w:szCs w:val="10"/>
                <w:color w:val="auto"/>
              </w:rPr>
            </w:pPr>
          </w:p>
        </w:tc>
        <w:tc>
          <w:tcPr>
            <w:tcW w:w="2260" w:type="dxa"/>
            <w:vAlign w:val="bottom"/>
            <w:shd w:val="clear" w:color="auto" w:fill="EBE6F0"/>
          </w:tcPr>
          <w:p>
            <w:pPr>
              <w:spacing w:after="0"/>
              <w:rPr>
                <w:sz w:val="10"/>
                <w:szCs w:val="10"/>
                <w:color w:val="auto"/>
              </w:rPr>
            </w:pPr>
          </w:p>
        </w:tc>
        <w:tc>
          <w:tcPr>
            <w:tcW w:w="2050" w:type="dxa"/>
            <w:vAlign w:val="bottom"/>
            <w:shd w:val="clear" w:color="auto" w:fill="EBE6F0"/>
          </w:tcPr>
          <w:p>
            <w:pPr>
              <w:ind w:left="70"/>
              <w:spacing w:after="0" w:line="123" w:lineRule="exact"/>
              <w:rPr>
                <w:sz w:val="20"/>
                <w:szCs w:val="20"/>
                <w:color w:val="auto"/>
              </w:rPr>
            </w:pPr>
            <w:r>
              <w:rPr>
                <w:rFonts w:ascii="Arial" w:cs="Arial" w:eastAsia="Arial" w:hAnsi="Arial"/>
                <w:sz w:val="14"/>
                <w:szCs w:val="14"/>
                <w:color w:val="auto"/>
              </w:rPr>
              <w:t>impact of certain</w:t>
            </w:r>
          </w:p>
        </w:tc>
      </w:tr>
      <w:tr>
        <w:trPr>
          <w:trHeight w:val="223"/>
        </w:trPr>
        <w:tc>
          <w:tcPr>
            <w:tcW w:w="1480" w:type="dxa"/>
            <w:vAlign w:val="bottom"/>
            <w:shd w:val="clear" w:color="auto" w:fill="EBE6F0"/>
          </w:tcPr>
          <w:p>
            <w:pPr>
              <w:spacing w:after="0"/>
              <w:rPr>
                <w:sz w:val="19"/>
                <w:szCs w:val="19"/>
                <w:color w:val="auto"/>
              </w:rPr>
            </w:pPr>
          </w:p>
        </w:tc>
        <w:tc>
          <w:tcPr>
            <w:tcW w:w="4150" w:type="dxa"/>
            <w:vAlign w:val="bottom"/>
            <w:shd w:val="clear" w:color="auto" w:fill="EBE6F0"/>
          </w:tcPr>
          <w:p>
            <w:pPr>
              <w:spacing w:after="0"/>
              <w:rPr>
                <w:sz w:val="19"/>
                <w:szCs w:val="19"/>
                <w:color w:val="auto"/>
              </w:rPr>
            </w:pPr>
          </w:p>
        </w:tc>
        <w:tc>
          <w:tcPr>
            <w:tcW w:w="2260" w:type="dxa"/>
            <w:vAlign w:val="bottom"/>
            <w:shd w:val="clear" w:color="auto" w:fill="EBE6F0"/>
          </w:tcPr>
          <w:p>
            <w:pPr>
              <w:spacing w:after="0"/>
              <w:rPr>
                <w:sz w:val="19"/>
                <w:szCs w:val="19"/>
                <w:color w:val="auto"/>
              </w:rPr>
            </w:pPr>
          </w:p>
        </w:tc>
        <w:tc>
          <w:tcPr>
            <w:tcW w:w="2050" w:type="dxa"/>
            <w:vAlign w:val="bottom"/>
            <w:shd w:val="clear" w:color="auto" w:fill="EBE6F0"/>
          </w:tcPr>
          <w:p>
            <w:pPr>
              <w:ind w:left="70"/>
              <w:spacing w:after="0" w:line="224" w:lineRule="exact"/>
              <w:rPr>
                <w:sz w:val="20"/>
                <w:szCs w:val="20"/>
                <w:color w:val="auto"/>
              </w:rPr>
            </w:pPr>
            <w:r>
              <w:rPr>
                <w:rFonts w:ascii="Arial" w:cs="Arial" w:eastAsia="Arial" w:hAnsi="Arial"/>
                <w:sz w:val="20"/>
                <w:szCs w:val="20"/>
                <w:color w:val="auto"/>
              </w:rPr>
              <w:t>disclosed one-time</w:t>
            </w:r>
          </w:p>
        </w:tc>
      </w:tr>
      <w:tr>
        <w:trPr>
          <w:trHeight w:val="223"/>
        </w:trPr>
        <w:tc>
          <w:tcPr>
            <w:tcW w:w="1480" w:type="dxa"/>
            <w:vAlign w:val="bottom"/>
            <w:shd w:val="clear" w:color="auto" w:fill="EBE6F0"/>
          </w:tcPr>
          <w:p>
            <w:pPr>
              <w:spacing w:after="0"/>
              <w:rPr>
                <w:sz w:val="19"/>
                <w:szCs w:val="19"/>
                <w:color w:val="auto"/>
              </w:rPr>
            </w:pPr>
          </w:p>
        </w:tc>
        <w:tc>
          <w:tcPr>
            <w:tcW w:w="4150" w:type="dxa"/>
            <w:vAlign w:val="bottom"/>
            <w:shd w:val="clear" w:color="auto" w:fill="EBE6F0"/>
          </w:tcPr>
          <w:p>
            <w:pPr>
              <w:spacing w:after="0"/>
              <w:rPr>
                <w:sz w:val="19"/>
                <w:szCs w:val="19"/>
                <w:color w:val="auto"/>
              </w:rPr>
            </w:pPr>
          </w:p>
        </w:tc>
        <w:tc>
          <w:tcPr>
            <w:tcW w:w="2260" w:type="dxa"/>
            <w:vAlign w:val="bottom"/>
            <w:shd w:val="clear" w:color="auto" w:fill="EBE6F0"/>
          </w:tcPr>
          <w:p>
            <w:pPr>
              <w:spacing w:after="0"/>
              <w:rPr>
                <w:sz w:val="19"/>
                <w:szCs w:val="19"/>
                <w:color w:val="auto"/>
              </w:rPr>
            </w:pPr>
          </w:p>
        </w:tc>
        <w:tc>
          <w:tcPr>
            <w:tcW w:w="2050" w:type="dxa"/>
            <w:vAlign w:val="bottom"/>
            <w:shd w:val="clear" w:color="auto" w:fill="EBE6F0"/>
          </w:tcPr>
          <w:p>
            <w:pPr>
              <w:ind w:left="70"/>
              <w:spacing w:after="0" w:line="224" w:lineRule="exact"/>
              <w:rPr>
                <w:sz w:val="20"/>
                <w:szCs w:val="20"/>
                <w:color w:val="auto"/>
              </w:rPr>
            </w:pPr>
            <w:r>
              <w:rPr>
                <w:rFonts w:ascii="Arial" w:cs="Arial" w:eastAsia="Arial" w:hAnsi="Arial"/>
                <w:sz w:val="20"/>
                <w:szCs w:val="20"/>
                <w:color w:val="auto"/>
              </w:rPr>
              <w:t>factors, facilitating</w:t>
            </w:r>
          </w:p>
        </w:tc>
      </w:tr>
      <w:tr>
        <w:trPr>
          <w:trHeight w:val="223"/>
        </w:trPr>
        <w:tc>
          <w:tcPr>
            <w:tcW w:w="1480" w:type="dxa"/>
            <w:vAlign w:val="bottom"/>
            <w:shd w:val="clear" w:color="auto" w:fill="EBE6F0"/>
          </w:tcPr>
          <w:p>
            <w:pPr>
              <w:spacing w:after="0"/>
              <w:rPr>
                <w:sz w:val="19"/>
                <w:szCs w:val="19"/>
                <w:color w:val="auto"/>
              </w:rPr>
            </w:pPr>
          </w:p>
        </w:tc>
        <w:tc>
          <w:tcPr>
            <w:tcW w:w="4150" w:type="dxa"/>
            <w:vAlign w:val="bottom"/>
            <w:shd w:val="clear" w:color="auto" w:fill="EBE6F0"/>
          </w:tcPr>
          <w:p>
            <w:pPr>
              <w:spacing w:after="0"/>
              <w:rPr>
                <w:sz w:val="19"/>
                <w:szCs w:val="19"/>
                <w:color w:val="auto"/>
              </w:rPr>
            </w:pPr>
          </w:p>
        </w:tc>
        <w:tc>
          <w:tcPr>
            <w:tcW w:w="2260" w:type="dxa"/>
            <w:vAlign w:val="bottom"/>
            <w:shd w:val="clear" w:color="auto" w:fill="EBE6F0"/>
          </w:tcPr>
          <w:p>
            <w:pPr>
              <w:spacing w:after="0"/>
              <w:rPr>
                <w:sz w:val="19"/>
                <w:szCs w:val="19"/>
                <w:color w:val="auto"/>
              </w:rPr>
            </w:pPr>
          </w:p>
        </w:tc>
        <w:tc>
          <w:tcPr>
            <w:tcW w:w="2050" w:type="dxa"/>
            <w:vAlign w:val="bottom"/>
            <w:shd w:val="clear" w:color="auto" w:fill="EBE6F0"/>
          </w:tcPr>
          <w:p>
            <w:pPr>
              <w:ind w:left="70"/>
              <w:spacing w:after="0" w:line="224" w:lineRule="exact"/>
              <w:rPr>
                <w:sz w:val="20"/>
                <w:szCs w:val="20"/>
                <w:color w:val="auto"/>
              </w:rPr>
            </w:pPr>
            <w:r>
              <w:rPr>
                <w:rFonts w:ascii="Arial" w:cs="Arial" w:eastAsia="Arial" w:hAnsi="Arial"/>
                <w:sz w:val="20"/>
                <w:szCs w:val="20"/>
                <w:color w:val="auto"/>
              </w:rPr>
              <w:t>comparisons to prior</w:t>
            </w:r>
          </w:p>
        </w:tc>
      </w:tr>
      <w:tr>
        <w:trPr>
          <w:trHeight w:val="264"/>
        </w:trPr>
        <w:tc>
          <w:tcPr>
            <w:tcW w:w="1480" w:type="dxa"/>
            <w:vAlign w:val="bottom"/>
            <w:shd w:val="clear" w:color="auto" w:fill="EBE6F0"/>
          </w:tcPr>
          <w:p>
            <w:pPr>
              <w:spacing w:after="0"/>
              <w:rPr>
                <w:sz w:val="22"/>
                <w:szCs w:val="22"/>
                <w:color w:val="auto"/>
              </w:rPr>
            </w:pPr>
          </w:p>
        </w:tc>
        <w:tc>
          <w:tcPr>
            <w:tcW w:w="4150" w:type="dxa"/>
            <w:vAlign w:val="bottom"/>
            <w:shd w:val="clear" w:color="auto" w:fill="EBE6F0"/>
          </w:tcPr>
          <w:p>
            <w:pPr>
              <w:spacing w:after="0"/>
              <w:rPr>
                <w:sz w:val="22"/>
                <w:szCs w:val="22"/>
                <w:color w:val="auto"/>
              </w:rPr>
            </w:pPr>
          </w:p>
        </w:tc>
        <w:tc>
          <w:tcPr>
            <w:tcW w:w="2260" w:type="dxa"/>
            <w:vAlign w:val="bottom"/>
            <w:shd w:val="clear" w:color="auto" w:fill="EBE6F0"/>
          </w:tcPr>
          <w:p>
            <w:pPr>
              <w:spacing w:after="0"/>
              <w:rPr>
                <w:sz w:val="22"/>
                <w:szCs w:val="22"/>
                <w:color w:val="auto"/>
              </w:rPr>
            </w:pPr>
          </w:p>
        </w:tc>
        <w:tc>
          <w:tcPr>
            <w:tcW w:w="2050" w:type="dxa"/>
            <w:vAlign w:val="bottom"/>
            <w:shd w:val="clear" w:color="auto" w:fill="EBE6F0"/>
          </w:tcPr>
          <w:p>
            <w:pPr>
              <w:ind w:left="70"/>
              <w:spacing w:after="0"/>
              <w:rPr>
                <w:sz w:val="20"/>
                <w:szCs w:val="20"/>
                <w:color w:val="auto"/>
              </w:rPr>
            </w:pPr>
            <w:r>
              <w:rPr>
                <w:rFonts w:ascii="Arial" w:cs="Arial" w:eastAsia="Arial" w:hAnsi="Arial"/>
                <w:sz w:val="20"/>
                <w:szCs w:val="20"/>
                <w:color w:val="auto"/>
              </w:rPr>
              <w:t>year(s).</w:t>
            </w:r>
          </w:p>
        </w:tc>
      </w:tr>
      <w:tr>
        <w:trPr>
          <w:trHeight w:val="48"/>
        </w:trPr>
        <w:tc>
          <w:tcPr>
            <w:tcW w:w="1480" w:type="dxa"/>
            <w:vAlign w:val="bottom"/>
            <w:shd w:val="clear" w:color="auto" w:fill="EBE6F0"/>
          </w:tcPr>
          <w:p>
            <w:pPr>
              <w:spacing w:after="0"/>
              <w:rPr>
                <w:sz w:val="4"/>
                <w:szCs w:val="4"/>
                <w:color w:val="auto"/>
              </w:rPr>
            </w:pPr>
          </w:p>
        </w:tc>
        <w:tc>
          <w:tcPr>
            <w:tcW w:w="4150" w:type="dxa"/>
            <w:vAlign w:val="bottom"/>
            <w:shd w:val="clear" w:color="auto" w:fill="EBE6F0"/>
          </w:tcPr>
          <w:p>
            <w:pPr>
              <w:spacing w:after="0"/>
              <w:rPr>
                <w:sz w:val="4"/>
                <w:szCs w:val="4"/>
                <w:color w:val="auto"/>
              </w:rPr>
            </w:pPr>
          </w:p>
        </w:tc>
        <w:tc>
          <w:tcPr>
            <w:tcW w:w="2260" w:type="dxa"/>
            <w:vAlign w:val="bottom"/>
            <w:shd w:val="clear" w:color="auto" w:fill="EBE6F0"/>
          </w:tcPr>
          <w:p>
            <w:pPr>
              <w:spacing w:after="0"/>
              <w:rPr>
                <w:sz w:val="4"/>
                <w:szCs w:val="4"/>
                <w:color w:val="auto"/>
              </w:rPr>
            </w:pPr>
          </w:p>
        </w:tc>
        <w:tc>
          <w:tcPr>
            <w:tcW w:w="2050" w:type="dxa"/>
            <w:vAlign w:val="bottom"/>
            <w:shd w:val="clear" w:color="auto" w:fill="EBE6F0"/>
          </w:tcPr>
          <w:p>
            <w:pPr>
              <w:spacing w:after="0"/>
              <w:rPr>
                <w:sz w:val="4"/>
                <w:szCs w:val="4"/>
                <w:color w:val="auto"/>
              </w:rPr>
            </w:pPr>
          </w:p>
        </w:tc>
      </w:tr>
    </w:tbl>
    <w:p>
      <w:pPr>
        <w:spacing w:after="0" w:line="24" w:lineRule="exact"/>
        <w:rPr>
          <w:sz w:val="20"/>
          <w:szCs w:val="20"/>
          <w:color w:val="auto"/>
        </w:rPr>
      </w:pPr>
    </w:p>
    <w:p>
      <w:pPr>
        <w:sectPr>
          <w:pgSz w:w="11900" w:h="16838" w:orient="portrait"/>
          <w:cols w:equalWidth="0" w:num="1">
            <w:col w:w="11240"/>
          </w:cols>
          <w:pgMar w:left="320" w:top="132" w:right="339" w:bottom="949" w:gutter="0" w:footer="0" w:header="0"/>
        </w:sectPr>
      </w:pPr>
    </w:p>
    <w:p>
      <w:pPr>
        <w:ind w:left="720"/>
        <w:spacing w:after="0" w:line="265" w:lineRule="auto"/>
        <w:rPr>
          <w:sz w:val="20"/>
          <w:szCs w:val="20"/>
          <w:color w:val="auto"/>
        </w:rPr>
      </w:pPr>
      <w:r>
        <w:rPr>
          <w:rFonts w:ascii="Arial" w:cs="Arial" w:eastAsia="Arial" w:hAnsi="Arial"/>
          <w:sz w:val="19"/>
          <w:szCs w:val="19"/>
          <w:b w:val="1"/>
          <w:bCs w:val="1"/>
          <w:color w:val="auto"/>
        </w:rPr>
        <w:t>Organic Net Revenue Growth (AIP and PSUs)</w:t>
      </w:r>
    </w:p>
    <w:p>
      <w:pPr>
        <w:spacing w:after="0" w:line="20" w:lineRule="exact"/>
        <w:rPr>
          <w:sz w:val="20"/>
          <w:szCs w:val="20"/>
          <w:color w:val="auto"/>
        </w:rPr>
      </w:pPr>
      <w:r>
        <w:rPr>
          <w:sz w:val="20"/>
          <w:szCs w:val="20"/>
          <w:color w:val="auto"/>
        </w:rPr>
        <w:br w:type="column"/>
      </w:r>
    </w:p>
    <w:p>
      <w:pPr>
        <w:ind w:left="3" w:right="20"/>
        <w:spacing w:after="0" w:line="267" w:lineRule="auto"/>
        <w:rPr>
          <w:sz w:val="20"/>
          <w:szCs w:val="20"/>
          <w:color w:val="auto"/>
        </w:rPr>
      </w:pPr>
      <w:r>
        <w:rPr>
          <w:rFonts w:ascii="Arial" w:cs="Arial" w:eastAsia="Arial" w:hAnsi="Arial"/>
          <w:sz w:val="19"/>
          <w:szCs w:val="19"/>
          <w:color w:val="auto"/>
        </w:rPr>
        <w:t>Organic Net Revenue is defined as net revenues excluding the impacts of:</w:t>
      </w:r>
    </w:p>
    <w:p>
      <w:pPr>
        <w:spacing w:after="0" w:line="1" w:lineRule="exact"/>
        <w:rPr>
          <w:sz w:val="20"/>
          <w:szCs w:val="20"/>
          <w:color w:val="auto"/>
        </w:rPr>
      </w:pPr>
    </w:p>
    <w:p>
      <w:pPr>
        <w:ind w:left="163" w:hanging="163"/>
        <w:spacing w:after="0"/>
        <w:tabs>
          <w:tab w:leader="none" w:pos="163" w:val="left"/>
        </w:tabs>
        <w:numPr>
          <w:ilvl w:val="0"/>
          <w:numId w:val="130"/>
        </w:numPr>
        <w:rPr>
          <w:rFonts w:ascii="Arial" w:cs="Arial" w:eastAsia="Arial" w:hAnsi="Arial"/>
          <w:sz w:val="20"/>
          <w:szCs w:val="20"/>
          <w:color w:val="582C83"/>
        </w:rPr>
      </w:pPr>
      <w:r>
        <w:rPr>
          <w:rFonts w:ascii="Arial" w:cs="Arial" w:eastAsia="Arial" w:hAnsi="Arial"/>
          <w:sz w:val="20"/>
          <w:szCs w:val="20"/>
          <w:color w:val="auto"/>
        </w:rPr>
        <w:t>acquisitions;</w:t>
      </w:r>
    </w:p>
    <w:p>
      <w:pPr>
        <w:spacing w:after="0" w:line="30" w:lineRule="exact"/>
        <w:rPr>
          <w:rFonts w:ascii="Arial" w:cs="Arial" w:eastAsia="Arial" w:hAnsi="Arial"/>
          <w:sz w:val="20"/>
          <w:szCs w:val="20"/>
          <w:color w:val="582C83"/>
        </w:rPr>
      </w:pPr>
    </w:p>
    <w:p>
      <w:pPr>
        <w:ind w:left="163" w:hanging="163"/>
        <w:spacing w:after="0" w:line="184" w:lineRule="auto"/>
        <w:tabs>
          <w:tab w:leader="none" w:pos="163" w:val="left"/>
        </w:tabs>
        <w:numPr>
          <w:ilvl w:val="0"/>
          <w:numId w:val="130"/>
        </w:numPr>
        <w:rPr>
          <w:rFonts w:ascii="Arial" w:cs="Arial" w:eastAsia="Arial" w:hAnsi="Arial"/>
          <w:sz w:val="37"/>
          <w:szCs w:val="37"/>
          <w:color w:val="582C83"/>
          <w:vertAlign w:val="superscript"/>
        </w:rPr>
      </w:pPr>
      <w:r>
        <w:rPr>
          <w:rFonts w:ascii="Arial" w:cs="Arial" w:eastAsia="Arial" w:hAnsi="Arial"/>
          <w:sz w:val="19"/>
          <w:szCs w:val="19"/>
          <w:color w:val="auto"/>
        </w:rPr>
        <w:t>divestitures</w:t>
      </w:r>
      <w:r>
        <w:rPr>
          <w:rFonts w:ascii="Arial" w:cs="Arial" w:eastAsia="Arial" w:hAnsi="Arial"/>
          <w:sz w:val="31"/>
          <w:szCs w:val="31"/>
          <w:color w:val="auto"/>
          <w:vertAlign w:val="superscript"/>
        </w:rPr>
        <w:t>(1)</w:t>
      </w:r>
      <w:r>
        <w:rPr>
          <w:rFonts w:ascii="Arial" w:cs="Arial" w:eastAsia="Arial" w:hAnsi="Arial"/>
          <w:sz w:val="19"/>
          <w:szCs w:val="19"/>
          <w:color w:val="auto"/>
        </w:rPr>
        <w:t>; and</w:t>
      </w:r>
    </w:p>
    <w:p>
      <w:pPr>
        <w:spacing w:after="0" w:line="1" w:lineRule="exact"/>
        <w:rPr>
          <w:rFonts w:ascii="Arial" w:cs="Arial" w:eastAsia="Arial" w:hAnsi="Arial"/>
          <w:sz w:val="37"/>
          <w:szCs w:val="37"/>
          <w:color w:val="582C83"/>
          <w:vertAlign w:val="superscript"/>
        </w:rPr>
      </w:pPr>
    </w:p>
    <w:p>
      <w:pPr>
        <w:ind w:left="163" w:right="20" w:hanging="163"/>
        <w:spacing w:after="0" w:line="284" w:lineRule="auto"/>
        <w:tabs>
          <w:tab w:leader="none" w:pos="163" w:val="left"/>
        </w:tabs>
        <w:numPr>
          <w:ilvl w:val="0"/>
          <w:numId w:val="130"/>
        </w:numPr>
        <w:rPr>
          <w:rFonts w:ascii="Arial" w:cs="Arial" w:eastAsia="Arial" w:hAnsi="Arial"/>
          <w:sz w:val="19"/>
          <w:szCs w:val="19"/>
          <w:color w:val="582C83"/>
        </w:rPr>
      </w:pPr>
      <w:r>
        <w:rPr>
          <w:rFonts w:ascii="Arial" w:cs="Arial" w:eastAsia="Arial" w:hAnsi="Arial"/>
          <w:sz w:val="19"/>
          <w:szCs w:val="19"/>
          <w:color w:val="auto"/>
        </w:rPr>
        <w:t>currency rate fluctuations (calculated based on prior year rates)</w:t>
      </w:r>
      <w:r>
        <w:rPr>
          <w:rFonts w:ascii="Arial" w:cs="Arial" w:eastAsia="Arial" w:hAnsi="Arial"/>
          <w:sz w:val="32"/>
          <w:szCs w:val="32"/>
          <w:color w:val="auto"/>
          <w:vertAlign w:val="superscript"/>
        </w:rPr>
        <w:t>(2)</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tabs>
          <w:tab w:leader="none" w:pos="2240" w:val="left"/>
        </w:tabs>
        <w:rPr>
          <w:sz w:val="20"/>
          <w:szCs w:val="20"/>
          <w:color w:val="auto"/>
        </w:rPr>
      </w:pPr>
      <w:r>
        <w:rPr>
          <w:rFonts w:ascii="Arial" w:cs="Arial" w:eastAsia="Arial" w:hAnsi="Arial"/>
          <w:sz w:val="20"/>
          <w:szCs w:val="20"/>
          <w:i w:val="1"/>
          <w:iCs w:val="1"/>
          <w:color w:val="auto"/>
        </w:rPr>
        <w:t>Organic Net Revenue</w:t>
      </w:r>
      <w:r>
        <w:rPr>
          <w:sz w:val="20"/>
          <w:szCs w:val="20"/>
          <w:color w:val="auto"/>
        </w:rPr>
        <w:tab/>
      </w:r>
      <w:r>
        <w:rPr>
          <w:rFonts w:ascii="Arial" w:cs="Arial" w:eastAsia="Arial" w:hAnsi="Arial"/>
          <w:sz w:val="19"/>
          <w:szCs w:val="19"/>
          <w:color w:val="auto"/>
        </w:rPr>
        <w:t>Reflects the revenue</w:t>
      </w:r>
    </w:p>
    <w:p>
      <w:pPr>
        <w:spacing w:after="0" w:line="7" w:lineRule="exact"/>
        <w:rPr>
          <w:sz w:val="20"/>
          <w:szCs w:val="20"/>
          <w:color w:val="auto"/>
        </w:rPr>
      </w:pPr>
    </w:p>
    <w:p>
      <w:pPr>
        <w:spacing w:after="0"/>
        <w:tabs>
          <w:tab w:leader="none" w:pos="2240" w:val="left"/>
        </w:tabs>
        <w:rPr>
          <w:sz w:val="20"/>
          <w:szCs w:val="20"/>
          <w:color w:val="auto"/>
        </w:rPr>
      </w:pPr>
      <w:r>
        <w:rPr>
          <w:rFonts w:ascii="Arial" w:cs="Arial" w:eastAsia="Arial" w:hAnsi="Arial"/>
          <w:sz w:val="20"/>
          <w:szCs w:val="20"/>
          <w:i w:val="1"/>
          <w:iCs w:val="1"/>
          <w:color w:val="auto"/>
        </w:rPr>
        <w:t>Growth</w:t>
      </w:r>
      <w:r>
        <w:rPr>
          <w:rFonts w:ascii="Arial" w:cs="Arial" w:eastAsia="Arial" w:hAnsi="Arial"/>
          <w:sz w:val="20"/>
          <w:szCs w:val="20"/>
          <w:color w:val="auto"/>
        </w:rPr>
        <w:t>: Actual</w:t>
      </w:r>
      <w:r>
        <w:rPr>
          <w:sz w:val="20"/>
          <w:szCs w:val="20"/>
          <w:color w:val="auto"/>
        </w:rPr>
        <w:tab/>
      </w:r>
      <w:r>
        <w:rPr>
          <w:rFonts w:ascii="Arial" w:cs="Arial" w:eastAsia="Arial" w:hAnsi="Arial"/>
          <w:sz w:val="19"/>
          <w:szCs w:val="19"/>
          <w:color w:val="auto"/>
        </w:rPr>
        <w:t>growth rates for our</w:t>
      </w:r>
    </w:p>
    <w:p>
      <w:pPr>
        <w:spacing w:after="0"/>
        <w:tabs>
          <w:tab w:leader="none" w:pos="2240" w:val="left"/>
        </w:tabs>
        <w:rPr>
          <w:sz w:val="20"/>
          <w:szCs w:val="20"/>
          <w:color w:val="auto"/>
        </w:rPr>
      </w:pPr>
      <w:r>
        <w:rPr>
          <w:rFonts w:ascii="Arial" w:cs="Arial" w:eastAsia="Arial" w:hAnsi="Arial"/>
          <w:sz w:val="20"/>
          <w:szCs w:val="20"/>
          <w:color w:val="auto"/>
        </w:rPr>
        <w:t>results calculated</w:t>
      </w:r>
      <w:r>
        <w:rPr>
          <w:sz w:val="20"/>
          <w:szCs w:val="20"/>
          <w:color w:val="auto"/>
        </w:rPr>
        <w:tab/>
      </w:r>
      <w:r>
        <w:rPr>
          <w:rFonts w:ascii="Arial" w:cs="Arial" w:eastAsia="Arial" w:hAnsi="Arial"/>
          <w:sz w:val="19"/>
          <w:szCs w:val="19"/>
          <w:color w:val="auto"/>
        </w:rPr>
        <w:t>base business by</w:t>
      </w:r>
    </w:p>
    <w:p>
      <w:pPr>
        <w:spacing w:after="0"/>
        <w:tabs>
          <w:tab w:leader="none" w:pos="2240" w:val="left"/>
        </w:tabs>
        <w:rPr>
          <w:sz w:val="20"/>
          <w:szCs w:val="20"/>
          <w:color w:val="auto"/>
        </w:rPr>
      </w:pPr>
      <w:r>
        <w:rPr>
          <w:rFonts w:ascii="Arial" w:cs="Arial" w:eastAsia="Arial" w:hAnsi="Arial"/>
          <w:sz w:val="20"/>
          <w:szCs w:val="20"/>
          <w:color w:val="auto"/>
        </w:rPr>
        <w:t>based on the</w:t>
      </w:r>
      <w:r>
        <w:rPr>
          <w:sz w:val="20"/>
          <w:szCs w:val="20"/>
          <w:color w:val="auto"/>
        </w:rPr>
        <w:tab/>
      </w:r>
      <w:r>
        <w:rPr>
          <w:rFonts w:ascii="Arial" w:cs="Arial" w:eastAsia="Arial" w:hAnsi="Arial"/>
          <w:sz w:val="19"/>
          <w:szCs w:val="19"/>
          <w:color w:val="auto"/>
        </w:rPr>
        <w:t>eliminating the impact</w:t>
      </w:r>
    </w:p>
    <w:p>
      <w:pPr>
        <w:spacing w:after="0"/>
        <w:tabs>
          <w:tab w:leader="none" w:pos="2240" w:val="left"/>
        </w:tabs>
        <w:rPr>
          <w:sz w:val="20"/>
          <w:szCs w:val="20"/>
          <w:color w:val="auto"/>
        </w:rPr>
      </w:pPr>
      <w:r>
        <w:rPr>
          <w:rFonts w:ascii="Arial" w:cs="Arial" w:eastAsia="Arial" w:hAnsi="Arial"/>
          <w:sz w:val="20"/>
          <w:szCs w:val="20"/>
          <w:color w:val="auto"/>
        </w:rPr>
        <w:t>definition of Organic</w:t>
      </w:r>
      <w:r>
        <w:rPr>
          <w:sz w:val="20"/>
          <w:szCs w:val="20"/>
          <w:color w:val="auto"/>
        </w:rPr>
        <w:tab/>
      </w:r>
      <w:r>
        <w:rPr>
          <w:rFonts w:ascii="Arial" w:cs="Arial" w:eastAsia="Arial" w:hAnsi="Arial"/>
          <w:sz w:val="19"/>
          <w:szCs w:val="19"/>
          <w:color w:val="auto"/>
        </w:rPr>
        <w:t>of certain disclosed</w:t>
      </w:r>
    </w:p>
    <w:p>
      <w:pPr>
        <w:spacing w:after="0" w:line="1" w:lineRule="exact"/>
        <w:rPr>
          <w:sz w:val="20"/>
          <w:szCs w:val="20"/>
          <w:color w:val="auto"/>
        </w:rPr>
      </w:pPr>
    </w:p>
    <w:p>
      <w:pPr>
        <w:ind w:right="1160"/>
        <w:spacing w:after="0" w:line="233" w:lineRule="auto"/>
        <w:rPr>
          <w:sz w:val="20"/>
          <w:szCs w:val="20"/>
          <w:color w:val="auto"/>
        </w:rPr>
      </w:pPr>
      <w:r>
        <w:rPr>
          <w:rFonts w:ascii="Arial" w:cs="Arial" w:eastAsia="Arial" w:hAnsi="Arial"/>
          <w:sz w:val="20"/>
          <w:szCs w:val="20"/>
          <w:color w:val="auto"/>
        </w:rPr>
        <w:t>Net Revenue Growth one-time factors, used for each year of facilitating</w:t>
      </w:r>
    </w:p>
    <w:p>
      <w:pPr>
        <w:spacing w:after="0"/>
        <w:tabs>
          <w:tab w:leader="none" w:pos="2240" w:val="left"/>
        </w:tabs>
        <w:rPr>
          <w:sz w:val="20"/>
          <w:szCs w:val="20"/>
          <w:color w:val="auto"/>
        </w:rPr>
      </w:pPr>
      <w:r>
        <w:rPr>
          <w:rFonts w:ascii="Arial" w:cs="Arial" w:eastAsia="Arial" w:hAnsi="Arial"/>
          <w:sz w:val="20"/>
          <w:szCs w:val="20"/>
          <w:color w:val="auto"/>
        </w:rPr>
        <w:t>the three-year</w:t>
      </w:r>
      <w:r>
        <w:rPr>
          <w:sz w:val="20"/>
          <w:szCs w:val="20"/>
          <w:color w:val="auto"/>
        </w:rPr>
        <w:tab/>
      </w:r>
      <w:r>
        <w:rPr>
          <w:rFonts w:ascii="Arial" w:cs="Arial" w:eastAsia="Arial" w:hAnsi="Arial"/>
          <w:sz w:val="19"/>
          <w:szCs w:val="19"/>
          <w:color w:val="auto"/>
        </w:rPr>
        <w:t>comparisons to prior</w:t>
      </w:r>
    </w:p>
    <w:p>
      <w:pPr>
        <w:spacing w:after="0" w:line="1" w:lineRule="exact"/>
        <w:rPr>
          <w:sz w:val="20"/>
          <w:szCs w:val="20"/>
          <w:color w:val="auto"/>
        </w:rPr>
      </w:pPr>
    </w:p>
    <w:p>
      <w:pPr>
        <w:spacing w:after="0"/>
        <w:tabs>
          <w:tab w:leader="none" w:pos="2240" w:val="left"/>
        </w:tabs>
        <w:rPr>
          <w:sz w:val="20"/>
          <w:szCs w:val="20"/>
          <w:color w:val="auto"/>
        </w:rPr>
      </w:pPr>
      <w:r>
        <w:rPr>
          <w:rFonts w:ascii="Arial" w:cs="Arial" w:eastAsia="Arial" w:hAnsi="Arial"/>
          <w:sz w:val="20"/>
          <w:szCs w:val="20"/>
          <w:color w:val="auto"/>
        </w:rPr>
        <w:t>performance cycle.</w:t>
      </w:r>
      <w:r>
        <w:rPr>
          <w:sz w:val="20"/>
          <w:szCs w:val="20"/>
          <w:color w:val="auto"/>
        </w:rPr>
        <w:tab/>
      </w:r>
      <w:r>
        <w:rPr>
          <w:rFonts w:ascii="Arial" w:cs="Arial" w:eastAsia="Arial" w:hAnsi="Arial"/>
          <w:sz w:val="20"/>
          <w:szCs w:val="20"/>
          <w:color w:val="auto"/>
        </w:rPr>
        <w:t>year(s).</w:t>
      </w:r>
    </w:p>
    <w:p>
      <w:pPr>
        <w:spacing w:after="0" w:line="49" w:lineRule="exact"/>
        <w:rPr>
          <w:sz w:val="20"/>
          <w:szCs w:val="20"/>
          <w:color w:val="auto"/>
        </w:rPr>
      </w:pPr>
    </w:p>
    <w:p>
      <w:pPr>
        <w:sectPr>
          <w:pgSz w:w="11900" w:h="16838" w:orient="portrait"/>
          <w:cols w:equalWidth="0" w:num="3">
            <w:col w:w="1860" w:space="337"/>
            <w:col w:w="3423" w:space="720"/>
            <w:col w:w="4900"/>
          </w:cols>
          <w:pgMar w:left="320" w:top="132" w:right="339" w:bottom="949"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660" w:type="dxa"/>
            <w:vAlign w:val="bottom"/>
          </w:tcPr>
          <w:p>
            <w:pPr>
              <w:spacing w:after="0"/>
              <w:rPr>
                <w:sz w:val="22"/>
                <w:szCs w:val="22"/>
                <w:color w:val="auto"/>
              </w:rPr>
            </w:pPr>
          </w:p>
        </w:tc>
        <w:tc>
          <w:tcPr>
            <w:tcW w:w="148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auto"/>
              </w:rPr>
              <w:t>Adjusted</w:t>
            </w:r>
          </w:p>
        </w:tc>
        <w:tc>
          <w:tcPr>
            <w:tcW w:w="3950" w:type="dxa"/>
            <w:vAlign w:val="bottom"/>
            <w:shd w:val="clear" w:color="auto" w:fill="EBE6F0"/>
          </w:tcPr>
          <w:p>
            <w:pPr>
              <w:ind w:left="60"/>
              <w:spacing w:after="0"/>
              <w:rPr>
                <w:sz w:val="20"/>
                <w:szCs w:val="20"/>
                <w:color w:val="auto"/>
              </w:rPr>
            </w:pPr>
            <w:r>
              <w:rPr>
                <w:rFonts w:ascii="Arial" w:cs="Arial" w:eastAsia="Arial" w:hAnsi="Arial"/>
                <w:sz w:val="20"/>
                <w:szCs w:val="20"/>
                <w:color w:val="auto"/>
              </w:rPr>
              <w:t>Adjusted Gross Profit is defined as gross</w:t>
            </w:r>
          </w:p>
        </w:tc>
        <w:tc>
          <w:tcPr>
            <w:tcW w:w="210" w:type="dxa"/>
            <w:vAlign w:val="bottom"/>
            <w:shd w:val="clear" w:color="auto" w:fill="EBE6F0"/>
          </w:tcPr>
          <w:p>
            <w:pPr>
              <w:spacing w:after="0"/>
              <w:rPr>
                <w:sz w:val="22"/>
                <w:szCs w:val="22"/>
                <w:color w:val="auto"/>
              </w:rPr>
            </w:pPr>
          </w:p>
        </w:tc>
        <w:tc>
          <w:tcPr>
            <w:tcW w:w="2050" w:type="dxa"/>
            <w:vAlign w:val="bottom"/>
            <w:shd w:val="clear" w:color="auto" w:fill="EBE6F0"/>
          </w:tcPr>
          <w:p>
            <w:pPr>
              <w:ind w:left="60"/>
              <w:spacing w:after="0"/>
              <w:rPr>
                <w:sz w:val="20"/>
                <w:szCs w:val="20"/>
                <w:color w:val="auto"/>
              </w:rPr>
            </w:pPr>
            <w:r>
              <w:rPr>
                <w:rFonts w:ascii="Arial" w:cs="Arial" w:eastAsia="Arial" w:hAnsi="Arial"/>
                <w:sz w:val="20"/>
                <w:szCs w:val="20"/>
                <w:i w:val="1"/>
                <w:iCs w:val="1"/>
                <w:color w:val="auto"/>
              </w:rPr>
              <w:t>Adjusted Gross Profit</w:t>
            </w:r>
          </w:p>
        </w:tc>
        <w:tc>
          <w:tcPr>
            <w:tcW w:w="2250" w:type="dxa"/>
            <w:vAlign w:val="bottom"/>
            <w:shd w:val="clear" w:color="auto" w:fill="EBE6F0"/>
          </w:tcPr>
          <w:p>
            <w:pPr>
              <w:ind w:left="270"/>
              <w:spacing w:after="0"/>
              <w:rPr>
                <w:sz w:val="20"/>
                <w:szCs w:val="20"/>
                <w:color w:val="auto"/>
              </w:rPr>
            </w:pPr>
            <w:r>
              <w:rPr>
                <w:rFonts w:ascii="Arial" w:cs="Arial" w:eastAsia="Arial" w:hAnsi="Arial"/>
                <w:sz w:val="20"/>
                <w:szCs w:val="20"/>
                <w:color w:val="auto"/>
              </w:rPr>
              <w:t>Indicator of overall</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48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b w:val="1"/>
                <w:bCs w:val="1"/>
                <w:color w:val="auto"/>
              </w:rPr>
              <w:t>Gross</w:t>
            </w:r>
          </w:p>
        </w:tc>
        <w:tc>
          <w:tcPr>
            <w:tcW w:w="395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auto"/>
              </w:rPr>
              <w:t>profit excluding the impacts of:</w:t>
            </w:r>
          </w:p>
        </w:tc>
        <w:tc>
          <w:tcPr>
            <w:tcW w:w="210" w:type="dxa"/>
            <w:vAlign w:val="bottom"/>
            <w:shd w:val="clear" w:color="auto" w:fill="EBE6F0"/>
          </w:tcPr>
          <w:p>
            <w:pPr>
              <w:spacing w:after="0"/>
              <w:rPr>
                <w:sz w:val="19"/>
                <w:szCs w:val="19"/>
                <w:color w:val="auto"/>
              </w:rPr>
            </w:pPr>
          </w:p>
        </w:tc>
        <w:tc>
          <w:tcPr>
            <w:tcW w:w="205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i w:val="1"/>
                <w:iCs w:val="1"/>
                <w:color w:val="auto"/>
              </w:rPr>
              <w:t>Growth</w:t>
            </w:r>
            <w:r>
              <w:rPr>
                <w:rFonts w:ascii="Arial" w:cs="Arial" w:eastAsia="Arial" w:hAnsi="Arial"/>
                <w:sz w:val="20"/>
                <w:szCs w:val="20"/>
                <w:color w:val="auto"/>
              </w:rPr>
              <w:t>: Defined as</w:t>
            </w:r>
          </w:p>
        </w:tc>
        <w:tc>
          <w:tcPr>
            <w:tcW w:w="2250" w:type="dxa"/>
            <w:vAlign w:val="bottom"/>
            <w:shd w:val="clear" w:color="auto" w:fill="EBE6F0"/>
          </w:tcPr>
          <w:p>
            <w:pPr>
              <w:ind w:left="270"/>
              <w:spacing w:after="0" w:line="224" w:lineRule="exact"/>
              <w:rPr>
                <w:sz w:val="20"/>
                <w:szCs w:val="20"/>
                <w:color w:val="auto"/>
              </w:rPr>
            </w:pPr>
            <w:r>
              <w:rPr>
                <w:rFonts w:ascii="Arial" w:cs="Arial" w:eastAsia="Arial" w:hAnsi="Arial"/>
                <w:sz w:val="20"/>
                <w:szCs w:val="20"/>
                <w:color w:val="auto"/>
              </w:rPr>
              <w:t>business trends and</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660" w:type="dxa"/>
            <w:vAlign w:val="bottom"/>
          </w:tcPr>
          <w:p>
            <w:pPr>
              <w:spacing w:after="0"/>
              <w:rPr>
                <w:sz w:val="24"/>
                <w:szCs w:val="24"/>
                <w:color w:val="auto"/>
              </w:rPr>
            </w:pPr>
          </w:p>
        </w:tc>
        <w:tc>
          <w:tcPr>
            <w:tcW w:w="148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auto"/>
              </w:rPr>
              <w:t>Profit Growth</w:t>
            </w:r>
          </w:p>
        </w:tc>
        <w:tc>
          <w:tcPr>
            <w:tcW w:w="3950" w:type="dxa"/>
            <w:vAlign w:val="bottom"/>
            <w:shd w:val="clear" w:color="auto" w:fill="EBE6F0"/>
          </w:tcPr>
          <w:p>
            <w:pPr>
              <w:ind w:left="60"/>
              <w:spacing w:after="0" w:line="287" w:lineRule="exact"/>
              <w:rPr>
                <w:sz w:val="20"/>
                <w:szCs w:val="20"/>
                <w:color w:val="auto"/>
              </w:rPr>
            </w:pPr>
            <w:r>
              <w:rPr>
                <w:rFonts w:ascii="Arial" w:cs="Arial" w:eastAsia="Arial" w:hAnsi="Arial"/>
                <w:sz w:val="33"/>
                <w:szCs w:val="33"/>
                <w:color w:val="582C83"/>
                <w:vertAlign w:val="superscript"/>
              </w:rPr>
              <w:t>•</w:t>
            </w:r>
            <w:r>
              <w:rPr>
                <w:rFonts w:ascii="Arial" w:cs="Arial" w:eastAsia="Arial" w:hAnsi="Arial"/>
                <w:sz w:val="18"/>
                <w:szCs w:val="18"/>
                <w:color w:val="auto"/>
              </w:rPr>
              <w:t xml:space="preserve"> the Simplify to Grow Program</w:t>
            </w:r>
            <w:r>
              <w:rPr>
                <w:rFonts w:ascii="Arial" w:cs="Arial" w:eastAsia="Arial" w:hAnsi="Arial"/>
                <w:sz w:val="28"/>
                <w:szCs w:val="28"/>
                <w:color w:val="auto"/>
                <w:vertAlign w:val="superscript"/>
              </w:rPr>
              <w:t>(3)</w:t>
            </w:r>
            <w:r>
              <w:rPr>
                <w:rFonts w:ascii="Arial" w:cs="Arial" w:eastAsia="Arial" w:hAnsi="Arial"/>
                <w:sz w:val="18"/>
                <w:szCs w:val="18"/>
                <w:color w:val="auto"/>
              </w:rPr>
              <w:t>;</w:t>
            </w:r>
          </w:p>
        </w:tc>
        <w:tc>
          <w:tcPr>
            <w:tcW w:w="210" w:type="dxa"/>
            <w:vAlign w:val="bottom"/>
            <w:shd w:val="clear" w:color="auto" w:fill="EBE6F0"/>
          </w:tcPr>
          <w:p>
            <w:pPr>
              <w:spacing w:after="0"/>
              <w:rPr>
                <w:sz w:val="24"/>
                <w:szCs w:val="24"/>
                <w:color w:val="auto"/>
              </w:rPr>
            </w:pPr>
          </w:p>
        </w:tc>
        <w:tc>
          <w:tcPr>
            <w:tcW w:w="2050" w:type="dxa"/>
            <w:vAlign w:val="bottom"/>
            <w:shd w:val="clear" w:color="auto" w:fill="EBE6F0"/>
          </w:tcPr>
          <w:p>
            <w:pPr>
              <w:ind w:left="60"/>
              <w:spacing w:after="0"/>
              <w:rPr>
                <w:sz w:val="20"/>
                <w:szCs w:val="20"/>
                <w:color w:val="auto"/>
              </w:rPr>
            </w:pPr>
            <w:r>
              <w:rPr>
                <w:rFonts w:ascii="Arial" w:cs="Arial" w:eastAsia="Arial" w:hAnsi="Arial"/>
                <w:sz w:val="20"/>
                <w:szCs w:val="20"/>
                <w:color w:val="auto"/>
              </w:rPr>
              <w:t>the year-over-year</w:t>
            </w:r>
          </w:p>
        </w:tc>
        <w:tc>
          <w:tcPr>
            <w:tcW w:w="2250" w:type="dxa"/>
            <w:vAlign w:val="bottom"/>
            <w:shd w:val="clear" w:color="auto" w:fill="EBE6F0"/>
          </w:tcPr>
          <w:p>
            <w:pPr>
              <w:ind w:left="270"/>
              <w:spacing w:after="0"/>
              <w:rPr>
                <w:sz w:val="20"/>
                <w:szCs w:val="20"/>
                <w:color w:val="auto"/>
              </w:rPr>
            </w:pPr>
            <w:r>
              <w:rPr>
                <w:rFonts w:ascii="Arial" w:cs="Arial" w:eastAsia="Arial" w:hAnsi="Arial"/>
                <w:sz w:val="20"/>
                <w:szCs w:val="20"/>
                <w:color w:val="auto"/>
              </w:rPr>
              <w:t>performance, based</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1480" w:type="dxa"/>
            <w:vAlign w:val="bottom"/>
            <w:shd w:val="clear" w:color="auto" w:fill="EBE6F0"/>
          </w:tcPr>
          <w:p>
            <w:pPr>
              <w:ind w:left="80"/>
              <w:spacing w:after="0" w:line="160" w:lineRule="exact"/>
              <w:rPr>
                <w:sz w:val="20"/>
                <w:szCs w:val="20"/>
                <w:color w:val="auto"/>
              </w:rPr>
            </w:pPr>
            <w:r>
              <w:rPr>
                <w:rFonts w:ascii="Arial" w:cs="Arial" w:eastAsia="Arial" w:hAnsi="Arial"/>
                <w:sz w:val="18"/>
                <w:szCs w:val="18"/>
                <w:b w:val="1"/>
                <w:bCs w:val="1"/>
                <w:color w:val="auto"/>
              </w:rPr>
              <w:t>(AIP)</w:t>
            </w:r>
          </w:p>
        </w:tc>
        <w:tc>
          <w:tcPr>
            <w:tcW w:w="3950" w:type="dxa"/>
            <w:vAlign w:val="bottom"/>
            <w:vMerge w:val="restart"/>
            <w:shd w:val="clear" w:color="auto" w:fill="EBE6F0"/>
          </w:tcPr>
          <w:p>
            <w:pPr>
              <w:ind w:left="60"/>
              <w:spacing w:after="0" w:line="370" w:lineRule="exact"/>
              <w:rPr>
                <w:sz w:val="20"/>
                <w:szCs w:val="20"/>
                <w:color w:val="auto"/>
              </w:rPr>
            </w:pPr>
            <w:r>
              <w:rPr>
                <w:rFonts w:ascii="Arial" w:cs="Arial" w:eastAsia="Arial" w:hAnsi="Arial"/>
                <w:sz w:val="39"/>
                <w:szCs w:val="39"/>
                <w:color w:val="582C83"/>
                <w:vertAlign w:val="superscript"/>
              </w:rPr>
              <w:t>•</w:t>
            </w:r>
            <w:r>
              <w:rPr>
                <w:rFonts w:ascii="Arial" w:cs="Arial" w:eastAsia="Arial" w:hAnsi="Arial"/>
                <w:sz w:val="20"/>
                <w:szCs w:val="20"/>
                <w:color w:val="auto"/>
              </w:rPr>
              <w:t xml:space="preserve"> divestiture-related costs</w:t>
            </w:r>
            <w:r>
              <w:rPr>
                <w:rFonts w:ascii="Arial" w:cs="Arial" w:eastAsia="Arial" w:hAnsi="Arial"/>
                <w:sz w:val="33"/>
                <w:szCs w:val="33"/>
                <w:color w:val="auto"/>
                <w:vertAlign w:val="superscript"/>
              </w:rPr>
              <w:t>(4)</w:t>
            </w:r>
            <w:r>
              <w:rPr>
                <w:rFonts w:ascii="Arial" w:cs="Arial" w:eastAsia="Arial" w:hAnsi="Arial"/>
                <w:sz w:val="20"/>
                <w:szCs w:val="20"/>
                <w:color w:val="auto"/>
              </w:rPr>
              <w:t>;</w:t>
            </w:r>
          </w:p>
        </w:tc>
        <w:tc>
          <w:tcPr>
            <w:tcW w:w="210" w:type="dxa"/>
            <w:vAlign w:val="bottom"/>
            <w:shd w:val="clear" w:color="auto" w:fill="EBE6F0"/>
          </w:tcPr>
          <w:p>
            <w:pPr>
              <w:spacing w:after="0"/>
              <w:rPr>
                <w:sz w:val="13"/>
                <w:szCs w:val="13"/>
                <w:color w:val="auto"/>
              </w:rPr>
            </w:pPr>
          </w:p>
        </w:tc>
        <w:tc>
          <w:tcPr>
            <w:tcW w:w="2050" w:type="dxa"/>
            <w:vAlign w:val="bottom"/>
            <w:shd w:val="clear" w:color="auto" w:fill="EBE6F0"/>
          </w:tcPr>
          <w:p>
            <w:pPr>
              <w:ind w:left="60"/>
              <w:spacing w:after="0" w:line="160" w:lineRule="exact"/>
              <w:rPr>
                <w:sz w:val="20"/>
                <w:szCs w:val="20"/>
                <w:color w:val="auto"/>
              </w:rPr>
            </w:pPr>
            <w:r>
              <w:rPr>
                <w:rFonts w:ascii="Arial" w:cs="Arial" w:eastAsia="Arial" w:hAnsi="Arial"/>
                <w:sz w:val="18"/>
                <w:szCs w:val="18"/>
                <w:color w:val="auto"/>
              </w:rPr>
              <w:t>constant currency</w:t>
            </w:r>
          </w:p>
        </w:tc>
        <w:tc>
          <w:tcPr>
            <w:tcW w:w="2250" w:type="dxa"/>
            <w:vAlign w:val="bottom"/>
            <w:shd w:val="clear" w:color="auto" w:fill="EBE6F0"/>
          </w:tcPr>
          <w:p>
            <w:pPr>
              <w:ind w:left="270"/>
              <w:spacing w:after="0" w:line="160" w:lineRule="exact"/>
              <w:rPr>
                <w:sz w:val="20"/>
                <w:szCs w:val="20"/>
                <w:color w:val="auto"/>
              </w:rPr>
            </w:pPr>
            <w:r>
              <w:rPr>
                <w:rFonts w:ascii="Arial" w:cs="Arial" w:eastAsia="Arial" w:hAnsi="Arial"/>
                <w:sz w:val="18"/>
                <w:szCs w:val="18"/>
                <w:color w:val="auto"/>
              </w:rPr>
              <w:t>on what business</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1480" w:type="dxa"/>
            <w:vAlign w:val="bottom"/>
            <w:shd w:val="clear" w:color="auto" w:fill="EBE6F0"/>
          </w:tcPr>
          <w:p>
            <w:pPr>
              <w:spacing w:after="0"/>
              <w:rPr>
                <w:sz w:val="18"/>
                <w:szCs w:val="18"/>
                <w:color w:val="auto"/>
              </w:rPr>
            </w:pPr>
          </w:p>
        </w:tc>
        <w:tc>
          <w:tcPr>
            <w:tcW w:w="3950" w:type="dxa"/>
            <w:vAlign w:val="bottom"/>
            <w:vMerge w:val="continue"/>
            <w:shd w:val="clear" w:color="auto" w:fill="EBE6F0"/>
          </w:tcPr>
          <w:p>
            <w:pPr>
              <w:spacing w:after="0"/>
              <w:rPr>
                <w:sz w:val="18"/>
                <w:szCs w:val="18"/>
                <w:color w:val="auto"/>
              </w:rPr>
            </w:pPr>
          </w:p>
        </w:tc>
        <w:tc>
          <w:tcPr>
            <w:tcW w:w="210" w:type="dxa"/>
            <w:vAlign w:val="bottom"/>
            <w:shd w:val="clear" w:color="auto" w:fill="EBE6F0"/>
          </w:tcPr>
          <w:p>
            <w:pPr>
              <w:spacing w:after="0"/>
              <w:rPr>
                <w:sz w:val="18"/>
                <w:szCs w:val="18"/>
                <w:color w:val="auto"/>
              </w:rPr>
            </w:pPr>
          </w:p>
        </w:tc>
        <w:tc>
          <w:tcPr>
            <w:tcW w:w="2050" w:type="dxa"/>
            <w:vAlign w:val="bottom"/>
            <w:shd w:val="clear" w:color="auto" w:fill="EBE6F0"/>
          </w:tcPr>
          <w:p>
            <w:pPr>
              <w:ind w:left="60"/>
              <w:spacing w:after="0" w:line="211" w:lineRule="exact"/>
              <w:rPr>
                <w:sz w:val="20"/>
                <w:szCs w:val="20"/>
                <w:color w:val="auto"/>
              </w:rPr>
            </w:pPr>
            <w:r>
              <w:rPr>
                <w:rFonts w:ascii="Arial" w:cs="Arial" w:eastAsia="Arial" w:hAnsi="Arial"/>
                <w:sz w:val="20"/>
                <w:szCs w:val="20"/>
                <w:color w:val="auto"/>
              </w:rPr>
              <w:t>growth of Adjusted</w:t>
            </w:r>
          </w:p>
        </w:tc>
        <w:tc>
          <w:tcPr>
            <w:tcW w:w="2250" w:type="dxa"/>
            <w:vAlign w:val="bottom"/>
            <w:shd w:val="clear" w:color="auto" w:fill="EBE6F0"/>
          </w:tcPr>
          <w:p>
            <w:pPr>
              <w:ind w:left="270"/>
              <w:spacing w:after="0" w:line="211" w:lineRule="exact"/>
              <w:rPr>
                <w:sz w:val="20"/>
                <w:szCs w:val="20"/>
                <w:color w:val="auto"/>
              </w:rPr>
            </w:pPr>
            <w:r>
              <w:rPr>
                <w:rFonts w:ascii="Arial" w:cs="Arial" w:eastAsia="Arial" w:hAnsi="Arial"/>
                <w:sz w:val="20"/>
                <w:szCs w:val="20"/>
                <w:color w:val="auto"/>
              </w:rPr>
              <w:t>leaders can control.</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1480" w:type="dxa"/>
            <w:vAlign w:val="bottom"/>
            <w:shd w:val="clear" w:color="auto" w:fill="EBE6F0"/>
          </w:tcPr>
          <w:p>
            <w:pPr>
              <w:spacing w:after="0"/>
              <w:rPr>
                <w:sz w:val="21"/>
                <w:szCs w:val="21"/>
                <w:color w:val="auto"/>
              </w:rPr>
            </w:pPr>
          </w:p>
        </w:tc>
        <w:tc>
          <w:tcPr>
            <w:tcW w:w="3950" w:type="dxa"/>
            <w:vAlign w:val="bottom"/>
            <w:shd w:val="clear" w:color="auto" w:fill="EBE6F0"/>
          </w:tcPr>
          <w:p>
            <w:pPr>
              <w:ind w:left="60"/>
              <w:spacing w:after="0" w:line="249" w:lineRule="exact"/>
              <w:rPr>
                <w:sz w:val="20"/>
                <w:szCs w:val="20"/>
                <w:color w:val="auto"/>
              </w:rPr>
            </w:pPr>
            <w:r>
              <w:rPr>
                <w:rFonts w:ascii="Arial" w:cs="Arial" w:eastAsia="Arial" w:hAnsi="Arial"/>
                <w:sz w:val="28"/>
                <w:szCs w:val="28"/>
                <w:color w:val="582C83"/>
                <w:vertAlign w:val="superscript"/>
              </w:rPr>
              <w:t>•</w:t>
            </w:r>
            <w:r>
              <w:rPr>
                <w:rFonts w:ascii="Arial" w:cs="Arial" w:eastAsia="Arial" w:hAnsi="Arial"/>
                <w:sz w:val="16"/>
                <w:szCs w:val="16"/>
                <w:color w:val="auto"/>
              </w:rPr>
              <w:t xml:space="preserve"> acquisition integration costs</w:t>
            </w:r>
            <w:r>
              <w:rPr>
                <w:rFonts w:ascii="Arial" w:cs="Arial" w:eastAsia="Arial" w:hAnsi="Arial"/>
                <w:sz w:val="24"/>
                <w:szCs w:val="24"/>
                <w:color w:val="auto"/>
                <w:vertAlign w:val="superscript"/>
              </w:rPr>
              <w:t>(5)</w:t>
            </w:r>
            <w:r>
              <w:rPr>
                <w:rFonts w:ascii="Arial" w:cs="Arial" w:eastAsia="Arial" w:hAnsi="Arial"/>
                <w:sz w:val="16"/>
                <w:szCs w:val="16"/>
                <w:color w:val="auto"/>
              </w:rPr>
              <w:t>;</w:t>
            </w:r>
          </w:p>
        </w:tc>
        <w:tc>
          <w:tcPr>
            <w:tcW w:w="210" w:type="dxa"/>
            <w:vAlign w:val="bottom"/>
            <w:shd w:val="clear" w:color="auto" w:fill="EBE6F0"/>
          </w:tcPr>
          <w:p>
            <w:pPr>
              <w:spacing w:after="0"/>
              <w:rPr>
                <w:sz w:val="21"/>
                <w:szCs w:val="21"/>
                <w:color w:val="auto"/>
              </w:rPr>
            </w:pPr>
          </w:p>
        </w:tc>
        <w:tc>
          <w:tcPr>
            <w:tcW w:w="2050" w:type="dxa"/>
            <w:vAlign w:val="bottom"/>
            <w:shd w:val="clear" w:color="auto" w:fill="EBE6F0"/>
          </w:tcPr>
          <w:p>
            <w:pPr>
              <w:ind w:left="60"/>
              <w:spacing w:after="0"/>
              <w:rPr>
                <w:sz w:val="20"/>
                <w:szCs w:val="20"/>
                <w:color w:val="auto"/>
              </w:rPr>
            </w:pPr>
            <w:r>
              <w:rPr>
                <w:rFonts w:ascii="Arial" w:cs="Arial" w:eastAsia="Arial" w:hAnsi="Arial"/>
                <w:sz w:val="20"/>
                <w:szCs w:val="20"/>
                <w:color w:val="auto"/>
              </w:rPr>
              <w:t>Gross Profit</w:t>
            </w:r>
          </w:p>
        </w:tc>
        <w:tc>
          <w:tcPr>
            <w:tcW w:w="2250" w:type="dxa"/>
            <w:vAlign w:val="bottom"/>
            <w:shd w:val="clear" w:color="auto" w:fill="EBE6F0"/>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480" w:type="dxa"/>
            <w:vAlign w:val="bottom"/>
            <w:shd w:val="clear" w:color="auto" w:fill="EBE6F0"/>
          </w:tcPr>
          <w:p>
            <w:pPr>
              <w:spacing w:after="0"/>
              <w:rPr>
                <w:sz w:val="18"/>
                <w:szCs w:val="18"/>
                <w:color w:val="auto"/>
              </w:rPr>
            </w:pPr>
          </w:p>
        </w:tc>
        <w:tc>
          <w:tcPr>
            <w:tcW w:w="3950" w:type="dxa"/>
            <w:vAlign w:val="bottom"/>
            <w:vMerge w:val="restart"/>
            <w:shd w:val="clear" w:color="auto" w:fill="EBE6F0"/>
          </w:tcPr>
          <w:p>
            <w:pPr>
              <w:ind w:left="60"/>
              <w:spacing w:after="0" w:line="370" w:lineRule="exact"/>
              <w:rPr>
                <w:sz w:val="20"/>
                <w:szCs w:val="20"/>
                <w:color w:val="auto"/>
              </w:rPr>
            </w:pPr>
            <w:r>
              <w:rPr>
                <w:rFonts w:ascii="Arial" w:cs="Arial" w:eastAsia="Arial" w:hAnsi="Arial"/>
                <w:sz w:val="39"/>
                <w:szCs w:val="39"/>
                <w:color w:val="582C83"/>
                <w:vertAlign w:val="superscript"/>
              </w:rPr>
              <w:t>•</w:t>
            </w:r>
            <w:r>
              <w:rPr>
                <w:rFonts w:ascii="Arial" w:cs="Arial" w:eastAsia="Arial" w:hAnsi="Arial"/>
                <w:sz w:val="20"/>
                <w:szCs w:val="20"/>
                <w:color w:val="auto"/>
              </w:rPr>
              <w:t xml:space="preserve"> inventory step-up charges</w:t>
            </w:r>
            <w:r>
              <w:rPr>
                <w:rFonts w:ascii="Arial" w:cs="Arial" w:eastAsia="Arial" w:hAnsi="Arial"/>
                <w:sz w:val="33"/>
                <w:szCs w:val="33"/>
                <w:color w:val="auto"/>
                <w:vertAlign w:val="superscript"/>
              </w:rPr>
              <w:t>(7)</w:t>
            </w:r>
          </w:p>
        </w:tc>
        <w:tc>
          <w:tcPr>
            <w:tcW w:w="210" w:type="dxa"/>
            <w:vAlign w:val="bottom"/>
            <w:shd w:val="clear" w:color="auto" w:fill="EBE6F0"/>
          </w:tcPr>
          <w:p>
            <w:pPr>
              <w:spacing w:after="0"/>
              <w:rPr>
                <w:sz w:val="18"/>
                <w:szCs w:val="18"/>
                <w:color w:val="auto"/>
              </w:rPr>
            </w:pPr>
          </w:p>
        </w:tc>
        <w:tc>
          <w:tcPr>
            <w:tcW w:w="2050" w:type="dxa"/>
            <w:vAlign w:val="bottom"/>
            <w:shd w:val="clear" w:color="auto" w:fill="EBE6F0"/>
          </w:tcPr>
          <w:p>
            <w:pPr>
              <w:ind w:left="60"/>
              <w:spacing w:after="0" w:line="210" w:lineRule="exact"/>
              <w:rPr>
                <w:sz w:val="20"/>
                <w:szCs w:val="20"/>
                <w:color w:val="auto"/>
              </w:rPr>
            </w:pPr>
            <w:r>
              <w:rPr>
                <w:rFonts w:ascii="Arial" w:cs="Arial" w:eastAsia="Arial" w:hAnsi="Arial"/>
                <w:sz w:val="20"/>
                <w:szCs w:val="20"/>
                <w:color w:val="auto"/>
              </w:rPr>
              <w:t>calculated at prior</w:t>
            </w:r>
          </w:p>
        </w:tc>
        <w:tc>
          <w:tcPr>
            <w:tcW w:w="2250" w:type="dxa"/>
            <w:vAlign w:val="bottom"/>
            <w:shd w:val="clear" w:color="auto" w:fill="EBE6F0"/>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60" w:type="dxa"/>
            <w:vAlign w:val="bottom"/>
          </w:tcPr>
          <w:p>
            <w:pPr>
              <w:spacing w:after="0"/>
              <w:rPr>
                <w:sz w:val="14"/>
                <w:szCs w:val="14"/>
                <w:color w:val="auto"/>
              </w:rPr>
            </w:pPr>
          </w:p>
        </w:tc>
        <w:tc>
          <w:tcPr>
            <w:tcW w:w="1480" w:type="dxa"/>
            <w:vAlign w:val="bottom"/>
            <w:shd w:val="clear" w:color="auto" w:fill="EBE6F0"/>
          </w:tcPr>
          <w:p>
            <w:pPr>
              <w:spacing w:after="0"/>
              <w:rPr>
                <w:sz w:val="14"/>
                <w:szCs w:val="14"/>
                <w:color w:val="auto"/>
              </w:rPr>
            </w:pPr>
          </w:p>
        </w:tc>
        <w:tc>
          <w:tcPr>
            <w:tcW w:w="3950" w:type="dxa"/>
            <w:vAlign w:val="bottom"/>
            <w:vMerge w:val="continue"/>
            <w:shd w:val="clear" w:color="auto" w:fill="EBE6F0"/>
          </w:tcPr>
          <w:p>
            <w:pPr>
              <w:spacing w:after="0"/>
              <w:rPr>
                <w:sz w:val="14"/>
                <w:szCs w:val="14"/>
                <w:color w:val="auto"/>
              </w:rPr>
            </w:pPr>
          </w:p>
        </w:tc>
        <w:tc>
          <w:tcPr>
            <w:tcW w:w="210" w:type="dxa"/>
            <w:vAlign w:val="bottom"/>
            <w:shd w:val="clear" w:color="auto" w:fill="EBE6F0"/>
          </w:tcPr>
          <w:p>
            <w:pPr>
              <w:spacing w:after="0"/>
              <w:rPr>
                <w:sz w:val="14"/>
                <w:szCs w:val="14"/>
                <w:color w:val="auto"/>
              </w:rPr>
            </w:pPr>
          </w:p>
        </w:tc>
        <w:tc>
          <w:tcPr>
            <w:tcW w:w="2050" w:type="dxa"/>
            <w:vAlign w:val="bottom"/>
            <w:vMerge w:val="restart"/>
            <w:shd w:val="clear" w:color="auto" w:fill="EBE6F0"/>
          </w:tcPr>
          <w:p>
            <w:pPr>
              <w:ind w:left="60"/>
              <w:spacing w:after="0" w:line="224" w:lineRule="exact"/>
              <w:rPr>
                <w:sz w:val="20"/>
                <w:szCs w:val="20"/>
                <w:color w:val="auto"/>
              </w:rPr>
            </w:pPr>
            <w:r>
              <w:rPr>
                <w:rFonts w:ascii="Arial" w:cs="Arial" w:eastAsia="Arial" w:hAnsi="Arial"/>
                <w:sz w:val="20"/>
                <w:szCs w:val="20"/>
                <w:color w:val="auto"/>
              </w:rPr>
              <w:t>year currency</w:t>
            </w:r>
          </w:p>
        </w:tc>
        <w:tc>
          <w:tcPr>
            <w:tcW w:w="2250" w:type="dxa"/>
            <w:vAlign w:val="bottom"/>
            <w:shd w:val="clear" w:color="auto" w:fill="EBE6F0"/>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660" w:type="dxa"/>
            <w:vAlign w:val="bottom"/>
          </w:tcPr>
          <w:p>
            <w:pPr>
              <w:spacing w:after="0"/>
              <w:rPr>
                <w:sz w:val="5"/>
                <w:szCs w:val="5"/>
                <w:color w:val="auto"/>
              </w:rPr>
            </w:pPr>
          </w:p>
        </w:tc>
        <w:tc>
          <w:tcPr>
            <w:tcW w:w="1480" w:type="dxa"/>
            <w:vAlign w:val="bottom"/>
            <w:shd w:val="clear" w:color="auto" w:fill="EBE6F0"/>
          </w:tcPr>
          <w:p>
            <w:pPr>
              <w:spacing w:after="0"/>
              <w:rPr>
                <w:sz w:val="5"/>
                <w:szCs w:val="5"/>
                <w:color w:val="auto"/>
              </w:rPr>
            </w:pPr>
          </w:p>
        </w:tc>
        <w:tc>
          <w:tcPr>
            <w:tcW w:w="3950" w:type="dxa"/>
            <w:vAlign w:val="bottom"/>
            <w:vMerge w:val="restart"/>
            <w:shd w:val="clear" w:color="auto" w:fill="EBE6F0"/>
          </w:tcPr>
          <w:p>
            <w:pPr>
              <w:ind w:left="60"/>
              <w:spacing w:after="0" w:line="311" w:lineRule="exact"/>
              <w:rPr>
                <w:sz w:val="20"/>
                <w:szCs w:val="20"/>
                <w:color w:val="auto"/>
              </w:rPr>
            </w:pPr>
            <w:r>
              <w:rPr>
                <w:rFonts w:ascii="Arial" w:cs="Arial" w:eastAsia="Arial" w:hAnsi="Arial"/>
                <w:sz w:val="35"/>
                <w:szCs w:val="35"/>
                <w:color w:val="582C83"/>
                <w:vertAlign w:val="superscript"/>
              </w:rPr>
              <w:t>•</w:t>
            </w:r>
            <w:r>
              <w:rPr>
                <w:rFonts w:ascii="Arial" w:cs="Arial" w:eastAsia="Arial" w:hAnsi="Arial"/>
                <w:sz w:val="18"/>
                <w:szCs w:val="18"/>
                <w:color w:val="auto"/>
              </w:rPr>
              <w:t xml:space="preserve"> operating results from divestitures</w:t>
            </w:r>
            <w:r>
              <w:rPr>
                <w:rFonts w:ascii="Arial" w:cs="Arial" w:eastAsia="Arial" w:hAnsi="Arial"/>
                <w:sz w:val="30"/>
                <w:szCs w:val="30"/>
                <w:color w:val="auto"/>
                <w:vertAlign w:val="superscript"/>
              </w:rPr>
              <w:t>(1)</w:t>
            </w:r>
            <w:r>
              <w:rPr>
                <w:rFonts w:ascii="Arial" w:cs="Arial" w:eastAsia="Arial" w:hAnsi="Arial"/>
                <w:sz w:val="18"/>
                <w:szCs w:val="18"/>
                <w:color w:val="auto"/>
              </w:rPr>
              <w:t>;</w:t>
            </w:r>
          </w:p>
        </w:tc>
        <w:tc>
          <w:tcPr>
            <w:tcW w:w="210" w:type="dxa"/>
            <w:vAlign w:val="bottom"/>
            <w:shd w:val="clear" w:color="auto" w:fill="EBE6F0"/>
          </w:tcPr>
          <w:p>
            <w:pPr>
              <w:spacing w:after="0"/>
              <w:rPr>
                <w:sz w:val="5"/>
                <w:szCs w:val="5"/>
                <w:color w:val="auto"/>
              </w:rPr>
            </w:pPr>
          </w:p>
        </w:tc>
        <w:tc>
          <w:tcPr>
            <w:tcW w:w="2050" w:type="dxa"/>
            <w:vAlign w:val="bottom"/>
            <w:vMerge w:val="continue"/>
            <w:shd w:val="clear" w:color="auto" w:fill="EBE6F0"/>
          </w:tcPr>
          <w:p>
            <w:pPr>
              <w:spacing w:after="0"/>
              <w:rPr>
                <w:sz w:val="5"/>
                <w:szCs w:val="5"/>
                <w:color w:val="auto"/>
              </w:rPr>
            </w:pPr>
          </w:p>
        </w:tc>
        <w:tc>
          <w:tcPr>
            <w:tcW w:w="2250" w:type="dxa"/>
            <w:vAlign w:val="bottom"/>
            <w:shd w:val="clear" w:color="auto" w:fill="EBE6F0"/>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1480" w:type="dxa"/>
            <w:vAlign w:val="bottom"/>
            <w:shd w:val="clear" w:color="auto" w:fill="EBE6F0"/>
          </w:tcPr>
          <w:p>
            <w:pPr>
              <w:spacing w:after="0"/>
              <w:rPr>
                <w:sz w:val="21"/>
                <w:szCs w:val="21"/>
                <w:color w:val="auto"/>
              </w:rPr>
            </w:pPr>
          </w:p>
        </w:tc>
        <w:tc>
          <w:tcPr>
            <w:tcW w:w="3950" w:type="dxa"/>
            <w:vAlign w:val="bottom"/>
            <w:vMerge w:val="continue"/>
            <w:shd w:val="clear" w:color="auto" w:fill="EBE6F0"/>
          </w:tcPr>
          <w:p>
            <w:pPr>
              <w:spacing w:after="0"/>
              <w:rPr>
                <w:sz w:val="21"/>
                <w:szCs w:val="21"/>
                <w:color w:val="auto"/>
              </w:rPr>
            </w:pPr>
          </w:p>
        </w:tc>
        <w:tc>
          <w:tcPr>
            <w:tcW w:w="210" w:type="dxa"/>
            <w:vAlign w:val="bottom"/>
            <w:shd w:val="clear" w:color="auto" w:fill="EBE6F0"/>
          </w:tcPr>
          <w:p>
            <w:pPr>
              <w:spacing w:after="0"/>
              <w:rPr>
                <w:sz w:val="21"/>
                <w:szCs w:val="21"/>
                <w:color w:val="auto"/>
              </w:rPr>
            </w:pPr>
          </w:p>
        </w:tc>
        <w:tc>
          <w:tcPr>
            <w:tcW w:w="2050" w:type="dxa"/>
            <w:vAlign w:val="bottom"/>
            <w:shd w:val="clear" w:color="auto" w:fill="EBE6F0"/>
          </w:tcPr>
          <w:p>
            <w:pPr>
              <w:ind w:left="60"/>
              <w:spacing w:after="0"/>
              <w:rPr>
                <w:sz w:val="20"/>
                <w:szCs w:val="20"/>
                <w:color w:val="auto"/>
              </w:rPr>
            </w:pPr>
            <w:r>
              <w:rPr>
                <w:rFonts w:ascii="Arial" w:cs="Arial" w:eastAsia="Arial" w:hAnsi="Arial"/>
                <w:sz w:val="20"/>
                <w:szCs w:val="20"/>
                <w:color w:val="auto"/>
              </w:rPr>
              <w:t>exchange rates.</w:t>
            </w:r>
          </w:p>
        </w:tc>
        <w:tc>
          <w:tcPr>
            <w:tcW w:w="2250" w:type="dxa"/>
            <w:vAlign w:val="bottom"/>
            <w:shd w:val="clear" w:color="auto" w:fill="EBE6F0"/>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480" w:type="dxa"/>
            <w:vAlign w:val="bottom"/>
            <w:shd w:val="clear" w:color="auto" w:fill="EBE6F0"/>
          </w:tcPr>
          <w:p>
            <w:pPr>
              <w:spacing w:after="0"/>
              <w:rPr>
                <w:sz w:val="19"/>
                <w:szCs w:val="19"/>
                <w:color w:val="auto"/>
              </w:rPr>
            </w:pPr>
          </w:p>
        </w:tc>
        <w:tc>
          <w:tcPr>
            <w:tcW w:w="395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mark-to-market impacts from commodity,</w:t>
            </w:r>
          </w:p>
        </w:tc>
        <w:tc>
          <w:tcPr>
            <w:tcW w:w="210" w:type="dxa"/>
            <w:vAlign w:val="bottom"/>
            <w:shd w:val="clear" w:color="auto" w:fill="EBE6F0"/>
          </w:tcPr>
          <w:p>
            <w:pPr>
              <w:spacing w:after="0"/>
              <w:rPr>
                <w:sz w:val="19"/>
                <w:szCs w:val="19"/>
                <w:color w:val="auto"/>
              </w:rPr>
            </w:pPr>
          </w:p>
        </w:tc>
        <w:tc>
          <w:tcPr>
            <w:tcW w:w="2050" w:type="dxa"/>
            <w:vAlign w:val="bottom"/>
            <w:shd w:val="clear" w:color="auto" w:fill="EBE6F0"/>
          </w:tcPr>
          <w:p>
            <w:pPr>
              <w:spacing w:after="0"/>
              <w:rPr>
                <w:sz w:val="19"/>
                <w:szCs w:val="19"/>
                <w:color w:val="auto"/>
              </w:rPr>
            </w:pPr>
          </w:p>
        </w:tc>
        <w:tc>
          <w:tcPr>
            <w:tcW w:w="2250" w:type="dxa"/>
            <w:vAlign w:val="bottom"/>
            <w:shd w:val="clear" w:color="auto" w:fill="EBE6F0"/>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480" w:type="dxa"/>
            <w:vAlign w:val="bottom"/>
            <w:shd w:val="clear" w:color="auto" w:fill="EBE6F0"/>
          </w:tcPr>
          <w:p>
            <w:pPr>
              <w:spacing w:after="0"/>
              <w:rPr>
                <w:sz w:val="19"/>
                <w:szCs w:val="19"/>
                <w:color w:val="auto"/>
              </w:rPr>
            </w:pPr>
          </w:p>
        </w:tc>
        <w:tc>
          <w:tcPr>
            <w:tcW w:w="3950" w:type="dxa"/>
            <w:vAlign w:val="bottom"/>
            <w:shd w:val="clear" w:color="auto" w:fill="EBE6F0"/>
          </w:tcPr>
          <w:p>
            <w:pPr>
              <w:ind w:left="240"/>
              <w:spacing w:after="0" w:line="224" w:lineRule="exact"/>
              <w:rPr>
                <w:sz w:val="20"/>
                <w:szCs w:val="20"/>
                <w:color w:val="auto"/>
              </w:rPr>
            </w:pPr>
            <w:r>
              <w:rPr>
                <w:rFonts w:ascii="Arial" w:cs="Arial" w:eastAsia="Arial" w:hAnsi="Arial"/>
                <w:sz w:val="20"/>
                <w:szCs w:val="20"/>
                <w:color w:val="auto"/>
              </w:rPr>
              <w:t>forecasted currency, and equity method</w:t>
            </w:r>
          </w:p>
        </w:tc>
        <w:tc>
          <w:tcPr>
            <w:tcW w:w="210" w:type="dxa"/>
            <w:vAlign w:val="bottom"/>
            <w:shd w:val="clear" w:color="auto" w:fill="EBE6F0"/>
          </w:tcPr>
          <w:p>
            <w:pPr>
              <w:spacing w:after="0"/>
              <w:rPr>
                <w:sz w:val="19"/>
                <w:szCs w:val="19"/>
                <w:color w:val="auto"/>
              </w:rPr>
            </w:pPr>
          </w:p>
        </w:tc>
        <w:tc>
          <w:tcPr>
            <w:tcW w:w="2050" w:type="dxa"/>
            <w:vAlign w:val="bottom"/>
            <w:shd w:val="clear" w:color="auto" w:fill="EBE6F0"/>
          </w:tcPr>
          <w:p>
            <w:pPr>
              <w:spacing w:after="0"/>
              <w:rPr>
                <w:sz w:val="19"/>
                <w:szCs w:val="19"/>
                <w:color w:val="auto"/>
              </w:rPr>
            </w:pPr>
          </w:p>
        </w:tc>
        <w:tc>
          <w:tcPr>
            <w:tcW w:w="2250" w:type="dxa"/>
            <w:vAlign w:val="bottom"/>
            <w:shd w:val="clear" w:color="auto" w:fill="EBE6F0"/>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60" w:type="dxa"/>
            <w:vAlign w:val="bottom"/>
          </w:tcPr>
          <w:p>
            <w:pPr>
              <w:spacing w:after="0"/>
              <w:rPr>
                <w:sz w:val="20"/>
                <w:szCs w:val="20"/>
                <w:color w:val="auto"/>
              </w:rPr>
            </w:pPr>
          </w:p>
        </w:tc>
        <w:tc>
          <w:tcPr>
            <w:tcW w:w="1480" w:type="dxa"/>
            <w:vAlign w:val="bottom"/>
            <w:shd w:val="clear" w:color="auto" w:fill="EBE6F0"/>
          </w:tcPr>
          <w:p>
            <w:pPr>
              <w:spacing w:after="0"/>
              <w:rPr>
                <w:sz w:val="20"/>
                <w:szCs w:val="20"/>
                <w:color w:val="auto"/>
              </w:rPr>
            </w:pPr>
          </w:p>
        </w:tc>
        <w:tc>
          <w:tcPr>
            <w:tcW w:w="3950" w:type="dxa"/>
            <w:vAlign w:val="bottom"/>
            <w:shd w:val="clear" w:color="auto" w:fill="EBE6F0"/>
          </w:tcPr>
          <w:p>
            <w:pPr>
              <w:ind w:left="240"/>
              <w:spacing w:after="0"/>
              <w:rPr>
                <w:sz w:val="20"/>
                <w:szCs w:val="20"/>
                <w:color w:val="auto"/>
              </w:rPr>
            </w:pPr>
            <w:r>
              <w:rPr>
                <w:rFonts w:ascii="Arial" w:cs="Arial" w:eastAsia="Arial" w:hAnsi="Arial"/>
                <w:sz w:val="20"/>
                <w:szCs w:val="20"/>
                <w:color w:val="auto"/>
              </w:rPr>
              <w:t>investment transaction derivative</w:t>
            </w:r>
          </w:p>
        </w:tc>
        <w:tc>
          <w:tcPr>
            <w:tcW w:w="210" w:type="dxa"/>
            <w:vAlign w:val="bottom"/>
            <w:shd w:val="clear" w:color="auto" w:fill="EBE6F0"/>
          </w:tcPr>
          <w:p>
            <w:pPr>
              <w:spacing w:after="0"/>
              <w:rPr>
                <w:sz w:val="20"/>
                <w:szCs w:val="20"/>
                <w:color w:val="auto"/>
              </w:rPr>
            </w:pPr>
          </w:p>
        </w:tc>
        <w:tc>
          <w:tcPr>
            <w:tcW w:w="2050" w:type="dxa"/>
            <w:vAlign w:val="bottom"/>
            <w:shd w:val="clear" w:color="auto" w:fill="EBE6F0"/>
          </w:tcPr>
          <w:p>
            <w:pPr>
              <w:spacing w:after="0"/>
              <w:rPr>
                <w:sz w:val="20"/>
                <w:szCs w:val="20"/>
                <w:color w:val="auto"/>
              </w:rPr>
            </w:pPr>
          </w:p>
        </w:tc>
        <w:tc>
          <w:tcPr>
            <w:tcW w:w="2250" w:type="dxa"/>
            <w:vAlign w:val="bottom"/>
            <w:shd w:val="clear" w:color="auto" w:fill="EBE6F0"/>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660" w:type="dxa"/>
            <w:vAlign w:val="bottom"/>
          </w:tcPr>
          <w:p>
            <w:pPr>
              <w:spacing w:after="0"/>
              <w:rPr>
                <w:sz w:val="24"/>
                <w:szCs w:val="24"/>
                <w:color w:val="auto"/>
              </w:rPr>
            </w:pPr>
          </w:p>
        </w:tc>
        <w:tc>
          <w:tcPr>
            <w:tcW w:w="1480" w:type="dxa"/>
            <w:vAlign w:val="bottom"/>
            <w:shd w:val="clear" w:color="auto" w:fill="EBE6F0"/>
          </w:tcPr>
          <w:p>
            <w:pPr>
              <w:spacing w:after="0"/>
              <w:rPr>
                <w:sz w:val="24"/>
                <w:szCs w:val="24"/>
                <w:color w:val="auto"/>
              </w:rPr>
            </w:pPr>
          </w:p>
        </w:tc>
        <w:tc>
          <w:tcPr>
            <w:tcW w:w="3950" w:type="dxa"/>
            <w:vAlign w:val="bottom"/>
            <w:shd w:val="clear" w:color="auto" w:fill="EBE6F0"/>
          </w:tcPr>
          <w:p>
            <w:pPr>
              <w:ind w:left="240"/>
              <w:spacing w:after="0" w:line="301" w:lineRule="exact"/>
              <w:rPr>
                <w:sz w:val="20"/>
                <w:szCs w:val="20"/>
                <w:color w:val="auto"/>
              </w:rPr>
            </w:pPr>
            <w:r>
              <w:rPr>
                <w:rFonts w:ascii="Arial" w:cs="Arial" w:eastAsia="Arial" w:hAnsi="Arial"/>
                <w:sz w:val="20"/>
                <w:szCs w:val="20"/>
                <w:color w:val="auto"/>
              </w:rPr>
              <w:t>contracts</w:t>
            </w:r>
            <w:r>
              <w:rPr>
                <w:rFonts w:ascii="Arial" w:cs="Arial" w:eastAsia="Arial" w:hAnsi="Arial"/>
                <w:sz w:val="33"/>
                <w:szCs w:val="33"/>
                <w:color w:val="auto"/>
                <w:vertAlign w:val="superscript"/>
              </w:rPr>
              <w:t>(9)</w:t>
            </w:r>
            <w:r>
              <w:rPr>
                <w:rFonts w:ascii="Arial" w:cs="Arial" w:eastAsia="Arial" w:hAnsi="Arial"/>
                <w:sz w:val="20"/>
                <w:szCs w:val="20"/>
                <w:color w:val="auto"/>
              </w:rPr>
              <w:t>;</w:t>
            </w:r>
          </w:p>
        </w:tc>
        <w:tc>
          <w:tcPr>
            <w:tcW w:w="210" w:type="dxa"/>
            <w:vAlign w:val="bottom"/>
            <w:shd w:val="clear" w:color="auto" w:fill="EBE6F0"/>
          </w:tcPr>
          <w:p>
            <w:pPr>
              <w:spacing w:after="0"/>
              <w:rPr>
                <w:sz w:val="24"/>
                <w:szCs w:val="24"/>
                <w:color w:val="auto"/>
              </w:rPr>
            </w:pPr>
          </w:p>
        </w:tc>
        <w:tc>
          <w:tcPr>
            <w:tcW w:w="2050" w:type="dxa"/>
            <w:vAlign w:val="bottom"/>
            <w:shd w:val="clear" w:color="auto" w:fill="EBE6F0"/>
          </w:tcPr>
          <w:p>
            <w:pPr>
              <w:spacing w:after="0"/>
              <w:rPr>
                <w:sz w:val="24"/>
                <w:szCs w:val="24"/>
                <w:color w:val="auto"/>
              </w:rPr>
            </w:pPr>
          </w:p>
        </w:tc>
        <w:tc>
          <w:tcPr>
            <w:tcW w:w="2250" w:type="dxa"/>
            <w:vAlign w:val="bottom"/>
            <w:shd w:val="clear" w:color="auto" w:fill="EBE6F0"/>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60" w:type="dxa"/>
            <w:vAlign w:val="bottom"/>
          </w:tcPr>
          <w:p>
            <w:pPr>
              <w:spacing w:after="0"/>
              <w:rPr>
                <w:sz w:val="22"/>
                <w:szCs w:val="22"/>
                <w:color w:val="auto"/>
              </w:rPr>
            </w:pPr>
          </w:p>
        </w:tc>
        <w:tc>
          <w:tcPr>
            <w:tcW w:w="1480" w:type="dxa"/>
            <w:vAlign w:val="bottom"/>
            <w:shd w:val="clear" w:color="auto" w:fill="EBE6F0"/>
          </w:tcPr>
          <w:p>
            <w:pPr>
              <w:spacing w:after="0"/>
              <w:rPr>
                <w:sz w:val="22"/>
                <w:szCs w:val="22"/>
                <w:color w:val="auto"/>
              </w:rPr>
            </w:pPr>
          </w:p>
        </w:tc>
        <w:tc>
          <w:tcPr>
            <w:tcW w:w="3950" w:type="dxa"/>
            <w:vAlign w:val="bottom"/>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inventory step-up charges;</w:t>
            </w:r>
          </w:p>
        </w:tc>
        <w:tc>
          <w:tcPr>
            <w:tcW w:w="210" w:type="dxa"/>
            <w:vAlign w:val="bottom"/>
            <w:shd w:val="clear" w:color="auto" w:fill="EBE6F0"/>
          </w:tcPr>
          <w:p>
            <w:pPr>
              <w:spacing w:after="0"/>
              <w:rPr>
                <w:sz w:val="22"/>
                <w:szCs w:val="22"/>
                <w:color w:val="auto"/>
              </w:rPr>
            </w:pPr>
          </w:p>
        </w:tc>
        <w:tc>
          <w:tcPr>
            <w:tcW w:w="2050" w:type="dxa"/>
            <w:vAlign w:val="bottom"/>
            <w:shd w:val="clear" w:color="auto" w:fill="EBE6F0"/>
          </w:tcPr>
          <w:p>
            <w:pPr>
              <w:spacing w:after="0"/>
              <w:rPr>
                <w:sz w:val="22"/>
                <w:szCs w:val="22"/>
                <w:color w:val="auto"/>
              </w:rPr>
            </w:pPr>
          </w:p>
        </w:tc>
        <w:tc>
          <w:tcPr>
            <w:tcW w:w="2250" w:type="dxa"/>
            <w:vAlign w:val="bottom"/>
            <w:shd w:val="clear" w:color="auto" w:fill="EBE6F0"/>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480" w:type="dxa"/>
            <w:vAlign w:val="bottom"/>
            <w:shd w:val="clear" w:color="auto" w:fill="EBE6F0"/>
          </w:tcPr>
          <w:p>
            <w:pPr>
              <w:spacing w:after="0"/>
              <w:rPr>
                <w:sz w:val="19"/>
                <w:szCs w:val="19"/>
                <w:color w:val="auto"/>
              </w:rPr>
            </w:pPr>
          </w:p>
        </w:tc>
        <w:tc>
          <w:tcPr>
            <w:tcW w:w="3950" w:type="dxa"/>
            <w:vAlign w:val="bottom"/>
            <w:shd w:val="clear" w:color="auto" w:fill="EBE6F0"/>
          </w:tcPr>
          <w:p>
            <w:pPr>
              <w:ind w:left="6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2017 malware incident net recoveries;</w:t>
            </w:r>
          </w:p>
        </w:tc>
        <w:tc>
          <w:tcPr>
            <w:tcW w:w="210" w:type="dxa"/>
            <w:vAlign w:val="bottom"/>
            <w:shd w:val="clear" w:color="auto" w:fill="EBE6F0"/>
          </w:tcPr>
          <w:p>
            <w:pPr>
              <w:spacing w:after="0"/>
              <w:rPr>
                <w:sz w:val="19"/>
                <w:szCs w:val="19"/>
                <w:color w:val="auto"/>
              </w:rPr>
            </w:pPr>
          </w:p>
        </w:tc>
        <w:tc>
          <w:tcPr>
            <w:tcW w:w="2050" w:type="dxa"/>
            <w:vAlign w:val="bottom"/>
            <w:shd w:val="clear" w:color="auto" w:fill="EBE6F0"/>
          </w:tcPr>
          <w:p>
            <w:pPr>
              <w:spacing w:after="0"/>
              <w:rPr>
                <w:sz w:val="19"/>
                <w:szCs w:val="19"/>
                <w:color w:val="auto"/>
              </w:rPr>
            </w:pPr>
          </w:p>
        </w:tc>
        <w:tc>
          <w:tcPr>
            <w:tcW w:w="2250" w:type="dxa"/>
            <w:vAlign w:val="bottom"/>
            <w:shd w:val="clear" w:color="auto" w:fill="EBE6F0"/>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60" w:type="dxa"/>
            <w:vAlign w:val="bottom"/>
          </w:tcPr>
          <w:p>
            <w:pPr>
              <w:spacing w:after="0"/>
              <w:rPr>
                <w:sz w:val="22"/>
                <w:szCs w:val="22"/>
                <w:color w:val="auto"/>
              </w:rPr>
            </w:pPr>
          </w:p>
        </w:tc>
        <w:tc>
          <w:tcPr>
            <w:tcW w:w="1480" w:type="dxa"/>
            <w:vAlign w:val="bottom"/>
            <w:shd w:val="clear" w:color="auto" w:fill="EBE6F0"/>
          </w:tcPr>
          <w:p>
            <w:pPr>
              <w:spacing w:after="0"/>
              <w:rPr>
                <w:sz w:val="22"/>
                <w:szCs w:val="22"/>
                <w:color w:val="auto"/>
              </w:rPr>
            </w:pPr>
          </w:p>
        </w:tc>
        <w:tc>
          <w:tcPr>
            <w:tcW w:w="3950" w:type="dxa"/>
            <w:vAlign w:val="bottom"/>
            <w:shd w:val="clear" w:color="auto" w:fill="EBE6F0"/>
          </w:tcPr>
          <w:p>
            <w:pPr>
              <w:ind w:left="240"/>
              <w:spacing w:after="0"/>
              <w:rPr>
                <w:sz w:val="20"/>
                <w:szCs w:val="20"/>
                <w:color w:val="auto"/>
              </w:rPr>
            </w:pPr>
            <w:r>
              <w:rPr>
                <w:rFonts w:ascii="Arial" w:cs="Arial" w:eastAsia="Arial" w:hAnsi="Arial"/>
                <w:sz w:val="20"/>
                <w:szCs w:val="20"/>
                <w:color w:val="auto"/>
              </w:rPr>
              <w:t>and</w:t>
            </w:r>
          </w:p>
        </w:tc>
        <w:tc>
          <w:tcPr>
            <w:tcW w:w="210" w:type="dxa"/>
            <w:vAlign w:val="bottom"/>
            <w:shd w:val="clear" w:color="auto" w:fill="EBE6F0"/>
          </w:tcPr>
          <w:p>
            <w:pPr>
              <w:spacing w:after="0"/>
              <w:rPr>
                <w:sz w:val="22"/>
                <w:szCs w:val="22"/>
                <w:color w:val="auto"/>
              </w:rPr>
            </w:pPr>
          </w:p>
        </w:tc>
        <w:tc>
          <w:tcPr>
            <w:tcW w:w="2050" w:type="dxa"/>
            <w:vAlign w:val="bottom"/>
            <w:shd w:val="clear" w:color="auto" w:fill="EBE6F0"/>
          </w:tcPr>
          <w:p>
            <w:pPr>
              <w:spacing w:after="0"/>
              <w:rPr>
                <w:sz w:val="22"/>
                <w:szCs w:val="22"/>
                <w:color w:val="auto"/>
              </w:rPr>
            </w:pPr>
          </w:p>
        </w:tc>
        <w:tc>
          <w:tcPr>
            <w:tcW w:w="2250" w:type="dxa"/>
            <w:vAlign w:val="bottom"/>
            <w:shd w:val="clear" w:color="auto" w:fill="EBE6F0"/>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660" w:type="dxa"/>
            <w:vAlign w:val="bottom"/>
          </w:tcPr>
          <w:p>
            <w:pPr>
              <w:spacing w:after="0"/>
              <w:rPr>
                <w:sz w:val="20"/>
                <w:szCs w:val="20"/>
                <w:color w:val="auto"/>
              </w:rPr>
            </w:pPr>
          </w:p>
        </w:tc>
        <w:tc>
          <w:tcPr>
            <w:tcW w:w="1480" w:type="dxa"/>
            <w:vAlign w:val="bottom"/>
            <w:shd w:val="clear" w:color="auto" w:fill="EBE6F0"/>
          </w:tcPr>
          <w:p>
            <w:pPr>
              <w:spacing w:after="0"/>
              <w:rPr>
                <w:sz w:val="20"/>
                <w:szCs w:val="20"/>
                <w:color w:val="auto"/>
              </w:rPr>
            </w:pPr>
          </w:p>
        </w:tc>
        <w:tc>
          <w:tcPr>
            <w:tcW w:w="3950" w:type="dxa"/>
            <w:vAlign w:val="bottom"/>
            <w:shd w:val="clear" w:color="auto" w:fill="EBE6F0"/>
          </w:tcPr>
          <w:p>
            <w:pPr>
              <w:ind w:left="6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incremental costs due to the war in</w:t>
            </w:r>
          </w:p>
        </w:tc>
        <w:tc>
          <w:tcPr>
            <w:tcW w:w="210" w:type="dxa"/>
            <w:vAlign w:val="bottom"/>
            <w:shd w:val="clear" w:color="auto" w:fill="EBE6F0"/>
          </w:tcPr>
          <w:p>
            <w:pPr>
              <w:spacing w:after="0"/>
              <w:rPr>
                <w:sz w:val="20"/>
                <w:szCs w:val="20"/>
                <w:color w:val="auto"/>
              </w:rPr>
            </w:pPr>
          </w:p>
        </w:tc>
        <w:tc>
          <w:tcPr>
            <w:tcW w:w="2050" w:type="dxa"/>
            <w:vAlign w:val="bottom"/>
            <w:shd w:val="clear" w:color="auto" w:fill="EBE6F0"/>
          </w:tcPr>
          <w:p>
            <w:pPr>
              <w:spacing w:after="0"/>
              <w:rPr>
                <w:sz w:val="20"/>
                <w:szCs w:val="20"/>
                <w:color w:val="auto"/>
              </w:rPr>
            </w:pPr>
          </w:p>
        </w:tc>
        <w:tc>
          <w:tcPr>
            <w:tcW w:w="2250" w:type="dxa"/>
            <w:vAlign w:val="bottom"/>
            <w:shd w:val="clear" w:color="auto" w:fill="EBE6F0"/>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660" w:type="dxa"/>
            <w:vAlign w:val="bottom"/>
          </w:tcPr>
          <w:p>
            <w:pPr>
              <w:spacing w:after="0"/>
              <w:rPr>
                <w:sz w:val="24"/>
                <w:szCs w:val="24"/>
                <w:color w:val="auto"/>
              </w:rPr>
            </w:pPr>
          </w:p>
        </w:tc>
        <w:tc>
          <w:tcPr>
            <w:tcW w:w="1480" w:type="dxa"/>
            <w:vAlign w:val="bottom"/>
            <w:shd w:val="clear" w:color="auto" w:fill="EBE6F0"/>
          </w:tcPr>
          <w:p>
            <w:pPr>
              <w:spacing w:after="0"/>
              <w:rPr>
                <w:sz w:val="24"/>
                <w:szCs w:val="24"/>
                <w:color w:val="auto"/>
              </w:rPr>
            </w:pPr>
          </w:p>
        </w:tc>
        <w:tc>
          <w:tcPr>
            <w:tcW w:w="3950" w:type="dxa"/>
            <w:vAlign w:val="bottom"/>
            <w:shd w:val="clear" w:color="auto" w:fill="EBE6F0"/>
          </w:tcPr>
          <w:p>
            <w:pPr>
              <w:ind w:left="240"/>
              <w:spacing w:after="0" w:line="339" w:lineRule="exact"/>
              <w:rPr>
                <w:sz w:val="20"/>
                <w:szCs w:val="20"/>
                <w:color w:val="auto"/>
              </w:rPr>
            </w:pPr>
            <w:r>
              <w:rPr>
                <w:rFonts w:ascii="Arial" w:cs="Arial" w:eastAsia="Arial" w:hAnsi="Arial"/>
                <w:sz w:val="20"/>
                <w:szCs w:val="20"/>
                <w:color w:val="auto"/>
              </w:rPr>
              <w:t>Ukraine</w:t>
            </w:r>
            <w:r>
              <w:rPr>
                <w:rFonts w:ascii="Arial" w:cs="Arial" w:eastAsia="Arial" w:hAnsi="Arial"/>
                <w:sz w:val="33"/>
                <w:szCs w:val="33"/>
                <w:color w:val="auto"/>
                <w:vertAlign w:val="superscript"/>
              </w:rPr>
              <w:t>(11)</w:t>
            </w:r>
            <w:r>
              <w:rPr>
                <w:rFonts w:ascii="Arial" w:cs="Arial" w:eastAsia="Arial" w:hAnsi="Arial"/>
                <w:sz w:val="20"/>
                <w:szCs w:val="20"/>
                <w:color w:val="auto"/>
              </w:rPr>
              <w:t>.</w:t>
            </w:r>
          </w:p>
        </w:tc>
        <w:tc>
          <w:tcPr>
            <w:tcW w:w="210" w:type="dxa"/>
            <w:vAlign w:val="bottom"/>
            <w:shd w:val="clear" w:color="auto" w:fill="EBE6F0"/>
          </w:tcPr>
          <w:p>
            <w:pPr>
              <w:spacing w:after="0"/>
              <w:rPr>
                <w:sz w:val="24"/>
                <w:szCs w:val="24"/>
                <w:color w:val="auto"/>
              </w:rPr>
            </w:pPr>
          </w:p>
        </w:tc>
        <w:tc>
          <w:tcPr>
            <w:tcW w:w="2050" w:type="dxa"/>
            <w:vAlign w:val="bottom"/>
            <w:shd w:val="clear" w:color="auto" w:fill="EBE6F0"/>
          </w:tcPr>
          <w:p>
            <w:pPr>
              <w:spacing w:after="0"/>
              <w:rPr>
                <w:sz w:val="24"/>
                <w:szCs w:val="24"/>
                <w:color w:val="auto"/>
              </w:rPr>
            </w:pPr>
          </w:p>
        </w:tc>
        <w:tc>
          <w:tcPr>
            <w:tcW w:w="2250" w:type="dxa"/>
            <w:vAlign w:val="bottom"/>
            <w:shd w:val="clear" w:color="auto" w:fill="EBE6F0"/>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60" w:type="dxa"/>
            <w:vAlign w:val="bottom"/>
            <w:tcBorders>
              <w:bottom w:val="single" w:sz="8" w:color="58358F"/>
            </w:tcBorders>
          </w:tcPr>
          <w:p>
            <w:pPr>
              <w:spacing w:after="0"/>
              <w:rPr>
                <w:sz w:val="15"/>
                <w:szCs w:val="15"/>
                <w:color w:val="auto"/>
              </w:rPr>
            </w:pPr>
          </w:p>
        </w:tc>
        <w:tc>
          <w:tcPr>
            <w:tcW w:w="1480" w:type="dxa"/>
            <w:vAlign w:val="bottom"/>
            <w:tcBorders>
              <w:bottom w:val="single" w:sz="8" w:color="58358F"/>
            </w:tcBorders>
          </w:tcPr>
          <w:p>
            <w:pPr>
              <w:spacing w:after="0"/>
              <w:rPr>
                <w:sz w:val="15"/>
                <w:szCs w:val="15"/>
                <w:color w:val="auto"/>
              </w:rPr>
            </w:pPr>
          </w:p>
        </w:tc>
        <w:tc>
          <w:tcPr>
            <w:tcW w:w="3950" w:type="dxa"/>
            <w:vAlign w:val="bottom"/>
            <w:tcBorders>
              <w:bottom w:val="single" w:sz="8" w:color="58358F"/>
            </w:tcBorders>
          </w:tcPr>
          <w:p>
            <w:pPr>
              <w:spacing w:after="0"/>
              <w:rPr>
                <w:sz w:val="15"/>
                <w:szCs w:val="15"/>
                <w:color w:val="auto"/>
              </w:rPr>
            </w:pPr>
          </w:p>
        </w:tc>
        <w:tc>
          <w:tcPr>
            <w:tcW w:w="210" w:type="dxa"/>
            <w:vAlign w:val="bottom"/>
            <w:tcBorders>
              <w:bottom w:val="single" w:sz="8" w:color="58358F"/>
            </w:tcBorders>
          </w:tcPr>
          <w:p>
            <w:pPr>
              <w:spacing w:after="0"/>
              <w:rPr>
                <w:sz w:val="15"/>
                <w:szCs w:val="15"/>
                <w:color w:val="auto"/>
              </w:rPr>
            </w:pPr>
          </w:p>
        </w:tc>
        <w:tc>
          <w:tcPr>
            <w:tcW w:w="2050" w:type="dxa"/>
            <w:vAlign w:val="bottom"/>
            <w:tcBorders>
              <w:bottom w:val="single" w:sz="8" w:color="58358F"/>
            </w:tcBorders>
          </w:tcPr>
          <w:p>
            <w:pPr>
              <w:spacing w:after="0"/>
              <w:rPr>
                <w:sz w:val="15"/>
                <w:szCs w:val="15"/>
                <w:color w:val="auto"/>
              </w:rPr>
            </w:pPr>
          </w:p>
        </w:tc>
        <w:tc>
          <w:tcPr>
            <w:tcW w:w="2890" w:type="dxa"/>
            <w:vAlign w:val="bottom"/>
            <w:tcBorders>
              <w:bottom w:val="single" w:sz="8" w:color="58358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950" w:type="dxa"/>
            <w:vAlign w:val="bottom"/>
          </w:tcPr>
          <w:p>
            <w:pPr>
              <w:spacing w:after="0"/>
              <w:rPr>
                <w:sz w:val="22"/>
                <w:szCs w:val="22"/>
                <w:color w:val="auto"/>
              </w:rPr>
            </w:pPr>
          </w:p>
        </w:tc>
        <w:tc>
          <w:tcPr>
            <w:tcW w:w="210" w:type="dxa"/>
            <w:vAlign w:val="bottom"/>
          </w:tcPr>
          <w:p>
            <w:pPr>
              <w:spacing w:after="0"/>
              <w:rPr>
                <w:sz w:val="22"/>
                <w:szCs w:val="22"/>
                <w:color w:val="auto"/>
              </w:rPr>
            </w:pPr>
          </w:p>
        </w:tc>
        <w:tc>
          <w:tcPr>
            <w:tcW w:w="2050" w:type="dxa"/>
            <w:vAlign w:val="bottom"/>
          </w:tcPr>
          <w:p>
            <w:pPr>
              <w:spacing w:after="0"/>
              <w:rPr>
                <w:sz w:val="22"/>
                <w:szCs w:val="22"/>
                <w:color w:val="auto"/>
              </w:rPr>
            </w:pPr>
          </w:p>
        </w:tc>
        <w:tc>
          <w:tcPr>
            <w:tcW w:w="2890" w:type="dxa"/>
            <w:vAlign w:val="bottom"/>
            <w:gridSpan w:val="2"/>
          </w:tcPr>
          <w:p>
            <w:pPr>
              <w:ind w:left="630"/>
              <w:spacing w:after="0"/>
              <w:rPr>
                <w:sz w:val="20"/>
                <w:szCs w:val="20"/>
                <w:color w:val="auto"/>
              </w:rPr>
            </w:pPr>
            <w:r>
              <w:rPr>
                <w:rFonts w:ascii="Arial" w:cs="Arial" w:eastAsia="Arial" w:hAnsi="Arial"/>
                <w:sz w:val="15"/>
                <w:szCs w:val="15"/>
                <w:b w:val="1"/>
                <w:bCs w:val="1"/>
                <w:color w:val="58358F"/>
              </w:rPr>
              <w:t>2023 PROXY STATEMENT | A-1</w:t>
            </w:r>
          </w:p>
        </w:tc>
        <w:tc>
          <w:tcPr>
            <w:tcW w:w="0" w:type="dxa"/>
            <w:vAlign w:val="bottom"/>
          </w:tcPr>
          <w:p>
            <w:pPr>
              <w:spacing w:after="0"/>
              <w:rPr>
                <w:sz w:val="1"/>
                <w:szCs w:val="1"/>
                <w:color w:val="auto"/>
              </w:rPr>
            </w:pPr>
          </w:p>
        </w:tc>
      </w:tr>
      <w:tr>
        <w:trPr>
          <w:trHeight w:val="261"/>
        </w:trPr>
        <w:tc>
          <w:tcPr>
            <w:tcW w:w="660" w:type="dxa"/>
            <w:vAlign w:val="bottom"/>
            <w:tcBorders>
              <w:bottom w:val="single" w:sz="8" w:color="808080"/>
            </w:tcBorders>
          </w:tcPr>
          <w:p>
            <w:pPr>
              <w:spacing w:after="0"/>
              <w:rPr>
                <w:sz w:val="22"/>
                <w:szCs w:val="22"/>
                <w:color w:val="auto"/>
              </w:rPr>
            </w:pPr>
          </w:p>
        </w:tc>
        <w:tc>
          <w:tcPr>
            <w:tcW w:w="1480" w:type="dxa"/>
            <w:vAlign w:val="bottom"/>
            <w:tcBorders>
              <w:bottom w:val="single" w:sz="8" w:color="808080"/>
            </w:tcBorders>
          </w:tcPr>
          <w:p>
            <w:pPr>
              <w:spacing w:after="0"/>
              <w:rPr>
                <w:sz w:val="22"/>
                <w:szCs w:val="22"/>
                <w:color w:val="auto"/>
              </w:rPr>
            </w:pPr>
          </w:p>
        </w:tc>
        <w:tc>
          <w:tcPr>
            <w:tcW w:w="3950" w:type="dxa"/>
            <w:vAlign w:val="bottom"/>
            <w:tcBorders>
              <w:bottom w:val="single" w:sz="8" w:color="808080"/>
            </w:tcBorders>
          </w:tcPr>
          <w:p>
            <w:pPr>
              <w:spacing w:after="0"/>
              <w:rPr>
                <w:sz w:val="22"/>
                <w:szCs w:val="22"/>
                <w:color w:val="auto"/>
              </w:rPr>
            </w:pPr>
          </w:p>
        </w:tc>
        <w:tc>
          <w:tcPr>
            <w:tcW w:w="210" w:type="dxa"/>
            <w:vAlign w:val="bottom"/>
            <w:tcBorders>
              <w:bottom w:val="single" w:sz="8" w:color="808080"/>
            </w:tcBorders>
          </w:tcPr>
          <w:p>
            <w:pPr>
              <w:spacing w:after="0"/>
              <w:rPr>
                <w:sz w:val="22"/>
                <w:szCs w:val="22"/>
                <w:color w:val="auto"/>
              </w:rPr>
            </w:pPr>
          </w:p>
        </w:tc>
        <w:tc>
          <w:tcPr>
            <w:tcW w:w="2050" w:type="dxa"/>
            <w:vAlign w:val="bottom"/>
            <w:tcBorders>
              <w:bottom w:val="single" w:sz="8" w:color="808080"/>
            </w:tcBorders>
          </w:tcPr>
          <w:p>
            <w:pPr>
              <w:spacing w:after="0"/>
              <w:rPr>
                <w:sz w:val="22"/>
                <w:szCs w:val="22"/>
                <w:color w:val="auto"/>
              </w:rPr>
            </w:pPr>
          </w:p>
        </w:tc>
        <w:tc>
          <w:tcPr>
            <w:tcW w:w="225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906780" cy="22098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949" w:gutter="0" w:footer="0" w:header="0"/>
          <w:type w:val="continuous"/>
        </w:sectPr>
      </w:pPr>
    </w:p>
    <w:bookmarkStart w:id="145" w:name="page146"/>
    <w:bookmarkEnd w:id="145"/>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620" w:type="dxa"/>
            <w:vAlign w:val="bottom"/>
          </w:tcPr>
          <w:p>
            <w:pPr>
              <w:spacing w:after="0"/>
              <w:rPr>
                <w:sz w:val="22"/>
                <w:szCs w:val="22"/>
                <w:color w:val="auto"/>
              </w:rPr>
            </w:pPr>
          </w:p>
        </w:tc>
        <w:tc>
          <w:tcPr>
            <w:tcW w:w="4620" w:type="dxa"/>
            <w:vAlign w:val="bottom"/>
          </w:tcPr>
          <w:p>
            <w:pPr>
              <w:ind w:left="100"/>
              <w:spacing w:after="0"/>
              <w:rPr>
                <w:sz w:val="20"/>
                <w:szCs w:val="20"/>
                <w:color w:val="auto"/>
              </w:rPr>
            </w:pPr>
            <w:r>
              <w:rPr>
                <w:rFonts w:ascii="Arial" w:cs="Arial" w:eastAsia="Arial" w:hAnsi="Arial"/>
                <w:sz w:val="20"/>
                <w:szCs w:val="20"/>
                <w:b w:val="1"/>
                <w:bCs w:val="1"/>
                <w:color w:val="auto"/>
              </w:rPr>
              <w:t>Definitions</w:t>
            </w:r>
          </w:p>
        </w:tc>
        <w:tc>
          <w:tcPr>
            <w:tcW w:w="25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1620" w:type="dxa"/>
            <w:vAlign w:val="bottom"/>
            <w:tcBorders>
              <w:bottom w:val="single" w:sz="8" w:color="582C83"/>
            </w:tcBorders>
          </w:tcPr>
          <w:p>
            <w:pPr>
              <w:ind w:left="60"/>
              <w:spacing w:after="0"/>
              <w:rPr>
                <w:sz w:val="20"/>
                <w:szCs w:val="20"/>
                <w:color w:val="auto"/>
              </w:rPr>
            </w:pPr>
            <w:r>
              <w:rPr>
                <w:rFonts w:ascii="Arial" w:cs="Arial" w:eastAsia="Arial" w:hAnsi="Arial"/>
                <w:sz w:val="20"/>
                <w:szCs w:val="20"/>
                <w:b w:val="1"/>
                <w:bCs w:val="1"/>
                <w:color w:val="auto"/>
              </w:rPr>
              <w:t>Measures</w:t>
            </w:r>
          </w:p>
        </w:tc>
        <w:tc>
          <w:tcPr>
            <w:tcW w:w="4620" w:type="dxa"/>
            <w:vAlign w:val="bottom"/>
            <w:tcBorders>
              <w:bottom w:val="single" w:sz="8" w:color="582C83"/>
            </w:tcBorders>
          </w:tcPr>
          <w:p>
            <w:pPr>
              <w:ind w:left="100"/>
              <w:spacing w:after="0"/>
              <w:rPr>
                <w:sz w:val="20"/>
                <w:szCs w:val="20"/>
                <w:color w:val="auto"/>
              </w:rPr>
            </w:pPr>
            <w:r>
              <w:rPr>
                <w:rFonts w:ascii="Arial" w:cs="Arial" w:eastAsia="Arial" w:hAnsi="Arial"/>
                <w:sz w:val="20"/>
                <w:szCs w:val="20"/>
                <w:b w:val="1"/>
                <w:bCs w:val="1"/>
                <w:color w:val="auto"/>
              </w:rPr>
              <w:t>(Including Adjustment to GAAP Measure)</w:t>
            </w:r>
          </w:p>
        </w:tc>
        <w:tc>
          <w:tcPr>
            <w:tcW w:w="2580" w:type="dxa"/>
            <w:vAlign w:val="bottom"/>
            <w:tcBorders>
              <w:bottom w:val="single" w:sz="8" w:color="582C83"/>
            </w:tcBorders>
          </w:tcPr>
          <w:p>
            <w:pPr>
              <w:ind w:left="200"/>
              <w:spacing w:after="0"/>
              <w:rPr>
                <w:sz w:val="20"/>
                <w:szCs w:val="20"/>
                <w:color w:val="auto"/>
              </w:rPr>
            </w:pPr>
            <w:r>
              <w:rPr>
                <w:rFonts w:ascii="Arial" w:cs="Arial" w:eastAsia="Arial" w:hAnsi="Arial"/>
                <w:sz w:val="20"/>
                <w:szCs w:val="20"/>
                <w:b w:val="1"/>
                <w:bCs w:val="1"/>
                <w:color w:val="auto"/>
              </w:rPr>
              <w:t>Modifications</w:t>
            </w:r>
          </w:p>
        </w:tc>
        <w:tc>
          <w:tcPr>
            <w:tcW w:w="2420" w:type="dxa"/>
            <w:vAlign w:val="bottom"/>
            <w:tcBorders>
              <w:bottom w:val="single" w:sz="8" w:color="582C83"/>
            </w:tcBorders>
          </w:tcPr>
          <w:p>
            <w:pPr>
              <w:ind w:left="160"/>
              <w:spacing w:after="0"/>
              <w:rPr>
                <w:sz w:val="20"/>
                <w:szCs w:val="20"/>
                <w:color w:val="auto"/>
              </w:rPr>
            </w:pPr>
            <w:r>
              <w:rPr>
                <w:rFonts w:ascii="Arial" w:cs="Arial" w:eastAsia="Arial" w:hAnsi="Arial"/>
                <w:sz w:val="20"/>
                <w:szCs w:val="20"/>
                <w:b w:val="1"/>
                <w:bCs w:val="1"/>
                <w:color w:val="auto"/>
              </w:rPr>
              <w:t>Rationale</w:t>
            </w:r>
          </w:p>
        </w:tc>
        <w:tc>
          <w:tcPr>
            <w:tcW w:w="0" w:type="dxa"/>
            <w:vAlign w:val="bottom"/>
          </w:tcPr>
          <w:p>
            <w:pPr>
              <w:spacing w:after="0"/>
              <w:rPr>
                <w:sz w:val="1"/>
                <w:szCs w:val="1"/>
                <w:color w:val="auto"/>
              </w:rPr>
            </w:pPr>
          </w:p>
        </w:tc>
      </w:tr>
      <w:tr>
        <w:trPr>
          <w:trHeight w:val="247"/>
        </w:trPr>
        <w:tc>
          <w:tcPr>
            <w:tcW w:w="1620" w:type="dxa"/>
            <w:vAlign w:val="bottom"/>
          </w:tcPr>
          <w:p>
            <w:pPr>
              <w:ind w:left="60"/>
              <w:spacing w:after="0"/>
              <w:rPr>
                <w:sz w:val="20"/>
                <w:szCs w:val="20"/>
                <w:color w:val="auto"/>
              </w:rPr>
            </w:pPr>
            <w:r>
              <w:rPr>
                <w:rFonts w:ascii="Arial" w:cs="Arial" w:eastAsia="Arial" w:hAnsi="Arial"/>
                <w:sz w:val="20"/>
                <w:szCs w:val="20"/>
                <w:b w:val="1"/>
                <w:bCs w:val="1"/>
                <w:color w:val="auto"/>
              </w:rPr>
              <w:t>Adjusted</w:t>
            </w:r>
          </w:p>
        </w:tc>
        <w:tc>
          <w:tcPr>
            <w:tcW w:w="4620" w:type="dxa"/>
            <w:vAlign w:val="bottom"/>
          </w:tcPr>
          <w:p>
            <w:pPr>
              <w:ind w:left="100"/>
              <w:spacing w:after="0"/>
              <w:rPr>
                <w:sz w:val="20"/>
                <w:szCs w:val="20"/>
                <w:color w:val="auto"/>
              </w:rPr>
            </w:pPr>
            <w:r>
              <w:rPr>
                <w:rFonts w:ascii="Arial" w:cs="Arial" w:eastAsia="Arial" w:hAnsi="Arial"/>
                <w:sz w:val="20"/>
                <w:szCs w:val="20"/>
                <w:color w:val="auto"/>
              </w:rPr>
              <w:t>Adjusted Operating Income is defined as</w:t>
            </w:r>
          </w:p>
        </w:tc>
        <w:tc>
          <w:tcPr>
            <w:tcW w:w="2580" w:type="dxa"/>
            <w:vAlign w:val="bottom"/>
          </w:tcPr>
          <w:p>
            <w:pPr>
              <w:ind w:left="200"/>
              <w:spacing w:after="0"/>
              <w:rPr>
                <w:sz w:val="20"/>
                <w:szCs w:val="20"/>
                <w:color w:val="auto"/>
              </w:rPr>
            </w:pPr>
            <w:r>
              <w:rPr>
                <w:rFonts w:ascii="Arial" w:cs="Arial" w:eastAsia="Arial" w:hAnsi="Arial"/>
                <w:sz w:val="20"/>
                <w:szCs w:val="20"/>
                <w:i w:val="1"/>
                <w:iCs w:val="1"/>
                <w:color w:val="auto"/>
              </w:rPr>
              <w:t>Adjusted Operating</w:t>
            </w:r>
          </w:p>
        </w:tc>
        <w:tc>
          <w:tcPr>
            <w:tcW w:w="2420" w:type="dxa"/>
            <w:vAlign w:val="bottom"/>
          </w:tcPr>
          <w:p>
            <w:pPr>
              <w:ind w:left="160"/>
              <w:spacing w:after="0"/>
              <w:rPr>
                <w:sz w:val="20"/>
                <w:szCs w:val="20"/>
                <w:color w:val="auto"/>
              </w:rPr>
            </w:pPr>
            <w:r>
              <w:rPr>
                <w:rFonts w:ascii="Arial" w:cs="Arial" w:eastAsia="Arial" w:hAnsi="Arial"/>
                <w:sz w:val="20"/>
                <w:szCs w:val="20"/>
                <w:color w:val="auto"/>
              </w:rPr>
              <w:t>Indicator of overall</w:t>
            </w:r>
          </w:p>
        </w:tc>
        <w:tc>
          <w:tcPr>
            <w:tcW w:w="0" w:type="dxa"/>
            <w:vAlign w:val="bottom"/>
          </w:tcPr>
          <w:p>
            <w:pPr>
              <w:spacing w:after="0"/>
              <w:rPr>
                <w:sz w:val="1"/>
                <w:szCs w:val="1"/>
                <w:color w:val="auto"/>
              </w:rPr>
            </w:pPr>
          </w:p>
        </w:tc>
      </w:tr>
      <w:tr>
        <w:trPr>
          <w:trHeight w:val="223"/>
        </w:trPr>
        <w:tc>
          <w:tcPr>
            <w:tcW w:w="1620" w:type="dxa"/>
            <w:vAlign w:val="bottom"/>
          </w:tcPr>
          <w:p>
            <w:pPr>
              <w:ind w:left="60"/>
              <w:spacing w:after="0" w:line="224" w:lineRule="exact"/>
              <w:rPr>
                <w:sz w:val="20"/>
                <w:szCs w:val="20"/>
                <w:color w:val="auto"/>
              </w:rPr>
            </w:pPr>
            <w:r>
              <w:rPr>
                <w:rFonts w:ascii="Arial" w:cs="Arial" w:eastAsia="Arial" w:hAnsi="Arial"/>
                <w:sz w:val="20"/>
                <w:szCs w:val="20"/>
                <w:b w:val="1"/>
                <w:bCs w:val="1"/>
                <w:color w:val="auto"/>
              </w:rPr>
              <w:t>Operating</w:t>
            </w:r>
          </w:p>
        </w:tc>
        <w:tc>
          <w:tcPr>
            <w:tcW w:w="4620" w:type="dxa"/>
            <w:vAlign w:val="bottom"/>
          </w:tcPr>
          <w:p>
            <w:pPr>
              <w:ind w:left="100"/>
              <w:spacing w:after="0" w:line="224" w:lineRule="exact"/>
              <w:rPr>
                <w:sz w:val="20"/>
                <w:szCs w:val="20"/>
                <w:color w:val="auto"/>
              </w:rPr>
            </w:pPr>
            <w:r>
              <w:rPr>
                <w:rFonts w:ascii="Arial" w:cs="Arial" w:eastAsia="Arial" w:hAnsi="Arial"/>
                <w:sz w:val="20"/>
                <w:szCs w:val="20"/>
                <w:color w:val="auto"/>
              </w:rPr>
              <w:t>operating income excluding the impacts of:</w:t>
            </w:r>
          </w:p>
        </w:tc>
        <w:tc>
          <w:tcPr>
            <w:tcW w:w="2580" w:type="dxa"/>
            <w:vAlign w:val="bottom"/>
          </w:tcPr>
          <w:p>
            <w:pPr>
              <w:ind w:left="200"/>
              <w:spacing w:after="0" w:line="224" w:lineRule="exact"/>
              <w:rPr>
                <w:sz w:val="20"/>
                <w:szCs w:val="20"/>
                <w:color w:val="auto"/>
              </w:rPr>
            </w:pPr>
            <w:r>
              <w:rPr>
                <w:rFonts w:ascii="Arial" w:cs="Arial" w:eastAsia="Arial" w:hAnsi="Arial"/>
                <w:sz w:val="20"/>
                <w:szCs w:val="20"/>
                <w:i w:val="1"/>
                <w:iCs w:val="1"/>
                <w:color w:val="auto"/>
              </w:rPr>
              <w:t>Income Growth</w:t>
            </w:r>
            <w:r>
              <w:rPr>
                <w:rFonts w:ascii="Arial" w:cs="Arial" w:eastAsia="Arial" w:hAnsi="Arial"/>
                <w:sz w:val="20"/>
                <w:szCs w:val="20"/>
                <w:color w:val="auto"/>
              </w:rPr>
              <w:t>: Defined</w:t>
            </w:r>
          </w:p>
        </w:tc>
        <w:tc>
          <w:tcPr>
            <w:tcW w:w="2420" w:type="dxa"/>
            <w:vAlign w:val="bottom"/>
          </w:tcPr>
          <w:p>
            <w:pPr>
              <w:ind w:left="160"/>
              <w:spacing w:after="0" w:line="224" w:lineRule="exact"/>
              <w:rPr>
                <w:sz w:val="20"/>
                <w:szCs w:val="20"/>
                <w:color w:val="auto"/>
              </w:rPr>
            </w:pPr>
            <w:r>
              <w:rPr>
                <w:rFonts w:ascii="Arial" w:cs="Arial" w:eastAsia="Arial" w:hAnsi="Arial"/>
                <w:sz w:val="20"/>
                <w:szCs w:val="20"/>
                <w:color w:val="auto"/>
              </w:rPr>
              <w:t>business trends and</w:t>
            </w:r>
          </w:p>
        </w:tc>
        <w:tc>
          <w:tcPr>
            <w:tcW w:w="0" w:type="dxa"/>
            <w:vAlign w:val="bottom"/>
          </w:tcPr>
          <w:p>
            <w:pPr>
              <w:spacing w:after="0"/>
              <w:rPr>
                <w:sz w:val="1"/>
                <w:szCs w:val="1"/>
                <w:color w:val="auto"/>
              </w:rPr>
            </w:pPr>
          </w:p>
        </w:tc>
      </w:tr>
      <w:tr>
        <w:trPr>
          <w:trHeight w:val="287"/>
        </w:trPr>
        <w:tc>
          <w:tcPr>
            <w:tcW w:w="1620" w:type="dxa"/>
            <w:vAlign w:val="bottom"/>
          </w:tcPr>
          <w:p>
            <w:pPr>
              <w:ind w:left="60"/>
              <w:spacing w:after="0"/>
              <w:rPr>
                <w:sz w:val="20"/>
                <w:szCs w:val="20"/>
                <w:color w:val="auto"/>
              </w:rPr>
            </w:pPr>
            <w:r>
              <w:rPr>
                <w:rFonts w:ascii="Arial" w:cs="Arial" w:eastAsia="Arial" w:hAnsi="Arial"/>
                <w:sz w:val="20"/>
                <w:szCs w:val="20"/>
                <w:b w:val="1"/>
                <w:bCs w:val="1"/>
                <w:color w:val="auto"/>
              </w:rPr>
              <w:t>Income Growth</w:t>
            </w:r>
          </w:p>
        </w:tc>
        <w:tc>
          <w:tcPr>
            <w:tcW w:w="4620" w:type="dxa"/>
            <w:vAlign w:val="bottom"/>
          </w:tcPr>
          <w:p>
            <w:pPr>
              <w:ind w:left="100"/>
              <w:spacing w:after="0" w:line="287" w:lineRule="exact"/>
              <w:rPr>
                <w:sz w:val="20"/>
                <w:szCs w:val="20"/>
                <w:color w:val="auto"/>
              </w:rPr>
            </w:pPr>
            <w:r>
              <w:rPr>
                <w:rFonts w:ascii="Arial" w:cs="Arial" w:eastAsia="Arial" w:hAnsi="Arial"/>
                <w:sz w:val="33"/>
                <w:szCs w:val="33"/>
                <w:color w:val="582C83"/>
                <w:vertAlign w:val="superscript"/>
              </w:rPr>
              <w:t>•</w:t>
            </w:r>
            <w:r>
              <w:rPr>
                <w:rFonts w:ascii="Arial" w:cs="Arial" w:eastAsia="Arial" w:hAnsi="Arial"/>
                <w:sz w:val="18"/>
                <w:szCs w:val="18"/>
                <w:color w:val="auto"/>
              </w:rPr>
              <w:t xml:space="preserve"> the Simplify to Grow Program</w:t>
            </w:r>
            <w:r>
              <w:rPr>
                <w:rFonts w:ascii="Arial" w:cs="Arial" w:eastAsia="Arial" w:hAnsi="Arial"/>
                <w:sz w:val="28"/>
                <w:szCs w:val="28"/>
                <w:color w:val="auto"/>
                <w:vertAlign w:val="superscript"/>
              </w:rPr>
              <w:t>(3)</w:t>
            </w:r>
            <w:r>
              <w:rPr>
                <w:rFonts w:ascii="Arial" w:cs="Arial" w:eastAsia="Arial" w:hAnsi="Arial"/>
                <w:sz w:val="18"/>
                <w:szCs w:val="18"/>
                <w:color w:val="auto"/>
              </w:rPr>
              <w:t>;</w:t>
            </w:r>
          </w:p>
        </w:tc>
        <w:tc>
          <w:tcPr>
            <w:tcW w:w="2580" w:type="dxa"/>
            <w:vAlign w:val="bottom"/>
          </w:tcPr>
          <w:p>
            <w:pPr>
              <w:ind w:left="200"/>
              <w:spacing w:after="0"/>
              <w:rPr>
                <w:sz w:val="20"/>
                <w:szCs w:val="20"/>
                <w:color w:val="auto"/>
              </w:rPr>
            </w:pPr>
            <w:r>
              <w:rPr>
                <w:rFonts w:ascii="Arial" w:cs="Arial" w:eastAsia="Arial" w:hAnsi="Arial"/>
                <w:sz w:val="20"/>
                <w:szCs w:val="20"/>
                <w:color w:val="auto"/>
              </w:rPr>
              <w:t>as the year-over-year</w:t>
            </w:r>
          </w:p>
        </w:tc>
        <w:tc>
          <w:tcPr>
            <w:tcW w:w="2420" w:type="dxa"/>
            <w:vAlign w:val="bottom"/>
          </w:tcPr>
          <w:p>
            <w:pPr>
              <w:ind w:left="160"/>
              <w:spacing w:after="0"/>
              <w:rPr>
                <w:sz w:val="20"/>
                <w:szCs w:val="20"/>
                <w:color w:val="auto"/>
              </w:rPr>
            </w:pPr>
            <w:r>
              <w:rPr>
                <w:rFonts w:ascii="Arial" w:cs="Arial" w:eastAsia="Arial" w:hAnsi="Arial"/>
                <w:sz w:val="20"/>
                <w:szCs w:val="20"/>
                <w:color w:val="auto"/>
              </w:rPr>
              <w:t>performance, based on</w:t>
            </w:r>
          </w:p>
        </w:tc>
        <w:tc>
          <w:tcPr>
            <w:tcW w:w="0" w:type="dxa"/>
            <w:vAlign w:val="bottom"/>
          </w:tcPr>
          <w:p>
            <w:pPr>
              <w:spacing w:after="0"/>
              <w:rPr>
                <w:sz w:val="1"/>
                <w:szCs w:val="1"/>
                <w:color w:val="auto"/>
              </w:rPr>
            </w:pPr>
          </w:p>
        </w:tc>
      </w:tr>
      <w:tr>
        <w:trPr>
          <w:trHeight w:val="160"/>
        </w:trPr>
        <w:tc>
          <w:tcPr>
            <w:tcW w:w="1620" w:type="dxa"/>
            <w:vAlign w:val="bottom"/>
          </w:tcPr>
          <w:p>
            <w:pPr>
              <w:ind w:left="60"/>
              <w:spacing w:after="0" w:line="160" w:lineRule="exact"/>
              <w:rPr>
                <w:sz w:val="20"/>
                <w:szCs w:val="20"/>
                <w:color w:val="auto"/>
              </w:rPr>
            </w:pPr>
            <w:r>
              <w:rPr>
                <w:rFonts w:ascii="Arial" w:cs="Arial" w:eastAsia="Arial" w:hAnsi="Arial"/>
                <w:sz w:val="18"/>
                <w:szCs w:val="18"/>
                <w:b w:val="1"/>
                <w:bCs w:val="1"/>
                <w:color w:val="auto"/>
              </w:rPr>
              <w:t>(AIP)</w:t>
            </w:r>
          </w:p>
        </w:tc>
        <w:tc>
          <w:tcPr>
            <w:tcW w:w="4620" w:type="dxa"/>
            <w:vAlign w:val="bottom"/>
            <w:vMerge w:val="restart"/>
          </w:tcPr>
          <w:p>
            <w:pPr>
              <w:ind w:left="10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gains or losses (including non-cash impairment</w:t>
            </w:r>
          </w:p>
        </w:tc>
        <w:tc>
          <w:tcPr>
            <w:tcW w:w="2580" w:type="dxa"/>
            <w:vAlign w:val="bottom"/>
          </w:tcPr>
          <w:p>
            <w:pPr>
              <w:ind w:left="200"/>
              <w:spacing w:after="0" w:line="160" w:lineRule="exact"/>
              <w:rPr>
                <w:sz w:val="20"/>
                <w:szCs w:val="20"/>
                <w:color w:val="auto"/>
              </w:rPr>
            </w:pPr>
            <w:r>
              <w:rPr>
                <w:rFonts w:ascii="Arial" w:cs="Arial" w:eastAsia="Arial" w:hAnsi="Arial"/>
                <w:sz w:val="18"/>
                <w:szCs w:val="18"/>
                <w:color w:val="auto"/>
              </w:rPr>
              <w:t>constant currency growth</w:t>
            </w:r>
          </w:p>
        </w:tc>
        <w:tc>
          <w:tcPr>
            <w:tcW w:w="2420" w:type="dxa"/>
            <w:vAlign w:val="bottom"/>
          </w:tcPr>
          <w:p>
            <w:pPr>
              <w:ind w:left="160"/>
              <w:spacing w:after="0" w:line="160" w:lineRule="exact"/>
              <w:rPr>
                <w:sz w:val="20"/>
                <w:szCs w:val="20"/>
                <w:color w:val="auto"/>
              </w:rPr>
            </w:pPr>
            <w:r>
              <w:rPr>
                <w:rFonts w:ascii="Arial" w:cs="Arial" w:eastAsia="Arial" w:hAnsi="Arial"/>
                <w:sz w:val="18"/>
                <w:szCs w:val="18"/>
                <w:color w:val="auto"/>
              </w:rPr>
              <w:t>what business leaders</w:t>
            </w:r>
          </w:p>
        </w:tc>
        <w:tc>
          <w:tcPr>
            <w:tcW w:w="0" w:type="dxa"/>
            <w:vAlign w:val="bottom"/>
          </w:tcPr>
          <w:p>
            <w:pPr>
              <w:spacing w:after="0"/>
              <w:rPr>
                <w:sz w:val="1"/>
                <w:szCs w:val="1"/>
                <w:color w:val="auto"/>
              </w:rPr>
            </w:pPr>
          </w:p>
        </w:tc>
      </w:tr>
      <w:tr>
        <w:trPr>
          <w:trHeight w:val="124"/>
        </w:trPr>
        <w:tc>
          <w:tcPr>
            <w:tcW w:w="1620" w:type="dxa"/>
            <w:vAlign w:val="bottom"/>
          </w:tcPr>
          <w:p>
            <w:pPr>
              <w:spacing w:after="0"/>
              <w:rPr>
                <w:sz w:val="10"/>
                <w:szCs w:val="10"/>
                <w:color w:val="auto"/>
              </w:rPr>
            </w:pPr>
          </w:p>
        </w:tc>
        <w:tc>
          <w:tcPr>
            <w:tcW w:w="4620" w:type="dxa"/>
            <w:vAlign w:val="bottom"/>
            <w:vMerge w:val="continue"/>
          </w:tcPr>
          <w:p>
            <w:pPr>
              <w:spacing w:after="0"/>
              <w:rPr>
                <w:sz w:val="10"/>
                <w:szCs w:val="10"/>
                <w:color w:val="auto"/>
              </w:rPr>
            </w:pPr>
          </w:p>
        </w:tc>
        <w:tc>
          <w:tcPr>
            <w:tcW w:w="2580" w:type="dxa"/>
            <w:vAlign w:val="bottom"/>
            <w:vMerge w:val="restart"/>
          </w:tcPr>
          <w:p>
            <w:pPr>
              <w:ind w:left="200"/>
              <w:spacing w:after="0" w:line="224" w:lineRule="exact"/>
              <w:rPr>
                <w:sz w:val="20"/>
                <w:szCs w:val="20"/>
                <w:color w:val="auto"/>
              </w:rPr>
            </w:pPr>
            <w:r>
              <w:rPr>
                <w:rFonts w:ascii="Arial" w:cs="Arial" w:eastAsia="Arial" w:hAnsi="Arial"/>
                <w:sz w:val="20"/>
                <w:szCs w:val="20"/>
                <w:color w:val="auto"/>
              </w:rPr>
              <w:t>of Adjusted Operating</w:t>
            </w:r>
          </w:p>
        </w:tc>
        <w:tc>
          <w:tcPr>
            <w:tcW w:w="2420" w:type="dxa"/>
            <w:vAlign w:val="bottom"/>
            <w:vMerge w:val="restart"/>
          </w:tcPr>
          <w:p>
            <w:pPr>
              <w:ind w:left="160"/>
              <w:spacing w:after="0" w:line="224" w:lineRule="exact"/>
              <w:rPr>
                <w:sz w:val="20"/>
                <w:szCs w:val="20"/>
                <w:color w:val="auto"/>
              </w:rPr>
            </w:pPr>
            <w:r>
              <w:rPr>
                <w:rFonts w:ascii="Arial" w:cs="Arial" w:eastAsia="Arial" w:hAnsi="Arial"/>
                <w:sz w:val="20"/>
                <w:szCs w:val="20"/>
                <w:color w:val="auto"/>
              </w:rPr>
              <w:t>can control.</w:t>
            </w:r>
          </w:p>
        </w:tc>
        <w:tc>
          <w:tcPr>
            <w:tcW w:w="0" w:type="dxa"/>
            <w:vAlign w:val="bottom"/>
          </w:tcPr>
          <w:p>
            <w:pPr>
              <w:spacing w:after="0"/>
              <w:rPr>
                <w:sz w:val="1"/>
                <w:szCs w:val="1"/>
                <w:color w:val="auto"/>
              </w:rPr>
            </w:pPr>
          </w:p>
        </w:tc>
      </w:tr>
      <w:tr>
        <w:trPr>
          <w:trHeight w:val="99"/>
        </w:trPr>
        <w:tc>
          <w:tcPr>
            <w:tcW w:w="1620" w:type="dxa"/>
            <w:vAlign w:val="bottom"/>
          </w:tcPr>
          <w:p>
            <w:pPr>
              <w:spacing w:after="0"/>
              <w:rPr>
                <w:sz w:val="8"/>
                <w:szCs w:val="8"/>
                <w:color w:val="auto"/>
              </w:rPr>
            </w:pPr>
          </w:p>
        </w:tc>
        <w:tc>
          <w:tcPr>
            <w:tcW w:w="4620" w:type="dxa"/>
            <w:vAlign w:val="bottom"/>
            <w:vMerge w:val="restart"/>
          </w:tcPr>
          <w:p>
            <w:pPr>
              <w:ind w:left="260"/>
              <w:spacing w:after="0"/>
              <w:rPr>
                <w:sz w:val="20"/>
                <w:szCs w:val="20"/>
                <w:color w:val="auto"/>
              </w:rPr>
            </w:pPr>
            <w:r>
              <w:rPr>
                <w:rFonts w:ascii="Arial" w:cs="Arial" w:eastAsia="Arial" w:hAnsi="Arial"/>
                <w:sz w:val="20"/>
                <w:szCs w:val="20"/>
                <w:color w:val="auto"/>
              </w:rPr>
              <w:t>charges) on goodwill and intangible assets;</w:t>
            </w:r>
          </w:p>
        </w:tc>
        <w:tc>
          <w:tcPr>
            <w:tcW w:w="2580" w:type="dxa"/>
            <w:vAlign w:val="bottom"/>
            <w:vMerge w:val="continue"/>
          </w:tcPr>
          <w:p>
            <w:pPr>
              <w:spacing w:after="0"/>
              <w:rPr>
                <w:sz w:val="8"/>
                <w:szCs w:val="8"/>
                <w:color w:val="auto"/>
              </w:rPr>
            </w:pP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4"/>
                <w:szCs w:val="14"/>
                <w:color w:val="auto"/>
              </w:rPr>
            </w:pPr>
          </w:p>
        </w:tc>
        <w:tc>
          <w:tcPr>
            <w:tcW w:w="4620" w:type="dxa"/>
            <w:vAlign w:val="bottom"/>
            <w:vMerge w:val="continue"/>
          </w:tcPr>
          <w:p>
            <w:pPr>
              <w:spacing w:after="0"/>
              <w:rPr>
                <w:sz w:val="14"/>
                <w:szCs w:val="14"/>
                <w:color w:val="auto"/>
              </w:rPr>
            </w:pPr>
          </w:p>
        </w:tc>
        <w:tc>
          <w:tcPr>
            <w:tcW w:w="2580" w:type="dxa"/>
            <w:vAlign w:val="bottom"/>
            <w:vMerge w:val="restart"/>
          </w:tcPr>
          <w:p>
            <w:pPr>
              <w:ind w:left="200"/>
              <w:spacing w:after="0" w:line="224" w:lineRule="exact"/>
              <w:rPr>
                <w:sz w:val="20"/>
                <w:szCs w:val="20"/>
                <w:color w:val="auto"/>
              </w:rPr>
            </w:pPr>
            <w:r>
              <w:rPr>
                <w:rFonts w:ascii="Arial" w:cs="Arial" w:eastAsia="Arial" w:hAnsi="Arial"/>
                <w:sz w:val="20"/>
                <w:szCs w:val="20"/>
                <w:color w:val="auto"/>
              </w:rPr>
              <w:t>Income calculated at</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620" w:type="dxa"/>
            <w:vAlign w:val="bottom"/>
          </w:tcPr>
          <w:p>
            <w:pPr>
              <w:spacing w:after="0"/>
              <w:rPr>
                <w:sz w:val="5"/>
                <w:szCs w:val="5"/>
                <w:color w:val="auto"/>
              </w:rPr>
            </w:pPr>
          </w:p>
        </w:tc>
        <w:tc>
          <w:tcPr>
            <w:tcW w:w="4620" w:type="dxa"/>
            <w:vAlign w:val="bottom"/>
            <w:vMerge w:val="restart"/>
          </w:tcPr>
          <w:p>
            <w:pPr>
              <w:ind w:left="100"/>
              <w:spacing w:after="0" w:line="283" w:lineRule="exact"/>
              <w:rPr>
                <w:sz w:val="20"/>
                <w:szCs w:val="20"/>
                <w:color w:val="auto"/>
              </w:rPr>
            </w:pPr>
            <w:r>
              <w:rPr>
                <w:rFonts w:ascii="Arial" w:cs="Arial" w:eastAsia="Arial" w:hAnsi="Arial"/>
                <w:sz w:val="32"/>
                <w:szCs w:val="32"/>
                <w:color w:val="582C83"/>
                <w:vertAlign w:val="superscript"/>
              </w:rPr>
              <w:t>•</w:t>
            </w:r>
            <w:r>
              <w:rPr>
                <w:rFonts w:ascii="Arial" w:cs="Arial" w:eastAsia="Arial" w:hAnsi="Arial"/>
                <w:sz w:val="17"/>
                <w:szCs w:val="17"/>
                <w:color w:val="auto"/>
              </w:rPr>
              <w:t xml:space="preserve"> divestiture</w:t>
            </w:r>
            <w:r>
              <w:rPr>
                <w:rFonts w:ascii="Arial" w:cs="Arial" w:eastAsia="Arial" w:hAnsi="Arial"/>
                <w:sz w:val="27"/>
                <w:szCs w:val="27"/>
                <w:color w:val="auto"/>
                <w:vertAlign w:val="superscript"/>
              </w:rPr>
              <w:t>(1)</w:t>
            </w:r>
            <w:r>
              <w:rPr>
                <w:rFonts w:ascii="Arial" w:cs="Arial" w:eastAsia="Arial" w:hAnsi="Arial"/>
                <w:sz w:val="17"/>
                <w:szCs w:val="17"/>
                <w:color w:val="auto"/>
              </w:rPr>
              <w:t xml:space="preserve"> or acquisition gains or losses,</w:t>
            </w:r>
          </w:p>
        </w:tc>
        <w:tc>
          <w:tcPr>
            <w:tcW w:w="2580" w:type="dxa"/>
            <w:vAlign w:val="bottom"/>
            <w:vMerge w:val="continue"/>
          </w:tcPr>
          <w:p>
            <w:pPr>
              <w:spacing w:after="0"/>
              <w:rPr>
                <w:sz w:val="5"/>
                <w:szCs w:val="5"/>
                <w:color w:val="auto"/>
              </w:rPr>
            </w:pPr>
          </w:p>
        </w:tc>
        <w:tc>
          <w:tcPr>
            <w:tcW w:w="2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620" w:type="dxa"/>
            <w:vAlign w:val="bottom"/>
          </w:tcPr>
          <w:p>
            <w:pPr>
              <w:spacing w:after="0"/>
              <w:rPr>
                <w:sz w:val="19"/>
                <w:szCs w:val="19"/>
                <w:color w:val="auto"/>
              </w:rPr>
            </w:pPr>
          </w:p>
        </w:tc>
        <w:tc>
          <w:tcPr>
            <w:tcW w:w="4620" w:type="dxa"/>
            <w:vAlign w:val="bottom"/>
            <w:vMerge w:val="continue"/>
          </w:tcPr>
          <w:p>
            <w:pPr>
              <w:spacing w:after="0"/>
              <w:rPr>
                <w:sz w:val="19"/>
                <w:szCs w:val="19"/>
                <w:color w:val="auto"/>
              </w:rPr>
            </w:pPr>
          </w:p>
        </w:tc>
        <w:tc>
          <w:tcPr>
            <w:tcW w:w="2580" w:type="dxa"/>
            <w:vAlign w:val="bottom"/>
          </w:tcPr>
          <w:p>
            <w:pPr>
              <w:ind w:left="200"/>
              <w:spacing w:after="0" w:line="220" w:lineRule="exact"/>
              <w:rPr>
                <w:sz w:val="20"/>
                <w:szCs w:val="20"/>
                <w:color w:val="auto"/>
              </w:rPr>
            </w:pPr>
            <w:r>
              <w:rPr>
                <w:rFonts w:ascii="Arial" w:cs="Arial" w:eastAsia="Arial" w:hAnsi="Arial"/>
                <w:sz w:val="20"/>
                <w:szCs w:val="20"/>
                <w:color w:val="auto"/>
              </w:rPr>
              <w:t>prior year currency</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1620" w:type="dxa"/>
            <w:vAlign w:val="bottom"/>
          </w:tcPr>
          <w:p>
            <w:pPr>
              <w:spacing w:after="0"/>
              <w:rPr>
                <w:sz w:val="23"/>
                <w:szCs w:val="23"/>
                <w:color w:val="auto"/>
              </w:rPr>
            </w:pPr>
          </w:p>
        </w:tc>
        <w:tc>
          <w:tcPr>
            <w:tcW w:w="4620" w:type="dxa"/>
            <w:vAlign w:val="bottom"/>
          </w:tcPr>
          <w:p>
            <w:pPr>
              <w:ind w:left="260"/>
              <w:spacing w:after="0" w:line="272" w:lineRule="exact"/>
              <w:rPr>
                <w:sz w:val="20"/>
                <w:szCs w:val="20"/>
                <w:color w:val="auto"/>
              </w:rPr>
            </w:pPr>
            <w:r>
              <w:rPr>
                <w:rFonts w:ascii="Arial" w:cs="Arial" w:eastAsia="Arial" w:hAnsi="Arial"/>
                <w:sz w:val="19"/>
                <w:szCs w:val="19"/>
                <w:color w:val="auto"/>
              </w:rPr>
              <w:t>divestiture-related costs</w:t>
            </w:r>
            <w:r>
              <w:rPr>
                <w:rFonts w:ascii="Arial" w:cs="Arial" w:eastAsia="Arial" w:hAnsi="Arial"/>
                <w:sz w:val="31"/>
                <w:szCs w:val="31"/>
                <w:color w:val="auto"/>
                <w:vertAlign w:val="superscript"/>
              </w:rPr>
              <w:t>(4)</w:t>
            </w:r>
            <w:r>
              <w:rPr>
                <w:rFonts w:ascii="Arial" w:cs="Arial" w:eastAsia="Arial" w:hAnsi="Arial"/>
                <w:sz w:val="19"/>
                <w:szCs w:val="19"/>
                <w:color w:val="auto"/>
              </w:rPr>
              <w:t>, acquisition-related</w:t>
            </w:r>
          </w:p>
        </w:tc>
        <w:tc>
          <w:tcPr>
            <w:tcW w:w="2580" w:type="dxa"/>
            <w:vAlign w:val="bottom"/>
          </w:tcPr>
          <w:p>
            <w:pPr>
              <w:ind w:left="200"/>
              <w:spacing w:after="0"/>
              <w:rPr>
                <w:sz w:val="20"/>
                <w:szCs w:val="20"/>
                <w:color w:val="auto"/>
              </w:rPr>
            </w:pPr>
            <w:r>
              <w:rPr>
                <w:rFonts w:ascii="Arial" w:cs="Arial" w:eastAsia="Arial" w:hAnsi="Arial"/>
                <w:sz w:val="20"/>
                <w:szCs w:val="20"/>
                <w:color w:val="auto"/>
              </w:rPr>
              <w:t>exchange rates.</w:t>
            </w: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620" w:type="dxa"/>
            <w:vAlign w:val="bottom"/>
          </w:tcPr>
          <w:p>
            <w:pPr>
              <w:spacing w:after="0"/>
              <w:rPr>
                <w:sz w:val="23"/>
                <w:szCs w:val="23"/>
                <w:color w:val="auto"/>
              </w:rPr>
            </w:pPr>
          </w:p>
        </w:tc>
        <w:tc>
          <w:tcPr>
            <w:tcW w:w="4620" w:type="dxa"/>
            <w:vAlign w:val="bottom"/>
          </w:tcPr>
          <w:p>
            <w:pPr>
              <w:ind w:left="260"/>
              <w:spacing w:after="0" w:line="272" w:lineRule="exact"/>
              <w:rPr>
                <w:sz w:val="20"/>
                <w:szCs w:val="20"/>
                <w:color w:val="auto"/>
              </w:rPr>
            </w:pPr>
            <w:r>
              <w:rPr>
                <w:rFonts w:ascii="Arial" w:cs="Arial" w:eastAsia="Arial" w:hAnsi="Arial"/>
                <w:sz w:val="19"/>
                <w:szCs w:val="19"/>
                <w:color w:val="auto"/>
              </w:rPr>
              <w:t>costs</w:t>
            </w:r>
            <w:r>
              <w:rPr>
                <w:rFonts w:ascii="Arial" w:cs="Arial" w:eastAsia="Arial" w:hAnsi="Arial"/>
                <w:sz w:val="31"/>
                <w:szCs w:val="31"/>
                <w:color w:val="auto"/>
                <w:vertAlign w:val="superscript"/>
              </w:rPr>
              <w:t>(5)</w:t>
            </w:r>
            <w:r>
              <w:rPr>
                <w:rFonts w:ascii="Arial" w:cs="Arial" w:eastAsia="Arial" w:hAnsi="Arial"/>
                <w:sz w:val="19"/>
                <w:szCs w:val="19"/>
                <w:color w:val="auto"/>
              </w:rPr>
              <w:t>, and acquisition integration costs and</w:t>
            </w:r>
          </w:p>
        </w:tc>
        <w:tc>
          <w:tcPr>
            <w:tcW w:w="25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1620" w:type="dxa"/>
            <w:vAlign w:val="bottom"/>
          </w:tcPr>
          <w:p>
            <w:pPr>
              <w:spacing w:after="0"/>
              <w:rPr>
                <w:sz w:val="24"/>
                <w:szCs w:val="24"/>
                <w:color w:val="auto"/>
              </w:rPr>
            </w:pPr>
          </w:p>
        </w:tc>
        <w:tc>
          <w:tcPr>
            <w:tcW w:w="4620" w:type="dxa"/>
            <w:vAlign w:val="bottom"/>
          </w:tcPr>
          <w:p>
            <w:pPr>
              <w:ind w:left="260"/>
              <w:spacing w:after="0" w:line="301" w:lineRule="exact"/>
              <w:rPr>
                <w:sz w:val="20"/>
                <w:szCs w:val="20"/>
                <w:color w:val="auto"/>
              </w:rPr>
            </w:pPr>
            <w:r>
              <w:rPr>
                <w:rFonts w:ascii="Arial" w:cs="Arial" w:eastAsia="Arial" w:hAnsi="Arial"/>
                <w:sz w:val="20"/>
                <w:szCs w:val="20"/>
                <w:color w:val="auto"/>
              </w:rPr>
              <w:t>contingent consideration adjustments</w:t>
            </w:r>
            <w:r>
              <w:rPr>
                <w:rFonts w:ascii="Arial" w:cs="Arial" w:eastAsia="Arial" w:hAnsi="Arial"/>
                <w:sz w:val="33"/>
                <w:szCs w:val="33"/>
                <w:color w:val="auto"/>
                <w:vertAlign w:val="superscript"/>
              </w:rPr>
              <w:t>(6)</w:t>
            </w:r>
            <w:r>
              <w:rPr>
                <w:rFonts w:ascii="Arial" w:cs="Arial" w:eastAsia="Arial" w:hAnsi="Arial"/>
                <w:sz w:val="20"/>
                <w:szCs w:val="20"/>
                <w:color w:val="auto"/>
              </w:rPr>
              <w:t>;</w:t>
            </w:r>
          </w:p>
        </w:tc>
        <w:tc>
          <w:tcPr>
            <w:tcW w:w="2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20" w:type="dxa"/>
            <w:vAlign w:val="bottom"/>
          </w:tcPr>
          <w:p>
            <w:pPr>
              <w:spacing w:after="0"/>
              <w:rPr>
                <w:sz w:val="24"/>
                <w:szCs w:val="24"/>
                <w:color w:val="auto"/>
              </w:rPr>
            </w:pPr>
          </w:p>
        </w:tc>
        <w:tc>
          <w:tcPr>
            <w:tcW w:w="4620" w:type="dxa"/>
            <w:vAlign w:val="bottom"/>
          </w:tcPr>
          <w:p>
            <w:pPr>
              <w:ind w:left="100"/>
              <w:spacing w:after="0" w:line="311" w:lineRule="exact"/>
              <w:rPr>
                <w:sz w:val="20"/>
                <w:szCs w:val="20"/>
                <w:color w:val="auto"/>
              </w:rPr>
            </w:pPr>
            <w:r>
              <w:rPr>
                <w:rFonts w:ascii="Arial" w:cs="Arial" w:eastAsia="Arial" w:hAnsi="Arial"/>
                <w:sz w:val="35"/>
                <w:szCs w:val="35"/>
                <w:color w:val="582C83"/>
                <w:vertAlign w:val="superscript"/>
              </w:rPr>
              <w:t>•</w:t>
            </w:r>
            <w:r>
              <w:rPr>
                <w:rFonts w:ascii="Arial" w:cs="Arial" w:eastAsia="Arial" w:hAnsi="Arial"/>
                <w:sz w:val="18"/>
                <w:szCs w:val="18"/>
                <w:color w:val="auto"/>
              </w:rPr>
              <w:t xml:space="preserve"> inventory step-up charges</w:t>
            </w:r>
            <w:r>
              <w:rPr>
                <w:rFonts w:ascii="Arial" w:cs="Arial" w:eastAsia="Arial" w:hAnsi="Arial"/>
                <w:sz w:val="30"/>
                <w:szCs w:val="30"/>
                <w:color w:val="auto"/>
                <w:vertAlign w:val="superscript"/>
              </w:rPr>
              <w:t>(7)</w:t>
            </w:r>
            <w:r>
              <w:rPr>
                <w:rFonts w:ascii="Arial" w:cs="Arial" w:eastAsia="Arial" w:hAnsi="Arial"/>
                <w:sz w:val="18"/>
                <w:szCs w:val="18"/>
                <w:color w:val="auto"/>
              </w:rPr>
              <w:t>;</w:t>
            </w:r>
          </w:p>
        </w:tc>
        <w:tc>
          <w:tcPr>
            <w:tcW w:w="2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20" w:type="dxa"/>
            <w:vAlign w:val="bottom"/>
          </w:tcPr>
          <w:p>
            <w:pPr>
              <w:spacing w:after="0"/>
              <w:rPr>
                <w:sz w:val="24"/>
                <w:szCs w:val="24"/>
                <w:color w:val="auto"/>
              </w:rPr>
            </w:pPr>
          </w:p>
        </w:tc>
        <w:tc>
          <w:tcPr>
            <w:tcW w:w="4620" w:type="dxa"/>
            <w:vAlign w:val="bottom"/>
          </w:tcPr>
          <w:p>
            <w:pPr>
              <w:ind w:left="100"/>
              <w:spacing w:after="0" w:line="311" w:lineRule="exact"/>
              <w:rPr>
                <w:sz w:val="20"/>
                <w:szCs w:val="20"/>
                <w:color w:val="auto"/>
              </w:rPr>
            </w:pPr>
            <w:r>
              <w:rPr>
                <w:rFonts w:ascii="Arial" w:cs="Arial" w:eastAsia="Arial" w:hAnsi="Arial"/>
                <w:sz w:val="35"/>
                <w:szCs w:val="35"/>
                <w:color w:val="582C83"/>
                <w:vertAlign w:val="superscript"/>
              </w:rPr>
              <w:t>•</w:t>
            </w:r>
            <w:r>
              <w:rPr>
                <w:rFonts w:ascii="Arial" w:cs="Arial" w:eastAsia="Arial" w:hAnsi="Arial"/>
                <w:sz w:val="18"/>
                <w:szCs w:val="18"/>
                <w:color w:val="auto"/>
              </w:rPr>
              <w:t xml:space="preserve"> operating income from divestitures</w:t>
            </w:r>
            <w:r>
              <w:rPr>
                <w:rFonts w:ascii="Arial" w:cs="Arial" w:eastAsia="Arial" w:hAnsi="Arial"/>
                <w:sz w:val="30"/>
                <w:szCs w:val="30"/>
                <w:color w:val="auto"/>
                <w:vertAlign w:val="superscript"/>
              </w:rPr>
              <w:t>(1)</w:t>
            </w:r>
            <w:r>
              <w:rPr>
                <w:rFonts w:ascii="Arial" w:cs="Arial" w:eastAsia="Arial" w:hAnsi="Arial"/>
                <w:sz w:val="18"/>
                <w:szCs w:val="18"/>
                <w:color w:val="auto"/>
              </w:rPr>
              <w:t>;</w:t>
            </w:r>
          </w:p>
        </w:tc>
        <w:tc>
          <w:tcPr>
            <w:tcW w:w="2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20" w:type="dxa"/>
            <w:vAlign w:val="bottom"/>
          </w:tcPr>
          <w:p>
            <w:pPr>
              <w:spacing w:after="0"/>
              <w:rPr>
                <w:sz w:val="24"/>
                <w:szCs w:val="24"/>
                <w:color w:val="auto"/>
              </w:rPr>
            </w:pPr>
          </w:p>
        </w:tc>
        <w:tc>
          <w:tcPr>
            <w:tcW w:w="4620" w:type="dxa"/>
            <w:vAlign w:val="bottom"/>
          </w:tcPr>
          <w:p>
            <w:pPr>
              <w:ind w:left="100"/>
              <w:spacing w:after="0" w:line="311" w:lineRule="exact"/>
              <w:rPr>
                <w:sz w:val="20"/>
                <w:szCs w:val="20"/>
                <w:color w:val="auto"/>
              </w:rPr>
            </w:pPr>
            <w:r>
              <w:rPr>
                <w:rFonts w:ascii="Arial" w:cs="Arial" w:eastAsia="Arial" w:hAnsi="Arial"/>
                <w:sz w:val="35"/>
                <w:szCs w:val="35"/>
                <w:color w:val="582C83"/>
                <w:vertAlign w:val="superscript"/>
              </w:rPr>
              <w:t>•</w:t>
            </w:r>
            <w:r>
              <w:rPr>
                <w:rFonts w:ascii="Arial" w:cs="Arial" w:eastAsia="Arial" w:hAnsi="Arial"/>
                <w:sz w:val="18"/>
                <w:szCs w:val="18"/>
                <w:color w:val="auto"/>
              </w:rPr>
              <w:t xml:space="preserve"> remeasurement of net monetary position</w:t>
            </w:r>
            <w:r>
              <w:rPr>
                <w:rFonts w:ascii="Arial" w:cs="Arial" w:eastAsia="Arial" w:hAnsi="Arial"/>
                <w:sz w:val="30"/>
                <w:szCs w:val="30"/>
                <w:color w:val="auto"/>
                <w:vertAlign w:val="superscript"/>
              </w:rPr>
              <w:t>(8)</w:t>
            </w:r>
            <w:r>
              <w:rPr>
                <w:rFonts w:ascii="Arial" w:cs="Arial" w:eastAsia="Arial" w:hAnsi="Arial"/>
                <w:sz w:val="18"/>
                <w:szCs w:val="18"/>
                <w:color w:val="auto"/>
              </w:rPr>
              <w:t>;</w:t>
            </w:r>
          </w:p>
        </w:tc>
        <w:tc>
          <w:tcPr>
            <w:tcW w:w="2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4620" w:type="dxa"/>
            <w:vAlign w:val="bottom"/>
          </w:tcPr>
          <w:p>
            <w:pPr>
              <w:ind w:left="10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mark-to-market impacts from commodity,</w:t>
            </w:r>
          </w:p>
        </w:tc>
        <w:tc>
          <w:tcPr>
            <w:tcW w:w="25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620" w:type="dxa"/>
            <w:vAlign w:val="bottom"/>
          </w:tcPr>
          <w:p>
            <w:pPr>
              <w:spacing w:after="0"/>
              <w:rPr>
                <w:sz w:val="20"/>
                <w:szCs w:val="20"/>
                <w:color w:val="auto"/>
              </w:rPr>
            </w:pPr>
          </w:p>
        </w:tc>
        <w:tc>
          <w:tcPr>
            <w:tcW w:w="4620" w:type="dxa"/>
            <w:vAlign w:val="bottom"/>
          </w:tcPr>
          <w:p>
            <w:pPr>
              <w:ind w:left="260"/>
              <w:spacing w:after="0"/>
              <w:rPr>
                <w:sz w:val="20"/>
                <w:szCs w:val="20"/>
                <w:color w:val="auto"/>
              </w:rPr>
            </w:pPr>
            <w:r>
              <w:rPr>
                <w:rFonts w:ascii="Arial" w:cs="Arial" w:eastAsia="Arial" w:hAnsi="Arial"/>
                <w:sz w:val="20"/>
                <w:szCs w:val="20"/>
                <w:color w:val="auto"/>
              </w:rPr>
              <w:t>forecasted currency, and equity method</w:t>
            </w:r>
          </w:p>
        </w:tc>
        <w:tc>
          <w:tcPr>
            <w:tcW w:w="25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620" w:type="dxa"/>
            <w:vAlign w:val="bottom"/>
          </w:tcPr>
          <w:p>
            <w:pPr>
              <w:spacing w:after="0"/>
              <w:rPr>
                <w:sz w:val="24"/>
                <w:szCs w:val="24"/>
                <w:color w:val="auto"/>
              </w:rPr>
            </w:pPr>
          </w:p>
        </w:tc>
        <w:tc>
          <w:tcPr>
            <w:tcW w:w="4620" w:type="dxa"/>
            <w:vAlign w:val="bottom"/>
          </w:tcPr>
          <w:p>
            <w:pPr>
              <w:ind w:left="260"/>
              <w:spacing w:after="0" w:line="301" w:lineRule="exact"/>
              <w:rPr>
                <w:sz w:val="20"/>
                <w:szCs w:val="20"/>
                <w:color w:val="auto"/>
              </w:rPr>
            </w:pPr>
            <w:r>
              <w:rPr>
                <w:rFonts w:ascii="Arial" w:cs="Arial" w:eastAsia="Arial" w:hAnsi="Arial"/>
                <w:sz w:val="20"/>
                <w:szCs w:val="20"/>
                <w:color w:val="auto"/>
              </w:rPr>
              <w:t>investment transaction derivative contracts</w:t>
            </w:r>
            <w:r>
              <w:rPr>
                <w:rFonts w:ascii="Arial" w:cs="Arial" w:eastAsia="Arial" w:hAnsi="Arial"/>
                <w:sz w:val="33"/>
                <w:szCs w:val="33"/>
                <w:color w:val="auto"/>
                <w:vertAlign w:val="superscript"/>
              </w:rPr>
              <w:t>(9)</w:t>
            </w:r>
            <w:r>
              <w:rPr>
                <w:rFonts w:ascii="Arial" w:cs="Arial" w:eastAsia="Arial" w:hAnsi="Arial"/>
                <w:sz w:val="20"/>
                <w:szCs w:val="20"/>
                <w:color w:val="auto"/>
              </w:rPr>
              <w:t>;</w:t>
            </w:r>
          </w:p>
        </w:tc>
        <w:tc>
          <w:tcPr>
            <w:tcW w:w="2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20" w:type="dxa"/>
            <w:vAlign w:val="bottom"/>
          </w:tcPr>
          <w:p>
            <w:pPr>
              <w:spacing w:after="0"/>
              <w:rPr>
                <w:sz w:val="24"/>
                <w:szCs w:val="24"/>
                <w:color w:val="auto"/>
              </w:rPr>
            </w:pPr>
          </w:p>
        </w:tc>
        <w:tc>
          <w:tcPr>
            <w:tcW w:w="4620" w:type="dxa"/>
            <w:vAlign w:val="bottom"/>
          </w:tcPr>
          <w:p>
            <w:pPr>
              <w:ind w:left="100"/>
              <w:spacing w:after="0" w:line="311" w:lineRule="exact"/>
              <w:rPr>
                <w:sz w:val="20"/>
                <w:szCs w:val="20"/>
                <w:color w:val="auto"/>
              </w:rPr>
            </w:pPr>
            <w:r>
              <w:rPr>
                <w:rFonts w:ascii="Arial" w:cs="Arial" w:eastAsia="Arial" w:hAnsi="Arial"/>
                <w:sz w:val="35"/>
                <w:szCs w:val="35"/>
                <w:color w:val="582C83"/>
                <w:vertAlign w:val="superscript"/>
              </w:rPr>
              <w:t>•</w:t>
            </w:r>
            <w:r>
              <w:rPr>
                <w:rFonts w:ascii="Arial" w:cs="Arial" w:eastAsia="Arial" w:hAnsi="Arial"/>
                <w:sz w:val="18"/>
                <w:szCs w:val="18"/>
                <w:color w:val="auto"/>
              </w:rPr>
              <w:t xml:space="preserve"> impact from resolution of tax matters</w:t>
            </w:r>
            <w:r>
              <w:rPr>
                <w:rFonts w:ascii="Arial" w:cs="Arial" w:eastAsia="Arial" w:hAnsi="Arial"/>
                <w:sz w:val="30"/>
                <w:szCs w:val="30"/>
                <w:color w:val="auto"/>
                <w:vertAlign w:val="superscript"/>
              </w:rPr>
              <w:t>(10)</w:t>
            </w:r>
            <w:r>
              <w:rPr>
                <w:rFonts w:ascii="Arial" w:cs="Arial" w:eastAsia="Arial" w:hAnsi="Arial"/>
                <w:sz w:val="18"/>
                <w:szCs w:val="18"/>
                <w:color w:val="auto"/>
              </w:rPr>
              <w:t>;</w:t>
            </w:r>
          </w:p>
        </w:tc>
        <w:tc>
          <w:tcPr>
            <w:tcW w:w="2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620" w:type="dxa"/>
            <w:vAlign w:val="bottom"/>
          </w:tcPr>
          <w:p>
            <w:pPr>
              <w:spacing w:after="0"/>
              <w:rPr>
                <w:sz w:val="22"/>
                <w:szCs w:val="22"/>
                <w:color w:val="auto"/>
              </w:rPr>
            </w:pPr>
          </w:p>
        </w:tc>
        <w:tc>
          <w:tcPr>
            <w:tcW w:w="4620" w:type="dxa"/>
            <w:vAlign w:val="bottom"/>
          </w:tcPr>
          <w:p>
            <w:pPr>
              <w:ind w:left="10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2017 malware incident net recoveries;</w:t>
            </w:r>
          </w:p>
        </w:tc>
        <w:tc>
          <w:tcPr>
            <w:tcW w:w="25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1620" w:type="dxa"/>
            <w:vAlign w:val="bottom"/>
          </w:tcPr>
          <w:p>
            <w:pPr>
              <w:spacing w:after="0"/>
              <w:rPr>
                <w:sz w:val="24"/>
                <w:szCs w:val="24"/>
                <w:color w:val="auto"/>
              </w:rPr>
            </w:pPr>
          </w:p>
        </w:tc>
        <w:tc>
          <w:tcPr>
            <w:tcW w:w="4620" w:type="dxa"/>
            <w:vAlign w:val="bottom"/>
          </w:tcPr>
          <w:p>
            <w:pPr>
              <w:ind w:left="100"/>
              <w:spacing w:after="0" w:line="311" w:lineRule="exact"/>
              <w:rPr>
                <w:sz w:val="20"/>
                <w:szCs w:val="20"/>
                <w:color w:val="auto"/>
              </w:rPr>
            </w:pPr>
            <w:r>
              <w:rPr>
                <w:rFonts w:ascii="Arial" w:cs="Arial" w:eastAsia="Arial" w:hAnsi="Arial"/>
                <w:sz w:val="35"/>
                <w:szCs w:val="35"/>
                <w:color w:val="582C83"/>
                <w:vertAlign w:val="superscript"/>
              </w:rPr>
              <w:t>•</w:t>
            </w:r>
            <w:r>
              <w:rPr>
                <w:rFonts w:ascii="Arial" w:cs="Arial" w:eastAsia="Arial" w:hAnsi="Arial"/>
                <w:sz w:val="18"/>
                <w:szCs w:val="18"/>
                <w:color w:val="auto"/>
              </w:rPr>
              <w:t xml:space="preserve"> incremental costs due to the war in Ukraine</w:t>
            </w:r>
            <w:r>
              <w:rPr>
                <w:rFonts w:ascii="Arial" w:cs="Arial" w:eastAsia="Arial" w:hAnsi="Arial"/>
                <w:sz w:val="30"/>
                <w:szCs w:val="30"/>
                <w:color w:val="auto"/>
                <w:vertAlign w:val="superscript"/>
              </w:rPr>
              <w:t>(11)</w:t>
            </w:r>
            <w:r>
              <w:rPr>
                <w:rFonts w:ascii="Arial" w:cs="Arial" w:eastAsia="Arial" w:hAnsi="Arial"/>
                <w:sz w:val="18"/>
                <w:szCs w:val="18"/>
                <w:color w:val="auto"/>
              </w:rPr>
              <w:t>;</w:t>
            </w:r>
          </w:p>
        </w:tc>
        <w:tc>
          <w:tcPr>
            <w:tcW w:w="2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62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impact form the European Commission legal</w:t>
            </w:r>
          </w:p>
        </w:tc>
        <w:tc>
          <w:tcPr>
            <w:tcW w:w="25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620" w:type="dxa"/>
            <w:vAlign w:val="bottom"/>
          </w:tcPr>
          <w:p>
            <w:pPr>
              <w:spacing w:after="0"/>
              <w:rPr>
                <w:sz w:val="24"/>
                <w:szCs w:val="24"/>
                <w:color w:val="auto"/>
              </w:rPr>
            </w:pPr>
          </w:p>
        </w:tc>
        <w:tc>
          <w:tcPr>
            <w:tcW w:w="4620" w:type="dxa"/>
            <w:vAlign w:val="bottom"/>
          </w:tcPr>
          <w:p>
            <w:pPr>
              <w:ind w:left="260"/>
              <w:spacing w:after="0" w:line="301" w:lineRule="exact"/>
              <w:rPr>
                <w:sz w:val="20"/>
                <w:szCs w:val="20"/>
                <w:color w:val="auto"/>
              </w:rPr>
            </w:pPr>
            <w:r>
              <w:rPr>
                <w:rFonts w:ascii="Arial" w:cs="Arial" w:eastAsia="Arial" w:hAnsi="Arial"/>
                <w:sz w:val="20"/>
                <w:szCs w:val="20"/>
                <w:color w:val="auto"/>
              </w:rPr>
              <w:t>matter</w:t>
            </w:r>
            <w:r>
              <w:rPr>
                <w:rFonts w:ascii="Arial" w:cs="Arial" w:eastAsia="Arial" w:hAnsi="Arial"/>
                <w:sz w:val="33"/>
                <w:szCs w:val="33"/>
                <w:color w:val="auto"/>
                <w:vertAlign w:val="superscript"/>
              </w:rPr>
              <w:t>(12)</w:t>
            </w:r>
            <w:r>
              <w:rPr>
                <w:rFonts w:ascii="Arial" w:cs="Arial" w:eastAsia="Arial" w:hAnsi="Arial"/>
                <w:sz w:val="20"/>
                <w:szCs w:val="20"/>
                <w:color w:val="auto"/>
              </w:rPr>
              <w:t>;</w:t>
            </w:r>
          </w:p>
        </w:tc>
        <w:tc>
          <w:tcPr>
            <w:tcW w:w="2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20" w:type="dxa"/>
            <w:vAlign w:val="bottom"/>
          </w:tcPr>
          <w:p>
            <w:pPr>
              <w:spacing w:after="0"/>
              <w:rPr>
                <w:sz w:val="24"/>
                <w:szCs w:val="24"/>
                <w:color w:val="auto"/>
              </w:rPr>
            </w:pPr>
          </w:p>
        </w:tc>
        <w:tc>
          <w:tcPr>
            <w:tcW w:w="4620" w:type="dxa"/>
            <w:vAlign w:val="bottom"/>
          </w:tcPr>
          <w:p>
            <w:pPr>
              <w:ind w:left="100"/>
              <w:spacing w:after="0" w:line="311" w:lineRule="exact"/>
              <w:rPr>
                <w:sz w:val="20"/>
                <w:szCs w:val="20"/>
                <w:color w:val="auto"/>
              </w:rPr>
            </w:pPr>
            <w:r>
              <w:rPr>
                <w:rFonts w:ascii="Arial" w:cs="Arial" w:eastAsia="Arial" w:hAnsi="Arial"/>
                <w:sz w:val="35"/>
                <w:szCs w:val="35"/>
                <w:color w:val="582C83"/>
                <w:vertAlign w:val="superscript"/>
              </w:rPr>
              <w:t>•</w:t>
            </w:r>
            <w:r>
              <w:rPr>
                <w:rFonts w:ascii="Arial" w:cs="Arial" w:eastAsia="Arial" w:hAnsi="Arial"/>
                <w:sz w:val="18"/>
                <w:szCs w:val="18"/>
                <w:color w:val="auto"/>
              </w:rPr>
              <w:t xml:space="preserve"> impact from pension participation changes</w:t>
            </w:r>
            <w:r>
              <w:rPr>
                <w:rFonts w:ascii="Arial" w:cs="Arial" w:eastAsia="Arial" w:hAnsi="Arial"/>
                <w:sz w:val="30"/>
                <w:szCs w:val="30"/>
                <w:color w:val="auto"/>
                <w:vertAlign w:val="superscript"/>
              </w:rPr>
              <w:t>(13)</w:t>
            </w:r>
            <w:r>
              <w:rPr>
                <w:rFonts w:ascii="Arial" w:cs="Arial" w:eastAsia="Arial" w:hAnsi="Arial"/>
                <w:sz w:val="18"/>
                <w:szCs w:val="18"/>
                <w:color w:val="auto"/>
              </w:rPr>
              <w:t>;</w:t>
            </w:r>
          </w:p>
        </w:tc>
        <w:tc>
          <w:tcPr>
            <w:tcW w:w="2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62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initial impacts from enacted tax law</w:t>
            </w:r>
          </w:p>
        </w:tc>
        <w:tc>
          <w:tcPr>
            <w:tcW w:w="25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620" w:type="dxa"/>
            <w:vAlign w:val="bottom"/>
          </w:tcPr>
          <w:p>
            <w:pPr>
              <w:spacing w:after="0"/>
              <w:rPr>
                <w:sz w:val="24"/>
                <w:szCs w:val="24"/>
                <w:color w:val="auto"/>
              </w:rPr>
            </w:pPr>
          </w:p>
        </w:tc>
        <w:tc>
          <w:tcPr>
            <w:tcW w:w="4620" w:type="dxa"/>
            <w:vAlign w:val="bottom"/>
          </w:tcPr>
          <w:p>
            <w:pPr>
              <w:ind w:left="260"/>
              <w:spacing w:after="0" w:line="301" w:lineRule="exact"/>
              <w:rPr>
                <w:sz w:val="20"/>
                <w:szCs w:val="20"/>
                <w:color w:val="auto"/>
              </w:rPr>
            </w:pPr>
            <w:r>
              <w:rPr>
                <w:rFonts w:ascii="Arial" w:cs="Arial" w:eastAsia="Arial" w:hAnsi="Arial"/>
                <w:sz w:val="20"/>
                <w:szCs w:val="20"/>
                <w:color w:val="auto"/>
              </w:rPr>
              <w:t>changes</w:t>
            </w:r>
            <w:r>
              <w:rPr>
                <w:rFonts w:ascii="Arial" w:cs="Arial" w:eastAsia="Arial" w:hAnsi="Arial"/>
                <w:sz w:val="33"/>
                <w:szCs w:val="33"/>
                <w:color w:val="auto"/>
                <w:vertAlign w:val="superscript"/>
              </w:rPr>
              <w:t>(14)</w:t>
            </w:r>
            <w:r>
              <w:rPr>
                <w:rFonts w:ascii="Arial" w:cs="Arial" w:eastAsia="Arial" w:hAnsi="Arial"/>
                <w:sz w:val="20"/>
                <w:szCs w:val="20"/>
                <w:color w:val="auto"/>
              </w:rPr>
              <w:t>; and</w:t>
            </w:r>
          </w:p>
        </w:tc>
        <w:tc>
          <w:tcPr>
            <w:tcW w:w="2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4620" w:type="dxa"/>
            <w:vAlign w:val="bottom"/>
          </w:tcPr>
          <w:p>
            <w:pPr>
              <w:ind w:left="10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costs associated with JDE Peet’s transaction.</w:t>
            </w:r>
          </w:p>
        </w:tc>
        <w:tc>
          <w:tcPr>
            <w:tcW w:w="25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620" w:type="dxa"/>
            <w:vAlign w:val="bottom"/>
            <w:tcBorders>
              <w:bottom w:val="single" w:sz="8" w:color="58358F"/>
            </w:tcBorders>
          </w:tcPr>
          <w:p>
            <w:pPr>
              <w:spacing w:after="0"/>
              <w:rPr>
                <w:sz w:val="18"/>
                <w:szCs w:val="18"/>
                <w:color w:val="auto"/>
              </w:rPr>
            </w:pPr>
          </w:p>
        </w:tc>
        <w:tc>
          <w:tcPr>
            <w:tcW w:w="4620" w:type="dxa"/>
            <w:vAlign w:val="bottom"/>
            <w:tcBorders>
              <w:bottom w:val="single" w:sz="8" w:color="58358F"/>
            </w:tcBorders>
          </w:tcPr>
          <w:p>
            <w:pPr>
              <w:spacing w:after="0"/>
              <w:rPr>
                <w:sz w:val="18"/>
                <w:szCs w:val="18"/>
                <w:color w:val="auto"/>
              </w:rPr>
            </w:pPr>
          </w:p>
        </w:tc>
        <w:tc>
          <w:tcPr>
            <w:tcW w:w="2580" w:type="dxa"/>
            <w:vAlign w:val="bottom"/>
            <w:tcBorders>
              <w:bottom w:val="single" w:sz="8" w:color="58358F"/>
            </w:tcBorders>
          </w:tcPr>
          <w:p>
            <w:pPr>
              <w:spacing w:after="0"/>
              <w:rPr>
                <w:sz w:val="18"/>
                <w:szCs w:val="18"/>
                <w:color w:val="auto"/>
              </w:rPr>
            </w:pPr>
          </w:p>
        </w:tc>
        <w:tc>
          <w:tcPr>
            <w:tcW w:w="2420" w:type="dxa"/>
            <w:vAlign w:val="bottom"/>
            <w:tcBorders>
              <w:bottom w:val="single" w:sz="8" w:color="58358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420" w:type="dxa"/>
            <w:vAlign w:val="bottom"/>
          </w:tcPr>
          <w:p>
            <w:pPr>
              <w:ind w:left="160"/>
              <w:spacing w:after="0"/>
              <w:rPr>
                <w:sz w:val="20"/>
                <w:szCs w:val="20"/>
                <w:color w:val="auto"/>
              </w:rPr>
            </w:pPr>
            <w:r>
              <w:rPr>
                <w:rFonts w:ascii="Arial" w:cs="Arial" w:eastAsia="Arial" w:hAnsi="Arial"/>
                <w:sz w:val="15"/>
                <w:szCs w:val="15"/>
                <w:b w:val="1"/>
                <w:bCs w:val="1"/>
                <w:color w:val="58358F"/>
              </w:rPr>
              <w:t>2023 PROXY STATEMENT | A-2</w:t>
            </w:r>
          </w:p>
        </w:tc>
        <w:tc>
          <w:tcPr>
            <w:tcW w:w="0" w:type="dxa"/>
            <w:vAlign w:val="bottom"/>
          </w:tcPr>
          <w:p>
            <w:pPr>
              <w:spacing w:after="0"/>
              <w:rPr>
                <w:sz w:val="1"/>
                <w:szCs w:val="1"/>
                <w:color w:val="auto"/>
              </w:rPr>
            </w:pPr>
          </w:p>
        </w:tc>
      </w:tr>
      <w:tr>
        <w:trPr>
          <w:trHeight w:val="261"/>
        </w:trPr>
        <w:tc>
          <w:tcPr>
            <w:tcW w:w="1620" w:type="dxa"/>
            <w:vAlign w:val="bottom"/>
            <w:tcBorders>
              <w:bottom w:val="single" w:sz="8" w:color="808080"/>
            </w:tcBorders>
          </w:tcPr>
          <w:p>
            <w:pPr>
              <w:spacing w:after="0"/>
              <w:rPr>
                <w:sz w:val="22"/>
                <w:szCs w:val="22"/>
                <w:color w:val="auto"/>
              </w:rPr>
            </w:pPr>
          </w:p>
        </w:tc>
        <w:tc>
          <w:tcPr>
            <w:tcW w:w="4620" w:type="dxa"/>
            <w:vAlign w:val="bottom"/>
            <w:tcBorders>
              <w:bottom w:val="single" w:sz="8" w:color="808080"/>
            </w:tcBorders>
          </w:tcPr>
          <w:p>
            <w:pPr>
              <w:spacing w:after="0"/>
              <w:rPr>
                <w:sz w:val="22"/>
                <w:szCs w:val="22"/>
                <w:color w:val="auto"/>
              </w:rPr>
            </w:pPr>
          </w:p>
        </w:tc>
        <w:tc>
          <w:tcPr>
            <w:tcW w:w="2580" w:type="dxa"/>
            <w:vAlign w:val="bottom"/>
            <w:tcBorders>
              <w:bottom w:val="single" w:sz="8" w:color="808080"/>
            </w:tcBorders>
          </w:tcPr>
          <w:p>
            <w:pPr>
              <w:spacing w:after="0"/>
              <w:rPr>
                <w:sz w:val="22"/>
                <w:szCs w:val="22"/>
                <w:color w:val="auto"/>
              </w:rPr>
            </w:pPr>
          </w:p>
        </w:tc>
        <w:tc>
          <w:tcPr>
            <w:tcW w:w="24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906780" cy="22098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6" w:name="page147"/>
    <w:bookmarkEnd w:id="146"/>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650" w:type="dxa"/>
            <w:vAlign w:val="bottom"/>
          </w:tcPr>
          <w:p>
            <w:pPr>
              <w:spacing w:after="0"/>
              <w:rPr>
                <w:sz w:val="22"/>
                <w:szCs w:val="22"/>
                <w:color w:val="auto"/>
              </w:rPr>
            </w:pPr>
          </w:p>
        </w:tc>
        <w:tc>
          <w:tcPr>
            <w:tcW w:w="5150" w:type="dxa"/>
            <w:vAlign w:val="bottom"/>
          </w:tcPr>
          <w:p>
            <w:pPr>
              <w:ind w:left="70"/>
              <w:spacing w:after="0"/>
              <w:rPr>
                <w:sz w:val="20"/>
                <w:szCs w:val="20"/>
                <w:color w:val="auto"/>
              </w:rPr>
            </w:pPr>
            <w:r>
              <w:rPr>
                <w:rFonts w:ascii="Arial" w:cs="Arial" w:eastAsia="Arial" w:hAnsi="Arial"/>
                <w:sz w:val="20"/>
                <w:szCs w:val="20"/>
                <w:b w:val="1"/>
                <w:bCs w:val="1"/>
                <w:color w:val="auto"/>
              </w:rPr>
              <w:t>Definitions</w:t>
            </w:r>
          </w:p>
        </w:tc>
        <w:tc>
          <w:tcPr>
            <w:tcW w:w="2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1650" w:type="dxa"/>
            <w:vAlign w:val="bottom"/>
            <w:tcBorders>
              <w:bottom w:val="single" w:sz="8" w:color="582C83"/>
            </w:tcBorders>
          </w:tcPr>
          <w:p>
            <w:pPr>
              <w:ind w:left="80"/>
              <w:spacing w:after="0"/>
              <w:rPr>
                <w:sz w:val="20"/>
                <w:szCs w:val="20"/>
                <w:color w:val="auto"/>
              </w:rPr>
            </w:pPr>
            <w:r>
              <w:rPr>
                <w:rFonts w:ascii="Arial" w:cs="Arial" w:eastAsia="Arial" w:hAnsi="Arial"/>
                <w:sz w:val="20"/>
                <w:szCs w:val="20"/>
                <w:b w:val="1"/>
                <w:bCs w:val="1"/>
                <w:color w:val="auto"/>
              </w:rPr>
              <w:t>Measures</w:t>
            </w:r>
          </w:p>
        </w:tc>
        <w:tc>
          <w:tcPr>
            <w:tcW w:w="5150" w:type="dxa"/>
            <w:vAlign w:val="bottom"/>
            <w:tcBorders>
              <w:bottom w:val="single" w:sz="8" w:color="582C83"/>
            </w:tcBorders>
          </w:tcPr>
          <w:p>
            <w:pPr>
              <w:ind w:left="70"/>
              <w:spacing w:after="0"/>
              <w:rPr>
                <w:sz w:val="20"/>
                <w:szCs w:val="20"/>
                <w:color w:val="auto"/>
              </w:rPr>
            </w:pPr>
            <w:r>
              <w:rPr>
                <w:rFonts w:ascii="Arial" w:cs="Arial" w:eastAsia="Arial" w:hAnsi="Arial"/>
                <w:sz w:val="20"/>
                <w:szCs w:val="20"/>
                <w:b w:val="1"/>
                <w:bCs w:val="1"/>
                <w:color w:val="auto"/>
              </w:rPr>
              <w:t>(Including Adjustment to GAAP Measure)</w:t>
            </w:r>
          </w:p>
        </w:tc>
        <w:tc>
          <w:tcPr>
            <w:tcW w:w="220" w:type="dxa"/>
            <w:vAlign w:val="bottom"/>
            <w:tcBorders>
              <w:bottom w:val="single" w:sz="8" w:color="582C83"/>
            </w:tcBorders>
          </w:tcPr>
          <w:p>
            <w:pPr>
              <w:spacing w:after="0"/>
              <w:rPr>
                <w:sz w:val="24"/>
                <w:szCs w:val="24"/>
                <w:color w:val="auto"/>
              </w:rPr>
            </w:pPr>
          </w:p>
        </w:tc>
        <w:tc>
          <w:tcPr>
            <w:tcW w:w="1920" w:type="dxa"/>
            <w:vAlign w:val="bottom"/>
            <w:tcBorders>
              <w:bottom w:val="single" w:sz="8" w:color="582C83"/>
            </w:tcBorders>
          </w:tcPr>
          <w:p>
            <w:pPr>
              <w:ind w:left="60"/>
              <w:spacing w:after="0"/>
              <w:rPr>
                <w:sz w:val="20"/>
                <w:szCs w:val="20"/>
                <w:color w:val="auto"/>
              </w:rPr>
            </w:pPr>
            <w:r>
              <w:rPr>
                <w:rFonts w:ascii="Arial" w:cs="Arial" w:eastAsia="Arial" w:hAnsi="Arial"/>
                <w:sz w:val="20"/>
                <w:szCs w:val="20"/>
                <w:b w:val="1"/>
                <w:bCs w:val="1"/>
                <w:color w:val="auto"/>
              </w:rPr>
              <w:t>Modifications</w:t>
            </w:r>
          </w:p>
        </w:tc>
        <w:tc>
          <w:tcPr>
            <w:tcW w:w="320" w:type="dxa"/>
            <w:vAlign w:val="bottom"/>
            <w:tcBorders>
              <w:bottom w:val="single" w:sz="8" w:color="582C83"/>
            </w:tcBorders>
          </w:tcPr>
          <w:p>
            <w:pPr>
              <w:spacing w:after="0"/>
              <w:rPr>
                <w:sz w:val="24"/>
                <w:szCs w:val="24"/>
                <w:color w:val="auto"/>
              </w:rPr>
            </w:pPr>
          </w:p>
        </w:tc>
        <w:tc>
          <w:tcPr>
            <w:tcW w:w="1980" w:type="dxa"/>
            <w:vAlign w:val="bottom"/>
            <w:tcBorders>
              <w:bottom w:val="single" w:sz="8" w:color="582C83"/>
            </w:tcBorders>
          </w:tcPr>
          <w:p>
            <w:pPr>
              <w:ind w:left="60"/>
              <w:spacing w:after="0"/>
              <w:rPr>
                <w:sz w:val="20"/>
                <w:szCs w:val="20"/>
                <w:color w:val="auto"/>
              </w:rPr>
            </w:pPr>
            <w:r>
              <w:rPr>
                <w:rFonts w:ascii="Arial" w:cs="Arial" w:eastAsia="Arial" w:hAnsi="Arial"/>
                <w:sz w:val="20"/>
                <w:szCs w:val="20"/>
                <w:b w:val="1"/>
                <w:bCs w:val="1"/>
                <w:color w:val="auto"/>
              </w:rPr>
              <w:t>Rationale</w:t>
            </w:r>
          </w:p>
        </w:tc>
        <w:tc>
          <w:tcPr>
            <w:tcW w:w="20" w:type="dxa"/>
            <w:vAlign w:val="bottom"/>
            <w:tcBorders>
              <w:bottom w:val="single" w:sz="8" w:color="582C83"/>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65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auto"/>
              </w:rPr>
              <w:t>Adjusted EPS</w:t>
            </w:r>
          </w:p>
        </w:tc>
        <w:tc>
          <w:tcPr>
            <w:tcW w:w="5150" w:type="dxa"/>
            <w:vAlign w:val="bottom"/>
            <w:shd w:val="clear" w:color="auto" w:fill="EBE6F0"/>
          </w:tcPr>
          <w:p>
            <w:pPr>
              <w:ind w:left="70"/>
              <w:spacing w:after="0"/>
              <w:rPr>
                <w:sz w:val="20"/>
                <w:szCs w:val="20"/>
                <w:color w:val="auto"/>
              </w:rPr>
            </w:pPr>
            <w:r>
              <w:rPr>
                <w:rFonts w:ascii="Arial" w:cs="Arial" w:eastAsia="Arial" w:hAnsi="Arial"/>
                <w:sz w:val="20"/>
                <w:szCs w:val="20"/>
                <w:color w:val="auto"/>
              </w:rPr>
              <w:t>Adjusted EPS is defined as diluted EPS attributable to</w:t>
            </w:r>
          </w:p>
        </w:tc>
        <w:tc>
          <w:tcPr>
            <w:tcW w:w="220" w:type="dxa"/>
            <w:vAlign w:val="bottom"/>
            <w:shd w:val="clear" w:color="auto" w:fill="EBE6F0"/>
          </w:tcPr>
          <w:p>
            <w:pPr>
              <w:spacing w:after="0"/>
              <w:rPr>
                <w:sz w:val="21"/>
                <w:szCs w:val="21"/>
                <w:color w:val="auto"/>
              </w:rPr>
            </w:pPr>
          </w:p>
        </w:tc>
        <w:tc>
          <w:tcPr>
            <w:tcW w:w="1920" w:type="dxa"/>
            <w:vAlign w:val="bottom"/>
            <w:shd w:val="clear" w:color="auto" w:fill="EBE6F0"/>
          </w:tcPr>
          <w:p>
            <w:pPr>
              <w:ind w:left="80"/>
              <w:spacing w:after="0"/>
              <w:rPr>
                <w:sz w:val="20"/>
                <w:szCs w:val="20"/>
                <w:color w:val="auto"/>
              </w:rPr>
            </w:pPr>
            <w:r>
              <w:rPr>
                <w:rFonts w:ascii="Arial" w:cs="Arial" w:eastAsia="Arial" w:hAnsi="Arial"/>
                <w:sz w:val="20"/>
                <w:szCs w:val="20"/>
                <w:i w:val="1"/>
                <w:iCs w:val="1"/>
                <w:color w:val="auto"/>
              </w:rPr>
              <w:t>Adjusted EPS</w:t>
            </w:r>
          </w:p>
        </w:tc>
        <w:tc>
          <w:tcPr>
            <w:tcW w:w="320" w:type="dxa"/>
            <w:vAlign w:val="bottom"/>
            <w:shd w:val="clear" w:color="auto" w:fill="EBE6F0"/>
          </w:tcPr>
          <w:p>
            <w:pPr>
              <w:spacing w:after="0"/>
              <w:rPr>
                <w:sz w:val="21"/>
                <w:szCs w:val="21"/>
                <w:color w:val="auto"/>
              </w:rPr>
            </w:pPr>
          </w:p>
        </w:tc>
        <w:tc>
          <w:tcPr>
            <w:tcW w:w="1980" w:type="dxa"/>
            <w:vAlign w:val="bottom"/>
            <w:shd w:val="clear" w:color="auto" w:fill="EBE6F0"/>
          </w:tcPr>
          <w:p>
            <w:pPr>
              <w:ind w:left="80"/>
              <w:spacing w:after="0"/>
              <w:rPr>
                <w:sz w:val="20"/>
                <w:szCs w:val="20"/>
                <w:color w:val="auto"/>
              </w:rPr>
            </w:pPr>
            <w:r>
              <w:rPr>
                <w:rFonts w:ascii="Arial" w:cs="Arial" w:eastAsia="Arial" w:hAnsi="Arial"/>
                <w:sz w:val="20"/>
                <w:szCs w:val="20"/>
                <w:color w:val="auto"/>
              </w:rPr>
              <w:t>Indicator of overall</w:t>
            </w:r>
          </w:p>
        </w:tc>
        <w:tc>
          <w:tcPr>
            <w:tcW w:w="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50" w:type="dxa"/>
            <w:vAlign w:val="bottom"/>
            <w:shd w:val="clear" w:color="auto" w:fill="EBE6F0"/>
          </w:tcPr>
          <w:p>
            <w:pPr>
              <w:ind w:left="80"/>
              <w:spacing w:after="0"/>
              <w:rPr>
                <w:sz w:val="20"/>
                <w:szCs w:val="20"/>
                <w:color w:val="auto"/>
              </w:rPr>
            </w:pPr>
            <w:r>
              <w:rPr>
                <w:rFonts w:ascii="Arial" w:cs="Arial" w:eastAsia="Arial" w:hAnsi="Arial"/>
                <w:sz w:val="20"/>
                <w:szCs w:val="20"/>
                <w:b w:val="1"/>
                <w:bCs w:val="1"/>
                <w:color w:val="auto"/>
              </w:rPr>
              <w:t>Growth</w:t>
            </w:r>
          </w:p>
        </w:tc>
        <w:tc>
          <w:tcPr>
            <w:tcW w:w="5150" w:type="dxa"/>
            <w:vAlign w:val="bottom"/>
            <w:shd w:val="clear" w:color="auto" w:fill="EBE6F0"/>
          </w:tcPr>
          <w:p>
            <w:pPr>
              <w:ind w:left="70"/>
              <w:spacing w:after="0"/>
              <w:rPr>
                <w:sz w:val="20"/>
                <w:szCs w:val="20"/>
                <w:color w:val="auto"/>
              </w:rPr>
            </w:pPr>
            <w:r>
              <w:rPr>
                <w:rFonts w:ascii="Arial" w:cs="Arial" w:eastAsia="Arial" w:hAnsi="Arial"/>
                <w:sz w:val="20"/>
                <w:szCs w:val="20"/>
                <w:color w:val="auto"/>
              </w:rPr>
              <w:t>Mondelēz International from continuing operations</w:t>
            </w:r>
          </w:p>
        </w:tc>
        <w:tc>
          <w:tcPr>
            <w:tcW w:w="220" w:type="dxa"/>
            <w:vAlign w:val="bottom"/>
            <w:shd w:val="clear" w:color="auto" w:fill="EBE6F0"/>
          </w:tcPr>
          <w:p>
            <w:pPr>
              <w:spacing w:after="0"/>
              <w:rPr>
                <w:sz w:val="20"/>
                <w:szCs w:val="20"/>
                <w:color w:val="auto"/>
              </w:rPr>
            </w:pPr>
          </w:p>
        </w:tc>
        <w:tc>
          <w:tcPr>
            <w:tcW w:w="1920" w:type="dxa"/>
            <w:vAlign w:val="bottom"/>
            <w:shd w:val="clear" w:color="auto" w:fill="EBE6F0"/>
          </w:tcPr>
          <w:p>
            <w:pPr>
              <w:ind w:left="80"/>
              <w:spacing w:after="0"/>
              <w:rPr>
                <w:sz w:val="20"/>
                <w:szCs w:val="20"/>
                <w:color w:val="auto"/>
              </w:rPr>
            </w:pPr>
            <w:r>
              <w:rPr>
                <w:rFonts w:ascii="Arial" w:cs="Arial" w:eastAsia="Arial" w:hAnsi="Arial"/>
                <w:sz w:val="20"/>
                <w:szCs w:val="20"/>
                <w:i w:val="1"/>
                <w:iCs w:val="1"/>
                <w:color w:val="auto"/>
              </w:rPr>
              <w:t xml:space="preserve">Growth: </w:t>
            </w:r>
            <w:r>
              <w:rPr>
                <w:rFonts w:ascii="Arial" w:cs="Arial" w:eastAsia="Arial" w:hAnsi="Arial"/>
                <w:sz w:val="20"/>
                <w:szCs w:val="20"/>
                <w:color w:val="auto"/>
              </w:rPr>
              <w:t>Defined as</w:t>
            </w:r>
          </w:p>
        </w:tc>
        <w:tc>
          <w:tcPr>
            <w:tcW w:w="320" w:type="dxa"/>
            <w:vAlign w:val="bottom"/>
            <w:shd w:val="clear" w:color="auto" w:fill="EBE6F0"/>
          </w:tcPr>
          <w:p>
            <w:pPr>
              <w:spacing w:after="0"/>
              <w:rPr>
                <w:sz w:val="20"/>
                <w:szCs w:val="20"/>
                <w:color w:val="auto"/>
              </w:rPr>
            </w:pPr>
          </w:p>
        </w:tc>
        <w:tc>
          <w:tcPr>
            <w:tcW w:w="1980" w:type="dxa"/>
            <w:vAlign w:val="bottom"/>
            <w:shd w:val="clear" w:color="auto" w:fill="EBE6F0"/>
          </w:tcPr>
          <w:p>
            <w:pPr>
              <w:ind w:left="80"/>
              <w:spacing w:after="0"/>
              <w:rPr>
                <w:sz w:val="20"/>
                <w:szCs w:val="20"/>
                <w:color w:val="auto"/>
              </w:rPr>
            </w:pPr>
            <w:r>
              <w:rPr>
                <w:rFonts w:ascii="Arial" w:cs="Arial" w:eastAsia="Arial" w:hAnsi="Arial"/>
                <w:sz w:val="20"/>
                <w:szCs w:val="20"/>
                <w:color w:val="auto"/>
              </w:rPr>
              <w:t>business trends and</w:t>
            </w:r>
          </w:p>
        </w:tc>
        <w:tc>
          <w:tcPr>
            <w:tcW w:w="20" w:type="dxa"/>
            <w:vAlign w:val="bottom"/>
            <w:shd w:val="clear" w:color="auto" w:fill="EBE6F0"/>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50" w:type="dxa"/>
            <w:vAlign w:val="bottom"/>
            <w:vMerge w:val="restart"/>
            <w:shd w:val="clear" w:color="auto" w:fill="EBE6F0"/>
          </w:tcPr>
          <w:p>
            <w:pPr>
              <w:ind w:left="80"/>
              <w:spacing w:after="0"/>
              <w:rPr>
                <w:sz w:val="20"/>
                <w:szCs w:val="20"/>
                <w:color w:val="auto"/>
              </w:rPr>
            </w:pPr>
            <w:r>
              <w:rPr>
                <w:rFonts w:ascii="Arial" w:cs="Arial" w:eastAsia="Arial" w:hAnsi="Arial"/>
                <w:sz w:val="20"/>
                <w:szCs w:val="20"/>
                <w:b w:val="1"/>
                <w:bCs w:val="1"/>
                <w:color w:val="auto"/>
              </w:rPr>
              <w:t>(PSUs)</w:t>
            </w:r>
          </w:p>
        </w:tc>
        <w:tc>
          <w:tcPr>
            <w:tcW w:w="5150" w:type="dxa"/>
            <w:vAlign w:val="bottom"/>
            <w:shd w:val="clear" w:color="auto" w:fill="EBE6F0"/>
          </w:tcPr>
          <w:p>
            <w:pPr>
              <w:ind w:left="70"/>
              <w:spacing w:after="0" w:line="210" w:lineRule="exact"/>
              <w:rPr>
                <w:sz w:val="20"/>
                <w:szCs w:val="20"/>
                <w:color w:val="auto"/>
              </w:rPr>
            </w:pPr>
            <w:r>
              <w:rPr>
                <w:rFonts w:ascii="Arial" w:cs="Arial" w:eastAsia="Arial" w:hAnsi="Arial"/>
                <w:sz w:val="20"/>
                <w:szCs w:val="20"/>
                <w:color w:val="auto"/>
              </w:rPr>
              <w:t>excluding the impacts of:</w:t>
            </w:r>
          </w:p>
        </w:tc>
        <w:tc>
          <w:tcPr>
            <w:tcW w:w="220" w:type="dxa"/>
            <w:vAlign w:val="bottom"/>
            <w:shd w:val="clear" w:color="auto" w:fill="EBE6F0"/>
          </w:tcPr>
          <w:p>
            <w:pPr>
              <w:spacing w:after="0"/>
              <w:rPr>
                <w:sz w:val="18"/>
                <w:szCs w:val="18"/>
                <w:color w:val="auto"/>
              </w:rPr>
            </w:pPr>
          </w:p>
        </w:tc>
        <w:tc>
          <w:tcPr>
            <w:tcW w:w="1920" w:type="dxa"/>
            <w:vAlign w:val="bottom"/>
            <w:shd w:val="clear" w:color="auto" w:fill="EBE6F0"/>
          </w:tcPr>
          <w:p>
            <w:pPr>
              <w:ind w:left="80"/>
              <w:spacing w:after="0" w:line="210" w:lineRule="exact"/>
              <w:rPr>
                <w:sz w:val="20"/>
                <w:szCs w:val="20"/>
                <w:color w:val="auto"/>
              </w:rPr>
            </w:pPr>
            <w:r>
              <w:rPr>
                <w:rFonts w:ascii="Arial" w:cs="Arial" w:eastAsia="Arial" w:hAnsi="Arial"/>
                <w:sz w:val="20"/>
                <w:szCs w:val="20"/>
                <w:color w:val="auto"/>
              </w:rPr>
              <w:t>the year-over-year</w:t>
            </w:r>
          </w:p>
        </w:tc>
        <w:tc>
          <w:tcPr>
            <w:tcW w:w="320" w:type="dxa"/>
            <w:vAlign w:val="bottom"/>
            <w:shd w:val="clear" w:color="auto" w:fill="EBE6F0"/>
          </w:tcPr>
          <w:p>
            <w:pPr>
              <w:spacing w:after="0"/>
              <w:rPr>
                <w:sz w:val="18"/>
                <w:szCs w:val="18"/>
                <w:color w:val="auto"/>
              </w:rPr>
            </w:pPr>
          </w:p>
        </w:tc>
        <w:tc>
          <w:tcPr>
            <w:tcW w:w="1980" w:type="dxa"/>
            <w:vAlign w:val="bottom"/>
            <w:shd w:val="clear" w:color="auto" w:fill="EBE6F0"/>
          </w:tcPr>
          <w:p>
            <w:pPr>
              <w:ind w:left="80"/>
              <w:spacing w:after="0" w:line="210" w:lineRule="exact"/>
              <w:rPr>
                <w:sz w:val="20"/>
                <w:szCs w:val="20"/>
                <w:color w:val="auto"/>
              </w:rPr>
            </w:pPr>
            <w:r>
              <w:rPr>
                <w:rFonts w:ascii="Arial" w:cs="Arial" w:eastAsia="Arial" w:hAnsi="Arial"/>
                <w:sz w:val="20"/>
                <w:szCs w:val="20"/>
                <w:color w:val="auto"/>
              </w:rPr>
              <w:t>performance, based</w:t>
            </w:r>
          </w:p>
        </w:tc>
        <w:tc>
          <w:tcPr>
            <w:tcW w:w="20" w:type="dxa"/>
            <w:vAlign w:val="bottom"/>
            <w:shd w:val="clear" w:color="auto" w:fill="EBE6F0"/>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650" w:type="dxa"/>
            <w:vAlign w:val="bottom"/>
            <w:vMerge w:val="continue"/>
            <w:shd w:val="clear" w:color="auto" w:fill="EBE6F0"/>
          </w:tcPr>
          <w:p>
            <w:pPr>
              <w:spacing w:after="0"/>
              <w:rPr>
                <w:sz w:val="10"/>
                <w:szCs w:val="10"/>
                <w:color w:val="auto"/>
              </w:rPr>
            </w:pPr>
          </w:p>
        </w:tc>
        <w:tc>
          <w:tcPr>
            <w:tcW w:w="5150" w:type="dxa"/>
            <w:vAlign w:val="bottom"/>
            <w:vMerge w:val="restart"/>
            <w:shd w:val="clear" w:color="auto" w:fill="EBE6F0"/>
          </w:tcPr>
          <w:p>
            <w:pPr>
              <w:ind w:left="70"/>
              <w:spacing w:after="0" w:line="287" w:lineRule="exact"/>
              <w:rPr>
                <w:sz w:val="20"/>
                <w:szCs w:val="20"/>
                <w:color w:val="auto"/>
              </w:rPr>
            </w:pPr>
            <w:r>
              <w:rPr>
                <w:rFonts w:ascii="Arial" w:cs="Arial" w:eastAsia="Arial" w:hAnsi="Arial"/>
                <w:sz w:val="33"/>
                <w:szCs w:val="33"/>
                <w:color w:val="582C83"/>
                <w:vertAlign w:val="superscript"/>
              </w:rPr>
              <w:t>•</w:t>
            </w:r>
            <w:r>
              <w:rPr>
                <w:rFonts w:ascii="Arial" w:cs="Arial" w:eastAsia="Arial" w:hAnsi="Arial"/>
                <w:sz w:val="18"/>
                <w:szCs w:val="18"/>
                <w:color w:val="auto"/>
              </w:rPr>
              <w:t xml:space="preserve"> the Simplify to Grow Program</w:t>
            </w:r>
            <w:r>
              <w:rPr>
                <w:rFonts w:ascii="Arial" w:cs="Arial" w:eastAsia="Arial" w:hAnsi="Arial"/>
                <w:sz w:val="28"/>
                <w:szCs w:val="28"/>
                <w:color w:val="auto"/>
                <w:vertAlign w:val="superscript"/>
              </w:rPr>
              <w:t>(3)</w:t>
            </w:r>
            <w:r>
              <w:rPr>
                <w:rFonts w:ascii="Arial" w:cs="Arial" w:eastAsia="Arial" w:hAnsi="Arial"/>
                <w:sz w:val="18"/>
                <w:szCs w:val="18"/>
                <w:color w:val="auto"/>
              </w:rPr>
              <w:t>;</w:t>
            </w:r>
          </w:p>
        </w:tc>
        <w:tc>
          <w:tcPr>
            <w:tcW w:w="220" w:type="dxa"/>
            <w:vAlign w:val="bottom"/>
            <w:shd w:val="clear" w:color="auto" w:fill="EBE6F0"/>
          </w:tcPr>
          <w:p>
            <w:pPr>
              <w:spacing w:after="0"/>
              <w:rPr>
                <w:sz w:val="10"/>
                <w:szCs w:val="10"/>
                <w:color w:val="auto"/>
              </w:rPr>
            </w:pPr>
          </w:p>
        </w:tc>
        <w:tc>
          <w:tcPr>
            <w:tcW w:w="1920" w:type="dxa"/>
            <w:vAlign w:val="bottom"/>
            <w:vMerge w:val="restart"/>
            <w:shd w:val="clear" w:color="auto" w:fill="EBE6F0"/>
          </w:tcPr>
          <w:p>
            <w:pPr>
              <w:ind w:left="80"/>
              <w:spacing w:after="0"/>
              <w:rPr>
                <w:sz w:val="20"/>
                <w:szCs w:val="20"/>
                <w:color w:val="auto"/>
              </w:rPr>
            </w:pPr>
            <w:r>
              <w:rPr>
                <w:rFonts w:ascii="Arial" w:cs="Arial" w:eastAsia="Arial" w:hAnsi="Arial"/>
                <w:sz w:val="20"/>
                <w:szCs w:val="20"/>
                <w:color w:val="auto"/>
              </w:rPr>
              <w:t>constant currency</w:t>
            </w:r>
          </w:p>
        </w:tc>
        <w:tc>
          <w:tcPr>
            <w:tcW w:w="320" w:type="dxa"/>
            <w:vAlign w:val="bottom"/>
            <w:shd w:val="clear" w:color="auto" w:fill="EBE6F0"/>
          </w:tcPr>
          <w:p>
            <w:pPr>
              <w:spacing w:after="0"/>
              <w:rPr>
                <w:sz w:val="10"/>
                <w:szCs w:val="10"/>
                <w:color w:val="auto"/>
              </w:rPr>
            </w:pPr>
          </w:p>
        </w:tc>
        <w:tc>
          <w:tcPr>
            <w:tcW w:w="1980" w:type="dxa"/>
            <w:vAlign w:val="bottom"/>
            <w:vMerge w:val="restart"/>
            <w:shd w:val="clear" w:color="auto" w:fill="EBE6F0"/>
          </w:tcPr>
          <w:p>
            <w:pPr>
              <w:ind w:left="80"/>
              <w:spacing w:after="0"/>
              <w:rPr>
                <w:sz w:val="20"/>
                <w:szCs w:val="20"/>
                <w:color w:val="auto"/>
              </w:rPr>
            </w:pPr>
            <w:r>
              <w:rPr>
                <w:rFonts w:ascii="Arial" w:cs="Arial" w:eastAsia="Arial" w:hAnsi="Arial"/>
                <w:sz w:val="20"/>
                <w:szCs w:val="20"/>
                <w:color w:val="auto"/>
              </w:rPr>
              <w:t>on what business</w:t>
            </w:r>
          </w:p>
        </w:tc>
        <w:tc>
          <w:tcPr>
            <w:tcW w:w="20" w:type="dxa"/>
            <w:vAlign w:val="bottom"/>
            <w:shd w:val="clear" w:color="auto" w:fill="EBE6F0"/>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50" w:type="dxa"/>
            <w:vAlign w:val="bottom"/>
            <w:shd w:val="clear" w:color="auto" w:fill="EBE6F0"/>
          </w:tcPr>
          <w:p>
            <w:pPr>
              <w:spacing w:after="0"/>
              <w:rPr>
                <w:sz w:val="14"/>
                <w:szCs w:val="14"/>
                <w:color w:val="auto"/>
              </w:rPr>
            </w:pPr>
          </w:p>
        </w:tc>
        <w:tc>
          <w:tcPr>
            <w:tcW w:w="5150" w:type="dxa"/>
            <w:vAlign w:val="bottom"/>
            <w:vMerge w:val="continue"/>
            <w:shd w:val="clear" w:color="auto" w:fill="EBE6F0"/>
          </w:tcPr>
          <w:p>
            <w:pPr>
              <w:spacing w:after="0"/>
              <w:rPr>
                <w:sz w:val="14"/>
                <w:szCs w:val="14"/>
                <w:color w:val="auto"/>
              </w:rPr>
            </w:pPr>
          </w:p>
        </w:tc>
        <w:tc>
          <w:tcPr>
            <w:tcW w:w="220" w:type="dxa"/>
            <w:vAlign w:val="bottom"/>
            <w:shd w:val="clear" w:color="auto" w:fill="EBE6F0"/>
          </w:tcPr>
          <w:p>
            <w:pPr>
              <w:spacing w:after="0"/>
              <w:rPr>
                <w:sz w:val="14"/>
                <w:szCs w:val="14"/>
                <w:color w:val="auto"/>
              </w:rPr>
            </w:pPr>
          </w:p>
        </w:tc>
        <w:tc>
          <w:tcPr>
            <w:tcW w:w="1920" w:type="dxa"/>
            <w:vAlign w:val="bottom"/>
            <w:vMerge w:val="continue"/>
            <w:shd w:val="clear" w:color="auto" w:fill="EBE6F0"/>
          </w:tcPr>
          <w:p>
            <w:pPr>
              <w:spacing w:after="0"/>
              <w:rPr>
                <w:sz w:val="14"/>
                <w:szCs w:val="14"/>
                <w:color w:val="auto"/>
              </w:rPr>
            </w:pPr>
          </w:p>
        </w:tc>
        <w:tc>
          <w:tcPr>
            <w:tcW w:w="320" w:type="dxa"/>
            <w:vAlign w:val="bottom"/>
            <w:shd w:val="clear" w:color="auto" w:fill="EBE6F0"/>
          </w:tcPr>
          <w:p>
            <w:pPr>
              <w:spacing w:after="0"/>
              <w:rPr>
                <w:sz w:val="14"/>
                <w:szCs w:val="14"/>
                <w:color w:val="auto"/>
              </w:rPr>
            </w:pPr>
          </w:p>
        </w:tc>
        <w:tc>
          <w:tcPr>
            <w:tcW w:w="1980" w:type="dxa"/>
            <w:vAlign w:val="bottom"/>
            <w:vMerge w:val="continue"/>
            <w:shd w:val="clear" w:color="auto" w:fill="EBE6F0"/>
          </w:tcPr>
          <w:p>
            <w:pPr>
              <w:spacing w:after="0"/>
              <w:rPr>
                <w:sz w:val="14"/>
                <w:szCs w:val="14"/>
                <w:color w:val="auto"/>
              </w:rPr>
            </w:pPr>
          </w:p>
        </w:tc>
        <w:tc>
          <w:tcPr>
            <w:tcW w:w="20" w:type="dxa"/>
            <w:vAlign w:val="bottom"/>
            <w:shd w:val="clear" w:color="auto" w:fill="EBE6F0"/>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50" w:type="dxa"/>
            <w:vAlign w:val="bottom"/>
            <w:shd w:val="clear" w:color="auto" w:fill="EBE6F0"/>
          </w:tcPr>
          <w:p>
            <w:pPr>
              <w:spacing w:after="0"/>
              <w:rPr>
                <w:sz w:val="13"/>
                <w:szCs w:val="13"/>
                <w:color w:val="auto"/>
              </w:rPr>
            </w:pPr>
          </w:p>
        </w:tc>
        <w:tc>
          <w:tcPr>
            <w:tcW w:w="5150" w:type="dxa"/>
            <w:vAlign w:val="bottom"/>
            <w:vMerge w:val="restart"/>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gains or losses (including non-cash</w:t>
            </w:r>
          </w:p>
        </w:tc>
        <w:tc>
          <w:tcPr>
            <w:tcW w:w="220" w:type="dxa"/>
            <w:vAlign w:val="bottom"/>
            <w:shd w:val="clear" w:color="auto" w:fill="EBE6F0"/>
          </w:tcPr>
          <w:p>
            <w:pPr>
              <w:spacing w:after="0"/>
              <w:rPr>
                <w:sz w:val="13"/>
                <w:szCs w:val="13"/>
                <w:color w:val="auto"/>
              </w:rPr>
            </w:pPr>
          </w:p>
        </w:tc>
        <w:tc>
          <w:tcPr>
            <w:tcW w:w="1920" w:type="dxa"/>
            <w:vAlign w:val="bottom"/>
            <w:shd w:val="clear" w:color="auto" w:fill="EBE6F0"/>
          </w:tcPr>
          <w:p>
            <w:pPr>
              <w:ind w:left="80"/>
              <w:spacing w:after="0" w:line="160" w:lineRule="exact"/>
              <w:rPr>
                <w:sz w:val="20"/>
                <w:szCs w:val="20"/>
                <w:color w:val="auto"/>
              </w:rPr>
            </w:pPr>
            <w:r>
              <w:rPr>
                <w:rFonts w:ascii="Arial" w:cs="Arial" w:eastAsia="Arial" w:hAnsi="Arial"/>
                <w:sz w:val="18"/>
                <w:szCs w:val="18"/>
                <w:color w:val="auto"/>
              </w:rPr>
              <w:t>growth calculated at</w:t>
            </w:r>
          </w:p>
        </w:tc>
        <w:tc>
          <w:tcPr>
            <w:tcW w:w="320" w:type="dxa"/>
            <w:vAlign w:val="bottom"/>
            <w:shd w:val="clear" w:color="auto" w:fill="EBE6F0"/>
          </w:tcPr>
          <w:p>
            <w:pPr>
              <w:spacing w:after="0"/>
              <w:rPr>
                <w:sz w:val="13"/>
                <w:szCs w:val="13"/>
                <w:color w:val="auto"/>
              </w:rPr>
            </w:pPr>
          </w:p>
        </w:tc>
        <w:tc>
          <w:tcPr>
            <w:tcW w:w="1980" w:type="dxa"/>
            <w:vAlign w:val="bottom"/>
            <w:shd w:val="clear" w:color="auto" w:fill="EBE6F0"/>
          </w:tcPr>
          <w:p>
            <w:pPr>
              <w:ind w:left="80"/>
              <w:spacing w:after="0" w:line="160" w:lineRule="exact"/>
              <w:rPr>
                <w:sz w:val="20"/>
                <w:szCs w:val="20"/>
                <w:color w:val="auto"/>
              </w:rPr>
            </w:pPr>
            <w:r>
              <w:rPr>
                <w:rFonts w:ascii="Arial" w:cs="Arial" w:eastAsia="Arial" w:hAnsi="Arial"/>
                <w:sz w:val="18"/>
                <w:szCs w:val="18"/>
                <w:color w:val="auto"/>
              </w:rPr>
              <w:t>leaders can control.</w:t>
            </w:r>
          </w:p>
        </w:tc>
        <w:tc>
          <w:tcPr>
            <w:tcW w:w="20" w:type="dxa"/>
            <w:vAlign w:val="bottom"/>
            <w:shd w:val="clear" w:color="auto" w:fill="EBE6F0"/>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650" w:type="dxa"/>
            <w:vAlign w:val="bottom"/>
            <w:shd w:val="clear" w:color="auto" w:fill="EBE6F0"/>
          </w:tcPr>
          <w:p>
            <w:pPr>
              <w:spacing w:after="0"/>
              <w:rPr>
                <w:sz w:val="10"/>
                <w:szCs w:val="10"/>
                <w:color w:val="auto"/>
              </w:rPr>
            </w:pPr>
          </w:p>
        </w:tc>
        <w:tc>
          <w:tcPr>
            <w:tcW w:w="5150" w:type="dxa"/>
            <w:vAlign w:val="bottom"/>
            <w:vMerge w:val="continue"/>
            <w:shd w:val="clear" w:color="auto" w:fill="EBE6F0"/>
          </w:tcPr>
          <w:p>
            <w:pPr>
              <w:spacing w:after="0"/>
              <w:rPr>
                <w:sz w:val="10"/>
                <w:szCs w:val="10"/>
                <w:color w:val="auto"/>
              </w:rPr>
            </w:pPr>
          </w:p>
        </w:tc>
        <w:tc>
          <w:tcPr>
            <w:tcW w:w="220" w:type="dxa"/>
            <w:vAlign w:val="bottom"/>
            <w:shd w:val="clear" w:color="auto" w:fill="EBE6F0"/>
          </w:tcPr>
          <w:p>
            <w:pPr>
              <w:spacing w:after="0"/>
              <w:rPr>
                <w:sz w:val="10"/>
                <w:szCs w:val="10"/>
                <w:color w:val="auto"/>
              </w:rPr>
            </w:pPr>
          </w:p>
        </w:tc>
        <w:tc>
          <w:tcPr>
            <w:tcW w:w="1920" w:type="dxa"/>
            <w:vAlign w:val="bottom"/>
            <w:vMerge w:val="restart"/>
            <w:shd w:val="clear" w:color="auto" w:fill="EBE6F0"/>
          </w:tcPr>
          <w:p>
            <w:pPr>
              <w:ind w:left="80"/>
              <w:spacing w:after="0" w:line="224" w:lineRule="exact"/>
              <w:rPr>
                <w:sz w:val="20"/>
                <w:szCs w:val="20"/>
                <w:color w:val="auto"/>
              </w:rPr>
            </w:pPr>
            <w:r>
              <w:rPr>
                <w:rFonts w:ascii="Arial" w:cs="Arial" w:eastAsia="Arial" w:hAnsi="Arial"/>
                <w:sz w:val="20"/>
                <w:szCs w:val="20"/>
                <w:color w:val="auto"/>
              </w:rPr>
              <w:t>prior year currency</w:t>
            </w:r>
          </w:p>
        </w:tc>
        <w:tc>
          <w:tcPr>
            <w:tcW w:w="320" w:type="dxa"/>
            <w:vAlign w:val="bottom"/>
            <w:shd w:val="clear" w:color="auto" w:fill="EBE6F0"/>
          </w:tcPr>
          <w:p>
            <w:pPr>
              <w:spacing w:after="0"/>
              <w:rPr>
                <w:sz w:val="10"/>
                <w:szCs w:val="10"/>
                <w:color w:val="auto"/>
              </w:rPr>
            </w:pPr>
          </w:p>
        </w:tc>
        <w:tc>
          <w:tcPr>
            <w:tcW w:w="1980" w:type="dxa"/>
            <w:vAlign w:val="bottom"/>
            <w:shd w:val="clear" w:color="auto" w:fill="EBE6F0"/>
          </w:tcPr>
          <w:p>
            <w:pPr>
              <w:spacing w:after="0"/>
              <w:rPr>
                <w:sz w:val="10"/>
                <w:szCs w:val="10"/>
                <w:color w:val="auto"/>
              </w:rPr>
            </w:pPr>
          </w:p>
        </w:tc>
        <w:tc>
          <w:tcPr>
            <w:tcW w:w="20" w:type="dxa"/>
            <w:vAlign w:val="bottom"/>
            <w:shd w:val="clear" w:color="auto" w:fill="EBE6F0"/>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50" w:type="dxa"/>
            <w:vAlign w:val="bottom"/>
            <w:shd w:val="clear" w:color="auto" w:fill="EBE6F0"/>
          </w:tcPr>
          <w:p>
            <w:pPr>
              <w:spacing w:after="0"/>
              <w:rPr>
                <w:sz w:val="8"/>
                <w:szCs w:val="8"/>
                <w:color w:val="auto"/>
              </w:rPr>
            </w:pPr>
          </w:p>
        </w:tc>
        <w:tc>
          <w:tcPr>
            <w:tcW w:w="5150" w:type="dxa"/>
            <w:vAlign w:val="bottom"/>
            <w:vMerge w:val="restart"/>
            <w:shd w:val="clear" w:color="auto" w:fill="EBE6F0"/>
          </w:tcPr>
          <w:p>
            <w:pPr>
              <w:ind w:left="250"/>
              <w:spacing w:after="0" w:line="224" w:lineRule="exact"/>
              <w:rPr>
                <w:sz w:val="20"/>
                <w:szCs w:val="20"/>
                <w:color w:val="auto"/>
              </w:rPr>
            </w:pPr>
            <w:r>
              <w:rPr>
                <w:rFonts w:ascii="Arial" w:cs="Arial" w:eastAsia="Arial" w:hAnsi="Arial"/>
                <w:sz w:val="20"/>
                <w:szCs w:val="20"/>
                <w:color w:val="auto"/>
              </w:rPr>
              <w:t>impairment charges) on goodwill and</w:t>
            </w:r>
          </w:p>
        </w:tc>
        <w:tc>
          <w:tcPr>
            <w:tcW w:w="220" w:type="dxa"/>
            <w:vAlign w:val="bottom"/>
            <w:shd w:val="clear" w:color="auto" w:fill="EBE6F0"/>
          </w:tcPr>
          <w:p>
            <w:pPr>
              <w:spacing w:after="0"/>
              <w:rPr>
                <w:sz w:val="8"/>
                <w:szCs w:val="8"/>
                <w:color w:val="auto"/>
              </w:rPr>
            </w:pPr>
          </w:p>
        </w:tc>
        <w:tc>
          <w:tcPr>
            <w:tcW w:w="1920" w:type="dxa"/>
            <w:vAlign w:val="bottom"/>
            <w:vMerge w:val="continue"/>
            <w:shd w:val="clear" w:color="auto" w:fill="EBE6F0"/>
          </w:tcPr>
          <w:p>
            <w:pPr>
              <w:spacing w:after="0"/>
              <w:rPr>
                <w:sz w:val="8"/>
                <w:szCs w:val="8"/>
                <w:color w:val="auto"/>
              </w:rPr>
            </w:pPr>
          </w:p>
        </w:tc>
        <w:tc>
          <w:tcPr>
            <w:tcW w:w="320" w:type="dxa"/>
            <w:vAlign w:val="bottom"/>
            <w:shd w:val="clear" w:color="auto" w:fill="EBE6F0"/>
          </w:tcPr>
          <w:p>
            <w:pPr>
              <w:spacing w:after="0"/>
              <w:rPr>
                <w:sz w:val="8"/>
                <w:szCs w:val="8"/>
                <w:color w:val="auto"/>
              </w:rPr>
            </w:pPr>
          </w:p>
        </w:tc>
        <w:tc>
          <w:tcPr>
            <w:tcW w:w="1980" w:type="dxa"/>
            <w:vAlign w:val="bottom"/>
            <w:shd w:val="clear" w:color="auto" w:fill="EBE6F0"/>
          </w:tcPr>
          <w:p>
            <w:pPr>
              <w:spacing w:after="0"/>
              <w:rPr>
                <w:sz w:val="8"/>
                <w:szCs w:val="8"/>
                <w:color w:val="auto"/>
              </w:rPr>
            </w:pPr>
          </w:p>
        </w:tc>
        <w:tc>
          <w:tcPr>
            <w:tcW w:w="20" w:type="dxa"/>
            <w:vAlign w:val="bottom"/>
            <w:shd w:val="clear" w:color="auto" w:fill="EBE6F0"/>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50" w:type="dxa"/>
            <w:vAlign w:val="bottom"/>
            <w:shd w:val="clear" w:color="auto" w:fill="EBE6F0"/>
          </w:tcPr>
          <w:p>
            <w:pPr>
              <w:spacing w:after="0"/>
              <w:rPr>
                <w:sz w:val="10"/>
                <w:szCs w:val="10"/>
                <w:color w:val="auto"/>
              </w:rPr>
            </w:pPr>
          </w:p>
        </w:tc>
        <w:tc>
          <w:tcPr>
            <w:tcW w:w="5150" w:type="dxa"/>
            <w:vAlign w:val="bottom"/>
            <w:vMerge w:val="continue"/>
            <w:shd w:val="clear" w:color="auto" w:fill="EBE6F0"/>
          </w:tcPr>
          <w:p>
            <w:pPr>
              <w:spacing w:after="0"/>
              <w:rPr>
                <w:sz w:val="10"/>
                <w:szCs w:val="10"/>
                <w:color w:val="auto"/>
              </w:rPr>
            </w:pPr>
          </w:p>
        </w:tc>
        <w:tc>
          <w:tcPr>
            <w:tcW w:w="220" w:type="dxa"/>
            <w:vAlign w:val="bottom"/>
            <w:shd w:val="clear" w:color="auto" w:fill="EBE6F0"/>
          </w:tcPr>
          <w:p>
            <w:pPr>
              <w:spacing w:after="0"/>
              <w:rPr>
                <w:sz w:val="10"/>
                <w:szCs w:val="10"/>
                <w:color w:val="auto"/>
              </w:rPr>
            </w:pPr>
          </w:p>
        </w:tc>
        <w:tc>
          <w:tcPr>
            <w:tcW w:w="1920" w:type="dxa"/>
            <w:vAlign w:val="bottom"/>
            <w:vMerge w:val="restart"/>
            <w:shd w:val="clear" w:color="auto" w:fill="EBE6F0"/>
          </w:tcPr>
          <w:p>
            <w:pPr>
              <w:ind w:left="80"/>
              <w:spacing w:after="0" w:line="224" w:lineRule="exact"/>
              <w:rPr>
                <w:sz w:val="20"/>
                <w:szCs w:val="20"/>
                <w:color w:val="auto"/>
              </w:rPr>
            </w:pPr>
            <w:r>
              <w:rPr>
                <w:rFonts w:ascii="Arial" w:cs="Arial" w:eastAsia="Arial" w:hAnsi="Arial"/>
                <w:sz w:val="20"/>
                <w:szCs w:val="20"/>
                <w:color w:val="auto"/>
              </w:rPr>
              <w:t>exchange rates and</w:t>
            </w:r>
          </w:p>
        </w:tc>
        <w:tc>
          <w:tcPr>
            <w:tcW w:w="320" w:type="dxa"/>
            <w:vAlign w:val="bottom"/>
            <w:shd w:val="clear" w:color="auto" w:fill="EBE6F0"/>
          </w:tcPr>
          <w:p>
            <w:pPr>
              <w:spacing w:after="0"/>
              <w:rPr>
                <w:sz w:val="10"/>
                <w:szCs w:val="10"/>
                <w:color w:val="auto"/>
              </w:rPr>
            </w:pPr>
          </w:p>
        </w:tc>
        <w:tc>
          <w:tcPr>
            <w:tcW w:w="1980" w:type="dxa"/>
            <w:vAlign w:val="bottom"/>
            <w:shd w:val="clear" w:color="auto" w:fill="EBE6F0"/>
          </w:tcPr>
          <w:p>
            <w:pPr>
              <w:spacing w:after="0"/>
              <w:rPr>
                <w:sz w:val="10"/>
                <w:szCs w:val="10"/>
                <w:color w:val="auto"/>
              </w:rPr>
            </w:pPr>
          </w:p>
        </w:tc>
        <w:tc>
          <w:tcPr>
            <w:tcW w:w="20" w:type="dxa"/>
            <w:vAlign w:val="bottom"/>
            <w:shd w:val="clear" w:color="auto" w:fill="EBE6F0"/>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50" w:type="dxa"/>
            <w:vAlign w:val="bottom"/>
            <w:shd w:val="clear" w:color="auto" w:fill="EBE6F0"/>
          </w:tcPr>
          <w:p>
            <w:pPr>
              <w:spacing w:after="0"/>
              <w:rPr>
                <w:sz w:val="8"/>
                <w:szCs w:val="8"/>
                <w:color w:val="auto"/>
              </w:rPr>
            </w:pPr>
          </w:p>
        </w:tc>
        <w:tc>
          <w:tcPr>
            <w:tcW w:w="5150" w:type="dxa"/>
            <w:vAlign w:val="bottom"/>
            <w:vMerge w:val="restart"/>
            <w:shd w:val="clear" w:color="auto" w:fill="EBE6F0"/>
          </w:tcPr>
          <w:p>
            <w:pPr>
              <w:ind w:left="250"/>
              <w:spacing w:after="0"/>
              <w:rPr>
                <w:sz w:val="20"/>
                <w:szCs w:val="20"/>
                <w:color w:val="auto"/>
              </w:rPr>
            </w:pPr>
            <w:r>
              <w:rPr>
                <w:rFonts w:ascii="Arial" w:cs="Arial" w:eastAsia="Arial" w:hAnsi="Arial"/>
                <w:sz w:val="20"/>
                <w:szCs w:val="20"/>
                <w:color w:val="auto"/>
              </w:rPr>
              <w:t>intangible assets;</w:t>
            </w:r>
          </w:p>
        </w:tc>
        <w:tc>
          <w:tcPr>
            <w:tcW w:w="220" w:type="dxa"/>
            <w:vAlign w:val="bottom"/>
            <w:shd w:val="clear" w:color="auto" w:fill="EBE6F0"/>
          </w:tcPr>
          <w:p>
            <w:pPr>
              <w:spacing w:after="0"/>
              <w:rPr>
                <w:sz w:val="8"/>
                <w:szCs w:val="8"/>
                <w:color w:val="auto"/>
              </w:rPr>
            </w:pPr>
          </w:p>
        </w:tc>
        <w:tc>
          <w:tcPr>
            <w:tcW w:w="1920" w:type="dxa"/>
            <w:vAlign w:val="bottom"/>
            <w:vMerge w:val="continue"/>
            <w:shd w:val="clear" w:color="auto" w:fill="EBE6F0"/>
          </w:tcPr>
          <w:p>
            <w:pPr>
              <w:spacing w:after="0"/>
              <w:rPr>
                <w:sz w:val="8"/>
                <w:szCs w:val="8"/>
                <w:color w:val="auto"/>
              </w:rPr>
            </w:pPr>
          </w:p>
        </w:tc>
        <w:tc>
          <w:tcPr>
            <w:tcW w:w="320" w:type="dxa"/>
            <w:vAlign w:val="bottom"/>
            <w:shd w:val="clear" w:color="auto" w:fill="EBE6F0"/>
          </w:tcPr>
          <w:p>
            <w:pPr>
              <w:spacing w:after="0"/>
              <w:rPr>
                <w:sz w:val="8"/>
                <w:szCs w:val="8"/>
                <w:color w:val="auto"/>
              </w:rPr>
            </w:pPr>
          </w:p>
        </w:tc>
        <w:tc>
          <w:tcPr>
            <w:tcW w:w="1980" w:type="dxa"/>
            <w:vAlign w:val="bottom"/>
            <w:shd w:val="clear" w:color="auto" w:fill="EBE6F0"/>
          </w:tcPr>
          <w:p>
            <w:pPr>
              <w:spacing w:after="0"/>
              <w:rPr>
                <w:sz w:val="8"/>
                <w:szCs w:val="8"/>
                <w:color w:val="auto"/>
              </w:rPr>
            </w:pPr>
          </w:p>
        </w:tc>
        <w:tc>
          <w:tcPr>
            <w:tcW w:w="20" w:type="dxa"/>
            <w:vAlign w:val="bottom"/>
            <w:shd w:val="clear" w:color="auto" w:fill="EBE6F0"/>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650" w:type="dxa"/>
            <w:vAlign w:val="bottom"/>
            <w:shd w:val="clear" w:color="auto" w:fill="EBE6F0"/>
          </w:tcPr>
          <w:p>
            <w:pPr>
              <w:spacing w:after="0"/>
              <w:rPr>
                <w:sz w:val="14"/>
                <w:szCs w:val="14"/>
                <w:color w:val="auto"/>
              </w:rPr>
            </w:pPr>
          </w:p>
        </w:tc>
        <w:tc>
          <w:tcPr>
            <w:tcW w:w="5150" w:type="dxa"/>
            <w:vAlign w:val="bottom"/>
            <w:vMerge w:val="continue"/>
            <w:shd w:val="clear" w:color="auto" w:fill="EBE6F0"/>
          </w:tcPr>
          <w:p>
            <w:pPr>
              <w:spacing w:after="0"/>
              <w:rPr>
                <w:sz w:val="14"/>
                <w:szCs w:val="14"/>
                <w:color w:val="auto"/>
              </w:rPr>
            </w:pPr>
          </w:p>
        </w:tc>
        <w:tc>
          <w:tcPr>
            <w:tcW w:w="220" w:type="dxa"/>
            <w:vAlign w:val="bottom"/>
            <w:shd w:val="clear" w:color="auto" w:fill="EBE6F0"/>
          </w:tcPr>
          <w:p>
            <w:pPr>
              <w:spacing w:after="0"/>
              <w:rPr>
                <w:sz w:val="14"/>
                <w:szCs w:val="14"/>
                <w:color w:val="auto"/>
              </w:rPr>
            </w:pPr>
          </w:p>
        </w:tc>
        <w:tc>
          <w:tcPr>
            <w:tcW w:w="1920" w:type="dxa"/>
            <w:vAlign w:val="bottom"/>
            <w:vMerge w:val="restart"/>
            <w:shd w:val="clear" w:color="auto" w:fill="EBE6F0"/>
          </w:tcPr>
          <w:p>
            <w:pPr>
              <w:ind w:left="80"/>
              <w:spacing w:after="0" w:line="224" w:lineRule="exact"/>
              <w:rPr>
                <w:sz w:val="20"/>
                <w:szCs w:val="20"/>
                <w:color w:val="auto"/>
              </w:rPr>
            </w:pPr>
            <w:r>
              <w:rPr>
                <w:rFonts w:ascii="Arial" w:cs="Arial" w:eastAsia="Arial" w:hAnsi="Arial"/>
                <w:sz w:val="20"/>
                <w:szCs w:val="20"/>
                <w:color w:val="auto"/>
              </w:rPr>
              <w:t>based on the</w:t>
            </w:r>
          </w:p>
        </w:tc>
        <w:tc>
          <w:tcPr>
            <w:tcW w:w="320" w:type="dxa"/>
            <w:vAlign w:val="bottom"/>
            <w:shd w:val="clear" w:color="auto" w:fill="EBE6F0"/>
          </w:tcPr>
          <w:p>
            <w:pPr>
              <w:spacing w:after="0"/>
              <w:rPr>
                <w:sz w:val="14"/>
                <w:szCs w:val="14"/>
                <w:color w:val="auto"/>
              </w:rPr>
            </w:pPr>
          </w:p>
        </w:tc>
        <w:tc>
          <w:tcPr>
            <w:tcW w:w="1980" w:type="dxa"/>
            <w:vAlign w:val="bottom"/>
            <w:shd w:val="clear" w:color="auto" w:fill="EBE6F0"/>
          </w:tcPr>
          <w:p>
            <w:pPr>
              <w:spacing w:after="0"/>
              <w:rPr>
                <w:sz w:val="14"/>
                <w:szCs w:val="14"/>
                <w:color w:val="auto"/>
              </w:rPr>
            </w:pPr>
          </w:p>
        </w:tc>
        <w:tc>
          <w:tcPr>
            <w:tcW w:w="20" w:type="dxa"/>
            <w:vAlign w:val="bottom"/>
            <w:shd w:val="clear" w:color="auto" w:fill="EBE6F0"/>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650" w:type="dxa"/>
            <w:vAlign w:val="bottom"/>
            <w:shd w:val="clear" w:color="auto" w:fill="EBE6F0"/>
          </w:tcPr>
          <w:p>
            <w:pPr>
              <w:spacing w:after="0"/>
              <w:rPr>
                <w:sz w:val="5"/>
                <w:szCs w:val="5"/>
                <w:color w:val="auto"/>
              </w:rPr>
            </w:pPr>
          </w:p>
        </w:tc>
        <w:tc>
          <w:tcPr>
            <w:tcW w:w="5150" w:type="dxa"/>
            <w:vAlign w:val="bottom"/>
            <w:vMerge w:val="restart"/>
            <w:shd w:val="clear" w:color="auto" w:fill="EBE6F0"/>
          </w:tcPr>
          <w:p>
            <w:pPr>
              <w:ind w:left="70"/>
              <w:spacing w:after="0" w:line="283" w:lineRule="exact"/>
              <w:rPr>
                <w:sz w:val="20"/>
                <w:szCs w:val="20"/>
                <w:color w:val="auto"/>
              </w:rPr>
            </w:pPr>
            <w:r>
              <w:rPr>
                <w:rFonts w:ascii="Arial" w:cs="Arial" w:eastAsia="Arial" w:hAnsi="Arial"/>
                <w:sz w:val="32"/>
                <w:szCs w:val="32"/>
                <w:color w:val="582C83"/>
                <w:vertAlign w:val="superscript"/>
              </w:rPr>
              <w:t>•</w:t>
            </w:r>
            <w:r>
              <w:rPr>
                <w:rFonts w:ascii="Arial" w:cs="Arial" w:eastAsia="Arial" w:hAnsi="Arial"/>
                <w:sz w:val="17"/>
                <w:szCs w:val="17"/>
                <w:color w:val="auto"/>
              </w:rPr>
              <w:t xml:space="preserve"> divestiture</w:t>
            </w:r>
            <w:r>
              <w:rPr>
                <w:rFonts w:ascii="Arial" w:cs="Arial" w:eastAsia="Arial" w:hAnsi="Arial"/>
                <w:sz w:val="27"/>
                <w:szCs w:val="27"/>
                <w:color w:val="auto"/>
                <w:vertAlign w:val="superscript"/>
              </w:rPr>
              <w:t>(1)</w:t>
            </w:r>
            <w:r>
              <w:rPr>
                <w:rFonts w:ascii="Arial" w:cs="Arial" w:eastAsia="Arial" w:hAnsi="Arial"/>
                <w:sz w:val="17"/>
                <w:szCs w:val="17"/>
                <w:color w:val="auto"/>
              </w:rPr>
              <w:t xml:space="preserve"> or acquisition gains or losses, divestiture-</w:t>
            </w:r>
          </w:p>
        </w:tc>
        <w:tc>
          <w:tcPr>
            <w:tcW w:w="220" w:type="dxa"/>
            <w:vAlign w:val="bottom"/>
            <w:shd w:val="clear" w:color="auto" w:fill="EBE6F0"/>
          </w:tcPr>
          <w:p>
            <w:pPr>
              <w:spacing w:after="0"/>
              <w:rPr>
                <w:sz w:val="5"/>
                <w:szCs w:val="5"/>
                <w:color w:val="auto"/>
              </w:rPr>
            </w:pPr>
          </w:p>
        </w:tc>
        <w:tc>
          <w:tcPr>
            <w:tcW w:w="1920" w:type="dxa"/>
            <w:vAlign w:val="bottom"/>
            <w:vMerge w:val="continue"/>
            <w:shd w:val="clear" w:color="auto" w:fill="EBE6F0"/>
          </w:tcPr>
          <w:p>
            <w:pPr>
              <w:spacing w:after="0"/>
              <w:rPr>
                <w:sz w:val="5"/>
                <w:szCs w:val="5"/>
                <w:color w:val="auto"/>
              </w:rPr>
            </w:pPr>
          </w:p>
        </w:tc>
        <w:tc>
          <w:tcPr>
            <w:tcW w:w="320" w:type="dxa"/>
            <w:vAlign w:val="bottom"/>
            <w:shd w:val="clear" w:color="auto" w:fill="EBE6F0"/>
          </w:tcPr>
          <w:p>
            <w:pPr>
              <w:spacing w:after="0"/>
              <w:rPr>
                <w:sz w:val="5"/>
                <w:szCs w:val="5"/>
                <w:color w:val="auto"/>
              </w:rPr>
            </w:pPr>
          </w:p>
        </w:tc>
        <w:tc>
          <w:tcPr>
            <w:tcW w:w="1980" w:type="dxa"/>
            <w:vAlign w:val="bottom"/>
            <w:shd w:val="clear" w:color="auto" w:fill="EBE6F0"/>
          </w:tcPr>
          <w:p>
            <w:pPr>
              <w:spacing w:after="0"/>
              <w:rPr>
                <w:sz w:val="5"/>
                <w:szCs w:val="5"/>
                <w:color w:val="auto"/>
              </w:rPr>
            </w:pPr>
          </w:p>
        </w:tc>
        <w:tc>
          <w:tcPr>
            <w:tcW w:w="20" w:type="dxa"/>
            <w:vAlign w:val="bottom"/>
            <w:shd w:val="clear" w:color="auto" w:fill="EBE6F0"/>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650" w:type="dxa"/>
            <w:vAlign w:val="bottom"/>
            <w:shd w:val="clear" w:color="auto" w:fill="EBE6F0"/>
          </w:tcPr>
          <w:p>
            <w:pPr>
              <w:spacing w:after="0"/>
              <w:rPr>
                <w:sz w:val="19"/>
                <w:szCs w:val="19"/>
                <w:color w:val="auto"/>
              </w:rPr>
            </w:pPr>
          </w:p>
        </w:tc>
        <w:tc>
          <w:tcPr>
            <w:tcW w:w="5150" w:type="dxa"/>
            <w:vAlign w:val="bottom"/>
            <w:vMerge w:val="continue"/>
            <w:shd w:val="clear" w:color="auto" w:fill="EBE6F0"/>
          </w:tcPr>
          <w:p>
            <w:pPr>
              <w:spacing w:after="0"/>
              <w:rPr>
                <w:sz w:val="19"/>
                <w:szCs w:val="19"/>
                <w:color w:val="auto"/>
              </w:rPr>
            </w:pPr>
          </w:p>
        </w:tc>
        <w:tc>
          <w:tcPr>
            <w:tcW w:w="220" w:type="dxa"/>
            <w:vAlign w:val="bottom"/>
            <w:shd w:val="clear" w:color="auto" w:fill="EBE6F0"/>
          </w:tcPr>
          <w:p>
            <w:pPr>
              <w:spacing w:after="0"/>
              <w:rPr>
                <w:sz w:val="19"/>
                <w:szCs w:val="19"/>
                <w:color w:val="auto"/>
              </w:rPr>
            </w:pPr>
          </w:p>
        </w:tc>
        <w:tc>
          <w:tcPr>
            <w:tcW w:w="1920" w:type="dxa"/>
            <w:vAlign w:val="bottom"/>
            <w:shd w:val="clear" w:color="auto" w:fill="EBE6F0"/>
          </w:tcPr>
          <w:p>
            <w:pPr>
              <w:ind w:left="80"/>
              <w:spacing w:after="0" w:line="220" w:lineRule="exact"/>
              <w:rPr>
                <w:sz w:val="20"/>
                <w:szCs w:val="20"/>
                <w:color w:val="auto"/>
              </w:rPr>
            </w:pPr>
            <w:r>
              <w:rPr>
                <w:rFonts w:ascii="Arial" w:cs="Arial" w:eastAsia="Arial" w:hAnsi="Arial"/>
                <w:sz w:val="20"/>
                <w:szCs w:val="20"/>
                <w:color w:val="auto"/>
                <w:w w:val="98"/>
              </w:rPr>
              <w:t>definition of Adjusted</w:t>
            </w:r>
          </w:p>
        </w:tc>
        <w:tc>
          <w:tcPr>
            <w:tcW w:w="320" w:type="dxa"/>
            <w:vAlign w:val="bottom"/>
            <w:shd w:val="clear" w:color="auto" w:fill="EBE6F0"/>
          </w:tcPr>
          <w:p>
            <w:pPr>
              <w:spacing w:after="0"/>
              <w:rPr>
                <w:sz w:val="19"/>
                <w:szCs w:val="19"/>
                <w:color w:val="auto"/>
              </w:rPr>
            </w:pPr>
          </w:p>
        </w:tc>
        <w:tc>
          <w:tcPr>
            <w:tcW w:w="1980" w:type="dxa"/>
            <w:vAlign w:val="bottom"/>
            <w:shd w:val="clear" w:color="auto" w:fill="EBE6F0"/>
          </w:tcPr>
          <w:p>
            <w:pPr>
              <w:spacing w:after="0"/>
              <w:rPr>
                <w:sz w:val="19"/>
                <w:szCs w:val="19"/>
                <w:color w:val="auto"/>
              </w:rPr>
            </w:pPr>
          </w:p>
        </w:tc>
        <w:tc>
          <w:tcPr>
            <w:tcW w:w="20" w:type="dxa"/>
            <w:vAlign w:val="bottom"/>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650" w:type="dxa"/>
            <w:vAlign w:val="bottom"/>
            <w:shd w:val="clear" w:color="auto" w:fill="EBE6F0"/>
          </w:tcPr>
          <w:p>
            <w:pPr>
              <w:spacing w:after="0"/>
              <w:rPr>
                <w:sz w:val="20"/>
                <w:szCs w:val="20"/>
                <w:color w:val="auto"/>
              </w:rPr>
            </w:pPr>
          </w:p>
        </w:tc>
        <w:tc>
          <w:tcPr>
            <w:tcW w:w="5150" w:type="dxa"/>
            <w:vAlign w:val="bottom"/>
            <w:shd w:val="clear" w:color="auto" w:fill="EBE6F0"/>
          </w:tcPr>
          <w:p>
            <w:pPr>
              <w:ind w:left="250"/>
              <w:spacing w:after="0" w:line="240" w:lineRule="exact"/>
              <w:rPr>
                <w:sz w:val="20"/>
                <w:szCs w:val="20"/>
                <w:color w:val="auto"/>
              </w:rPr>
            </w:pPr>
            <w:r>
              <w:rPr>
                <w:rFonts w:ascii="Arial" w:cs="Arial" w:eastAsia="Arial" w:hAnsi="Arial"/>
                <w:sz w:val="17"/>
                <w:szCs w:val="17"/>
                <w:color w:val="auto"/>
              </w:rPr>
              <w:t>related costs</w:t>
            </w:r>
            <w:r>
              <w:rPr>
                <w:rFonts w:ascii="Arial" w:cs="Arial" w:eastAsia="Arial" w:hAnsi="Arial"/>
                <w:sz w:val="27"/>
                <w:szCs w:val="27"/>
                <w:color w:val="auto"/>
                <w:vertAlign w:val="superscript"/>
              </w:rPr>
              <w:t>(4)</w:t>
            </w:r>
            <w:r>
              <w:rPr>
                <w:rFonts w:ascii="Arial" w:cs="Arial" w:eastAsia="Arial" w:hAnsi="Arial"/>
                <w:sz w:val="17"/>
                <w:szCs w:val="17"/>
                <w:color w:val="auto"/>
              </w:rPr>
              <w:t>, acquisition-related costs</w:t>
            </w:r>
            <w:r>
              <w:rPr>
                <w:rFonts w:ascii="Arial" w:cs="Arial" w:eastAsia="Arial" w:hAnsi="Arial"/>
                <w:sz w:val="27"/>
                <w:szCs w:val="27"/>
                <w:color w:val="auto"/>
                <w:vertAlign w:val="superscript"/>
              </w:rPr>
              <w:t>(5)</w:t>
            </w:r>
            <w:r>
              <w:rPr>
                <w:rFonts w:ascii="Arial" w:cs="Arial" w:eastAsia="Arial" w:hAnsi="Arial"/>
                <w:sz w:val="17"/>
                <w:szCs w:val="17"/>
                <w:color w:val="auto"/>
              </w:rPr>
              <w:t>, and</w:t>
            </w:r>
          </w:p>
        </w:tc>
        <w:tc>
          <w:tcPr>
            <w:tcW w:w="220" w:type="dxa"/>
            <w:vAlign w:val="bottom"/>
            <w:shd w:val="clear" w:color="auto" w:fill="EBE6F0"/>
          </w:tcPr>
          <w:p>
            <w:pPr>
              <w:spacing w:after="0"/>
              <w:rPr>
                <w:sz w:val="20"/>
                <w:szCs w:val="20"/>
                <w:color w:val="auto"/>
              </w:rPr>
            </w:pPr>
          </w:p>
        </w:tc>
        <w:tc>
          <w:tcPr>
            <w:tcW w:w="1920" w:type="dxa"/>
            <w:vAlign w:val="bottom"/>
            <w:shd w:val="clear" w:color="auto" w:fill="EBE6F0"/>
          </w:tcPr>
          <w:p>
            <w:pPr>
              <w:ind w:left="80"/>
              <w:spacing w:after="0"/>
              <w:rPr>
                <w:sz w:val="20"/>
                <w:szCs w:val="20"/>
                <w:color w:val="auto"/>
              </w:rPr>
            </w:pPr>
            <w:r>
              <w:rPr>
                <w:rFonts w:ascii="Arial" w:cs="Arial" w:eastAsia="Arial" w:hAnsi="Arial"/>
                <w:sz w:val="20"/>
                <w:szCs w:val="20"/>
                <w:color w:val="auto"/>
              </w:rPr>
              <w:t>EPS used for each</w:t>
            </w:r>
          </w:p>
        </w:tc>
        <w:tc>
          <w:tcPr>
            <w:tcW w:w="320" w:type="dxa"/>
            <w:vAlign w:val="bottom"/>
            <w:shd w:val="clear" w:color="auto" w:fill="EBE6F0"/>
          </w:tcPr>
          <w:p>
            <w:pPr>
              <w:spacing w:after="0"/>
              <w:rPr>
                <w:sz w:val="20"/>
                <w:szCs w:val="20"/>
                <w:color w:val="auto"/>
              </w:rPr>
            </w:pPr>
          </w:p>
        </w:tc>
        <w:tc>
          <w:tcPr>
            <w:tcW w:w="1980" w:type="dxa"/>
            <w:vAlign w:val="bottom"/>
            <w:shd w:val="clear" w:color="auto" w:fill="EBE6F0"/>
          </w:tcPr>
          <w:p>
            <w:pPr>
              <w:spacing w:after="0"/>
              <w:rPr>
                <w:sz w:val="20"/>
                <w:szCs w:val="20"/>
                <w:color w:val="auto"/>
              </w:rPr>
            </w:pPr>
          </w:p>
        </w:tc>
        <w:tc>
          <w:tcPr>
            <w:tcW w:w="20" w:type="dxa"/>
            <w:vAlign w:val="bottom"/>
            <w:shd w:val="clear" w:color="auto" w:fill="EBE6F0"/>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50" w:type="dxa"/>
            <w:vAlign w:val="bottom"/>
            <w:shd w:val="clear" w:color="auto" w:fill="EBE6F0"/>
          </w:tcPr>
          <w:p>
            <w:pPr>
              <w:spacing w:after="0"/>
              <w:rPr>
                <w:sz w:val="19"/>
                <w:szCs w:val="19"/>
                <w:color w:val="auto"/>
              </w:rPr>
            </w:pPr>
          </w:p>
        </w:tc>
        <w:tc>
          <w:tcPr>
            <w:tcW w:w="5150" w:type="dxa"/>
            <w:vAlign w:val="bottom"/>
            <w:shd w:val="clear" w:color="auto" w:fill="EBE6F0"/>
          </w:tcPr>
          <w:p>
            <w:pPr>
              <w:ind w:left="250"/>
              <w:spacing w:after="0" w:line="224" w:lineRule="exact"/>
              <w:rPr>
                <w:sz w:val="20"/>
                <w:szCs w:val="20"/>
                <w:color w:val="auto"/>
              </w:rPr>
            </w:pPr>
            <w:r>
              <w:rPr>
                <w:rFonts w:ascii="Arial" w:cs="Arial" w:eastAsia="Arial" w:hAnsi="Arial"/>
                <w:sz w:val="20"/>
                <w:szCs w:val="20"/>
                <w:color w:val="auto"/>
              </w:rPr>
              <w:t>acquisition integration costs and contingent</w:t>
            </w:r>
          </w:p>
        </w:tc>
        <w:tc>
          <w:tcPr>
            <w:tcW w:w="220" w:type="dxa"/>
            <w:vAlign w:val="bottom"/>
            <w:shd w:val="clear" w:color="auto" w:fill="EBE6F0"/>
          </w:tcPr>
          <w:p>
            <w:pPr>
              <w:spacing w:after="0"/>
              <w:rPr>
                <w:sz w:val="19"/>
                <w:szCs w:val="19"/>
                <w:color w:val="auto"/>
              </w:rPr>
            </w:pPr>
          </w:p>
        </w:tc>
        <w:tc>
          <w:tcPr>
            <w:tcW w:w="1920" w:type="dxa"/>
            <w:vAlign w:val="bottom"/>
            <w:shd w:val="clear" w:color="auto" w:fill="EBE6F0"/>
          </w:tcPr>
          <w:p>
            <w:pPr>
              <w:ind w:left="80"/>
              <w:spacing w:after="0" w:line="224" w:lineRule="exact"/>
              <w:rPr>
                <w:sz w:val="20"/>
                <w:szCs w:val="20"/>
                <w:color w:val="auto"/>
              </w:rPr>
            </w:pPr>
            <w:r>
              <w:rPr>
                <w:rFonts w:ascii="Arial" w:cs="Arial" w:eastAsia="Arial" w:hAnsi="Arial"/>
                <w:sz w:val="20"/>
                <w:szCs w:val="20"/>
                <w:color w:val="auto"/>
              </w:rPr>
              <w:t>year of the three-</w:t>
            </w:r>
          </w:p>
        </w:tc>
        <w:tc>
          <w:tcPr>
            <w:tcW w:w="320" w:type="dxa"/>
            <w:vAlign w:val="bottom"/>
            <w:shd w:val="clear" w:color="auto" w:fill="EBE6F0"/>
          </w:tcPr>
          <w:p>
            <w:pPr>
              <w:spacing w:after="0"/>
              <w:rPr>
                <w:sz w:val="19"/>
                <w:szCs w:val="19"/>
                <w:color w:val="auto"/>
              </w:rPr>
            </w:pPr>
          </w:p>
        </w:tc>
        <w:tc>
          <w:tcPr>
            <w:tcW w:w="1980" w:type="dxa"/>
            <w:vAlign w:val="bottom"/>
            <w:shd w:val="clear" w:color="auto" w:fill="EBE6F0"/>
          </w:tcPr>
          <w:p>
            <w:pPr>
              <w:spacing w:after="0"/>
              <w:rPr>
                <w:sz w:val="19"/>
                <w:szCs w:val="19"/>
                <w:color w:val="auto"/>
              </w:rPr>
            </w:pPr>
          </w:p>
        </w:tc>
        <w:tc>
          <w:tcPr>
            <w:tcW w:w="20" w:type="dxa"/>
            <w:vAlign w:val="bottom"/>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1650" w:type="dxa"/>
            <w:vAlign w:val="bottom"/>
            <w:shd w:val="clear" w:color="auto" w:fill="EBE6F0"/>
          </w:tcPr>
          <w:p>
            <w:pPr>
              <w:spacing w:after="0"/>
              <w:rPr>
                <w:sz w:val="23"/>
                <w:szCs w:val="23"/>
                <w:color w:val="auto"/>
              </w:rPr>
            </w:pPr>
          </w:p>
        </w:tc>
        <w:tc>
          <w:tcPr>
            <w:tcW w:w="5150" w:type="dxa"/>
            <w:vAlign w:val="bottom"/>
            <w:shd w:val="clear" w:color="auto" w:fill="EBE6F0"/>
          </w:tcPr>
          <w:p>
            <w:pPr>
              <w:ind w:left="250"/>
              <w:spacing w:after="0" w:line="272" w:lineRule="exact"/>
              <w:rPr>
                <w:sz w:val="20"/>
                <w:szCs w:val="20"/>
                <w:color w:val="auto"/>
              </w:rPr>
            </w:pPr>
            <w:r>
              <w:rPr>
                <w:rFonts w:ascii="Arial" w:cs="Arial" w:eastAsia="Arial" w:hAnsi="Arial"/>
                <w:sz w:val="19"/>
                <w:szCs w:val="19"/>
                <w:color w:val="auto"/>
              </w:rPr>
              <w:t>consideration adjustments</w:t>
            </w:r>
            <w:r>
              <w:rPr>
                <w:rFonts w:ascii="Arial" w:cs="Arial" w:eastAsia="Arial" w:hAnsi="Arial"/>
                <w:sz w:val="31"/>
                <w:szCs w:val="31"/>
                <w:color w:val="auto"/>
                <w:vertAlign w:val="superscript"/>
              </w:rPr>
              <w:t>(6)</w:t>
            </w:r>
            <w:r>
              <w:rPr>
                <w:rFonts w:ascii="Arial" w:cs="Arial" w:eastAsia="Arial" w:hAnsi="Arial"/>
                <w:sz w:val="19"/>
                <w:szCs w:val="19"/>
                <w:color w:val="auto"/>
              </w:rPr>
              <w:t>;</w:t>
            </w:r>
          </w:p>
        </w:tc>
        <w:tc>
          <w:tcPr>
            <w:tcW w:w="220" w:type="dxa"/>
            <w:vAlign w:val="bottom"/>
            <w:shd w:val="clear" w:color="auto" w:fill="EBE6F0"/>
          </w:tcPr>
          <w:p>
            <w:pPr>
              <w:spacing w:after="0"/>
              <w:rPr>
                <w:sz w:val="23"/>
                <w:szCs w:val="23"/>
                <w:color w:val="auto"/>
              </w:rPr>
            </w:pPr>
          </w:p>
        </w:tc>
        <w:tc>
          <w:tcPr>
            <w:tcW w:w="1920" w:type="dxa"/>
            <w:vAlign w:val="bottom"/>
            <w:shd w:val="clear" w:color="auto" w:fill="EBE6F0"/>
          </w:tcPr>
          <w:p>
            <w:pPr>
              <w:ind w:left="80"/>
              <w:spacing w:after="0"/>
              <w:rPr>
                <w:sz w:val="20"/>
                <w:szCs w:val="20"/>
                <w:color w:val="auto"/>
              </w:rPr>
            </w:pPr>
            <w:r>
              <w:rPr>
                <w:rFonts w:ascii="Arial" w:cs="Arial" w:eastAsia="Arial" w:hAnsi="Arial"/>
                <w:sz w:val="20"/>
                <w:szCs w:val="20"/>
                <w:color w:val="auto"/>
              </w:rPr>
              <w:t>year performance</w:t>
            </w:r>
          </w:p>
        </w:tc>
        <w:tc>
          <w:tcPr>
            <w:tcW w:w="320" w:type="dxa"/>
            <w:vAlign w:val="bottom"/>
            <w:shd w:val="clear" w:color="auto" w:fill="EBE6F0"/>
          </w:tcPr>
          <w:p>
            <w:pPr>
              <w:spacing w:after="0"/>
              <w:rPr>
                <w:sz w:val="23"/>
                <w:szCs w:val="23"/>
                <w:color w:val="auto"/>
              </w:rPr>
            </w:pPr>
          </w:p>
        </w:tc>
        <w:tc>
          <w:tcPr>
            <w:tcW w:w="1980" w:type="dxa"/>
            <w:vAlign w:val="bottom"/>
            <w:shd w:val="clear" w:color="auto" w:fill="EBE6F0"/>
          </w:tcPr>
          <w:p>
            <w:pPr>
              <w:spacing w:after="0"/>
              <w:rPr>
                <w:sz w:val="23"/>
                <w:szCs w:val="23"/>
                <w:color w:val="auto"/>
              </w:rPr>
            </w:pPr>
          </w:p>
        </w:tc>
        <w:tc>
          <w:tcPr>
            <w:tcW w:w="20" w:type="dxa"/>
            <w:vAlign w:val="bottom"/>
            <w:shd w:val="clear" w:color="auto" w:fill="EBE6F0"/>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650" w:type="dxa"/>
            <w:vAlign w:val="bottom"/>
            <w:shd w:val="clear" w:color="auto" w:fill="EBE6F0"/>
          </w:tcPr>
          <w:p>
            <w:pPr>
              <w:spacing w:after="0"/>
              <w:rPr>
                <w:sz w:val="22"/>
                <w:szCs w:val="22"/>
                <w:color w:val="auto"/>
              </w:rPr>
            </w:pPr>
          </w:p>
        </w:tc>
        <w:tc>
          <w:tcPr>
            <w:tcW w:w="5150" w:type="dxa"/>
            <w:vAlign w:val="bottom"/>
            <w:vMerge w:val="restart"/>
            <w:shd w:val="clear" w:color="auto" w:fill="EBE6F0"/>
          </w:tcPr>
          <w:p>
            <w:pPr>
              <w:ind w:left="70"/>
              <w:spacing w:after="0" w:line="370" w:lineRule="exact"/>
              <w:rPr>
                <w:sz w:val="20"/>
                <w:szCs w:val="20"/>
                <w:color w:val="auto"/>
              </w:rPr>
            </w:pPr>
            <w:r>
              <w:rPr>
                <w:rFonts w:ascii="Arial" w:cs="Arial" w:eastAsia="Arial" w:hAnsi="Arial"/>
                <w:sz w:val="39"/>
                <w:szCs w:val="39"/>
                <w:color w:val="582C83"/>
                <w:vertAlign w:val="superscript"/>
              </w:rPr>
              <w:t>•</w:t>
            </w:r>
            <w:r>
              <w:rPr>
                <w:rFonts w:ascii="Arial" w:cs="Arial" w:eastAsia="Arial" w:hAnsi="Arial"/>
                <w:sz w:val="20"/>
                <w:szCs w:val="20"/>
                <w:color w:val="auto"/>
              </w:rPr>
              <w:t xml:space="preserve"> inventory-step-up charges</w:t>
            </w:r>
            <w:r>
              <w:rPr>
                <w:rFonts w:ascii="Arial" w:cs="Arial" w:eastAsia="Arial" w:hAnsi="Arial"/>
                <w:sz w:val="33"/>
                <w:szCs w:val="33"/>
                <w:color w:val="auto"/>
                <w:vertAlign w:val="superscript"/>
              </w:rPr>
              <w:t>(7)</w:t>
            </w:r>
            <w:r>
              <w:rPr>
                <w:rFonts w:ascii="Arial" w:cs="Arial" w:eastAsia="Arial" w:hAnsi="Arial"/>
                <w:sz w:val="20"/>
                <w:szCs w:val="20"/>
                <w:color w:val="auto"/>
              </w:rPr>
              <w:t>;</w:t>
            </w:r>
          </w:p>
        </w:tc>
        <w:tc>
          <w:tcPr>
            <w:tcW w:w="220" w:type="dxa"/>
            <w:vAlign w:val="bottom"/>
            <w:shd w:val="clear" w:color="auto" w:fill="EBE6F0"/>
          </w:tcPr>
          <w:p>
            <w:pPr>
              <w:spacing w:after="0"/>
              <w:rPr>
                <w:sz w:val="22"/>
                <w:szCs w:val="22"/>
                <w:color w:val="auto"/>
              </w:rPr>
            </w:pPr>
          </w:p>
        </w:tc>
        <w:tc>
          <w:tcPr>
            <w:tcW w:w="1920" w:type="dxa"/>
            <w:vAlign w:val="bottom"/>
            <w:shd w:val="clear" w:color="auto" w:fill="EBE6F0"/>
          </w:tcPr>
          <w:p>
            <w:pPr>
              <w:ind w:left="80"/>
              <w:spacing w:after="0"/>
              <w:rPr>
                <w:sz w:val="20"/>
                <w:szCs w:val="20"/>
                <w:color w:val="auto"/>
              </w:rPr>
            </w:pPr>
            <w:r>
              <w:rPr>
                <w:rFonts w:ascii="Arial" w:cs="Arial" w:eastAsia="Arial" w:hAnsi="Arial"/>
                <w:sz w:val="20"/>
                <w:szCs w:val="20"/>
                <w:color w:val="auto"/>
              </w:rPr>
              <w:t>cycle.</w:t>
            </w:r>
          </w:p>
        </w:tc>
        <w:tc>
          <w:tcPr>
            <w:tcW w:w="320" w:type="dxa"/>
            <w:vAlign w:val="bottom"/>
            <w:shd w:val="clear" w:color="auto" w:fill="EBE6F0"/>
          </w:tcPr>
          <w:p>
            <w:pPr>
              <w:spacing w:after="0"/>
              <w:rPr>
                <w:sz w:val="22"/>
                <w:szCs w:val="22"/>
                <w:color w:val="auto"/>
              </w:rPr>
            </w:pPr>
          </w:p>
        </w:tc>
        <w:tc>
          <w:tcPr>
            <w:tcW w:w="1980" w:type="dxa"/>
            <w:vAlign w:val="bottom"/>
            <w:shd w:val="clear" w:color="auto" w:fill="EBE6F0"/>
          </w:tcPr>
          <w:p>
            <w:pPr>
              <w:spacing w:after="0"/>
              <w:rPr>
                <w:sz w:val="22"/>
                <w:szCs w:val="22"/>
                <w:color w:val="auto"/>
              </w:rPr>
            </w:pPr>
          </w:p>
        </w:tc>
        <w:tc>
          <w:tcPr>
            <w:tcW w:w="2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650" w:type="dxa"/>
            <w:vAlign w:val="bottom"/>
            <w:shd w:val="clear" w:color="auto" w:fill="EBE6F0"/>
          </w:tcPr>
          <w:p>
            <w:pPr>
              <w:spacing w:after="0"/>
              <w:rPr>
                <w:sz w:val="9"/>
                <w:szCs w:val="9"/>
                <w:color w:val="auto"/>
              </w:rPr>
            </w:pPr>
          </w:p>
        </w:tc>
        <w:tc>
          <w:tcPr>
            <w:tcW w:w="5150" w:type="dxa"/>
            <w:vAlign w:val="bottom"/>
            <w:vMerge w:val="continue"/>
            <w:shd w:val="clear" w:color="auto" w:fill="EBE6F0"/>
          </w:tcPr>
          <w:p>
            <w:pPr>
              <w:spacing w:after="0"/>
              <w:rPr>
                <w:sz w:val="9"/>
                <w:szCs w:val="9"/>
                <w:color w:val="auto"/>
              </w:rPr>
            </w:pPr>
          </w:p>
        </w:tc>
        <w:tc>
          <w:tcPr>
            <w:tcW w:w="220" w:type="dxa"/>
            <w:vAlign w:val="bottom"/>
            <w:shd w:val="clear" w:color="auto" w:fill="EBE6F0"/>
          </w:tcPr>
          <w:p>
            <w:pPr>
              <w:spacing w:after="0"/>
              <w:rPr>
                <w:sz w:val="9"/>
                <w:szCs w:val="9"/>
                <w:color w:val="auto"/>
              </w:rPr>
            </w:pPr>
          </w:p>
        </w:tc>
        <w:tc>
          <w:tcPr>
            <w:tcW w:w="1920" w:type="dxa"/>
            <w:vAlign w:val="bottom"/>
            <w:shd w:val="clear" w:color="auto" w:fill="EBE6F0"/>
          </w:tcPr>
          <w:p>
            <w:pPr>
              <w:spacing w:after="0"/>
              <w:rPr>
                <w:sz w:val="9"/>
                <w:szCs w:val="9"/>
                <w:color w:val="auto"/>
              </w:rPr>
            </w:pPr>
          </w:p>
        </w:tc>
        <w:tc>
          <w:tcPr>
            <w:tcW w:w="320" w:type="dxa"/>
            <w:vAlign w:val="bottom"/>
            <w:shd w:val="clear" w:color="auto" w:fill="EBE6F0"/>
          </w:tcPr>
          <w:p>
            <w:pPr>
              <w:spacing w:after="0"/>
              <w:rPr>
                <w:sz w:val="9"/>
                <w:szCs w:val="9"/>
                <w:color w:val="auto"/>
              </w:rPr>
            </w:pPr>
          </w:p>
        </w:tc>
        <w:tc>
          <w:tcPr>
            <w:tcW w:w="1980" w:type="dxa"/>
            <w:vAlign w:val="bottom"/>
            <w:shd w:val="clear" w:color="auto" w:fill="EBE6F0"/>
          </w:tcPr>
          <w:p>
            <w:pPr>
              <w:spacing w:after="0"/>
              <w:rPr>
                <w:sz w:val="9"/>
                <w:szCs w:val="9"/>
                <w:color w:val="auto"/>
              </w:rPr>
            </w:pPr>
          </w:p>
        </w:tc>
        <w:tc>
          <w:tcPr>
            <w:tcW w:w="20" w:type="dxa"/>
            <w:vAlign w:val="bottom"/>
            <w:shd w:val="clear" w:color="auto" w:fill="EBE6F0"/>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650" w:type="dxa"/>
            <w:vAlign w:val="bottom"/>
            <w:shd w:val="clear" w:color="auto" w:fill="EBE6F0"/>
          </w:tcPr>
          <w:p>
            <w:pPr>
              <w:spacing w:after="0"/>
              <w:rPr>
                <w:sz w:val="24"/>
                <w:szCs w:val="24"/>
                <w:color w:val="auto"/>
              </w:rPr>
            </w:pPr>
          </w:p>
        </w:tc>
        <w:tc>
          <w:tcPr>
            <w:tcW w:w="5150" w:type="dxa"/>
            <w:vAlign w:val="bottom"/>
            <w:shd w:val="clear" w:color="auto" w:fill="EBE6F0"/>
          </w:tcPr>
          <w:p>
            <w:pPr>
              <w:ind w:left="70"/>
              <w:spacing w:after="0" w:line="311" w:lineRule="exact"/>
              <w:rPr>
                <w:sz w:val="20"/>
                <w:szCs w:val="20"/>
                <w:color w:val="auto"/>
              </w:rPr>
            </w:pPr>
            <w:r>
              <w:rPr>
                <w:rFonts w:ascii="Arial" w:cs="Arial" w:eastAsia="Arial" w:hAnsi="Arial"/>
                <w:sz w:val="35"/>
                <w:szCs w:val="35"/>
                <w:color w:val="582C83"/>
                <w:vertAlign w:val="superscript"/>
              </w:rPr>
              <w:t>•</w:t>
            </w:r>
            <w:r>
              <w:rPr>
                <w:rFonts w:ascii="Arial" w:cs="Arial" w:eastAsia="Arial" w:hAnsi="Arial"/>
                <w:sz w:val="18"/>
                <w:szCs w:val="18"/>
                <w:color w:val="auto"/>
              </w:rPr>
              <w:t xml:space="preserve"> net earnings from divestitures</w:t>
            </w:r>
            <w:r>
              <w:rPr>
                <w:rFonts w:ascii="Arial" w:cs="Arial" w:eastAsia="Arial" w:hAnsi="Arial"/>
                <w:sz w:val="30"/>
                <w:szCs w:val="30"/>
                <w:color w:val="auto"/>
                <w:vertAlign w:val="superscript"/>
              </w:rPr>
              <w:t>(1)</w:t>
            </w:r>
            <w:r>
              <w:rPr>
                <w:rFonts w:ascii="Arial" w:cs="Arial" w:eastAsia="Arial" w:hAnsi="Arial"/>
                <w:sz w:val="18"/>
                <w:szCs w:val="18"/>
                <w:color w:val="auto"/>
              </w:rPr>
              <w:t>;</w:t>
            </w:r>
          </w:p>
        </w:tc>
        <w:tc>
          <w:tcPr>
            <w:tcW w:w="220" w:type="dxa"/>
            <w:vAlign w:val="bottom"/>
            <w:shd w:val="clear" w:color="auto" w:fill="EBE6F0"/>
          </w:tcPr>
          <w:p>
            <w:pPr>
              <w:spacing w:after="0"/>
              <w:rPr>
                <w:sz w:val="24"/>
                <w:szCs w:val="24"/>
                <w:color w:val="auto"/>
              </w:rPr>
            </w:pPr>
          </w:p>
        </w:tc>
        <w:tc>
          <w:tcPr>
            <w:tcW w:w="1920" w:type="dxa"/>
            <w:vAlign w:val="bottom"/>
            <w:shd w:val="clear" w:color="auto" w:fill="EBE6F0"/>
          </w:tcPr>
          <w:p>
            <w:pPr>
              <w:spacing w:after="0"/>
              <w:rPr>
                <w:sz w:val="24"/>
                <w:szCs w:val="24"/>
                <w:color w:val="auto"/>
              </w:rPr>
            </w:pPr>
          </w:p>
        </w:tc>
        <w:tc>
          <w:tcPr>
            <w:tcW w:w="320" w:type="dxa"/>
            <w:vAlign w:val="bottom"/>
            <w:shd w:val="clear" w:color="auto" w:fill="EBE6F0"/>
          </w:tcPr>
          <w:p>
            <w:pPr>
              <w:spacing w:after="0"/>
              <w:rPr>
                <w:sz w:val="24"/>
                <w:szCs w:val="24"/>
                <w:color w:val="auto"/>
              </w:rPr>
            </w:pPr>
          </w:p>
        </w:tc>
        <w:tc>
          <w:tcPr>
            <w:tcW w:w="1980" w:type="dxa"/>
            <w:vAlign w:val="bottom"/>
            <w:shd w:val="clear" w:color="auto" w:fill="EBE6F0"/>
          </w:tcPr>
          <w:p>
            <w:pPr>
              <w:spacing w:after="0"/>
              <w:rPr>
                <w:sz w:val="24"/>
                <w:szCs w:val="24"/>
                <w:color w:val="auto"/>
              </w:rPr>
            </w:pPr>
          </w:p>
        </w:tc>
        <w:tc>
          <w:tcPr>
            <w:tcW w:w="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50" w:type="dxa"/>
            <w:vAlign w:val="bottom"/>
            <w:shd w:val="clear" w:color="auto" w:fill="EBE6F0"/>
          </w:tcPr>
          <w:p>
            <w:pPr>
              <w:spacing w:after="0"/>
              <w:rPr>
                <w:sz w:val="24"/>
                <w:szCs w:val="24"/>
                <w:color w:val="auto"/>
              </w:rPr>
            </w:pPr>
          </w:p>
        </w:tc>
        <w:tc>
          <w:tcPr>
            <w:tcW w:w="5150" w:type="dxa"/>
            <w:vAlign w:val="bottom"/>
            <w:shd w:val="clear" w:color="auto" w:fill="EBE6F0"/>
          </w:tcPr>
          <w:p>
            <w:pPr>
              <w:ind w:left="70"/>
              <w:spacing w:after="0" w:line="311" w:lineRule="exact"/>
              <w:rPr>
                <w:sz w:val="20"/>
                <w:szCs w:val="20"/>
                <w:color w:val="auto"/>
              </w:rPr>
            </w:pPr>
            <w:r>
              <w:rPr>
                <w:rFonts w:ascii="Arial" w:cs="Arial" w:eastAsia="Arial" w:hAnsi="Arial"/>
                <w:sz w:val="35"/>
                <w:szCs w:val="35"/>
                <w:color w:val="582C83"/>
                <w:vertAlign w:val="superscript"/>
              </w:rPr>
              <w:t>•</w:t>
            </w:r>
            <w:r>
              <w:rPr>
                <w:rFonts w:ascii="Arial" w:cs="Arial" w:eastAsia="Arial" w:hAnsi="Arial"/>
                <w:sz w:val="18"/>
                <w:szCs w:val="18"/>
                <w:color w:val="auto"/>
              </w:rPr>
              <w:t xml:space="preserve"> remeasurement of net monetary position</w:t>
            </w:r>
            <w:r>
              <w:rPr>
                <w:rFonts w:ascii="Arial" w:cs="Arial" w:eastAsia="Arial" w:hAnsi="Arial"/>
                <w:sz w:val="30"/>
                <w:szCs w:val="30"/>
                <w:color w:val="auto"/>
                <w:vertAlign w:val="superscript"/>
              </w:rPr>
              <w:t>(8)</w:t>
            </w:r>
            <w:r>
              <w:rPr>
                <w:rFonts w:ascii="Arial" w:cs="Arial" w:eastAsia="Arial" w:hAnsi="Arial"/>
                <w:sz w:val="18"/>
                <w:szCs w:val="18"/>
                <w:color w:val="auto"/>
              </w:rPr>
              <w:t>;</w:t>
            </w:r>
          </w:p>
        </w:tc>
        <w:tc>
          <w:tcPr>
            <w:tcW w:w="220" w:type="dxa"/>
            <w:vAlign w:val="bottom"/>
            <w:shd w:val="clear" w:color="auto" w:fill="EBE6F0"/>
          </w:tcPr>
          <w:p>
            <w:pPr>
              <w:spacing w:after="0"/>
              <w:rPr>
                <w:sz w:val="24"/>
                <w:szCs w:val="24"/>
                <w:color w:val="auto"/>
              </w:rPr>
            </w:pPr>
          </w:p>
        </w:tc>
        <w:tc>
          <w:tcPr>
            <w:tcW w:w="1920" w:type="dxa"/>
            <w:vAlign w:val="bottom"/>
            <w:shd w:val="clear" w:color="auto" w:fill="EBE6F0"/>
          </w:tcPr>
          <w:p>
            <w:pPr>
              <w:spacing w:after="0"/>
              <w:rPr>
                <w:sz w:val="24"/>
                <w:szCs w:val="24"/>
                <w:color w:val="auto"/>
              </w:rPr>
            </w:pPr>
          </w:p>
        </w:tc>
        <w:tc>
          <w:tcPr>
            <w:tcW w:w="320" w:type="dxa"/>
            <w:vAlign w:val="bottom"/>
            <w:shd w:val="clear" w:color="auto" w:fill="EBE6F0"/>
          </w:tcPr>
          <w:p>
            <w:pPr>
              <w:spacing w:after="0"/>
              <w:rPr>
                <w:sz w:val="24"/>
                <w:szCs w:val="24"/>
                <w:color w:val="auto"/>
              </w:rPr>
            </w:pPr>
          </w:p>
        </w:tc>
        <w:tc>
          <w:tcPr>
            <w:tcW w:w="1980" w:type="dxa"/>
            <w:vAlign w:val="bottom"/>
            <w:shd w:val="clear" w:color="auto" w:fill="EBE6F0"/>
          </w:tcPr>
          <w:p>
            <w:pPr>
              <w:spacing w:after="0"/>
              <w:rPr>
                <w:sz w:val="24"/>
                <w:szCs w:val="24"/>
                <w:color w:val="auto"/>
              </w:rPr>
            </w:pPr>
          </w:p>
        </w:tc>
        <w:tc>
          <w:tcPr>
            <w:tcW w:w="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50" w:type="dxa"/>
            <w:vAlign w:val="bottom"/>
            <w:shd w:val="clear" w:color="auto" w:fill="EBE6F0"/>
          </w:tcPr>
          <w:p>
            <w:pPr>
              <w:spacing w:after="0"/>
              <w:rPr>
                <w:sz w:val="19"/>
                <w:szCs w:val="19"/>
                <w:color w:val="auto"/>
              </w:rPr>
            </w:pPr>
          </w:p>
        </w:tc>
        <w:tc>
          <w:tcPr>
            <w:tcW w:w="5150" w:type="dxa"/>
            <w:vAlign w:val="bottom"/>
            <w:shd w:val="clear" w:color="auto" w:fill="EBE6F0"/>
          </w:tcPr>
          <w:p>
            <w:pPr>
              <w:ind w:left="7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mark-to-market impacts from commodity, forecasted</w:t>
            </w:r>
          </w:p>
        </w:tc>
        <w:tc>
          <w:tcPr>
            <w:tcW w:w="220" w:type="dxa"/>
            <w:vAlign w:val="bottom"/>
            <w:shd w:val="clear" w:color="auto" w:fill="EBE6F0"/>
          </w:tcPr>
          <w:p>
            <w:pPr>
              <w:spacing w:after="0"/>
              <w:rPr>
                <w:sz w:val="19"/>
                <w:szCs w:val="19"/>
                <w:color w:val="auto"/>
              </w:rPr>
            </w:pPr>
          </w:p>
        </w:tc>
        <w:tc>
          <w:tcPr>
            <w:tcW w:w="1920" w:type="dxa"/>
            <w:vAlign w:val="bottom"/>
            <w:shd w:val="clear" w:color="auto" w:fill="EBE6F0"/>
          </w:tcPr>
          <w:p>
            <w:pPr>
              <w:spacing w:after="0"/>
              <w:rPr>
                <w:sz w:val="19"/>
                <w:szCs w:val="19"/>
                <w:color w:val="auto"/>
              </w:rPr>
            </w:pPr>
          </w:p>
        </w:tc>
        <w:tc>
          <w:tcPr>
            <w:tcW w:w="320" w:type="dxa"/>
            <w:vAlign w:val="bottom"/>
            <w:shd w:val="clear" w:color="auto" w:fill="EBE6F0"/>
          </w:tcPr>
          <w:p>
            <w:pPr>
              <w:spacing w:after="0"/>
              <w:rPr>
                <w:sz w:val="19"/>
                <w:szCs w:val="19"/>
                <w:color w:val="auto"/>
              </w:rPr>
            </w:pPr>
          </w:p>
        </w:tc>
        <w:tc>
          <w:tcPr>
            <w:tcW w:w="1980" w:type="dxa"/>
            <w:vAlign w:val="bottom"/>
            <w:shd w:val="clear" w:color="auto" w:fill="EBE6F0"/>
          </w:tcPr>
          <w:p>
            <w:pPr>
              <w:spacing w:after="0"/>
              <w:rPr>
                <w:sz w:val="19"/>
                <w:szCs w:val="19"/>
                <w:color w:val="auto"/>
              </w:rPr>
            </w:pPr>
          </w:p>
        </w:tc>
        <w:tc>
          <w:tcPr>
            <w:tcW w:w="20" w:type="dxa"/>
            <w:vAlign w:val="bottom"/>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650" w:type="dxa"/>
            <w:vAlign w:val="bottom"/>
            <w:shd w:val="clear" w:color="auto" w:fill="EBE6F0"/>
          </w:tcPr>
          <w:p>
            <w:pPr>
              <w:spacing w:after="0"/>
              <w:rPr>
                <w:sz w:val="20"/>
                <w:szCs w:val="20"/>
                <w:color w:val="auto"/>
              </w:rPr>
            </w:pPr>
          </w:p>
        </w:tc>
        <w:tc>
          <w:tcPr>
            <w:tcW w:w="5150" w:type="dxa"/>
            <w:vAlign w:val="bottom"/>
            <w:shd w:val="clear" w:color="auto" w:fill="EBE6F0"/>
          </w:tcPr>
          <w:p>
            <w:pPr>
              <w:ind w:left="250"/>
              <w:spacing w:after="0"/>
              <w:rPr>
                <w:sz w:val="20"/>
                <w:szCs w:val="20"/>
                <w:color w:val="auto"/>
              </w:rPr>
            </w:pPr>
            <w:r>
              <w:rPr>
                <w:rFonts w:ascii="Arial" w:cs="Arial" w:eastAsia="Arial" w:hAnsi="Arial"/>
                <w:sz w:val="20"/>
                <w:szCs w:val="20"/>
                <w:color w:val="auto"/>
              </w:rPr>
              <w:t>currency and equity method investment transaction</w:t>
            </w:r>
          </w:p>
        </w:tc>
        <w:tc>
          <w:tcPr>
            <w:tcW w:w="220" w:type="dxa"/>
            <w:vAlign w:val="bottom"/>
            <w:shd w:val="clear" w:color="auto" w:fill="EBE6F0"/>
          </w:tcPr>
          <w:p>
            <w:pPr>
              <w:spacing w:after="0"/>
              <w:rPr>
                <w:sz w:val="20"/>
                <w:szCs w:val="20"/>
                <w:color w:val="auto"/>
              </w:rPr>
            </w:pPr>
          </w:p>
        </w:tc>
        <w:tc>
          <w:tcPr>
            <w:tcW w:w="1920" w:type="dxa"/>
            <w:vAlign w:val="bottom"/>
            <w:shd w:val="clear" w:color="auto" w:fill="EBE6F0"/>
          </w:tcPr>
          <w:p>
            <w:pPr>
              <w:spacing w:after="0"/>
              <w:rPr>
                <w:sz w:val="20"/>
                <w:szCs w:val="20"/>
                <w:color w:val="auto"/>
              </w:rPr>
            </w:pPr>
          </w:p>
        </w:tc>
        <w:tc>
          <w:tcPr>
            <w:tcW w:w="320" w:type="dxa"/>
            <w:vAlign w:val="bottom"/>
            <w:shd w:val="clear" w:color="auto" w:fill="EBE6F0"/>
          </w:tcPr>
          <w:p>
            <w:pPr>
              <w:spacing w:after="0"/>
              <w:rPr>
                <w:sz w:val="20"/>
                <w:szCs w:val="20"/>
                <w:color w:val="auto"/>
              </w:rPr>
            </w:pPr>
          </w:p>
        </w:tc>
        <w:tc>
          <w:tcPr>
            <w:tcW w:w="1980" w:type="dxa"/>
            <w:vAlign w:val="bottom"/>
            <w:shd w:val="clear" w:color="auto" w:fill="EBE6F0"/>
          </w:tcPr>
          <w:p>
            <w:pPr>
              <w:spacing w:after="0"/>
              <w:rPr>
                <w:sz w:val="20"/>
                <w:szCs w:val="20"/>
                <w:color w:val="auto"/>
              </w:rPr>
            </w:pPr>
          </w:p>
        </w:tc>
        <w:tc>
          <w:tcPr>
            <w:tcW w:w="20" w:type="dxa"/>
            <w:vAlign w:val="bottom"/>
            <w:shd w:val="clear" w:color="auto" w:fill="EBE6F0"/>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650" w:type="dxa"/>
            <w:vAlign w:val="bottom"/>
            <w:shd w:val="clear" w:color="auto" w:fill="EBE6F0"/>
          </w:tcPr>
          <w:p>
            <w:pPr>
              <w:spacing w:after="0"/>
              <w:rPr>
                <w:sz w:val="24"/>
                <w:szCs w:val="24"/>
                <w:color w:val="auto"/>
              </w:rPr>
            </w:pPr>
          </w:p>
        </w:tc>
        <w:tc>
          <w:tcPr>
            <w:tcW w:w="5150" w:type="dxa"/>
            <w:vAlign w:val="bottom"/>
            <w:shd w:val="clear" w:color="auto" w:fill="EBE6F0"/>
          </w:tcPr>
          <w:p>
            <w:pPr>
              <w:ind w:left="250"/>
              <w:spacing w:after="0" w:line="301" w:lineRule="exact"/>
              <w:rPr>
                <w:sz w:val="20"/>
                <w:szCs w:val="20"/>
                <w:color w:val="auto"/>
              </w:rPr>
            </w:pPr>
            <w:r>
              <w:rPr>
                <w:rFonts w:ascii="Arial" w:cs="Arial" w:eastAsia="Arial" w:hAnsi="Arial"/>
                <w:sz w:val="20"/>
                <w:szCs w:val="20"/>
                <w:color w:val="auto"/>
              </w:rPr>
              <w:t>derivative contracts</w:t>
            </w:r>
            <w:r>
              <w:rPr>
                <w:rFonts w:ascii="Arial" w:cs="Arial" w:eastAsia="Arial" w:hAnsi="Arial"/>
                <w:sz w:val="33"/>
                <w:szCs w:val="33"/>
                <w:color w:val="auto"/>
                <w:vertAlign w:val="superscript"/>
              </w:rPr>
              <w:t>(9)</w:t>
            </w:r>
            <w:r>
              <w:rPr>
                <w:rFonts w:ascii="Arial" w:cs="Arial" w:eastAsia="Arial" w:hAnsi="Arial"/>
                <w:sz w:val="20"/>
                <w:szCs w:val="20"/>
                <w:color w:val="auto"/>
              </w:rPr>
              <w:t>;</w:t>
            </w:r>
          </w:p>
        </w:tc>
        <w:tc>
          <w:tcPr>
            <w:tcW w:w="220" w:type="dxa"/>
            <w:vAlign w:val="bottom"/>
            <w:shd w:val="clear" w:color="auto" w:fill="EBE6F0"/>
          </w:tcPr>
          <w:p>
            <w:pPr>
              <w:spacing w:after="0"/>
              <w:rPr>
                <w:sz w:val="24"/>
                <w:szCs w:val="24"/>
                <w:color w:val="auto"/>
              </w:rPr>
            </w:pPr>
          </w:p>
        </w:tc>
        <w:tc>
          <w:tcPr>
            <w:tcW w:w="1920" w:type="dxa"/>
            <w:vAlign w:val="bottom"/>
            <w:shd w:val="clear" w:color="auto" w:fill="EBE6F0"/>
          </w:tcPr>
          <w:p>
            <w:pPr>
              <w:spacing w:after="0"/>
              <w:rPr>
                <w:sz w:val="24"/>
                <w:szCs w:val="24"/>
                <w:color w:val="auto"/>
              </w:rPr>
            </w:pPr>
          </w:p>
        </w:tc>
        <w:tc>
          <w:tcPr>
            <w:tcW w:w="320" w:type="dxa"/>
            <w:vAlign w:val="bottom"/>
            <w:shd w:val="clear" w:color="auto" w:fill="EBE6F0"/>
          </w:tcPr>
          <w:p>
            <w:pPr>
              <w:spacing w:after="0"/>
              <w:rPr>
                <w:sz w:val="24"/>
                <w:szCs w:val="24"/>
                <w:color w:val="auto"/>
              </w:rPr>
            </w:pPr>
          </w:p>
        </w:tc>
        <w:tc>
          <w:tcPr>
            <w:tcW w:w="1980" w:type="dxa"/>
            <w:vAlign w:val="bottom"/>
            <w:shd w:val="clear" w:color="auto" w:fill="EBE6F0"/>
          </w:tcPr>
          <w:p>
            <w:pPr>
              <w:spacing w:after="0"/>
              <w:rPr>
                <w:sz w:val="24"/>
                <w:szCs w:val="24"/>
                <w:color w:val="auto"/>
              </w:rPr>
            </w:pPr>
          </w:p>
        </w:tc>
        <w:tc>
          <w:tcPr>
            <w:tcW w:w="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50" w:type="dxa"/>
            <w:vAlign w:val="bottom"/>
            <w:shd w:val="clear" w:color="auto" w:fill="EBE6F0"/>
          </w:tcPr>
          <w:p>
            <w:pPr>
              <w:spacing w:after="0"/>
              <w:rPr>
                <w:sz w:val="24"/>
                <w:szCs w:val="24"/>
                <w:color w:val="auto"/>
              </w:rPr>
            </w:pPr>
          </w:p>
        </w:tc>
        <w:tc>
          <w:tcPr>
            <w:tcW w:w="5150" w:type="dxa"/>
            <w:vAlign w:val="bottom"/>
            <w:shd w:val="clear" w:color="auto" w:fill="EBE6F0"/>
          </w:tcPr>
          <w:p>
            <w:pPr>
              <w:ind w:left="70"/>
              <w:spacing w:after="0" w:line="311" w:lineRule="exact"/>
              <w:rPr>
                <w:sz w:val="20"/>
                <w:szCs w:val="20"/>
                <w:color w:val="auto"/>
              </w:rPr>
            </w:pPr>
            <w:r>
              <w:rPr>
                <w:rFonts w:ascii="Arial" w:cs="Arial" w:eastAsia="Arial" w:hAnsi="Arial"/>
                <w:sz w:val="35"/>
                <w:szCs w:val="35"/>
                <w:color w:val="582C83"/>
                <w:vertAlign w:val="superscript"/>
              </w:rPr>
              <w:t>•</w:t>
            </w:r>
            <w:r>
              <w:rPr>
                <w:rFonts w:ascii="Arial" w:cs="Arial" w:eastAsia="Arial" w:hAnsi="Arial"/>
                <w:sz w:val="18"/>
                <w:szCs w:val="18"/>
                <w:color w:val="auto"/>
              </w:rPr>
              <w:t xml:space="preserve"> impact from resolution of tax matters</w:t>
            </w:r>
            <w:r>
              <w:rPr>
                <w:rFonts w:ascii="Arial" w:cs="Arial" w:eastAsia="Arial" w:hAnsi="Arial"/>
                <w:sz w:val="30"/>
                <w:szCs w:val="30"/>
                <w:color w:val="auto"/>
                <w:vertAlign w:val="superscript"/>
              </w:rPr>
              <w:t>(10)</w:t>
            </w:r>
            <w:r>
              <w:rPr>
                <w:rFonts w:ascii="Arial" w:cs="Arial" w:eastAsia="Arial" w:hAnsi="Arial"/>
                <w:sz w:val="18"/>
                <w:szCs w:val="18"/>
                <w:color w:val="auto"/>
              </w:rPr>
              <w:t>;</w:t>
            </w:r>
          </w:p>
        </w:tc>
        <w:tc>
          <w:tcPr>
            <w:tcW w:w="220" w:type="dxa"/>
            <w:vAlign w:val="bottom"/>
            <w:shd w:val="clear" w:color="auto" w:fill="EBE6F0"/>
          </w:tcPr>
          <w:p>
            <w:pPr>
              <w:spacing w:after="0"/>
              <w:rPr>
                <w:sz w:val="24"/>
                <w:szCs w:val="24"/>
                <w:color w:val="auto"/>
              </w:rPr>
            </w:pPr>
          </w:p>
        </w:tc>
        <w:tc>
          <w:tcPr>
            <w:tcW w:w="1920" w:type="dxa"/>
            <w:vAlign w:val="bottom"/>
            <w:shd w:val="clear" w:color="auto" w:fill="EBE6F0"/>
          </w:tcPr>
          <w:p>
            <w:pPr>
              <w:spacing w:after="0"/>
              <w:rPr>
                <w:sz w:val="24"/>
                <w:szCs w:val="24"/>
                <w:color w:val="auto"/>
              </w:rPr>
            </w:pPr>
          </w:p>
        </w:tc>
        <w:tc>
          <w:tcPr>
            <w:tcW w:w="320" w:type="dxa"/>
            <w:vAlign w:val="bottom"/>
            <w:shd w:val="clear" w:color="auto" w:fill="EBE6F0"/>
          </w:tcPr>
          <w:p>
            <w:pPr>
              <w:spacing w:after="0"/>
              <w:rPr>
                <w:sz w:val="24"/>
                <w:szCs w:val="24"/>
                <w:color w:val="auto"/>
              </w:rPr>
            </w:pPr>
          </w:p>
        </w:tc>
        <w:tc>
          <w:tcPr>
            <w:tcW w:w="1980" w:type="dxa"/>
            <w:vAlign w:val="bottom"/>
            <w:shd w:val="clear" w:color="auto" w:fill="EBE6F0"/>
          </w:tcPr>
          <w:p>
            <w:pPr>
              <w:spacing w:after="0"/>
              <w:rPr>
                <w:sz w:val="24"/>
                <w:szCs w:val="24"/>
                <w:color w:val="auto"/>
              </w:rPr>
            </w:pPr>
          </w:p>
        </w:tc>
        <w:tc>
          <w:tcPr>
            <w:tcW w:w="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650" w:type="dxa"/>
            <w:vAlign w:val="bottom"/>
            <w:shd w:val="clear" w:color="auto" w:fill="EBE6F0"/>
          </w:tcPr>
          <w:p>
            <w:pPr>
              <w:spacing w:after="0"/>
              <w:rPr>
                <w:sz w:val="22"/>
                <w:szCs w:val="22"/>
                <w:color w:val="auto"/>
              </w:rPr>
            </w:pPr>
          </w:p>
        </w:tc>
        <w:tc>
          <w:tcPr>
            <w:tcW w:w="515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2017 malware incident net recoveries;</w:t>
            </w:r>
          </w:p>
        </w:tc>
        <w:tc>
          <w:tcPr>
            <w:tcW w:w="220" w:type="dxa"/>
            <w:vAlign w:val="bottom"/>
            <w:shd w:val="clear" w:color="auto" w:fill="EBE6F0"/>
          </w:tcPr>
          <w:p>
            <w:pPr>
              <w:spacing w:after="0"/>
              <w:rPr>
                <w:sz w:val="22"/>
                <w:szCs w:val="22"/>
                <w:color w:val="auto"/>
              </w:rPr>
            </w:pPr>
          </w:p>
        </w:tc>
        <w:tc>
          <w:tcPr>
            <w:tcW w:w="1920" w:type="dxa"/>
            <w:vAlign w:val="bottom"/>
            <w:shd w:val="clear" w:color="auto" w:fill="EBE6F0"/>
          </w:tcPr>
          <w:p>
            <w:pPr>
              <w:spacing w:after="0"/>
              <w:rPr>
                <w:sz w:val="22"/>
                <w:szCs w:val="22"/>
                <w:color w:val="auto"/>
              </w:rPr>
            </w:pPr>
          </w:p>
        </w:tc>
        <w:tc>
          <w:tcPr>
            <w:tcW w:w="320" w:type="dxa"/>
            <w:vAlign w:val="bottom"/>
            <w:shd w:val="clear" w:color="auto" w:fill="EBE6F0"/>
          </w:tcPr>
          <w:p>
            <w:pPr>
              <w:spacing w:after="0"/>
              <w:rPr>
                <w:sz w:val="22"/>
                <w:szCs w:val="22"/>
                <w:color w:val="auto"/>
              </w:rPr>
            </w:pPr>
          </w:p>
        </w:tc>
        <w:tc>
          <w:tcPr>
            <w:tcW w:w="1980" w:type="dxa"/>
            <w:vAlign w:val="bottom"/>
            <w:shd w:val="clear" w:color="auto" w:fill="EBE6F0"/>
          </w:tcPr>
          <w:p>
            <w:pPr>
              <w:spacing w:after="0"/>
              <w:rPr>
                <w:sz w:val="22"/>
                <w:szCs w:val="22"/>
                <w:color w:val="auto"/>
              </w:rPr>
            </w:pPr>
          </w:p>
        </w:tc>
        <w:tc>
          <w:tcPr>
            <w:tcW w:w="2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1650" w:type="dxa"/>
            <w:vAlign w:val="bottom"/>
            <w:shd w:val="clear" w:color="auto" w:fill="EBE6F0"/>
          </w:tcPr>
          <w:p>
            <w:pPr>
              <w:spacing w:after="0"/>
              <w:rPr>
                <w:sz w:val="24"/>
                <w:szCs w:val="24"/>
                <w:color w:val="auto"/>
              </w:rPr>
            </w:pPr>
          </w:p>
        </w:tc>
        <w:tc>
          <w:tcPr>
            <w:tcW w:w="5150" w:type="dxa"/>
            <w:vAlign w:val="bottom"/>
            <w:shd w:val="clear" w:color="auto" w:fill="EBE6F0"/>
          </w:tcPr>
          <w:p>
            <w:pPr>
              <w:ind w:left="70"/>
              <w:spacing w:after="0" w:line="311" w:lineRule="exact"/>
              <w:rPr>
                <w:sz w:val="20"/>
                <w:szCs w:val="20"/>
                <w:color w:val="auto"/>
              </w:rPr>
            </w:pPr>
            <w:r>
              <w:rPr>
                <w:rFonts w:ascii="Arial" w:cs="Arial" w:eastAsia="Arial" w:hAnsi="Arial"/>
                <w:sz w:val="35"/>
                <w:szCs w:val="35"/>
                <w:color w:val="582C83"/>
                <w:vertAlign w:val="superscript"/>
              </w:rPr>
              <w:t>•</w:t>
            </w:r>
            <w:r>
              <w:rPr>
                <w:rFonts w:ascii="Arial" w:cs="Arial" w:eastAsia="Arial" w:hAnsi="Arial"/>
                <w:sz w:val="18"/>
                <w:szCs w:val="18"/>
                <w:color w:val="auto"/>
              </w:rPr>
              <w:t xml:space="preserve"> incremental costs due the war in Ukraine</w:t>
            </w:r>
            <w:r>
              <w:rPr>
                <w:rFonts w:ascii="Arial" w:cs="Arial" w:eastAsia="Arial" w:hAnsi="Arial"/>
                <w:sz w:val="30"/>
                <w:szCs w:val="30"/>
                <w:color w:val="auto"/>
                <w:vertAlign w:val="superscript"/>
              </w:rPr>
              <w:t>(11)</w:t>
            </w:r>
            <w:r>
              <w:rPr>
                <w:rFonts w:ascii="Arial" w:cs="Arial" w:eastAsia="Arial" w:hAnsi="Arial"/>
                <w:sz w:val="18"/>
                <w:szCs w:val="18"/>
                <w:color w:val="auto"/>
              </w:rPr>
              <w:t>;</w:t>
            </w:r>
          </w:p>
        </w:tc>
        <w:tc>
          <w:tcPr>
            <w:tcW w:w="220" w:type="dxa"/>
            <w:vAlign w:val="bottom"/>
            <w:shd w:val="clear" w:color="auto" w:fill="EBE6F0"/>
          </w:tcPr>
          <w:p>
            <w:pPr>
              <w:spacing w:after="0"/>
              <w:rPr>
                <w:sz w:val="24"/>
                <w:szCs w:val="24"/>
                <w:color w:val="auto"/>
              </w:rPr>
            </w:pPr>
          </w:p>
        </w:tc>
        <w:tc>
          <w:tcPr>
            <w:tcW w:w="1920" w:type="dxa"/>
            <w:vAlign w:val="bottom"/>
            <w:shd w:val="clear" w:color="auto" w:fill="EBE6F0"/>
          </w:tcPr>
          <w:p>
            <w:pPr>
              <w:spacing w:after="0"/>
              <w:rPr>
                <w:sz w:val="24"/>
                <w:szCs w:val="24"/>
                <w:color w:val="auto"/>
              </w:rPr>
            </w:pPr>
          </w:p>
        </w:tc>
        <w:tc>
          <w:tcPr>
            <w:tcW w:w="320" w:type="dxa"/>
            <w:vAlign w:val="bottom"/>
            <w:shd w:val="clear" w:color="auto" w:fill="EBE6F0"/>
          </w:tcPr>
          <w:p>
            <w:pPr>
              <w:spacing w:after="0"/>
              <w:rPr>
                <w:sz w:val="24"/>
                <w:szCs w:val="24"/>
                <w:color w:val="auto"/>
              </w:rPr>
            </w:pPr>
          </w:p>
        </w:tc>
        <w:tc>
          <w:tcPr>
            <w:tcW w:w="1980" w:type="dxa"/>
            <w:vAlign w:val="bottom"/>
            <w:shd w:val="clear" w:color="auto" w:fill="EBE6F0"/>
          </w:tcPr>
          <w:p>
            <w:pPr>
              <w:spacing w:after="0"/>
              <w:rPr>
                <w:sz w:val="24"/>
                <w:szCs w:val="24"/>
                <w:color w:val="auto"/>
              </w:rPr>
            </w:pPr>
          </w:p>
        </w:tc>
        <w:tc>
          <w:tcPr>
            <w:tcW w:w="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650" w:type="dxa"/>
            <w:vAlign w:val="bottom"/>
            <w:shd w:val="clear" w:color="auto" w:fill="EBE6F0"/>
          </w:tcPr>
          <w:p>
            <w:pPr>
              <w:spacing w:after="0"/>
              <w:rPr>
                <w:sz w:val="20"/>
                <w:szCs w:val="20"/>
                <w:color w:val="auto"/>
              </w:rPr>
            </w:pPr>
          </w:p>
        </w:tc>
        <w:tc>
          <w:tcPr>
            <w:tcW w:w="515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impact from the European Commission legal</w:t>
            </w:r>
          </w:p>
        </w:tc>
        <w:tc>
          <w:tcPr>
            <w:tcW w:w="220" w:type="dxa"/>
            <w:vAlign w:val="bottom"/>
            <w:shd w:val="clear" w:color="auto" w:fill="EBE6F0"/>
          </w:tcPr>
          <w:p>
            <w:pPr>
              <w:spacing w:after="0"/>
              <w:rPr>
                <w:sz w:val="20"/>
                <w:szCs w:val="20"/>
                <w:color w:val="auto"/>
              </w:rPr>
            </w:pPr>
          </w:p>
        </w:tc>
        <w:tc>
          <w:tcPr>
            <w:tcW w:w="1920" w:type="dxa"/>
            <w:vAlign w:val="bottom"/>
            <w:shd w:val="clear" w:color="auto" w:fill="EBE6F0"/>
          </w:tcPr>
          <w:p>
            <w:pPr>
              <w:spacing w:after="0"/>
              <w:rPr>
                <w:sz w:val="20"/>
                <w:szCs w:val="20"/>
                <w:color w:val="auto"/>
              </w:rPr>
            </w:pPr>
          </w:p>
        </w:tc>
        <w:tc>
          <w:tcPr>
            <w:tcW w:w="320" w:type="dxa"/>
            <w:vAlign w:val="bottom"/>
            <w:shd w:val="clear" w:color="auto" w:fill="EBE6F0"/>
          </w:tcPr>
          <w:p>
            <w:pPr>
              <w:spacing w:after="0"/>
              <w:rPr>
                <w:sz w:val="20"/>
                <w:szCs w:val="20"/>
                <w:color w:val="auto"/>
              </w:rPr>
            </w:pPr>
          </w:p>
        </w:tc>
        <w:tc>
          <w:tcPr>
            <w:tcW w:w="1980" w:type="dxa"/>
            <w:vAlign w:val="bottom"/>
            <w:shd w:val="clear" w:color="auto" w:fill="EBE6F0"/>
          </w:tcPr>
          <w:p>
            <w:pPr>
              <w:spacing w:after="0"/>
              <w:rPr>
                <w:sz w:val="20"/>
                <w:szCs w:val="20"/>
                <w:color w:val="auto"/>
              </w:rPr>
            </w:pPr>
          </w:p>
        </w:tc>
        <w:tc>
          <w:tcPr>
            <w:tcW w:w="20" w:type="dxa"/>
            <w:vAlign w:val="bottom"/>
            <w:shd w:val="clear" w:color="auto" w:fill="EBE6F0"/>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650" w:type="dxa"/>
            <w:vAlign w:val="bottom"/>
            <w:shd w:val="clear" w:color="auto" w:fill="EBE6F0"/>
          </w:tcPr>
          <w:p>
            <w:pPr>
              <w:spacing w:after="0"/>
              <w:rPr>
                <w:sz w:val="24"/>
                <w:szCs w:val="24"/>
                <w:color w:val="auto"/>
              </w:rPr>
            </w:pPr>
          </w:p>
        </w:tc>
        <w:tc>
          <w:tcPr>
            <w:tcW w:w="5150" w:type="dxa"/>
            <w:vAlign w:val="bottom"/>
            <w:shd w:val="clear" w:color="auto" w:fill="EBE6F0"/>
          </w:tcPr>
          <w:p>
            <w:pPr>
              <w:ind w:left="250"/>
              <w:spacing w:after="0" w:line="301" w:lineRule="exact"/>
              <w:rPr>
                <w:sz w:val="20"/>
                <w:szCs w:val="20"/>
                <w:color w:val="auto"/>
              </w:rPr>
            </w:pPr>
            <w:r>
              <w:rPr>
                <w:rFonts w:ascii="Arial" w:cs="Arial" w:eastAsia="Arial" w:hAnsi="Arial"/>
                <w:sz w:val="20"/>
                <w:szCs w:val="20"/>
                <w:color w:val="auto"/>
              </w:rPr>
              <w:t>matter</w:t>
            </w:r>
            <w:r>
              <w:rPr>
                <w:rFonts w:ascii="Arial" w:cs="Arial" w:eastAsia="Arial" w:hAnsi="Arial"/>
                <w:sz w:val="33"/>
                <w:szCs w:val="33"/>
                <w:color w:val="auto"/>
                <w:vertAlign w:val="superscript"/>
              </w:rPr>
              <w:t>(12)</w:t>
            </w:r>
            <w:r>
              <w:rPr>
                <w:rFonts w:ascii="Arial" w:cs="Arial" w:eastAsia="Arial" w:hAnsi="Arial"/>
                <w:sz w:val="20"/>
                <w:szCs w:val="20"/>
                <w:color w:val="auto"/>
              </w:rPr>
              <w:t>;</w:t>
            </w:r>
          </w:p>
        </w:tc>
        <w:tc>
          <w:tcPr>
            <w:tcW w:w="220" w:type="dxa"/>
            <w:vAlign w:val="bottom"/>
            <w:shd w:val="clear" w:color="auto" w:fill="EBE6F0"/>
          </w:tcPr>
          <w:p>
            <w:pPr>
              <w:spacing w:after="0"/>
              <w:rPr>
                <w:sz w:val="24"/>
                <w:szCs w:val="24"/>
                <w:color w:val="auto"/>
              </w:rPr>
            </w:pPr>
          </w:p>
        </w:tc>
        <w:tc>
          <w:tcPr>
            <w:tcW w:w="1920" w:type="dxa"/>
            <w:vAlign w:val="bottom"/>
            <w:shd w:val="clear" w:color="auto" w:fill="EBE6F0"/>
          </w:tcPr>
          <w:p>
            <w:pPr>
              <w:spacing w:after="0"/>
              <w:rPr>
                <w:sz w:val="24"/>
                <w:szCs w:val="24"/>
                <w:color w:val="auto"/>
              </w:rPr>
            </w:pPr>
          </w:p>
        </w:tc>
        <w:tc>
          <w:tcPr>
            <w:tcW w:w="320" w:type="dxa"/>
            <w:vAlign w:val="bottom"/>
            <w:shd w:val="clear" w:color="auto" w:fill="EBE6F0"/>
          </w:tcPr>
          <w:p>
            <w:pPr>
              <w:spacing w:after="0"/>
              <w:rPr>
                <w:sz w:val="24"/>
                <w:szCs w:val="24"/>
                <w:color w:val="auto"/>
              </w:rPr>
            </w:pPr>
          </w:p>
        </w:tc>
        <w:tc>
          <w:tcPr>
            <w:tcW w:w="1980" w:type="dxa"/>
            <w:vAlign w:val="bottom"/>
            <w:shd w:val="clear" w:color="auto" w:fill="EBE6F0"/>
          </w:tcPr>
          <w:p>
            <w:pPr>
              <w:spacing w:after="0"/>
              <w:rPr>
                <w:sz w:val="24"/>
                <w:szCs w:val="24"/>
                <w:color w:val="auto"/>
              </w:rPr>
            </w:pPr>
          </w:p>
        </w:tc>
        <w:tc>
          <w:tcPr>
            <w:tcW w:w="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50" w:type="dxa"/>
            <w:vAlign w:val="bottom"/>
            <w:shd w:val="clear" w:color="auto" w:fill="EBE6F0"/>
          </w:tcPr>
          <w:p>
            <w:pPr>
              <w:spacing w:after="0"/>
              <w:rPr>
                <w:sz w:val="24"/>
                <w:szCs w:val="24"/>
                <w:color w:val="auto"/>
              </w:rPr>
            </w:pPr>
          </w:p>
        </w:tc>
        <w:tc>
          <w:tcPr>
            <w:tcW w:w="5150" w:type="dxa"/>
            <w:vAlign w:val="bottom"/>
            <w:shd w:val="clear" w:color="auto" w:fill="EBE6F0"/>
          </w:tcPr>
          <w:p>
            <w:pPr>
              <w:ind w:left="70"/>
              <w:spacing w:after="0" w:line="311" w:lineRule="exact"/>
              <w:rPr>
                <w:sz w:val="20"/>
                <w:szCs w:val="20"/>
                <w:color w:val="auto"/>
              </w:rPr>
            </w:pPr>
            <w:r>
              <w:rPr>
                <w:rFonts w:ascii="Arial" w:cs="Arial" w:eastAsia="Arial" w:hAnsi="Arial"/>
                <w:sz w:val="35"/>
                <w:szCs w:val="35"/>
                <w:color w:val="582C83"/>
                <w:vertAlign w:val="superscript"/>
              </w:rPr>
              <w:t>•</w:t>
            </w:r>
            <w:r>
              <w:rPr>
                <w:rFonts w:ascii="Arial" w:cs="Arial" w:eastAsia="Arial" w:hAnsi="Arial"/>
                <w:sz w:val="18"/>
                <w:szCs w:val="18"/>
                <w:color w:val="auto"/>
              </w:rPr>
              <w:t xml:space="preserve"> impact from pension participation changes</w:t>
            </w:r>
            <w:r>
              <w:rPr>
                <w:rFonts w:ascii="Arial" w:cs="Arial" w:eastAsia="Arial" w:hAnsi="Arial"/>
                <w:sz w:val="30"/>
                <w:szCs w:val="30"/>
                <w:color w:val="auto"/>
                <w:vertAlign w:val="superscript"/>
              </w:rPr>
              <w:t>(13)</w:t>
            </w:r>
            <w:r>
              <w:rPr>
                <w:rFonts w:ascii="Arial" w:cs="Arial" w:eastAsia="Arial" w:hAnsi="Arial"/>
                <w:sz w:val="18"/>
                <w:szCs w:val="18"/>
                <w:color w:val="auto"/>
              </w:rPr>
              <w:t>;</w:t>
            </w:r>
          </w:p>
        </w:tc>
        <w:tc>
          <w:tcPr>
            <w:tcW w:w="220" w:type="dxa"/>
            <w:vAlign w:val="bottom"/>
            <w:shd w:val="clear" w:color="auto" w:fill="EBE6F0"/>
          </w:tcPr>
          <w:p>
            <w:pPr>
              <w:spacing w:after="0"/>
              <w:rPr>
                <w:sz w:val="24"/>
                <w:szCs w:val="24"/>
                <w:color w:val="auto"/>
              </w:rPr>
            </w:pPr>
          </w:p>
        </w:tc>
        <w:tc>
          <w:tcPr>
            <w:tcW w:w="1920" w:type="dxa"/>
            <w:vAlign w:val="bottom"/>
            <w:shd w:val="clear" w:color="auto" w:fill="EBE6F0"/>
          </w:tcPr>
          <w:p>
            <w:pPr>
              <w:spacing w:after="0"/>
              <w:rPr>
                <w:sz w:val="24"/>
                <w:szCs w:val="24"/>
                <w:color w:val="auto"/>
              </w:rPr>
            </w:pPr>
          </w:p>
        </w:tc>
        <w:tc>
          <w:tcPr>
            <w:tcW w:w="320" w:type="dxa"/>
            <w:vAlign w:val="bottom"/>
            <w:shd w:val="clear" w:color="auto" w:fill="EBE6F0"/>
          </w:tcPr>
          <w:p>
            <w:pPr>
              <w:spacing w:after="0"/>
              <w:rPr>
                <w:sz w:val="24"/>
                <w:szCs w:val="24"/>
                <w:color w:val="auto"/>
              </w:rPr>
            </w:pPr>
          </w:p>
        </w:tc>
        <w:tc>
          <w:tcPr>
            <w:tcW w:w="1980" w:type="dxa"/>
            <w:vAlign w:val="bottom"/>
            <w:shd w:val="clear" w:color="auto" w:fill="EBE6F0"/>
          </w:tcPr>
          <w:p>
            <w:pPr>
              <w:spacing w:after="0"/>
              <w:rPr>
                <w:sz w:val="24"/>
                <w:szCs w:val="24"/>
                <w:color w:val="auto"/>
              </w:rPr>
            </w:pPr>
          </w:p>
        </w:tc>
        <w:tc>
          <w:tcPr>
            <w:tcW w:w="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650" w:type="dxa"/>
            <w:vAlign w:val="bottom"/>
            <w:shd w:val="clear" w:color="auto" w:fill="EBE6F0"/>
          </w:tcPr>
          <w:p>
            <w:pPr>
              <w:spacing w:after="0"/>
              <w:rPr>
                <w:sz w:val="22"/>
                <w:szCs w:val="22"/>
                <w:color w:val="auto"/>
              </w:rPr>
            </w:pPr>
          </w:p>
        </w:tc>
        <w:tc>
          <w:tcPr>
            <w:tcW w:w="515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costs associated with JDE Peet’s transaction;</w:t>
            </w:r>
          </w:p>
        </w:tc>
        <w:tc>
          <w:tcPr>
            <w:tcW w:w="220" w:type="dxa"/>
            <w:vAlign w:val="bottom"/>
            <w:shd w:val="clear" w:color="auto" w:fill="EBE6F0"/>
          </w:tcPr>
          <w:p>
            <w:pPr>
              <w:spacing w:after="0"/>
              <w:rPr>
                <w:sz w:val="22"/>
                <w:szCs w:val="22"/>
                <w:color w:val="auto"/>
              </w:rPr>
            </w:pPr>
          </w:p>
        </w:tc>
        <w:tc>
          <w:tcPr>
            <w:tcW w:w="1920" w:type="dxa"/>
            <w:vAlign w:val="bottom"/>
            <w:shd w:val="clear" w:color="auto" w:fill="EBE6F0"/>
          </w:tcPr>
          <w:p>
            <w:pPr>
              <w:spacing w:after="0"/>
              <w:rPr>
                <w:sz w:val="22"/>
                <w:szCs w:val="22"/>
                <w:color w:val="auto"/>
              </w:rPr>
            </w:pPr>
          </w:p>
        </w:tc>
        <w:tc>
          <w:tcPr>
            <w:tcW w:w="320" w:type="dxa"/>
            <w:vAlign w:val="bottom"/>
            <w:shd w:val="clear" w:color="auto" w:fill="EBE6F0"/>
          </w:tcPr>
          <w:p>
            <w:pPr>
              <w:spacing w:after="0"/>
              <w:rPr>
                <w:sz w:val="22"/>
                <w:szCs w:val="22"/>
                <w:color w:val="auto"/>
              </w:rPr>
            </w:pPr>
          </w:p>
        </w:tc>
        <w:tc>
          <w:tcPr>
            <w:tcW w:w="1980" w:type="dxa"/>
            <w:vAlign w:val="bottom"/>
            <w:shd w:val="clear" w:color="auto" w:fill="EBE6F0"/>
          </w:tcPr>
          <w:p>
            <w:pPr>
              <w:spacing w:after="0"/>
              <w:rPr>
                <w:sz w:val="22"/>
                <w:szCs w:val="22"/>
                <w:color w:val="auto"/>
              </w:rPr>
            </w:pPr>
          </w:p>
        </w:tc>
        <w:tc>
          <w:tcPr>
            <w:tcW w:w="2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1650" w:type="dxa"/>
            <w:vAlign w:val="bottom"/>
            <w:tcBorders>
              <w:bottom w:val="single" w:sz="8" w:color="EBE6F0"/>
            </w:tcBorders>
            <w:shd w:val="clear" w:color="auto" w:fill="EBE6F0"/>
          </w:tcPr>
          <w:p>
            <w:pPr>
              <w:spacing w:after="0"/>
              <w:rPr>
                <w:sz w:val="24"/>
                <w:szCs w:val="24"/>
                <w:color w:val="auto"/>
              </w:rPr>
            </w:pPr>
          </w:p>
        </w:tc>
        <w:tc>
          <w:tcPr>
            <w:tcW w:w="5150" w:type="dxa"/>
            <w:vAlign w:val="bottom"/>
            <w:tcBorders>
              <w:bottom w:val="single" w:sz="8" w:color="EBE6F0"/>
            </w:tcBorders>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losses on debt extinguishment and related expenses;</w:t>
            </w:r>
          </w:p>
        </w:tc>
        <w:tc>
          <w:tcPr>
            <w:tcW w:w="220" w:type="dxa"/>
            <w:vAlign w:val="bottom"/>
            <w:tcBorders>
              <w:bottom w:val="single" w:sz="8" w:color="EBE6F0"/>
            </w:tcBorders>
            <w:shd w:val="clear" w:color="auto" w:fill="EBE6F0"/>
          </w:tcPr>
          <w:p>
            <w:pPr>
              <w:spacing w:after="0"/>
              <w:rPr>
                <w:sz w:val="24"/>
                <w:szCs w:val="24"/>
                <w:color w:val="auto"/>
              </w:rPr>
            </w:pPr>
          </w:p>
        </w:tc>
        <w:tc>
          <w:tcPr>
            <w:tcW w:w="1920" w:type="dxa"/>
            <w:vAlign w:val="bottom"/>
            <w:tcBorders>
              <w:bottom w:val="single" w:sz="8" w:color="EBE6F0"/>
            </w:tcBorders>
            <w:shd w:val="clear" w:color="auto" w:fill="EBE6F0"/>
          </w:tcPr>
          <w:p>
            <w:pPr>
              <w:spacing w:after="0"/>
              <w:rPr>
                <w:sz w:val="24"/>
                <w:szCs w:val="24"/>
                <w:color w:val="auto"/>
              </w:rPr>
            </w:pPr>
          </w:p>
        </w:tc>
        <w:tc>
          <w:tcPr>
            <w:tcW w:w="320" w:type="dxa"/>
            <w:vAlign w:val="bottom"/>
            <w:tcBorders>
              <w:bottom w:val="single" w:sz="8" w:color="EBE6F0"/>
            </w:tcBorders>
            <w:shd w:val="clear" w:color="auto" w:fill="EBE6F0"/>
          </w:tcPr>
          <w:p>
            <w:pPr>
              <w:spacing w:after="0"/>
              <w:rPr>
                <w:sz w:val="24"/>
                <w:szCs w:val="24"/>
                <w:color w:val="auto"/>
              </w:rPr>
            </w:pPr>
          </w:p>
        </w:tc>
        <w:tc>
          <w:tcPr>
            <w:tcW w:w="1980" w:type="dxa"/>
            <w:vAlign w:val="bottom"/>
            <w:tcBorders>
              <w:bottom w:val="single" w:sz="8" w:color="EBE6F0"/>
            </w:tcBorders>
            <w:shd w:val="clear" w:color="auto" w:fill="EBE6F0"/>
          </w:tcPr>
          <w:p>
            <w:pPr>
              <w:spacing w:after="0"/>
              <w:rPr>
                <w:sz w:val="24"/>
                <w:szCs w:val="24"/>
                <w:color w:val="auto"/>
              </w:rPr>
            </w:pPr>
          </w:p>
        </w:tc>
        <w:tc>
          <w:tcPr>
            <w:tcW w:w="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650" w:type="dxa"/>
            <w:vAlign w:val="bottom"/>
            <w:shd w:val="clear" w:color="auto" w:fill="EBE6F0"/>
          </w:tcPr>
          <w:p>
            <w:pPr>
              <w:spacing w:after="0"/>
              <w:rPr>
                <w:sz w:val="20"/>
                <w:szCs w:val="20"/>
                <w:color w:val="auto"/>
              </w:rPr>
            </w:pPr>
          </w:p>
        </w:tc>
        <w:tc>
          <w:tcPr>
            <w:tcW w:w="515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gains or losses on interest rate swaps no longer</w:t>
            </w:r>
          </w:p>
        </w:tc>
        <w:tc>
          <w:tcPr>
            <w:tcW w:w="220" w:type="dxa"/>
            <w:vAlign w:val="bottom"/>
            <w:shd w:val="clear" w:color="auto" w:fill="EBE6F0"/>
          </w:tcPr>
          <w:p>
            <w:pPr>
              <w:spacing w:after="0"/>
              <w:rPr>
                <w:sz w:val="20"/>
                <w:szCs w:val="20"/>
                <w:color w:val="auto"/>
              </w:rPr>
            </w:pPr>
          </w:p>
        </w:tc>
        <w:tc>
          <w:tcPr>
            <w:tcW w:w="1920" w:type="dxa"/>
            <w:vAlign w:val="bottom"/>
            <w:shd w:val="clear" w:color="auto" w:fill="EBE6F0"/>
          </w:tcPr>
          <w:p>
            <w:pPr>
              <w:spacing w:after="0"/>
              <w:rPr>
                <w:sz w:val="20"/>
                <w:szCs w:val="20"/>
                <w:color w:val="auto"/>
              </w:rPr>
            </w:pPr>
          </w:p>
        </w:tc>
        <w:tc>
          <w:tcPr>
            <w:tcW w:w="320" w:type="dxa"/>
            <w:vAlign w:val="bottom"/>
            <w:shd w:val="clear" w:color="auto" w:fill="EBE6F0"/>
          </w:tcPr>
          <w:p>
            <w:pPr>
              <w:spacing w:after="0"/>
              <w:rPr>
                <w:sz w:val="20"/>
                <w:szCs w:val="20"/>
                <w:color w:val="auto"/>
              </w:rPr>
            </w:pPr>
          </w:p>
        </w:tc>
        <w:tc>
          <w:tcPr>
            <w:tcW w:w="1980" w:type="dxa"/>
            <w:vAlign w:val="bottom"/>
            <w:shd w:val="clear" w:color="auto" w:fill="EBE6F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50" w:type="dxa"/>
            <w:vAlign w:val="bottom"/>
            <w:shd w:val="clear" w:color="auto" w:fill="EBE6F0"/>
          </w:tcPr>
          <w:p>
            <w:pPr>
              <w:spacing w:after="0"/>
              <w:rPr>
                <w:sz w:val="19"/>
                <w:szCs w:val="19"/>
                <w:color w:val="auto"/>
              </w:rPr>
            </w:pPr>
          </w:p>
        </w:tc>
        <w:tc>
          <w:tcPr>
            <w:tcW w:w="5150" w:type="dxa"/>
            <w:vAlign w:val="bottom"/>
            <w:shd w:val="clear" w:color="auto" w:fill="EBE6F0"/>
          </w:tcPr>
          <w:p>
            <w:pPr>
              <w:ind w:left="230"/>
              <w:spacing w:after="0" w:line="224" w:lineRule="exact"/>
              <w:rPr>
                <w:sz w:val="20"/>
                <w:szCs w:val="20"/>
                <w:color w:val="auto"/>
              </w:rPr>
            </w:pPr>
            <w:r>
              <w:rPr>
                <w:rFonts w:ascii="Arial" w:cs="Arial" w:eastAsia="Arial" w:hAnsi="Arial"/>
                <w:sz w:val="20"/>
                <w:szCs w:val="20"/>
                <w:color w:val="auto"/>
              </w:rPr>
              <w:t>designated as accounting cash flow hedges due to</w:t>
            </w:r>
          </w:p>
        </w:tc>
        <w:tc>
          <w:tcPr>
            <w:tcW w:w="220" w:type="dxa"/>
            <w:vAlign w:val="bottom"/>
            <w:shd w:val="clear" w:color="auto" w:fill="EBE6F0"/>
          </w:tcPr>
          <w:p>
            <w:pPr>
              <w:spacing w:after="0"/>
              <w:rPr>
                <w:sz w:val="19"/>
                <w:szCs w:val="19"/>
                <w:color w:val="auto"/>
              </w:rPr>
            </w:pPr>
          </w:p>
        </w:tc>
        <w:tc>
          <w:tcPr>
            <w:tcW w:w="1920" w:type="dxa"/>
            <w:vAlign w:val="bottom"/>
            <w:shd w:val="clear" w:color="auto" w:fill="EBE6F0"/>
          </w:tcPr>
          <w:p>
            <w:pPr>
              <w:spacing w:after="0"/>
              <w:rPr>
                <w:sz w:val="19"/>
                <w:szCs w:val="19"/>
                <w:color w:val="auto"/>
              </w:rPr>
            </w:pPr>
          </w:p>
        </w:tc>
        <w:tc>
          <w:tcPr>
            <w:tcW w:w="320" w:type="dxa"/>
            <w:vAlign w:val="bottom"/>
            <w:shd w:val="clear" w:color="auto" w:fill="EBE6F0"/>
          </w:tcPr>
          <w:p>
            <w:pPr>
              <w:spacing w:after="0"/>
              <w:rPr>
                <w:sz w:val="19"/>
                <w:szCs w:val="19"/>
                <w:color w:val="auto"/>
              </w:rPr>
            </w:pPr>
          </w:p>
        </w:tc>
        <w:tc>
          <w:tcPr>
            <w:tcW w:w="1980" w:type="dxa"/>
            <w:vAlign w:val="bottom"/>
            <w:shd w:val="clear" w:color="auto" w:fill="EBE6F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650" w:type="dxa"/>
            <w:vAlign w:val="bottom"/>
            <w:shd w:val="clear" w:color="auto" w:fill="EBE6F0"/>
          </w:tcPr>
          <w:p>
            <w:pPr>
              <w:spacing w:after="0"/>
              <w:rPr>
                <w:sz w:val="22"/>
                <w:szCs w:val="22"/>
                <w:color w:val="auto"/>
              </w:rPr>
            </w:pPr>
          </w:p>
        </w:tc>
        <w:tc>
          <w:tcPr>
            <w:tcW w:w="5150" w:type="dxa"/>
            <w:vAlign w:val="bottom"/>
            <w:shd w:val="clear" w:color="auto" w:fill="EBE6F0"/>
          </w:tcPr>
          <w:p>
            <w:pPr>
              <w:ind w:left="230"/>
              <w:spacing w:after="0"/>
              <w:rPr>
                <w:sz w:val="20"/>
                <w:szCs w:val="20"/>
                <w:color w:val="auto"/>
              </w:rPr>
            </w:pPr>
            <w:r>
              <w:rPr>
                <w:rFonts w:ascii="Arial" w:cs="Arial" w:eastAsia="Arial" w:hAnsi="Arial"/>
                <w:sz w:val="20"/>
                <w:szCs w:val="20"/>
                <w:color w:val="auto"/>
              </w:rPr>
              <w:t>changed financing and hedging plans;</w:t>
            </w:r>
          </w:p>
        </w:tc>
        <w:tc>
          <w:tcPr>
            <w:tcW w:w="220" w:type="dxa"/>
            <w:vAlign w:val="bottom"/>
            <w:shd w:val="clear" w:color="auto" w:fill="EBE6F0"/>
          </w:tcPr>
          <w:p>
            <w:pPr>
              <w:spacing w:after="0"/>
              <w:rPr>
                <w:sz w:val="22"/>
                <w:szCs w:val="22"/>
                <w:color w:val="auto"/>
              </w:rPr>
            </w:pPr>
          </w:p>
        </w:tc>
        <w:tc>
          <w:tcPr>
            <w:tcW w:w="1920" w:type="dxa"/>
            <w:vAlign w:val="bottom"/>
            <w:shd w:val="clear" w:color="auto" w:fill="EBE6F0"/>
          </w:tcPr>
          <w:p>
            <w:pPr>
              <w:spacing w:after="0"/>
              <w:rPr>
                <w:sz w:val="22"/>
                <w:szCs w:val="22"/>
                <w:color w:val="auto"/>
              </w:rPr>
            </w:pPr>
          </w:p>
        </w:tc>
        <w:tc>
          <w:tcPr>
            <w:tcW w:w="320" w:type="dxa"/>
            <w:vAlign w:val="bottom"/>
            <w:shd w:val="clear" w:color="auto" w:fill="EBE6F0"/>
          </w:tcPr>
          <w:p>
            <w:pPr>
              <w:spacing w:after="0"/>
              <w:rPr>
                <w:sz w:val="22"/>
                <w:szCs w:val="22"/>
                <w:color w:val="auto"/>
              </w:rPr>
            </w:pPr>
          </w:p>
        </w:tc>
        <w:tc>
          <w:tcPr>
            <w:tcW w:w="1980" w:type="dxa"/>
            <w:vAlign w:val="bottom"/>
            <w:shd w:val="clear" w:color="auto" w:fill="EBE6F0"/>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650" w:type="dxa"/>
            <w:vAlign w:val="bottom"/>
            <w:shd w:val="clear" w:color="auto" w:fill="EBE6F0"/>
          </w:tcPr>
          <w:p>
            <w:pPr>
              <w:spacing w:after="0"/>
              <w:rPr>
                <w:sz w:val="19"/>
                <w:szCs w:val="19"/>
                <w:color w:val="auto"/>
              </w:rPr>
            </w:pPr>
          </w:p>
        </w:tc>
        <w:tc>
          <w:tcPr>
            <w:tcW w:w="5150" w:type="dxa"/>
            <w:vAlign w:val="bottom"/>
            <w:shd w:val="clear" w:color="auto" w:fill="EBE6F0"/>
          </w:tcPr>
          <w:p>
            <w:pPr>
              <w:ind w:left="7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gains or losses on equity method investment</w:t>
            </w:r>
          </w:p>
        </w:tc>
        <w:tc>
          <w:tcPr>
            <w:tcW w:w="220" w:type="dxa"/>
            <w:vAlign w:val="bottom"/>
            <w:shd w:val="clear" w:color="auto" w:fill="EBE6F0"/>
          </w:tcPr>
          <w:p>
            <w:pPr>
              <w:spacing w:after="0"/>
              <w:rPr>
                <w:sz w:val="19"/>
                <w:szCs w:val="19"/>
                <w:color w:val="auto"/>
              </w:rPr>
            </w:pPr>
          </w:p>
        </w:tc>
        <w:tc>
          <w:tcPr>
            <w:tcW w:w="1920" w:type="dxa"/>
            <w:vAlign w:val="bottom"/>
            <w:shd w:val="clear" w:color="auto" w:fill="EBE6F0"/>
          </w:tcPr>
          <w:p>
            <w:pPr>
              <w:spacing w:after="0"/>
              <w:rPr>
                <w:sz w:val="19"/>
                <w:szCs w:val="19"/>
                <w:color w:val="auto"/>
              </w:rPr>
            </w:pPr>
          </w:p>
        </w:tc>
        <w:tc>
          <w:tcPr>
            <w:tcW w:w="320" w:type="dxa"/>
            <w:vAlign w:val="bottom"/>
            <w:shd w:val="clear" w:color="auto" w:fill="EBE6F0"/>
          </w:tcPr>
          <w:p>
            <w:pPr>
              <w:spacing w:after="0"/>
              <w:rPr>
                <w:sz w:val="19"/>
                <w:szCs w:val="19"/>
                <w:color w:val="auto"/>
              </w:rPr>
            </w:pPr>
          </w:p>
        </w:tc>
        <w:tc>
          <w:tcPr>
            <w:tcW w:w="1980" w:type="dxa"/>
            <w:vAlign w:val="bottom"/>
            <w:shd w:val="clear" w:color="auto" w:fill="EBE6F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650" w:type="dxa"/>
            <w:vAlign w:val="bottom"/>
            <w:shd w:val="clear" w:color="auto" w:fill="EBE6F0"/>
          </w:tcPr>
          <w:p>
            <w:pPr>
              <w:spacing w:after="0"/>
              <w:rPr>
                <w:sz w:val="22"/>
                <w:szCs w:val="22"/>
                <w:color w:val="auto"/>
              </w:rPr>
            </w:pPr>
          </w:p>
        </w:tc>
        <w:tc>
          <w:tcPr>
            <w:tcW w:w="5150" w:type="dxa"/>
            <w:vAlign w:val="bottom"/>
            <w:shd w:val="clear" w:color="auto" w:fill="EBE6F0"/>
          </w:tcPr>
          <w:p>
            <w:pPr>
              <w:ind w:left="230"/>
              <w:spacing w:after="0"/>
              <w:rPr>
                <w:sz w:val="20"/>
                <w:szCs w:val="20"/>
                <w:color w:val="auto"/>
              </w:rPr>
            </w:pPr>
            <w:r>
              <w:rPr>
                <w:rFonts w:ascii="Arial" w:cs="Arial" w:eastAsia="Arial" w:hAnsi="Arial"/>
                <w:sz w:val="20"/>
                <w:szCs w:val="20"/>
                <w:color w:val="auto"/>
              </w:rPr>
              <w:t>transactions;</w:t>
            </w:r>
          </w:p>
        </w:tc>
        <w:tc>
          <w:tcPr>
            <w:tcW w:w="220" w:type="dxa"/>
            <w:vAlign w:val="bottom"/>
            <w:shd w:val="clear" w:color="auto" w:fill="EBE6F0"/>
          </w:tcPr>
          <w:p>
            <w:pPr>
              <w:spacing w:after="0"/>
              <w:rPr>
                <w:sz w:val="22"/>
                <w:szCs w:val="22"/>
                <w:color w:val="auto"/>
              </w:rPr>
            </w:pPr>
          </w:p>
        </w:tc>
        <w:tc>
          <w:tcPr>
            <w:tcW w:w="1920" w:type="dxa"/>
            <w:vAlign w:val="bottom"/>
            <w:shd w:val="clear" w:color="auto" w:fill="EBE6F0"/>
          </w:tcPr>
          <w:p>
            <w:pPr>
              <w:spacing w:after="0"/>
              <w:rPr>
                <w:sz w:val="22"/>
                <w:szCs w:val="22"/>
                <w:color w:val="auto"/>
              </w:rPr>
            </w:pPr>
          </w:p>
        </w:tc>
        <w:tc>
          <w:tcPr>
            <w:tcW w:w="320" w:type="dxa"/>
            <w:vAlign w:val="bottom"/>
            <w:shd w:val="clear" w:color="auto" w:fill="EBE6F0"/>
          </w:tcPr>
          <w:p>
            <w:pPr>
              <w:spacing w:after="0"/>
              <w:rPr>
                <w:sz w:val="22"/>
                <w:szCs w:val="22"/>
                <w:color w:val="auto"/>
              </w:rPr>
            </w:pPr>
          </w:p>
        </w:tc>
        <w:tc>
          <w:tcPr>
            <w:tcW w:w="1980" w:type="dxa"/>
            <w:vAlign w:val="bottom"/>
            <w:shd w:val="clear" w:color="auto" w:fill="EBE6F0"/>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1650" w:type="dxa"/>
            <w:vAlign w:val="bottom"/>
            <w:shd w:val="clear" w:color="auto" w:fill="EBE6F0"/>
          </w:tcPr>
          <w:p>
            <w:pPr>
              <w:spacing w:after="0"/>
              <w:rPr>
                <w:sz w:val="24"/>
                <w:szCs w:val="24"/>
                <w:color w:val="auto"/>
              </w:rPr>
            </w:pPr>
          </w:p>
        </w:tc>
        <w:tc>
          <w:tcPr>
            <w:tcW w:w="5150" w:type="dxa"/>
            <w:vAlign w:val="bottom"/>
            <w:shd w:val="clear" w:color="auto" w:fill="EBE6F0"/>
          </w:tcPr>
          <w:p>
            <w:pPr>
              <w:ind w:left="70"/>
              <w:spacing w:after="0" w:line="311" w:lineRule="exact"/>
              <w:rPr>
                <w:sz w:val="20"/>
                <w:szCs w:val="20"/>
                <w:color w:val="auto"/>
              </w:rPr>
            </w:pPr>
            <w:r>
              <w:rPr>
                <w:rFonts w:ascii="Arial" w:cs="Arial" w:eastAsia="Arial" w:hAnsi="Arial"/>
                <w:sz w:val="35"/>
                <w:szCs w:val="35"/>
                <w:color w:val="582C83"/>
                <w:vertAlign w:val="superscript"/>
              </w:rPr>
              <w:t>•</w:t>
            </w:r>
            <w:r>
              <w:rPr>
                <w:rFonts w:ascii="Arial" w:cs="Arial" w:eastAsia="Arial" w:hAnsi="Arial"/>
                <w:sz w:val="18"/>
                <w:szCs w:val="18"/>
                <w:color w:val="auto"/>
              </w:rPr>
              <w:t xml:space="preserve"> initial impacts from enacted tax law changes</w:t>
            </w:r>
            <w:r>
              <w:rPr>
                <w:rFonts w:ascii="Arial" w:cs="Arial" w:eastAsia="Arial" w:hAnsi="Arial"/>
                <w:sz w:val="30"/>
                <w:szCs w:val="30"/>
                <w:color w:val="auto"/>
                <w:vertAlign w:val="superscript"/>
              </w:rPr>
              <w:t>(14)</w:t>
            </w:r>
            <w:r>
              <w:rPr>
                <w:rFonts w:ascii="Arial" w:cs="Arial" w:eastAsia="Arial" w:hAnsi="Arial"/>
                <w:sz w:val="18"/>
                <w:szCs w:val="18"/>
                <w:color w:val="auto"/>
              </w:rPr>
              <w:t>;</w:t>
            </w:r>
          </w:p>
        </w:tc>
        <w:tc>
          <w:tcPr>
            <w:tcW w:w="220" w:type="dxa"/>
            <w:vAlign w:val="bottom"/>
            <w:shd w:val="clear" w:color="auto" w:fill="EBE6F0"/>
          </w:tcPr>
          <w:p>
            <w:pPr>
              <w:spacing w:after="0"/>
              <w:rPr>
                <w:sz w:val="24"/>
                <w:szCs w:val="24"/>
                <w:color w:val="auto"/>
              </w:rPr>
            </w:pPr>
          </w:p>
        </w:tc>
        <w:tc>
          <w:tcPr>
            <w:tcW w:w="1920" w:type="dxa"/>
            <w:vAlign w:val="bottom"/>
            <w:shd w:val="clear" w:color="auto" w:fill="EBE6F0"/>
          </w:tcPr>
          <w:p>
            <w:pPr>
              <w:spacing w:after="0"/>
              <w:rPr>
                <w:sz w:val="24"/>
                <w:szCs w:val="24"/>
                <w:color w:val="auto"/>
              </w:rPr>
            </w:pPr>
          </w:p>
        </w:tc>
        <w:tc>
          <w:tcPr>
            <w:tcW w:w="320" w:type="dxa"/>
            <w:vAlign w:val="bottom"/>
            <w:shd w:val="clear" w:color="auto" w:fill="EBE6F0"/>
          </w:tcPr>
          <w:p>
            <w:pPr>
              <w:spacing w:after="0"/>
              <w:rPr>
                <w:sz w:val="24"/>
                <w:szCs w:val="24"/>
                <w:color w:val="auto"/>
              </w:rPr>
            </w:pPr>
          </w:p>
        </w:tc>
        <w:tc>
          <w:tcPr>
            <w:tcW w:w="1980" w:type="dxa"/>
            <w:vAlign w:val="bottom"/>
            <w:shd w:val="clear" w:color="auto" w:fill="EBE6F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650" w:type="dxa"/>
            <w:vAlign w:val="bottom"/>
            <w:shd w:val="clear" w:color="auto" w:fill="EBE6F0"/>
          </w:tcPr>
          <w:p>
            <w:pPr>
              <w:spacing w:after="0"/>
              <w:rPr>
                <w:sz w:val="22"/>
                <w:szCs w:val="22"/>
                <w:color w:val="auto"/>
              </w:rPr>
            </w:pPr>
          </w:p>
        </w:tc>
        <w:tc>
          <w:tcPr>
            <w:tcW w:w="5150" w:type="dxa"/>
            <w:vAlign w:val="bottom"/>
            <w:shd w:val="clear" w:color="auto" w:fill="EBE6F0"/>
          </w:tcPr>
          <w:p>
            <w:pPr>
              <w:ind w:left="70"/>
              <w:spacing w:after="0"/>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And within Adjusted EPS:</w:t>
            </w:r>
          </w:p>
        </w:tc>
        <w:tc>
          <w:tcPr>
            <w:tcW w:w="220" w:type="dxa"/>
            <w:vAlign w:val="bottom"/>
            <w:shd w:val="clear" w:color="auto" w:fill="EBE6F0"/>
          </w:tcPr>
          <w:p>
            <w:pPr>
              <w:spacing w:after="0"/>
              <w:rPr>
                <w:sz w:val="22"/>
                <w:szCs w:val="22"/>
                <w:color w:val="auto"/>
              </w:rPr>
            </w:pPr>
          </w:p>
        </w:tc>
        <w:tc>
          <w:tcPr>
            <w:tcW w:w="1920" w:type="dxa"/>
            <w:vAlign w:val="bottom"/>
            <w:shd w:val="clear" w:color="auto" w:fill="EBE6F0"/>
          </w:tcPr>
          <w:p>
            <w:pPr>
              <w:spacing w:after="0"/>
              <w:rPr>
                <w:sz w:val="22"/>
                <w:szCs w:val="22"/>
                <w:color w:val="auto"/>
              </w:rPr>
            </w:pPr>
          </w:p>
        </w:tc>
        <w:tc>
          <w:tcPr>
            <w:tcW w:w="320" w:type="dxa"/>
            <w:vAlign w:val="bottom"/>
            <w:shd w:val="clear" w:color="auto" w:fill="EBE6F0"/>
          </w:tcPr>
          <w:p>
            <w:pPr>
              <w:spacing w:after="0"/>
              <w:rPr>
                <w:sz w:val="22"/>
                <w:szCs w:val="22"/>
                <w:color w:val="auto"/>
              </w:rPr>
            </w:pPr>
          </w:p>
        </w:tc>
        <w:tc>
          <w:tcPr>
            <w:tcW w:w="1980" w:type="dxa"/>
            <w:vAlign w:val="bottom"/>
            <w:shd w:val="clear" w:color="auto" w:fill="EBE6F0"/>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650" w:type="dxa"/>
            <w:vAlign w:val="bottom"/>
            <w:shd w:val="clear" w:color="auto" w:fill="EBE6F0"/>
          </w:tcPr>
          <w:p>
            <w:pPr>
              <w:spacing w:after="0"/>
              <w:rPr>
                <w:sz w:val="19"/>
                <w:szCs w:val="19"/>
                <w:color w:val="auto"/>
              </w:rPr>
            </w:pPr>
          </w:p>
        </w:tc>
        <w:tc>
          <w:tcPr>
            <w:tcW w:w="5150" w:type="dxa"/>
            <w:vAlign w:val="bottom"/>
            <w:shd w:val="clear" w:color="auto" w:fill="EBE6F0"/>
          </w:tcPr>
          <w:p>
            <w:pPr>
              <w:ind w:left="70"/>
              <w:spacing w:after="0" w:line="224" w:lineRule="exact"/>
              <w:rPr>
                <w:sz w:val="20"/>
                <w:szCs w:val="20"/>
                <w:color w:val="auto"/>
              </w:rPr>
            </w:pPr>
            <w:r>
              <w:rPr>
                <w:rFonts w:ascii="Arial" w:cs="Arial" w:eastAsia="Arial" w:hAnsi="Arial"/>
                <w:sz w:val="20"/>
                <w:szCs w:val="20"/>
                <w:color w:val="582C83"/>
              </w:rPr>
              <w:t xml:space="preserve">• </w:t>
            </w:r>
            <w:r>
              <w:rPr>
                <w:rFonts w:ascii="Arial" w:cs="Arial" w:eastAsia="Arial" w:hAnsi="Arial"/>
                <w:sz w:val="20"/>
                <w:szCs w:val="20"/>
                <w:color w:val="000000"/>
              </w:rPr>
              <w:t>equity method investment earnings exclude our</w:t>
            </w:r>
          </w:p>
        </w:tc>
        <w:tc>
          <w:tcPr>
            <w:tcW w:w="220" w:type="dxa"/>
            <w:vAlign w:val="bottom"/>
            <w:shd w:val="clear" w:color="auto" w:fill="EBE6F0"/>
          </w:tcPr>
          <w:p>
            <w:pPr>
              <w:spacing w:after="0"/>
              <w:rPr>
                <w:sz w:val="19"/>
                <w:szCs w:val="19"/>
                <w:color w:val="auto"/>
              </w:rPr>
            </w:pPr>
          </w:p>
        </w:tc>
        <w:tc>
          <w:tcPr>
            <w:tcW w:w="1920" w:type="dxa"/>
            <w:vAlign w:val="bottom"/>
            <w:shd w:val="clear" w:color="auto" w:fill="EBE6F0"/>
          </w:tcPr>
          <w:p>
            <w:pPr>
              <w:spacing w:after="0"/>
              <w:rPr>
                <w:sz w:val="19"/>
                <w:szCs w:val="19"/>
                <w:color w:val="auto"/>
              </w:rPr>
            </w:pPr>
          </w:p>
        </w:tc>
        <w:tc>
          <w:tcPr>
            <w:tcW w:w="320" w:type="dxa"/>
            <w:vAlign w:val="bottom"/>
            <w:shd w:val="clear" w:color="auto" w:fill="EBE6F0"/>
          </w:tcPr>
          <w:p>
            <w:pPr>
              <w:spacing w:after="0"/>
              <w:rPr>
                <w:sz w:val="19"/>
                <w:szCs w:val="19"/>
                <w:color w:val="auto"/>
              </w:rPr>
            </w:pPr>
          </w:p>
        </w:tc>
        <w:tc>
          <w:tcPr>
            <w:tcW w:w="1980" w:type="dxa"/>
            <w:vAlign w:val="bottom"/>
            <w:shd w:val="clear" w:color="auto" w:fill="EBE6F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650" w:type="dxa"/>
            <w:vAlign w:val="bottom"/>
            <w:shd w:val="clear" w:color="auto" w:fill="EBE6F0"/>
          </w:tcPr>
          <w:p>
            <w:pPr>
              <w:spacing w:after="0"/>
              <w:rPr>
                <w:sz w:val="20"/>
                <w:szCs w:val="20"/>
                <w:color w:val="auto"/>
              </w:rPr>
            </w:pPr>
          </w:p>
        </w:tc>
        <w:tc>
          <w:tcPr>
            <w:tcW w:w="5150" w:type="dxa"/>
            <w:vAlign w:val="bottom"/>
            <w:shd w:val="clear" w:color="auto" w:fill="EBE6F0"/>
          </w:tcPr>
          <w:p>
            <w:pPr>
              <w:ind w:left="230"/>
              <w:spacing w:after="0"/>
              <w:rPr>
                <w:sz w:val="20"/>
                <w:szCs w:val="20"/>
                <w:color w:val="auto"/>
              </w:rPr>
            </w:pPr>
            <w:r>
              <w:rPr>
                <w:rFonts w:ascii="Arial" w:cs="Arial" w:eastAsia="Arial" w:hAnsi="Arial"/>
                <w:sz w:val="20"/>
                <w:szCs w:val="20"/>
                <w:color w:val="auto"/>
              </w:rPr>
              <w:t>proportionate share of our investees’ significant</w:t>
            </w:r>
          </w:p>
        </w:tc>
        <w:tc>
          <w:tcPr>
            <w:tcW w:w="220" w:type="dxa"/>
            <w:vAlign w:val="bottom"/>
            <w:shd w:val="clear" w:color="auto" w:fill="EBE6F0"/>
          </w:tcPr>
          <w:p>
            <w:pPr>
              <w:spacing w:after="0"/>
              <w:rPr>
                <w:sz w:val="20"/>
                <w:szCs w:val="20"/>
                <w:color w:val="auto"/>
              </w:rPr>
            </w:pPr>
          </w:p>
        </w:tc>
        <w:tc>
          <w:tcPr>
            <w:tcW w:w="1920" w:type="dxa"/>
            <w:vAlign w:val="bottom"/>
            <w:shd w:val="clear" w:color="auto" w:fill="EBE6F0"/>
          </w:tcPr>
          <w:p>
            <w:pPr>
              <w:spacing w:after="0"/>
              <w:rPr>
                <w:sz w:val="20"/>
                <w:szCs w:val="20"/>
                <w:color w:val="auto"/>
              </w:rPr>
            </w:pPr>
          </w:p>
        </w:tc>
        <w:tc>
          <w:tcPr>
            <w:tcW w:w="320" w:type="dxa"/>
            <w:vAlign w:val="bottom"/>
            <w:shd w:val="clear" w:color="auto" w:fill="EBE6F0"/>
          </w:tcPr>
          <w:p>
            <w:pPr>
              <w:spacing w:after="0"/>
              <w:rPr>
                <w:sz w:val="20"/>
                <w:szCs w:val="20"/>
                <w:color w:val="auto"/>
              </w:rPr>
            </w:pPr>
          </w:p>
        </w:tc>
        <w:tc>
          <w:tcPr>
            <w:tcW w:w="1980" w:type="dxa"/>
            <w:vAlign w:val="bottom"/>
            <w:shd w:val="clear" w:color="auto" w:fill="EBE6F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650" w:type="dxa"/>
            <w:vAlign w:val="bottom"/>
            <w:shd w:val="clear" w:color="auto" w:fill="EBE6F0"/>
          </w:tcPr>
          <w:p>
            <w:pPr>
              <w:spacing w:after="0"/>
              <w:rPr>
                <w:sz w:val="24"/>
                <w:szCs w:val="24"/>
                <w:color w:val="auto"/>
              </w:rPr>
            </w:pPr>
          </w:p>
        </w:tc>
        <w:tc>
          <w:tcPr>
            <w:tcW w:w="5150" w:type="dxa"/>
            <w:vAlign w:val="bottom"/>
            <w:shd w:val="clear" w:color="auto" w:fill="EBE6F0"/>
          </w:tcPr>
          <w:p>
            <w:pPr>
              <w:ind w:left="230"/>
              <w:spacing w:after="0" w:line="339" w:lineRule="exact"/>
              <w:rPr>
                <w:sz w:val="20"/>
                <w:szCs w:val="20"/>
                <w:color w:val="auto"/>
              </w:rPr>
            </w:pPr>
            <w:r>
              <w:rPr>
                <w:rFonts w:ascii="Arial" w:cs="Arial" w:eastAsia="Arial" w:hAnsi="Arial"/>
                <w:sz w:val="20"/>
                <w:szCs w:val="20"/>
                <w:color w:val="auto"/>
              </w:rPr>
              <w:t>operating and non-operating items</w:t>
            </w:r>
            <w:r>
              <w:rPr>
                <w:rFonts w:ascii="Arial" w:cs="Arial" w:eastAsia="Arial" w:hAnsi="Arial"/>
                <w:sz w:val="33"/>
                <w:szCs w:val="33"/>
                <w:color w:val="auto"/>
                <w:vertAlign w:val="superscript"/>
              </w:rPr>
              <w:t>(15)</w:t>
            </w:r>
            <w:r>
              <w:rPr>
                <w:rFonts w:ascii="Arial" w:cs="Arial" w:eastAsia="Arial" w:hAnsi="Arial"/>
                <w:sz w:val="20"/>
                <w:szCs w:val="20"/>
                <w:color w:val="auto"/>
              </w:rPr>
              <w:t>.</w:t>
            </w:r>
          </w:p>
        </w:tc>
        <w:tc>
          <w:tcPr>
            <w:tcW w:w="220" w:type="dxa"/>
            <w:vAlign w:val="bottom"/>
            <w:shd w:val="clear" w:color="auto" w:fill="EBE6F0"/>
          </w:tcPr>
          <w:p>
            <w:pPr>
              <w:spacing w:after="0"/>
              <w:rPr>
                <w:sz w:val="24"/>
                <w:szCs w:val="24"/>
                <w:color w:val="auto"/>
              </w:rPr>
            </w:pPr>
          </w:p>
        </w:tc>
        <w:tc>
          <w:tcPr>
            <w:tcW w:w="1920" w:type="dxa"/>
            <w:vAlign w:val="bottom"/>
            <w:shd w:val="clear" w:color="auto" w:fill="EBE6F0"/>
          </w:tcPr>
          <w:p>
            <w:pPr>
              <w:spacing w:after="0"/>
              <w:rPr>
                <w:sz w:val="24"/>
                <w:szCs w:val="24"/>
                <w:color w:val="auto"/>
              </w:rPr>
            </w:pPr>
          </w:p>
        </w:tc>
        <w:tc>
          <w:tcPr>
            <w:tcW w:w="320" w:type="dxa"/>
            <w:vAlign w:val="bottom"/>
            <w:shd w:val="clear" w:color="auto" w:fill="EBE6F0"/>
          </w:tcPr>
          <w:p>
            <w:pPr>
              <w:spacing w:after="0"/>
              <w:rPr>
                <w:sz w:val="24"/>
                <w:szCs w:val="24"/>
                <w:color w:val="auto"/>
              </w:rPr>
            </w:pPr>
          </w:p>
        </w:tc>
        <w:tc>
          <w:tcPr>
            <w:tcW w:w="1980" w:type="dxa"/>
            <w:vAlign w:val="bottom"/>
            <w:shd w:val="clear" w:color="auto" w:fill="EBE6F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800" w:type="dxa"/>
            <w:vAlign w:val="bottom"/>
            <w:gridSpan w:val="2"/>
          </w:tcPr>
          <w:p>
            <w:pPr>
              <w:ind w:left="60"/>
              <w:spacing w:after="0"/>
              <w:rPr>
                <w:sz w:val="20"/>
                <w:szCs w:val="20"/>
                <w:color w:val="auto"/>
              </w:rPr>
            </w:pPr>
            <w:r>
              <w:rPr>
                <w:rFonts w:ascii="Arial" w:cs="Arial" w:eastAsia="Arial" w:hAnsi="Arial"/>
                <w:sz w:val="20"/>
                <w:szCs w:val="20"/>
                <w:b w:val="1"/>
                <w:bCs w:val="1"/>
                <w:color w:val="auto"/>
              </w:rPr>
              <w:t xml:space="preserve">Free Cash Flow  </w:t>
            </w:r>
            <w:r>
              <w:rPr>
                <w:rFonts w:ascii="Arial" w:cs="Arial" w:eastAsia="Arial" w:hAnsi="Arial"/>
                <w:sz w:val="20"/>
                <w:szCs w:val="20"/>
                <w:color w:val="auto"/>
              </w:rPr>
              <w:t>Free Cash Flow is defined as Net Cash Provided</w:t>
            </w: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00" w:type="dxa"/>
            <w:vAlign w:val="bottom"/>
            <w:gridSpan w:val="2"/>
          </w:tcPr>
          <w:p>
            <w:pPr>
              <w:ind w:left="20"/>
              <w:spacing w:after="0"/>
              <w:rPr>
                <w:sz w:val="20"/>
                <w:szCs w:val="20"/>
                <w:color w:val="auto"/>
              </w:rPr>
            </w:pPr>
            <w:r>
              <w:rPr>
                <w:rFonts w:ascii="Arial" w:cs="Arial" w:eastAsia="Arial" w:hAnsi="Arial"/>
                <w:sz w:val="20"/>
                <w:szCs w:val="20"/>
                <w:color w:val="auto"/>
              </w:rPr>
              <w:t>Reflects financial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50" w:type="dxa"/>
            <w:vAlign w:val="bottom"/>
          </w:tcPr>
          <w:p>
            <w:pPr>
              <w:ind w:left="60"/>
              <w:spacing w:after="0"/>
              <w:rPr>
                <w:sz w:val="20"/>
                <w:szCs w:val="20"/>
                <w:color w:val="auto"/>
              </w:rPr>
            </w:pPr>
            <w:r>
              <w:rPr>
                <w:rFonts w:ascii="Arial" w:cs="Arial" w:eastAsia="Arial" w:hAnsi="Arial"/>
                <w:sz w:val="20"/>
                <w:szCs w:val="20"/>
                <w:b w:val="1"/>
                <w:bCs w:val="1"/>
                <w:color w:val="auto"/>
              </w:rPr>
              <w:t>(AIP)</w:t>
            </w:r>
          </w:p>
        </w:tc>
        <w:tc>
          <w:tcPr>
            <w:tcW w:w="5150" w:type="dxa"/>
            <w:vAlign w:val="bottom"/>
          </w:tcPr>
          <w:p>
            <w:pPr>
              <w:ind w:left="70"/>
              <w:spacing w:after="0"/>
              <w:rPr>
                <w:sz w:val="20"/>
                <w:szCs w:val="20"/>
                <w:color w:val="auto"/>
              </w:rPr>
            </w:pPr>
            <w:r>
              <w:rPr>
                <w:rFonts w:ascii="Arial" w:cs="Arial" w:eastAsia="Arial" w:hAnsi="Arial"/>
                <w:sz w:val="20"/>
                <w:szCs w:val="20"/>
                <w:color w:val="auto"/>
              </w:rPr>
              <w:t>By Operating Activities less capital expenditures.</w:t>
            </w: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300" w:type="dxa"/>
            <w:vAlign w:val="bottom"/>
            <w:gridSpan w:val="2"/>
          </w:tcPr>
          <w:p>
            <w:pPr>
              <w:ind w:left="20"/>
              <w:spacing w:after="0"/>
              <w:rPr>
                <w:sz w:val="20"/>
                <w:szCs w:val="20"/>
                <w:color w:val="auto"/>
              </w:rPr>
            </w:pPr>
            <w:r>
              <w:rPr>
                <w:rFonts w:ascii="Arial" w:cs="Arial" w:eastAsia="Arial" w:hAnsi="Arial"/>
                <w:sz w:val="20"/>
                <w:szCs w:val="20"/>
                <w:color w:val="auto"/>
              </w:rPr>
              <w:t>liquidity, working capital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8960"/>
        <w:spacing w:after="0" w:line="233" w:lineRule="auto"/>
        <w:rPr>
          <w:sz w:val="20"/>
          <w:szCs w:val="20"/>
          <w:color w:val="auto"/>
        </w:rPr>
      </w:pPr>
      <w:r>
        <w:rPr>
          <w:rFonts w:ascii="Arial" w:cs="Arial" w:eastAsia="Arial" w:hAnsi="Arial"/>
          <w:sz w:val="20"/>
          <w:szCs w:val="20"/>
          <w:color w:val="auto"/>
        </w:rPr>
        <w:t>efficiency, and financial</w:t>
      </w:r>
    </w:p>
    <w:p>
      <w:pPr>
        <w:ind w:left="8960"/>
        <w:spacing w:after="0"/>
        <w:rPr>
          <w:sz w:val="20"/>
          <w:szCs w:val="20"/>
          <w:color w:val="auto"/>
        </w:rPr>
      </w:pPr>
      <w:r>
        <w:rPr>
          <w:rFonts w:ascii="Arial" w:cs="Arial" w:eastAsia="Arial" w:hAnsi="Arial"/>
          <w:sz w:val="20"/>
          <w:szCs w:val="20"/>
          <w:color w:val="auto"/>
        </w:rPr>
        <w:t>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43115" cy="1587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157480</wp:posOffset>
            </wp:positionV>
            <wp:extent cx="7143115" cy="762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02" w:lineRule="exact"/>
        <w:rPr>
          <w:sz w:val="20"/>
          <w:szCs w:val="20"/>
          <w:color w:val="auto"/>
        </w:rPr>
      </w:pPr>
    </w:p>
    <w:p>
      <w:pPr>
        <w:ind w:left="8980"/>
        <w:spacing w:after="0"/>
        <w:rPr>
          <w:sz w:val="20"/>
          <w:szCs w:val="20"/>
          <w:color w:val="auto"/>
        </w:rPr>
      </w:pPr>
      <w:r>
        <w:rPr>
          <w:rFonts w:ascii="Arial" w:cs="Arial" w:eastAsia="Arial" w:hAnsi="Arial"/>
          <w:sz w:val="15"/>
          <w:szCs w:val="15"/>
          <w:b w:val="1"/>
          <w:bCs w:val="1"/>
          <w:color w:val="58358F"/>
        </w:rPr>
        <w:t>2023 PROXY STATEMENT |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47" w:name="page148"/>
    <w:bookmarkEnd w:id="147"/>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80" w:right="180" w:hanging="319"/>
        <w:spacing w:after="0" w:line="255" w:lineRule="auto"/>
        <w:tabs>
          <w:tab w:leader="none" w:pos="380" w:val="left"/>
        </w:tabs>
        <w:numPr>
          <w:ilvl w:val="0"/>
          <w:numId w:val="131"/>
        </w:numPr>
        <w:rPr>
          <w:rFonts w:ascii="Arial" w:cs="Arial" w:eastAsia="Arial" w:hAnsi="Arial"/>
          <w:sz w:val="16"/>
          <w:szCs w:val="16"/>
          <w:i w:val="1"/>
          <w:iCs w:val="1"/>
          <w:color w:val="auto"/>
        </w:rPr>
      </w:pPr>
      <w:r>
        <w:rPr>
          <w:rFonts w:ascii="Arial" w:cs="Arial" w:eastAsia="Arial" w:hAnsi="Arial"/>
          <w:sz w:val="16"/>
          <w:szCs w:val="16"/>
          <w:i w:val="1"/>
          <w:iCs w:val="1"/>
          <w:color w:val="auto"/>
        </w:rPr>
        <w:t>Divestitures include completed sales of businesses (including the partial or full sale of an equity method investment) and the exits of major product lines upon completion of a sale or licensing agreement. As we record our share of KDP and JDE Peet’s ongoing earnings on a one-quarter lag basis, any KDP or JDE Peet’s ownership reductions are reflected as divestitures within our non-GAAP results the following quarter. See Note 2, Acquisitions and Divestitures, and Note 7, Equity Method Investments, in our 2022 Form 10-K for more information.</w:t>
      </w:r>
    </w:p>
    <w:p>
      <w:pPr>
        <w:ind w:left="380" w:right="120" w:hanging="319"/>
        <w:spacing w:after="0" w:line="259" w:lineRule="auto"/>
        <w:tabs>
          <w:tab w:leader="none" w:pos="380" w:val="left"/>
        </w:tabs>
        <w:numPr>
          <w:ilvl w:val="0"/>
          <w:numId w:val="131"/>
        </w:numPr>
        <w:rPr>
          <w:rFonts w:ascii="Arial" w:cs="Arial" w:eastAsia="Arial" w:hAnsi="Arial"/>
          <w:sz w:val="16"/>
          <w:szCs w:val="16"/>
          <w:i w:val="1"/>
          <w:iCs w:val="1"/>
          <w:color w:val="auto"/>
        </w:rPr>
      </w:pPr>
      <w:r>
        <w:rPr>
          <w:rFonts w:ascii="Arial" w:cs="Arial" w:eastAsia="Arial" w:hAnsi="Arial"/>
          <w:sz w:val="16"/>
          <w:szCs w:val="16"/>
          <w:i w:val="1"/>
          <w:iCs w:val="1"/>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jc w:val="both"/>
        <w:ind w:left="380" w:right="480" w:hanging="319"/>
        <w:spacing w:after="0" w:line="267" w:lineRule="auto"/>
        <w:tabs>
          <w:tab w:leader="none" w:pos="380" w:val="left"/>
        </w:tabs>
        <w:numPr>
          <w:ilvl w:val="0"/>
          <w:numId w:val="131"/>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jc w:val="both"/>
        <w:ind w:left="380" w:right="200" w:hanging="319"/>
        <w:spacing w:after="0" w:line="259" w:lineRule="auto"/>
        <w:tabs>
          <w:tab w:leader="none" w:pos="380" w:val="left"/>
        </w:tabs>
        <w:numPr>
          <w:ilvl w:val="0"/>
          <w:numId w:val="131"/>
        </w:numPr>
        <w:rPr>
          <w:rFonts w:ascii="Arial" w:cs="Arial" w:eastAsia="Arial" w:hAnsi="Arial"/>
          <w:sz w:val="16"/>
          <w:szCs w:val="16"/>
          <w:i w:val="1"/>
          <w:iCs w:val="1"/>
          <w:color w:val="auto"/>
        </w:rPr>
      </w:pPr>
      <w:r>
        <w:rPr>
          <w:rFonts w:ascii="Arial" w:cs="Arial" w:eastAsia="Arial" w:hAnsi="Arial"/>
          <w:sz w:val="16"/>
          <w:szCs w:val="16"/>
          <w:i w:val="1"/>
          <w:iCs w:val="1"/>
          <w:color w:val="auto"/>
        </w:rPr>
        <w:t>Divestiture-related costs, which includes costs incurred in relation to the preparation and completion of our divestitures as defined in footnote (1), also includes costs incurred associated with our publicly-announced processes to sell businesses. We exclude these items to better facilitate comparisons of our underlying operating performance across periods.</w:t>
      </w:r>
    </w:p>
    <w:p>
      <w:pPr>
        <w:ind w:left="380" w:right="560" w:hanging="319"/>
        <w:spacing w:after="0" w:line="259" w:lineRule="auto"/>
        <w:tabs>
          <w:tab w:leader="none" w:pos="380" w:val="left"/>
        </w:tabs>
        <w:numPr>
          <w:ilvl w:val="0"/>
          <w:numId w:val="131"/>
        </w:numPr>
        <w:rPr>
          <w:rFonts w:ascii="Arial" w:cs="Arial" w:eastAsia="Arial" w:hAnsi="Arial"/>
          <w:sz w:val="16"/>
          <w:szCs w:val="16"/>
          <w:i w:val="1"/>
          <w:iCs w:val="1"/>
          <w:color w:val="auto"/>
        </w:rPr>
      </w:pPr>
      <w:r>
        <w:rPr>
          <w:rFonts w:ascii="Arial" w:cs="Arial" w:eastAsia="Arial" w:hAnsi="Arial"/>
          <w:sz w:val="16"/>
          <w:szCs w:val="16"/>
          <w:i w:val="1"/>
          <w:iCs w:val="1"/>
          <w:color w:val="auto"/>
        </w:rPr>
        <w:t>Acquisition-related costs, which includes transaction costs such as third party advisor, investment banking and legal fees, also includes one-time compensation expense related to the buyout of non-vested ESOP shares and realized gains or losses from hedging activities associated with acquisition funds. We exclude these items to better facilitate comparisons of our underlying operating performance across periods.</w:t>
      </w:r>
    </w:p>
    <w:p>
      <w:pPr>
        <w:ind w:left="380" w:right="160" w:hanging="319"/>
        <w:spacing w:after="0" w:line="255" w:lineRule="auto"/>
        <w:tabs>
          <w:tab w:leader="none" w:pos="380" w:val="left"/>
        </w:tabs>
        <w:numPr>
          <w:ilvl w:val="0"/>
          <w:numId w:val="131"/>
        </w:numPr>
        <w:rPr>
          <w:rFonts w:ascii="Arial" w:cs="Arial" w:eastAsia="Arial" w:hAnsi="Arial"/>
          <w:sz w:val="16"/>
          <w:szCs w:val="16"/>
          <w:i w:val="1"/>
          <w:iCs w:val="1"/>
          <w:color w:val="auto"/>
        </w:rPr>
      </w:pPr>
      <w:r>
        <w:rPr>
          <w:rFonts w:ascii="Arial" w:cs="Arial" w:eastAsia="Arial" w:hAnsi="Arial"/>
          <w:sz w:val="16"/>
          <w:szCs w:val="16"/>
          <w:i w:val="1"/>
          <w:iCs w:val="1"/>
          <w:color w:val="auto"/>
        </w:rPr>
        <w:t>Acquisition integration costs and contingent consideration adjustments include one-time costs related to the integration of acquisitions as well as any adjustments made to the fair market value of contingent compensation liabilities that have been previously booked for earn-outs related to acquisitions that do not relate to employee compensation expense. We exclude these items to better facilitate comparisons of our underlying operating performance across periods.</w:t>
      </w:r>
    </w:p>
    <w:p>
      <w:pPr>
        <w:ind w:left="380" w:right="100" w:hanging="319"/>
        <w:spacing w:after="0" w:line="267" w:lineRule="auto"/>
        <w:tabs>
          <w:tab w:leader="none" w:pos="380" w:val="left"/>
        </w:tabs>
        <w:numPr>
          <w:ilvl w:val="0"/>
          <w:numId w:val="131"/>
        </w:numPr>
        <w:rPr>
          <w:rFonts w:ascii="Arial" w:cs="Arial" w:eastAsia="Arial" w:hAnsi="Arial"/>
          <w:sz w:val="16"/>
          <w:szCs w:val="16"/>
          <w:i w:val="1"/>
          <w:iCs w:val="1"/>
          <w:color w:val="auto"/>
        </w:rPr>
      </w:pPr>
      <w:r>
        <w:rPr>
          <w:rFonts w:ascii="Arial" w:cs="Arial" w:eastAsia="Arial" w:hAnsi="Arial"/>
          <w:sz w:val="16"/>
          <w:szCs w:val="16"/>
          <w:i w:val="1"/>
          <w:iCs w:val="1"/>
          <w:color w:val="auto"/>
        </w:rPr>
        <w:t>In the third quarter of 2022, we began to exclude the one-time inventory step-up charges associated with acquired companies related to the fair market valuation of the acquired inventory. We exclude this item to better facilitate comparisons of our underlying operating performance across periods.</w:t>
      </w:r>
    </w:p>
    <w:p>
      <w:pPr>
        <w:jc w:val="both"/>
        <w:ind w:left="380" w:right="180" w:hanging="319"/>
        <w:spacing w:after="0" w:line="252" w:lineRule="auto"/>
        <w:tabs>
          <w:tab w:leader="none" w:pos="380" w:val="left"/>
        </w:tabs>
        <w:numPr>
          <w:ilvl w:val="0"/>
          <w:numId w:val="131"/>
        </w:numPr>
        <w:rPr>
          <w:rFonts w:ascii="Arial" w:cs="Arial" w:eastAsia="Arial" w:hAnsi="Arial"/>
          <w:sz w:val="16"/>
          <w:szCs w:val="16"/>
          <w:i w:val="1"/>
          <w:iCs w:val="1"/>
          <w:color w:val="auto"/>
        </w:rPr>
      </w:pPr>
      <w:r>
        <w:rPr>
          <w:rFonts w:ascii="Arial" w:cs="Arial" w:eastAsia="Arial" w:hAnsi="Arial"/>
          <w:sz w:val="16"/>
          <w:szCs w:val="16"/>
          <w:i w:val="1"/>
          <w:iCs w:val="1"/>
          <w:color w:val="auto"/>
        </w:rPr>
        <w:t>In connection with our applying highly inflationary accounting (refer to Note 1, Summary of Significant Accounting Policies in our 2022 Form 10-K), for Argentina (beginning in the third quarter of 2018) and Türkiye (beginning in the second quarter of 2022), we exclude the related remeasurement gains or losses related to remeasuring net monetary assets or liabilities denominated in the local currency to the U.S. dollar during the periods presented to be consistent with our prior accounting for these remeasurement gains/losses for Venezuela when it was subject to highly inflationary accounting prior to deconsolidation in 2015.</w:t>
      </w:r>
    </w:p>
    <w:p>
      <w:pPr>
        <w:spacing w:after="0" w:line="2" w:lineRule="exact"/>
        <w:rPr>
          <w:rFonts w:ascii="Arial" w:cs="Arial" w:eastAsia="Arial" w:hAnsi="Arial"/>
          <w:sz w:val="16"/>
          <w:szCs w:val="16"/>
          <w:i w:val="1"/>
          <w:iCs w:val="1"/>
          <w:color w:val="auto"/>
        </w:rPr>
      </w:pPr>
    </w:p>
    <w:p>
      <w:pPr>
        <w:ind w:left="380" w:right="80" w:hanging="319"/>
        <w:spacing w:after="0" w:line="250" w:lineRule="auto"/>
        <w:tabs>
          <w:tab w:leader="none" w:pos="380" w:val="left"/>
        </w:tabs>
        <w:numPr>
          <w:ilvl w:val="0"/>
          <w:numId w:val="131"/>
        </w:numPr>
        <w:rPr>
          <w:rFonts w:ascii="Arial" w:cs="Arial" w:eastAsia="Arial" w:hAnsi="Arial"/>
          <w:sz w:val="16"/>
          <w:szCs w:val="16"/>
          <w:i w:val="1"/>
          <w:iCs w:val="1"/>
          <w:color w:val="auto"/>
        </w:rPr>
      </w:pPr>
      <w:r>
        <w:rPr>
          <w:rFonts w:ascii="Arial" w:cs="Arial" w:eastAsia="Arial" w:hAnsi="Arial"/>
          <w:sz w:val="16"/>
          <w:szCs w:val="16"/>
          <w:i w:val="1"/>
          <w:iCs w:val="1"/>
          <w:color w:val="auto"/>
        </w:rPr>
        <w:t>We exclude unrealized gains and losses (mark-to-market impacts) from outstanding commodity and forecasted currency and equity method investment transaction derivatives from our non-GAAP earnings measures. The mark-to-market impacts of commodity and currency transaction derivatives are excluded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exclude equity method investment derivative contract settlements as they represent protection of value for future divestitures.</w:t>
      </w:r>
    </w:p>
    <w:p>
      <w:pPr>
        <w:spacing w:after="0" w:line="4" w:lineRule="exact"/>
        <w:rPr>
          <w:rFonts w:ascii="Arial" w:cs="Arial" w:eastAsia="Arial" w:hAnsi="Arial"/>
          <w:sz w:val="16"/>
          <w:szCs w:val="16"/>
          <w:i w:val="1"/>
          <w:iCs w:val="1"/>
          <w:color w:val="auto"/>
        </w:rPr>
      </w:pPr>
    </w:p>
    <w:p>
      <w:pPr>
        <w:ind w:left="380" w:hanging="319"/>
        <w:spacing w:after="0"/>
        <w:tabs>
          <w:tab w:leader="none" w:pos="380" w:val="left"/>
        </w:tabs>
        <w:numPr>
          <w:ilvl w:val="0"/>
          <w:numId w:val="131"/>
        </w:numPr>
        <w:rPr>
          <w:rFonts w:ascii="Arial" w:cs="Arial" w:eastAsia="Arial" w:hAnsi="Arial"/>
          <w:sz w:val="16"/>
          <w:szCs w:val="16"/>
          <w:i w:val="1"/>
          <w:iCs w:val="1"/>
          <w:color w:val="auto"/>
        </w:rPr>
      </w:pPr>
      <w:r>
        <w:rPr>
          <w:rFonts w:ascii="Arial" w:cs="Arial" w:eastAsia="Arial" w:hAnsi="Arial"/>
          <w:sz w:val="16"/>
          <w:szCs w:val="16"/>
          <w:i w:val="1"/>
          <w:iCs w:val="1"/>
          <w:color w:val="auto"/>
        </w:rPr>
        <w:t>See Note 14, Commitments and Contingencies – Tax Matters, in our 2022 Form 10-K for more information.</w:t>
      </w:r>
    </w:p>
    <w:p>
      <w:pPr>
        <w:spacing w:after="0" w:line="39" w:lineRule="exact"/>
        <w:rPr>
          <w:rFonts w:ascii="Arial" w:cs="Arial" w:eastAsia="Arial" w:hAnsi="Arial"/>
          <w:sz w:val="16"/>
          <w:szCs w:val="16"/>
          <w:i w:val="1"/>
          <w:iCs w:val="1"/>
          <w:color w:val="auto"/>
        </w:rPr>
      </w:pPr>
    </w:p>
    <w:p>
      <w:pPr>
        <w:ind w:left="380" w:right="280" w:hanging="319"/>
        <w:spacing w:after="0" w:line="252" w:lineRule="auto"/>
        <w:tabs>
          <w:tab w:leader="none" w:pos="380" w:val="left"/>
        </w:tabs>
        <w:numPr>
          <w:ilvl w:val="0"/>
          <w:numId w:val="131"/>
        </w:numPr>
        <w:rPr>
          <w:rFonts w:ascii="Arial" w:cs="Arial" w:eastAsia="Arial" w:hAnsi="Arial"/>
          <w:sz w:val="16"/>
          <w:szCs w:val="16"/>
          <w:i w:val="1"/>
          <w:iCs w:val="1"/>
          <w:color w:val="auto"/>
        </w:rPr>
      </w:pPr>
      <w:r>
        <w:rPr>
          <w:rFonts w:ascii="Arial" w:cs="Arial" w:eastAsia="Arial" w:hAnsi="Arial"/>
          <w:sz w:val="16"/>
          <w:szCs w:val="16"/>
          <w:i w:val="1"/>
          <w:iCs w:val="1"/>
          <w:color w:val="auto"/>
        </w:rPr>
        <w:t>In February 2022, Russia began a military invasion of Ukraine and we stopped our production and closed our facilities in Ukraine. We began to incur incremental costs directly related to the war including asset impairments, such as property and inventory losses, higher expected allowances for uncollectible accounts receivable and committed compensation. We have isolated and exclude these costs and related impacts from our operating results to facilitate evaluation and comparisons of our ongoing results. Incremental costs related to increasing operations in other primarily European facilities are not included with these costs.</w:t>
      </w:r>
    </w:p>
    <w:p>
      <w:pPr>
        <w:spacing w:after="0" w:line="2" w:lineRule="exact"/>
        <w:rPr>
          <w:rFonts w:ascii="Arial" w:cs="Arial" w:eastAsia="Arial" w:hAnsi="Arial"/>
          <w:sz w:val="16"/>
          <w:szCs w:val="16"/>
          <w:i w:val="1"/>
          <w:iCs w:val="1"/>
          <w:color w:val="auto"/>
        </w:rPr>
      </w:pPr>
    </w:p>
    <w:p>
      <w:pPr>
        <w:ind w:left="380" w:right="180" w:hanging="319"/>
        <w:spacing w:after="0" w:line="248" w:lineRule="auto"/>
        <w:tabs>
          <w:tab w:leader="none" w:pos="380" w:val="left"/>
        </w:tabs>
        <w:numPr>
          <w:ilvl w:val="0"/>
          <w:numId w:val="131"/>
        </w:numPr>
        <w:rPr>
          <w:rFonts w:ascii="Arial" w:cs="Arial" w:eastAsia="Arial" w:hAnsi="Arial"/>
          <w:sz w:val="16"/>
          <w:szCs w:val="16"/>
          <w:i w:val="1"/>
          <w:iCs w:val="1"/>
          <w:color w:val="auto"/>
        </w:rPr>
      </w:pPr>
      <w:r>
        <w:rPr>
          <w:rFonts w:ascii="Arial" w:cs="Arial" w:eastAsia="Arial" w:hAnsi="Arial"/>
          <w:sz w:val="16"/>
          <w:szCs w:val="16"/>
          <w:i w:val="1"/>
          <w:iCs w:val="1"/>
          <w:color w:val="auto"/>
        </w:rPr>
        <w:t>In the fourth quarter of 2022, we began to exclude the impact from the European Commission legal matter.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We have begun cooperating with the investigation and are currently engaged in discussions with the European Commission in an effort to reach a negotiated, proportionate resolution to this matter. As of December 31, 2022, we recorded an estimate of the possible cost to resolve this matter. Due to the unique nature of this matter, we believe it to be infrequent and unusual and therefore exclude it to better facilitate comparisons of our underlying performance across periods. Refer to Note 14, Commitments and Contingencies - Tax Matters in our 2022 Form 10-K,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3115" cy="76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58358F"/>
        </w:rPr>
        <w:t>2023 PROXY STATEMENT |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8" w:name="page149"/>
    <w:bookmarkEnd w:id="148"/>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80" w:right="420" w:hanging="319"/>
        <w:spacing w:after="0" w:line="259" w:lineRule="auto"/>
        <w:tabs>
          <w:tab w:leader="none" w:pos="380" w:val="left"/>
        </w:tabs>
        <w:numPr>
          <w:ilvl w:val="0"/>
          <w:numId w:val="132"/>
        </w:numPr>
        <w:rPr>
          <w:rFonts w:ascii="Arial" w:cs="Arial" w:eastAsia="Arial" w:hAnsi="Arial"/>
          <w:sz w:val="16"/>
          <w:szCs w:val="16"/>
          <w:i w:val="1"/>
          <w:iCs w:val="1"/>
          <w:color w:val="auto"/>
        </w:rPr>
      </w:pPr>
      <w:r>
        <w:rPr>
          <w:rFonts w:ascii="Arial" w:cs="Arial" w:eastAsia="Arial" w:hAnsi="Arial"/>
          <w:sz w:val="16"/>
          <w:szCs w:val="16"/>
          <w:i w:val="1"/>
          <w:iCs w:val="1"/>
          <w:color w:val="auto"/>
        </w:rPr>
        <w:t>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11, Benefit Plans, in our 2022 Form 10-K for more information.</w:t>
      </w:r>
    </w:p>
    <w:p>
      <w:pPr>
        <w:ind w:left="380" w:right="140" w:hanging="319"/>
        <w:spacing w:after="0" w:line="252" w:lineRule="auto"/>
        <w:tabs>
          <w:tab w:leader="none" w:pos="380" w:val="left"/>
        </w:tabs>
        <w:numPr>
          <w:ilvl w:val="0"/>
          <w:numId w:val="132"/>
        </w:numPr>
        <w:rPr>
          <w:rFonts w:ascii="Arial" w:cs="Arial" w:eastAsia="Arial" w:hAnsi="Arial"/>
          <w:sz w:val="16"/>
          <w:szCs w:val="16"/>
          <w:i w:val="1"/>
          <w:iCs w:val="1"/>
          <w:color w:val="auto"/>
        </w:rPr>
      </w:pPr>
      <w:r>
        <w:rPr>
          <w:rFonts w:ascii="Arial" w:cs="Arial" w:eastAsia="Arial" w:hAnsi="Arial"/>
          <w:sz w:val="16"/>
          <w:szCs w:val="16"/>
          <w:i w:val="1"/>
          <w:iCs w:val="1"/>
          <w:color w:val="auto"/>
        </w:rPr>
        <w:t>We have excluded the initial impacts form enacted tax law changes. Initial impacts include items such as the remeasurement of deferred tax balances and the transition tax from the 2017 U.S. tax reform. Previously, we only excluded the initial impacts from more material tax reforms, specifically the impacts of the 2019 Swiss tax reform and the 2017 U.S. tax reform. We exclude initial impacts from enacted tax law changes from our Adjusted EPS as they do not reflect our ongoing tax obligations under the enacted tax law changes. Refer to Note 16, Income Taxes, in our 2022 Form 10-K for more information.</w:t>
      </w:r>
    </w:p>
    <w:p>
      <w:pPr>
        <w:spacing w:after="0" w:line="2" w:lineRule="exact"/>
        <w:rPr>
          <w:rFonts w:ascii="Arial" w:cs="Arial" w:eastAsia="Arial" w:hAnsi="Arial"/>
          <w:sz w:val="16"/>
          <w:szCs w:val="16"/>
          <w:i w:val="1"/>
          <w:iCs w:val="1"/>
          <w:color w:val="auto"/>
        </w:rPr>
      </w:pPr>
    </w:p>
    <w:p>
      <w:pPr>
        <w:ind w:left="380" w:right="140" w:hanging="319"/>
        <w:spacing w:after="0" w:line="249" w:lineRule="auto"/>
        <w:tabs>
          <w:tab w:leader="none" w:pos="380" w:val="left"/>
        </w:tabs>
        <w:numPr>
          <w:ilvl w:val="0"/>
          <w:numId w:val="132"/>
        </w:numPr>
        <w:rPr>
          <w:rFonts w:ascii="Arial" w:cs="Arial" w:eastAsia="Arial" w:hAnsi="Arial"/>
          <w:sz w:val="16"/>
          <w:szCs w:val="16"/>
          <w:i w:val="1"/>
          <w:iCs w:val="1"/>
          <w:color w:val="auto"/>
        </w:rPr>
      </w:pPr>
      <w:r>
        <w:rPr>
          <w:rFonts w:ascii="Arial" w:cs="Arial" w:eastAsia="Arial" w:hAnsi="Arial"/>
          <w:sz w:val="16"/>
          <w:szCs w:val="16"/>
          <w:i w:val="1"/>
          <w:iCs w:val="1"/>
          <w:color w:val="auto"/>
        </w:rPr>
        <w:t>We have excluded our proportionate share of our equity method investees’ significant operating and non-operating items such as acquisition and divestiture related costs, restructuring program costs, and discrete U.S. tax reform impacts, in order to provide investors with a comparable view of our performance across periods. Although we have shareholder rights and board representation commensurate with our ownership interests in our equity method investees and review the underlying operating results and unusual or infrequent items with them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significant operating and non-operating items.</w:t>
      </w: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sz w:val="1"/>
          <w:szCs w:val="1"/>
          <w:color w:val="auto"/>
        </w:rPr>
        <w:drawing>
          <wp:inline distT="0" distB="0" distL="0" distR="0">
            <wp:extent cx="157480" cy="157480"/>
            <wp:effectExtent l="0" t="0" r="0" b="0"/>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9"/>
          <w:szCs w:val="29"/>
          <w:b w:val="1"/>
          <w:bCs w:val="1"/>
          <w:color w:val="auto"/>
        </w:rPr>
        <w:t xml:space="preserve"> GAAP to Non-GAAP Reconciliations</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8080" w:type="dxa"/>
            <w:vAlign w:val="bottom"/>
          </w:tcPr>
          <w:p>
            <w:pPr>
              <w:ind w:left="60"/>
              <w:spacing w:after="0"/>
              <w:rPr>
                <w:sz w:val="20"/>
                <w:szCs w:val="20"/>
                <w:color w:val="auto"/>
              </w:rPr>
            </w:pPr>
            <w:r>
              <w:rPr>
                <w:rFonts w:ascii="Arial" w:cs="Arial" w:eastAsia="Arial" w:hAnsi="Arial"/>
                <w:sz w:val="16"/>
                <w:szCs w:val="16"/>
                <w:b w:val="1"/>
                <w:bCs w:val="1"/>
                <w:color w:val="auto"/>
              </w:rPr>
              <w:t>Net Revenues to Organic Net Revenue</w:t>
            </w:r>
          </w:p>
        </w:tc>
        <w:tc>
          <w:tcPr>
            <w:tcW w:w="3180" w:type="dxa"/>
            <w:vAlign w:val="bottom"/>
            <w:gridSpan w:val="2"/>
          </w:tcPr>
          <w:p>
            <w:pPr>
              <w:jc w:val="right"/>
              <w:spacing w:after="0"/>
              <w:rPr>
                <w:sz w:val="20"/>
                <w:szCs w:val="20"/>
                <w:color w:val="auto"/>
              </w:rPr>
            </w:pPr>
            <w:r>
              <w:rPr>
                <w:rFonts w:ascii="Arial" w:cs="Arial" w:eastAsia="Arial" w:hAnsi="Arial"/>
                <w:sz w:val="16"/>
                <w:szCs w:val="16"/>
                <w:b w:val="1"/>
                <w:bCs w:val="1"/>
                <w:color w:val="auto"/>
              </w:rPr>
              <w:t>Mondelēz</w:t>
            </w:r>
          </w:p>
        </w:tc>
      </w:tr>
      <w:tr>
        <w:trPr>
          <w:trHeight w:val="241"/>
        </w:trPr>
        <w:tc>
          <w:tcPr>
            <w:tcW w:w="808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(in millions of U.S. dollars) (Unaudited)</w:t>
            </w:r>
          </w:p>
        </w:tc>
        <w:tc>
          <w:tcPr>
            <w:tcW w:w="3180" w:type="dxa"/>
            <w:vAlign w:val="bottom"/>
            <w:tcBorders>
              <w:bottom w:val="single" w:sz="8" w:color="582C83"/>
            </w:tcBorders>
            <w:gridSpan w:val="2"/>
          </w:tcPr>
          <w:p>
            <w:pPr>
              <w:jc w:val="right"/>
              <w:spacing w:after="0"/>
              <w:rPr>
                <w:sz w:val="20"/>
                <w:szCs w:val="20"/>
                <w:color w:val="auto"/>
              </w:rPr>
            </w:pPr>
            <w:r>
              <w:rPr>
                <w:rFonts w:ascii="Arial" w:cs="Arial" w:eastAsia="Arial" w:hAnsi="Arial"/>
                <w:sz w:val="16"/>
                <w:szCs w:val="16"/>
                <w:b w:val="1"/>
                <w:bCs w:val="1"/>
                <w:color w:val="auto"/>
              </w:rPr>
              <w:t>International</w:t>
            </w:r>
          </w:p>
        </w:tc>
      </w:tr>
      <w:tr>
        <w:trPr>
          <w:trHeight w:val="291"/>
        </w:trPr>
        <w:tc>
          <w:tcPr>
            <w:tcW w:w="808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For the Twelve Months Ended December 31, 2022</w:t>
            </w:r>
          </w:p>
        </w:tc>
        <w:tc>
          <w:tcPr>
            <w:tcW w:w="2380" w:type="dxa"/>
            <w:vAlign w:val="bottom"/>
            <w:tcBorders>
              <w:bottom w:val="single" w:sz="8" w:color="EBE6F0"/>
            </w:tcBorders>
            <w:shd w:val="clear" w:color="auto" w:fill="EBE6F0"/>
          </w:tcPr>
          <w:p>
            <w:pPr>
              <w:spacing w:after="0"/>
              <w:rPr>
                <w:sz w:val="24"/>
                <w:szCs w:val="24"/>
                <w:color w:val="auto"/>
              </w:rPr>
            </w:pPr>
          </w:p>
        </w:tc>
        <w:tc>
          <w:tcPr>
            <w:tcW w:w="800" w:type="dxa"/>
            <w:vAlign w:val="bottom"/>
            <w:tcBorders>
              <w:bottom w:val="single" w:sz="8" w:color="EBE6F0"/>
              <w:right w:val="single" w:sz="8" w:color="EBE6F0"/>
            </w:tcBorders>
            <w:shd w:val="clear" w:color="auto" w:fill="EBE6F0"/>
          </w:tcPr>
          <w:p>
            <w:pPr>
              <w:spacing w:after="0"/>
              <w:rPr>
                <w:sz w:val="24"/>
                <w:szCs w:val="24"/>
                <w:color w:val="auto"/>
              </w:rPr>
            </w:pPr>
          </w:p>
        </w:tc>
      </w:tr>
      <w:tr>
        <w:trPr>
          <w:trHeight w:val="251"/>
        </w:trPr>
        <w:tc>
          <w:tcPr>
            <w:tcW w:w="8080" w:type="dxa"/>
            <w:vAlign w:val="bottom"/>
            <w:tcBorders>
              <w:top w:val="single" w:sz="8" w:color="582C83"/>
            </w:tcBorders>
          </w:tcPr>
          <w:p>
            <w:pPr>
              <w:ind w:left="60"/>
              <w:spacing w:after="0"/>
              <w:rPr>
                <w:sz w:val="20"/>
                <w:szCs w:val="20"/>
                <w:color w:val="auto"/>
              </w:rPr>
            </w:pPr>
            <w:r>
              <w:rPr>
                <w:rFonts w:ascii="Arial" w:cs="Arial" w:eastAsia="Arial" w:hAnsi="Arial"/>
                <w:sz w:val="16"/>
                <w:szCs w:val="16"/>
                <w:b w:val="1"/>
                <w:bCs w:val="1"/>
                <w:color w:val="auto"/>
              </w:rPr>
              <w:t>Reported (GAAP)</w:t>
            </w:r>
          </w:p>
        </w:tc>
        <w:tc>
          <w:tcPr>
            <w:tcW w:w="2380" w:type="dxa"/>
            <w:vAlign w:val="bottom"/>
            <w:tcBorders>
              <w:top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582C83"/>
            </w:tcBorders>
          </w:tcPr>
          <w:p>
            <w:pPr>
              <w:jc w:val="right"/>
              <w:spacing w:after="0"/>
              <w:rPr>
                <w:sz w:val="20"/>
                <w:szCs w:val="20"/>
                <w:color w:val="auto"/>
              </w:rPr>
            </w:pPr>
            <w:r>
              <w:rPr>
                <w:rFonts w:ascii="Arial" w:cs="Arial" w:eastAsia="Arial" w:hAnsi="Arial"/>
                <w:sz w:val="16"/>
                <w:szCs w:val="16"/>
                <w:b w:val="1"/>
                <w:bCs w:val="1"/>
                <w:color w:val="auto"/>
              </w:rPr>
              <w:t>31,496</w:t>
            </w:r>
          </w:p>
        </w:tc>
      </w:tr>
      <w:tr>
        <w:trPr>
          <w:trHeight w:val="27"/>
        </w:trPr>
        <w:tc>
          <w:tcPr>
            <w:tcW w:w="8080" w:type="dxa"/>
            <w:vAlign w:val="bottom"/>
            <w:tcBorders>
              <w:bottom w:val="single" w:sz="8" w:color="572C83"/>
            </w:tcBorders>
          </w:tcPr>
          <w:p>
            <w:pPr>
              <w:spacing w:after="0"/>
              <w:rPr>
                <w:sz w:val="2"/>
                <w:szCs w:val="2"/>
                <w:color w:val="auto"/>
              </w:rPr>
            </w:pPr>
          </w:p>
        </w:tc>
        <w:tc>
          <w:tcPr>
            <w:tcW w:w="2380" w:type="dxa"/>
            <w:vAlign w:val="bottom"/>
            <w:tcBorders>
              <w:bottom w:val="single" w:sz="8" w:color="572C83"/>
            </w:tcBorders>
          </w:tcPr>
          <w:p>
            <w:pPr>
              <w:spacing w:after="0"/>
              <w:rPr>
                <w:sz w:val="2"/>
                <w:szCs w:val="2"/>
                <w:color w:val="auto"/>
              </w:rPr>
            </w:pPr>
          </w:p>
        </w:tc>
        <w:tc>
          <w:tcPr>
            <w:tcW w:w="800" w:type="dxa"/>
            <w:vAlign w:val="bottom"/>
            <w:tcBorders>
              <w:bottom w:val="single" w:sz="8" w:color="572C83"/>
            </w:tcBorders>
          </w:tcPr>
          <w:p>
            <w:pPr>
              <w:spacing w:after="0"/>
              <w:rPr>
                <w:sz w:val="2"/>
                <w:szCs w:val="2"/>
                <w:color w:val="auto"/>
              </w:rPr>
            </w:pPr>
          </w:p>
        </w:tc>
      </w:tr>
      <w:tr>
        <w:trPr>
          <w:trHeight w:val="283"/>
        </w:trPr>
        <w:tc>
          <w:tcPr>
            <w:tcW w:w="808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Currency</w:t>
            </w:r>
          </w:p>
        </w:tc>
        <w:tc>
          <w:tcPr>
            <w:tcW w:w="2380" w:type="dxa"/>
            <w:vAlign w:val="bottom"/>
            <w:tcBorders>
              <w:bottom w:val="single" w:sz="8" w:color="EBE6F0"/>
            </w:tcBorders>
            <w:shd w:val="clear" w:color="auto" w:fill="EBE6F0"/>
          </w:tcPr>
          <w:p>
            <w:pPr>
              <w:spacing w:after="0"/>
              <w:rPr>
                <w:sz w:val="24"/>
                <w:szCs w:val="24"/>
                <w:color w:val="auto"/>
              </w:rPr>
            </w:pPr>
          </w:p>
        </w:tc>
        <w:tc>
          <w:tcPr>
            <w:tcW w:w="80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1,905</w:t>
            </w:r>
          </w:p>
        </w:tc>
      </w:tr>
      <w:tr>
        <w:trPr>
          <w:trHeight w:val="315"/>
        </w:trPr>
        <w:tc>
          <w:tcPr>
            <w:tcW w:w="8080" w:type="dxa"/>
            <w:vAlign w:val="bottom"/>
            <w:tcBorders>
              <w:top w:val="single" w:sz="8" w:color="582C83"/>
              <w:bottom w:val="single" w:sz="8" w:color="572C83"/>
            </w:tcBorders>
          </w:tcPr>
          <w:p>
            <w:pPr>
              <w:ind w:left="60"/>
              <w:spacing w:after="0"/>
              <w:rPr>
                <w:sz w:val="20"/>
                <w:szCs w:val="20"/>
                <w:color w:val="auto"/>
              </w:rPr>
            </w:pPr>
            <w:r>
              <w:rPr>
                <w:rFonts w:ascii="Arial" w:cs="Arial" w:eastAsia="Arial" w:hAnsi="Arial"/>
                <w:sz w:val="16"/>
                <w:szCs w:val="16"/>
                <w:color w:val="auto"/>
              </w:rPr>
              <w:t>Acquisitions</w:t>
            </w:r>
            <w:r>
              <w:rPr>
                <w:rFonts w:ascii="Arial" w:cs="Arial" w:eastAsia="Arial" w:hAnsi="Arial"/>
                <w:sz w:val="26"/>
                <w:szCs w:val="26"/>
                <w:color w:val="auto"/>
                <w:vertAlign w:val="superscript"/>
              </w:rPr>
              <w:t>(1)</w:t>
            </w:r>
          </w:p>
        </w:tc>
        <w:tc>
          <w:tcPr>
            <w:tcW w:w="2380" w:type="dxa"/>
            <w:vAlign w:val="bottom"/>
            <w:tcBorders>
              <w:top w:val="single" w:sz="8" w:color="582C83"/>
              <w:bottom w:val="single" w:sz="8" w:color="572C83"/>
            </w:tcBorders>
          </w:tcPr>
          <w:p>
            <w:pPr>
              <w:spacing w:after="0"/>
              <w:rPr>
                <w:sz w:val="24"/>
                <w:szCs w:val="24"/>
                <w:color w:val="auto"/>
              </w:rPr>
            </w:pPr>
          </w:p>
        </w:tc>
        <w:tc>
          <w:tcPr>
            <w:tcW w:w="800" w:type="dxa"/>
            <w:vAlign w:val="bottom"/>
            <w:tcBorders>
              <w:top w:val="single" w:sz="8" w:color="582C83"/>
              <w:bottom w:val="single" w:sz="8" w:color="572C83"/>
            </w:tcBorders>
          </w:tcPr>
          <w:p>
            <w:pPr>
              <w:jc w:val="right"/>
              <w:spacing w:after="0"/>
              <w:rPr>
                <w:sz w:val="20"/>
                <w:szCs w:val="20"/>
                <w:color w:val="auto"/>
              </w:rPr>
            </w:pPr>
            <w:r>
              <w:rPr>
                <w:rFonts w:ascii="Arial" w:cs="Arial" w:eastAsia="Arial" w:hAnsi="Arial"/>
                <w:sz w:val="16"/>
                <w:szCs w:val="16"/>
                <w:color w:val="auto"/>
              </w:rPr>
              <w:t>(1,216)</w:t>
            </w:r>
          </w:p>
        </w:tc>
      </w:tr>
      <w:tr>
        <w:trPr>
          <w:trHeight w:val="315"/>
        </w:trPr>
        <w:tc>
          <w:tcPr>
            <w:tcW w:w="8080" w:type="dxa"/>
            <w:vAlign w:val="bottom"/>
            <w:tcBorders>
              <w:left w:val="single" w:sz="8" w:color="EBE6F0"/>
              <w:bottom w:val="single" w:sz="8" w:color="582C83"/>
            </w:tcBorders>
            <w:shd w:val="clear" w:color="auto" w:fill="EBE6F0"/>
          </w:tcPr>
          <w:p>
            <w:pPr>
              <w:ind w:left="80"/>
              <w:spacing w:after="0"/>
              <w:rPr>
                <w:sz w:val="20"/>
                <w:szCs w:val="20"/>
                <w:color w:val="auto"/>
              </w:rPr>
            </w:pPr>
            <w:r>
              <w:rPr>
                <w:rFonts w:ascii="Arial" w:cs="Arial" w:eastAsia="Arial" w:hAnsi="Arial"/>
                <w:sz w:val="16"/>
                <w:szCs w:val="16"/>
                <w:color w:val="auto"/>
              </w:rPr>
              <w:t>Divestitures</w:t>
            </w:r>
            <w:r>
              <w:rPr>
                <w:rFonts w:ascii="Arial" w:cs="Arial" w:eastAsia="Arial" w:hAnsi="Arial"/>
                <w:sz w:val="26"/>
                <w:szCs w:val="26"/>
                <w:color w:val="auto"/>
                <w:vertAlign w:val="superscript"/>
              </w:rPr>
              <w:t>(1)</w:t>
            </w:r>
          </w:p>
        </w:tc>
        <w:tc>
          <w:tcPr>
            <w:tcW w:w="2380" w:type="dxa"/>
            <w:vAlign w:val="bottom"/>
            <w:tcBorders>
              <w:bottom w:val="single" w:sz="8" w:color="582C83"/>
            </w:tcBorders>
            <w:shd w:val="clear" w:color="auto" w:fill="EBE6F0"/>
          </w:tcPr>
          <w:p>
            <w:pPr>
              <w:spacing w:after="0"/>
              <w:rPr>
                <w:sz w:val="24"/>
                <w:szCs w:val="24"/>
                <w:color w:val="auto"/>
              </w:rPr>
            </w:pPr>
          </w:p>
        </w:tc>
        <w:tc>
          <w:tcPr>
            <w:tcW w:w="80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(22)</w:t>
            </w:r>
          </w:p>
        </w:tc>
      </w:tr>
      <w:tr>
        <w:trPr>
          <w:trHeight w:val="251"/>
        </w:trPr>
        <w:tc>
          <w:tcPr>
            <w:tcW w:w="8080" w:type="dxa"/>
            <w:vAlign w:val="bottom"/>
          </w:tcPr>
          <w:p>
            <w:pPr>
              <w:ind w:left="60"/>
              <w:spacing w:after="0"/>
              <w:rPr>
                <w:sz w:val="20"/>
                <w:szCs w:val="20"/>
                <w:color w:val="auto"/>
              </w:rPr>
            </w:pPr>
            <w:r>
              <w:rPr>
                <w:rFonts w:ascii="Arial" w:cs="Arial" w:eastAsia="Arial" w:hAnsi="Arial"/>
                <w:sz w:val="16"/>
                <w:szCs w:val="16"/>
                <w:b w:val="1"/>
                <w:bCs w:val="1"/>
                <w:color w:val="auto"/>
              </w:rPr>
              <w:t>Organic (Non-GAAP)</w:t>
            </w: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32,163</w:t>
            </w:r>
          </w:p>
        </w:tc>
      </w:tr>
      <w:tr>
        <w:trPr>
          <w:trHeight w:val="27"/>
        </w:trPr>
        <w:tc>
          <w:tcPr>
            <w:tcW w:w="8080" w:type="dxa"/>
            <w:vAlign w:val="bottom"/>
            <w:tcBorders>
              <w:bottom w:val="single" w:sz="8" w:color="572C83"/>
            </w:tcBorders>
          </w:tcPr>
          <w:p>
            <w:pPr>
              <w:spacing w:after="0"/>
              <w:rPr>
                <w:sz w:val="2"/>
                <w:szCs w:val="2"/>
                <w:color w:val="auto"/>
              </w:rPr>
            </w:pPr>
          </w:p>
        </w:tc>
        <w:tc>
          <w:tcPr>
            <w:tcW w:w="2380" w:type="dxa"/>
            <w:vAlign w:val="bottom"/>
            <w:tcBorders>
              <w:bottom w:val="single" w:sz="8" w:color="572C83"/>
            </w:tcBorders>
          </w:tcPr>
          <w:p>
            <w:pPr>
              <w:spacing w:after="0"/>
              <w:rPr>
                <w:sz w:val="2"/>
                <w:szCs w:val="2"/>
                <w:color w:val="auto"/>
              </w:rPr>
            </w:pPr>
          </w:p>
        </w:tc>
        <w:tc>
          <w:tcPr>
            <w:tcW w:w="800" w:type="dxa"/>
            <w:vAlign w:val="bottom"/>
            <w:tcBorders>
              <w:bottom w:val="single" w:sz="8" w:color="572C83"/>
            </w:tcBorders>
          </w:tcPr>
          <w:p>
            <w:pPr>
              <w:spacing w:after="0"/>
              <w:rPr>
                <w:sz w:val="2"/>
                <w:szCs w:val="2"/>
                <w:color w:val="auto"/>
              </w:rPr>
            </w:pPr>
          </w:p>
        </w:tc>
      </w:tr>
      <w:tr>
        <w:trPr>
          <w:trHeight w:val="283"/>
        </w:trPr>
        <w:tc>
          <w:tcPr>
            <w:tcW w:w="808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For the Twelve Months Ended December 31, 2021</w:t>
            </w:r>
          </w:p>
        </w:tc>
        <w:tc>
          <w:tcPr>
            <w:tcW w:w="2380" w:type="dxa"/>
            <w:vAlign w:val="bottom"/>
            <w:tcBorders>
              <w:bottom w:val="single" w:sz="8" w:color="EBE6F0"/>
            </w:tcBorders>
            <w:shd w:val="clear" w:color="auto" w:fill="EBE6F0"/>
          </w:tcPr>
          <w:p>
            <w:pPr>
              <w:spacing w:after="0"/>
              <w:rPr>
                <w:sz w:val="24"/>
                <w:szCs w:val="24"/>
                <w:color w:val="auto"/>
              </w:rPr>
            </w:pPr>
          </w:p>
        </w:tc>
        <w:tc>
          <w:tcPr>
            <w:tcW w:w="800" w:type="dxa"/>
            <w:vAlign w:val="bottom"/>
            <w:tcBorders>
              <w:bottom w:val="single" w:sz="8" w:color="EBE6F0"/>
              <w:right w:val="single" w:sz="8" w:color="EBE6F0"/>
            </w:tcBorders>
            <w:shd w:val="clear" w:color="auto" w:fill="EBE6F0"/>
          </w:tcPr>
          <w:p>
            <w:pPr>
              <w:spacing w:after="0"/>
              <w:rPr>
                <w:sz w:val="24"/>
                <w:szCs w:val="24"/>
                <w:color w:val="auto"/>
              </w:rPr>
            </w:pPr>
          </w:p>
        </w:tc>
      </w:tr>
      <w:tr>
        <w:trPr>
          <w:trHeight w:val="251"/>
        </w:trPr>
        <w:tc>
          <w:tcPr>
            <w:tcW w:w="8080" w:type="dxa"/>
            <w:vAlign w:val="bottom"/>
            <w:tcBorders>
              <w:top w:val="single" w:sz="8" w:color="582C83"/>
            </w:tcBorders>
          </w:tcPr>
          <w:p>
            <w:pPr>
              <w:ind w:left="60"/>
              <w:spacing w:after="0"/>
              <w:rPr>
                <w:sz w:val="20"/>
                <w:szCs w:val="20"/>
                <w:color w:val="auto"/>
              </w:rPr>
            </w:pPr>
            <w:r>
              <w:rPr>
                <w:rFonts w:ascii="Arial" w:cs="Arial" w:eastAsia="Arial" w:hAnsi="Arial"/>
                <w:sz w:val="16"/>
                <w:szCs w:val="16"/>
                <w:b w:val="1"/>
                <w:bCs w:val="1"/>
                <w:color w:val="auto"/>
              </w:rPr>
              <w:t>Reported (GAAP)</w:t>
            </w:r>
          </w:p>
        </w:tc>
        <w:tc>
          <w:tcPr>
            <w:tcW w:w="2380" w:type="dxa"/>
            <w:vAlign w:val="bottom"/>
            <w:tcBorders>
              <w:top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582C83"/>
            </w:tcBorders>
          </w:tcPr>
          <w:p>
            <w:pPr>
              <w:jc w:val="right"/>
              <w:spacing w:after="0"/>
              <w:rPr>
                <w:sz w:val="20"/>
                <w:szCs w:val="20"/>
                <w:color w:val="auto"/>
              </w:rPr>
            </w:pPr>
            <w:r>
              <w:rPr>
                <w:rFonts w:ascii="Arial" w:cs="Arial" w:eastAsia="Arial" w:hAnsi="Arial"/>
                <w:sz w:val="16"/>
                <w:szCs w:val="16"/>
                <w:b w:val="1"/>
                <w:bCs w:val="1"/>
                <w:color w:val="auto"/>
              </w:rPr>
              <w:t>28,720</w:t>
            </w:r>
          </w:p>
        </w:tc>
      </w:tr>
      <w:tr>
        <w:trPr>
          <w:trHeight w:val="27"/>
        </w:trPr>
        <w:tc>
          <w:tcPr>
            <w:tcW w:w="8080" w:type="dxa"/>
            <w:vAlign w:val="bottom"/>
            <w:tcBorders>
              <w:bottom w:val="single" w:sz="8" w:color="572C83"/>
            </w:tcBorders>
          </w:tcPr>
          <w:p>
            <w:pPr>
              <w:spacing w:after="0"/>
              <w:rPr>
                <w:sz w:val="2"/>
                <w:szCs w:val="2"/>
                <w:color w:val="auto"/>
              </w:rPr>
            </w:pPr>
          </w:p>
        </w:tc>
        <w:tc>
          <w:tcPr>
            <w:tcW w:w="2380" w:type="dxa"/>
            <w:vAlign w:val="bottom"/>
            <w:tcBorders>
              <w:bottom w:val="single" w:sz="8" w:color="572C83"/>
            </w:tcBorders>
          </w:tcPr>
          <w:p>
            <w:pPr>
              <w:spacing w:after="0"/>
              <w:rPr>
                <w:sz w:val="2"/>
                <w:szCs w:val="2"/>
                <w:color w:val="auto"/>
              </w:rPr>
            </w:pPr>
          </w:p>
        </w:tc>
        <w:tc>
          <w:tcPr>
            <w:tcW w:w="800" w:type="dxa"/>
            <w:vAlign w:val="bottom"/>
            <w:tcBorders>
              <w:bottom w:val="single" w:sz="8" w:color="572C83"/>
            </w:tcBorders>
          </w:tcPr>
          <w:p>
            <w:pPr>
              <w:spacing w:after="0"/>
              <w:rPr>
                <w:sz w:val="2"/>
                <w:szCs w:val="2"/>
                <w:color w:val="auto"/>
              </w:rPr>
            </w:pPr>
          </w:p>
        </w:tc>
      </w:tr>
      <w:tr>
        <w:trPr>
          <w:trHeight w:val="283"/>
        </w:trPr>
        <w:tc>
          <w:tcPr>
            <w:tcW w:w="808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Divestitures</w:t>
            </w:r>
          </w:p>
        </w:tc>
        <w:tc>
          <w:tcPr>
            <w:tcW w:w="2380" w:type="dxa"/>
            <w:vAlign w:val="bottom"/>
            <w:tcBorders>
              <w:bottom w:val="single" w:sz="8" w:color="EBE6F0"/>
            </w:tcBorders>
            <w:shd w:val="clear" w:color="auto" w:fill="EBE6F0"/>
          </w:tcPr>
          <w:p>
            <w:pPr>
              <w:spacing w:after="0"/>
              <w:rPr>
                <w:sz w:val="24"/>
                <w:szCs w:val="24"/>
                <w:color w:val="auto"/>
              </w:rPr>
            </w:pPr>
          </w:p>
        </w:tc>
        <w:tc>
          <w:tcPr>
            <w:tcW w:w="80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(78)</w:t>
            </w:r>
          </w:p>
        </w:tc>
      </w:tr>
      <w:tr>
        <w:trPr>
          <w:trHeight w:val="251"/>
        </w:trPr>
        <w:tc>
          <w:tcPr>
            <w:tcW w:w="8080" w:type="dxa"/>
            <w:vAlign w:val="bottom"/>
            <w:tcBorders>
              <w:top w:val="single" w:sz="8" w:color="582C83"/>
            </w:tcBorders>
          </w:tcPr>
          <w:p>
            <w:pPr>
              <w:ind w:left="60"/>
              <w:spacing w:after="0"/>
              <w:rPr>
                <w:sz w:val="20"/>
                <w:szCs w:val="20"/>
                <w:color w:val="auto"/>
              </w:rPr>
            </w:pPr>
            <w:r>
              <w:rPr>
                <w:rFonts w:ascii="Arial" w:cs="Arial" w:eastAsia="Arial" w:hAnsi="Arial"/>
                <w:sz w:val="16"/>
                <w:szCs w:val="16"/>
                <w:b w:val="1"/>
                <w:bCs w:val="1"/>
                <w:color w:val="auto"/>
              </w:rPr>
              <w:t>Organic (Non-GAAP)</w:t>
            </w:r>
          </w:p>
        </w:tc>
        <w:tc>
          <w:tcPr>
            <w:tcW w:w="2380" w:type="dxa"/>
            <w:vAlign w:val="bottom"/>
            <w:tcBorders>
              <w:top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582C83"/>
            </w:tcBorders>
          </w:tcPr>
          <w:p>
            <w:pPr>
              <w:jc w:val="right"/>
              <w:spacing w:after="0"/>
              <w:rPr>
                <w:sz w:val="20"/>
                <w:szCs w:val="20"/>
                <w:color w:val="auto"/>
              </w:rPr>
            </w:pPr>
            <w:r>
              <w:rPr>
                <w:rFonts w:ascii="Arial" w:cs="Arial" w:eastAsia="Arial" w:hAnsi="Arial"/>
                <w:sz w:val="16"/>
                <w:szCs w:val="16"/>
                <w:b w:val="1"/>
                <w:bCs w:val="1"/>
                <w:color w:val="auto"/>
              </w:rPr>
              <w:t>28,642</w:t>
            </w:r>
          </w:p>
        </w:tc>
      </w:tr>
      <w:tr>
        <w:trPr>
          <w:trHeight w:val="27"/>
        </w:trPr>
        <w:tc>
          <w:tcPr>
            <w:tcW w:w="8080" w:type="dxa"/>
            <w:vAlign w:val="bottom"/>
            <w:tcBorders>
              <w:bottom w:val="single" w:sz="8" w:color="572C83"/>
            </w:tcBorders>
          </w:tcPr>
          <w:p>
            <w:pPr>
              <w:spacing w:after="0"/>
              <w:rPr>
                <w:sz w:val="2"/>
                <w:szCs w:val="2"/>
                <w:color w:val="auto"/>
              </w:rPr>
            </w:pPr>
          </w:p>
        </w:tc>
        <w:tc>
          <w:tcPr>
            <w:tcW w:w="2380" w:type="dxa"/>
            <w:vAlign w:val="bottom"/>
            <w:tcBorders>
              <w:bottom w:val="single" w:sz="8" w:color="572C83"/>
            </w:tcBorders>
          </w:tcPr>
          <w:p>
            <w:pPr>
              <w:spacing w:after="0"/>
              <w:rPr>
                <w:sz w:val="2"/>
                <w:szCs w:val="2"/>
                <w:color w:val="auto"/>
              </w:rPr>
            </w:pPr>
          </w:p>
        </w:tc>
        <w:tc>
          <w:tcPr>
            <w:tcW w:w="800" w:type="dxa"/>
            <w:vAlign w:val="bottom"/>
            <w:tcBorders>
              <w:bottom w:val="single" w:sz="8" w:color="572C83"/>
            </w:tcBorders>
          </w:tcPr>
          <w:p>
            <w:pPr>
              <w:spacing w:after="0"/>
              <w:rPr>
                <w:sz w:val="2"/>
                <w:szCs w:val="2"/>
                <w:color w:val="auto"/>
              </w:rPr>
            </w:pPr>
          </w:p>
        </w:tc>
      </w:tr>
      <w:tr>
        <w:trPr>
          <w:trHeight w:val="283"/>
        </w:trPr>
        <w:tc>
          <w:tcPr>
            <w:tcW w:w="808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 Change</w:t>
            </w:r>
          </w:p>
        </w:tc>
        <w:tc>
          <w:tcPr>
            <w:tcW w:w="2380" w:type="dxa"/>
            <w:vAlign w:val="bottom"/>
            <w:tcBorders>
              <w:bottom w:val="single" w:sz="8" w:color="EBE6F0"/>
            </w:tcBorders>
            <w:shd w:val="clear" w:color="auto" w:fill="EBE6F0"/>
          </w:tcPr>
          <w:p>
            <w:pPr>
              <w:spacing w:after="0"/>
              <w:rPr>
                <w:sz w:val="24"/>
                <w:szCs w:val="24"/>
                <w:color w:val="auto"/>
              </w:rPr>
            </w:pPr>
          </w:p>
        </w:tc>
        <w:tc>
          <w:tcPr>
            <w:tcW w:w="800" w:type="dxa"/>
            <w:vAlign w:val="bottom"/>
            <w:tcBorders>
              <w:bottom w:val="single" w:sz="8" w:color="EBE6F0"/>
              <w:right w:val="single" w:sz="8" w:color="EBE6F0"/>
            </w:tcBorders>
            <w:shd w:val="clear" w:color="auto" w:fill="EBE6F0"/>
          </w:tcPr>
          <w:p>
            <w:pPr>
              <w:spacing w:after="0"/>
              <w:rPr>
                <w:sz w:val="24"/>
                <w:szCs w:val="24"/>
                <w:color w:val="auto"/>
              </w:rPr>
            </w:pPr>
          </w:p>
        </w:tc>
      </w:tr>
      <w:tr>
        <w:trPr>
          <w:trHeight w:val="251"/>
        </w:trPr>
        <w:tc>
          <w:tcPr>
            <w:tcW w:w="8080" w:type="dxa"/>
            <w:vAlign w:val="bottom"/>
            <w:tcBorders>
              <w:top w:val="single" w:sz="8" w:color="582C83"/>
            </w:tcBorders>
          </w:tcPr>
          <w:p>
            <w:pPr>
              <w:ind w:left="60"/>
              <w:spacing w:after="0"/>
              <w:rPr>
                <w:sz w:val="20"/>
                <w:szCs w:val="20"/>
                <w:color w:val="auto"/>
              </w:rPr>
            </w:pPr>
            <w:r>
              <w:rPr>
                <w:rFonts w:ascii="Arial" w:cs="Arial" w:eastAsia="Arial" w:hAnsi="Arial"/>
                <w:sz w:val="16"/>
                <w:szCs w:val="16"/>
                <w:b w:val="1"/>
                <w:bCs w:val="1"/>
                <w:color w:val="auto"/>
              </w:rPr>
              <w:t>Reported (GAAP)</w:t>
            </w:r>
          </w:p>
        </w:tc>
        <w:tc>
          <w:tcPr>
            <w:tcW w:w="2380" w:type="dxa"/>
            <w:vAlign w:val="bottom"/>
            <w:tcBorders>
              <w:top w:val="single" w:sz="8" w:color="582C83"/>
            </w:tcBorders>
          </w:tcPr>
          <w:p>
            <w:pPr>
              <w:spacing w:after="0"/>
              <w:rPr>
                <w:sz w:val="21"/>
                <w:szCs w:val="21"/>
                <w:color w:val="auto"/>
              </w:rPr>
            </w:pPr>
          </w:p>
        </w:tc>
        <w:tc>
          <w:tcPr>
            <w:tcW w:w="800" w:type="dxa"/>
            <w:vAlign w:val="bottom"/>
            <w:tcBorders>
              <w:top w:val="single" w:sz="8" w:color="582C83"/>
            </w:tcBorders>
          </w:tcPr>
          <w:p>
            <w:pPr>
              <w:jc w:val="right"/>
              <w:spacing w:after="0"/>
              <w:rPr>
                <w:sz w:val="20"/>
                <w:szCs w:val="20"/>
                <w:color w:val="auto"/>
              </w:rPr>
            </w:pPr>
            <w:r>
              <w:rPr>
                <w:rFonts w:ascii="Arial" w:cs="Arial" w:eastAsia="Arial" w:hAnsi="Arial"/>
                <w:sz w:val="16"/>
                <w:szCs w:val="16"/>
                <w:b w:val="1"/>
                <w:bCs w:val="1"/>
                <w:color w:val="auto"/>
              </w:rPr>
              <w:t>9.7%</w:t>
            </w:r>
          </w:p>
        </w:tc>
      </w:tr>
      <w:tr>
        <w:trPr>
          <w:trHeight w:val="27"/>
        </w:trPr>
        <w:tc>
          <w:tcPr>
            <w:tcW w:w="8080" w:type="dxa"/>
            <w:vAlign w:val="bottom"/>
            <w:tcBorders>
              <w:bottom w:val="single" w:sz="8" w:color="572C83"/>
            </w:tcBorders>
          </w:tcPr>
          <w:p>
            <w:pPr>
              <w:spacing w:after="0"/>
              <w:rPr>
                <w:sz w:val="2"/>
                <w:szCs w:val="2"/>
                <w:color w:val="auto"/>
              </w:rPr>
            </w:pPr>
          </w:p>
        </w:tc>
        <w:tc>
          <w:tcPr>
            <w:tcW w:w="2380" w:type="dxa"/>
            <w:vAlign w:val="bottom"/>
            <w:tcBorders>
              <w:bottom w:val="single" w:sz="8" w:color="572C83"/>
            </w:tcBorders>
          </w:tcPr>
          <w:p>
            <w:pPr>
              <w:spacing w:after="0"/>
              <w:rPr>
                <w:sz w:val="2"/>
                <w:szCs w:val="2"/>
                <w:color w:val="auto"/>
              </w:rPr>
            </w:pPr>
          </w:p>
        </w:tc>
        <w:tc>
          <w:tcPr>
            <w:tcW w:w="800" w:type="dxa"/>
            <w:vAlign w:val="bottom"/>
            <w:tcBorders>
              <w:bottom w:val="single" w:sz="8" w:color="572C83"/>
            </w:tcBorders>
          </w:tcPr>
          <w:p>
            <w:pPr>
              <w:spacing w:after="0"/>
              <w:rPr>
                <w:sz w:val="2"/>
                <w:szCs w:val="2"/>
                <w:color w:val="auto"/>
              </w:rPr>
            </w:pPr>
          </w:p>
        </w:tc>
      </w:tr>
      <w:tr>
        <w:trPr>
          <w:trHeight w:val="258"/>
        </w:trPr>
        <w:tc>
          <w:tcPr>
            <w:tcW w:w="8080" w:type="dxa"/>
            <w:vAlign w:val="bottom"/>
            <w:tcBorders>
              <w:left w:val="single" w:sz="8" w:color="EBE6F0"/>
              <w:bottom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Organic (Non-GAAP)</w:t>
            </w:r>
          </w:p>
        </w:tc>
        <w:tc>
          <w:tcPr>
            <w:tcW w:w="2380" w:type="dxa"/>
            <w:vAlign w:val="bottom"/>
            <w:tcBorders>
              <w:bottom w:val="single" w:sz="8" w:color="EBE6F0"/>
            </w:tcBorders>
            <w:shd w:val="clear" w:color="auto" w:fill="EBE6F0"/>
          </w:tcPr>
          <w:p>
            <w:pPr>
              <w:spacing w:after="0"/>
              <w:rPr>
                <w:sz w:val="22"/>
                <w:szCs w:val="22"/>
                <w:color w:val="auto"/>
              </w:rPr>
            </w:pPr>
          </w:p>
        </w:tc>
        <w:tc>
          <w:tcPr>
            <w:tcW w:w="80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12.3%</w:t>
            </w:r>
          </w:p>
        </w:tc>
      </w:tr>
      <w:tr>
        <w:trPr>
          <w:trHeight w:val="20"/>
        </w:trPr>
        <w:tc>
          <w:tcPr>
            <w:tcW w:w="8080" w:type="dxa"/>
            <w:vAlign w:val="bottom"/>
            <w:tcBorders>
              <w:left w:val="single" w:sz="8" w:color="EBE6F0"/>
            </w:tcBorders>
            <w:shd w:val="clear" w:color="auto" w:fill="582C83"/>
          </w:tcPr>
          <w:p>
            <w:pPr>
              <w:spacing w:after="0" w:line="20" w:lineRule="exact"/>
              <w:rPr>
                <w:sz w:val="1"/>
                <w:szCs w:val="1"/>
                <w:color w:val="auto"/>
              </w:rPr>
            </w:pPr>
          </w:p>
        </w:tc>
        <w:tc>
          <w:tcPr>
            <w:tcW w:w="2380" w:type="dxa"/>
            <w:vAlign w:val="bottom"/>
            <w:shd w:val="clear" w:color="auto" w:fill="582C83"/>
          </w:tcPr>
          <w:p>
            <w:pPr>
              <w:spacing w:after="0" w:line="20" w:lineRule="exact"/>
              <w:rPr>
                <w:sz w:val="1"/>
                <w:szCs w:val="1"/>
                <w:color w:val="auto"/>
              </w:rPr>
            </w:pPr>
          </w:p>
        </w:tc>
        <w:tc>
          <w:tcPr>
            <w:tcW w:w="800" w:type="dxa"/>
            <w:vAlign w:val="bottom"/>
            <w:tcBorders>
              <w:right w:val="single" w:sz="8" w:color="EBE6F0"/>
            </w:tcBorders>
            <w:shd w:val="clear" w:color="auto" w:fill="582C83"/>
          </w:tcPr>
          <w:p>
            <w:pPr>
              <w:spacing w:after="0" w:line="20" w:lineRule="exact"/>
              <w:rPr>
                <w:sz w:val="1"/>
                <w:szCs w:val="1"/>
                <w:color w:val="auto"/>
              </w:rPr>
            </w:pPr>
          </w:p>
        </w:tc>
      </w:tr>
    </w:tbl>
    <w:p>
      <w:pPr>
        <w:spacing w:after="0" w:line="75" w:lineRule="exact"/>
        <w:rPr>
          <w:sz w:val="20"/>
          <w:szCs w:val="20"/>
          <w:color w:val="auto"/>
        </w:rPr>
      </w:pPr>
    </w:p>
    <w:p>
      <w:pPr>
        <w:ind w:left="380" w:right="100" w:hanging="319"/>
        <w:spacing w:after="0" w:line="258" w:lineRule="auto"/>
        <w:tabs>
          <w:tab w:leader="none" w:pos="38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 xml:space="preserve">Refer to Note 2, </w:t>
      </w:r>
      <w:r>
        <w:rPr>
          <w:rFonts w:ascii="Arial" w:cs="Arial" w:eastAsia="Arial" w:hAnsi="Arial"/>
          <w:sz w:val="15"/>
          <w:szCs w:val="15"/>
          <w:i w:val="1"/>
          <w:iCs w:val="1"/>
          <w:color w:val="auto"/>
        </w:rPr>
        <w:t>Acquisitions and Divestitures</w:t>
      </w:r>
      <w:r>
        <w:rPr>
          <w:rFonts w:ascii="Arial" w:cs="Arial" w:eastAsia="Arial" w:hAnsi="Arial"/>
          <w:sz w:val="15"/>
          <w:szCs w:val="15"/>
          <w:color w:val="auto"/>
        </w:rPr>
        <w:t>, to the consolidated financial statements in the 2022 Form 10-K for more information on the November 1, 2022 acquisition of Ricolino, August 1, 2022 acquisition of Clif Bar, January 3, 2022 acquisition of Chipita, April 1, 2021 acquisition of Gourmet Food, and March 25, 2021 acquisition of a majority interest in Grenade.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229870</wp:posOffset>
            </wp:positionV>
            <wp:extent cx="7143115" cy="762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980"/>
        <w:spacing w:after="0"/>
        <w:rPr>
          <w:sz w:val="20"/>
          <w:szCs w:val="20"/>
          <w:color w:val="auto"/>
        </w:rPr>
      </w:pPr>
      <w:r>
        <w:rPr>
          <w:rFonts w:ascii="Arial" w:cs="Arial" w:eastAsia="Arial" w:hAnsi="Arial"/>
          <w:sz w:val="15"/>
          <w:szCs w:val="15"/>
          <w:b w:val="1"/>
          <w:bCs w:val="1"/>
          <w:color w:val="58358F"/>
        </w:rPr>
        <w:t>2023 PROXY STATEMENT |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49" w:name="page150"/>
    <w:bookmarkEnd w:id="149"/>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5880" w:type="dxa"/>
            <w:vAlign w:val="bottom"/>
          </w:tcPr>
          <w:p>
            <w:pPr>
              <w:ind w:left="60"/>
              <w:spacing w:after="0"/>
              <w:rPr>
                <w:sz w:val="20"/>
                <w:szCs w:val="20"/>
                <w:color w:val="auto"/>
              </w:rPr>
            </w:pPr>
            <w:r>
              <w:rPr>
                <w:rFonts w:ascii="Arial" w:cs="Arial" w:eastAsia="Arial" w:hAnsi="Arial"/>
                <w:sz w:val="16"/>
                <w:szCs w:val="16"/>
                <w:b w:val="1"/>
                <w:bCs w:val="1"/>
                <w:color w:val="auto"/>
              </w:rPr>
              <w:t>Gross Profit to Adjusted Gross Profit</w:t>
            </w:r>
          </w:p>
        </w:tc>
        <w:tc>
          <w:tcPr>
            <w:tcW w:w="680" w:type="dxa"/>
            <w:vAlign w:val="bottom"/>
            <w:tcBorders>
              <w:bottom w:val="single" w:sz="8" w:color="582C83"/>
            </w:tcBorders>
          </w:tcPr>
          <w:p>
            <w:pPr>
              <w:spacing w:after="0"/>
              <w:rPr>
                <w:sz w:val="19"/>
                <w:szCs w:val="19"/>
                <w:color w:val="auto"/>
              </w:rPr>
            </w:pPr>
          </w:p>
        </w:tc>
        <w:tc>
          <w:tcPr>
            <w:tcW w:w="3760" w:type="dxa"/>
            <w:vAlign w:val="bottom"/>
            <w:tcBorders>
              <w:bottom w:val="single" w:sz="8" w:color="582C83"/>
            </w:tcBorders>
            <w:gridSpan w:val="6"/>
          </w:tcPr>
          <w:p>
            <w:pPr>
              <w:ind w:left="300"/>
              <w:spacing w:after="0"/>
              <w:rPr>
                <w:sz w:val="20"/>
                <w:szCs w:val="20"/>
                <w:color w:val="auto"/>
              </w:rPr>
            </w:pPr>
            <w:r>
              <w:rPr>
                <w:rFonts w:ascii="Arial" w:cs="Arial" w:eastAsia="Arial" w:hAnsi="Arial"/>
                <w:sz w:val="16"/>
                <w:szCs w:val="16"/>
                <w:b w:val="1"/>
                <w:bCs w:val="1"/>
                <w:color w:val="auto"/>
              </w:rPr>
              <w:t>For the Twelve Months Ended December 31,</w:t>
            </w:r>
          </w:p>
        </w:tc>
        <w:tc>
          <w:tcPr>
            <w:tcW w:w="940" w:type="dxa"/>
            <w:vAlign w:val="bottom"/>
            <w:tcBorders>
              <w:bottom w:val="single" w:sz="8" w:color="582C83"/>
            </w:tcBorders>
          </w:tcPr>
          <w:p>
            <w:pPr>
              <w:spacing w:after="0"/>
              <w:rPr>
                <w:sz w:val="19"/>
                <w:szCs w:val="19"/>
                <w:color w:val="auto"/>
              </w:rPr>
            </w:pPr>
          </w:p>
        </w:tc>
      </w:tr>
      <w:tr>
        <w:trPr>
          <w:trHeight w:val="233"/>
        </w:trPr>
        <w:tc>
          <w:tcPr>
            <w:tcW w:w="588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(in millions of U.S. dollars) (Unaudited)</w:t>
            </w:r>
          </w:p>
        </w:tc>
        <w:tc>
          <w:tcPr>
            <w:tcW w:w="680" w:type="dxa"/>
            <w:vAlign w:val="bottom"/>
            <w:tcBorders>
              <w:bottom w:val="single" w:sz="8" w:color="582C83"/>
            </w:tcBorders>
          </w:tcPr>
          <w:p>
            <w:pPr>
              <w:spacing w:after="0"/>
              <w:rPr>
                <w:sz w:val="20"/>
                <w:szCs w:val="20"/>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582C83"/>
            </w:tcBorders>
          </w:tcPr>
          <w:p>
            <w:pPr>
              <w:spacing w:after="0"/>
              <w:rPr>
                <w:sz w:val="20"/>
                <w:szCs w:val="20"/>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582C83"/>
            </w:tcBorders>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 Change</w:t>
            </w:r>
          </w:p>
        </w:tc>
      </w:tr>
      <w:tr>
        <w:trPr>
          <w:trHeight w:val="291"/>
        </w:trPr>
        <w:tc>
          <w:tcPr>
            <w:tcW w:w="588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Reported (GAAP)</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11,312</w:t>
            </w:r>
          </w:p>
        </w:tc>
        <w:tc>
          <w:tcPr>
            <w:tcW w:w="6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11,254</w:t>
            </w:r>
          </w:p>
        </w:tc>
        <w:tc>
          <w:tcPr>
            <w:tcW w:w="6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58</w:t>
            </w:r>
          </w:p>
        </w:tc>
        <w:tc>
          <w:tcPr>
            <w:tcW w:w="400" w:type="dxa"/>
            <w:vAlign w:val="bottom"/>
            <w:tcBorders>
              <w:bottom w:val="single" w:sz="8" w:color="EBE6F0"/>
            </w:tcBorders>
            <w:shd w:val="clear" w:color="auto" w:fill="EBE6F0"/>
          </w:tcPr>
          <w:p>
            <w:pPr>
              <w:spacing w:after="0"/>
              <w:rPr>
                <w:sz w:val="24"/>
                <w:szCs w:val="24"/>
                <w:color w:val="auto"/>
              </w:rPr>
            </w:pPr>
          </w:p>
        </w:tc>
        <w:tc>
          <w:tcPr>
            <w:tcW w:w="9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0.5%</w:t>
            </w:r>
          </w:p>
        </w:tc>
      </w:tr>
      <w:tr>
        <w:trPr>
          <w:trHeight w:val="315"/>
        </w:trPr>
        <w:tc>
          <w:tcPr>
            <w:tcW w:w="5880" w:type="dxa"/>
            <w:vAlign w:val="bottom"/>
            <w:tcBorders>
              <w:top w:val="single" w:sz="8" w:color="582C83"/>
              <w:bottom w:val="single" w:sz="8" w:color="582C83"/>
            </w:tcBorders>
          </w:tcPr>
          <w:p>
            <w:pPr>
              <w:ind w:left="60"/>
              <w:spacing w:after="0"/>
              <w:rPr>
                <w:sz w:val="20"/>
                <w:szCs w:val="20"/>
                <w:color w:val="auto"/>
              </w:rPr>
            </w:pPr>
            <w:r>
              <w:rPr>
                <w:rFonts w:ascii="Arial" w:cs="Arial" w:eastAsia="Arial" w:hAnsi="Arial"/>
                <w:sz w:val="16"/>
                <w:szCs w:val="16"/>
                <w:color w:val="auto"/>
              </w:rPr>
              <w:t>Simplify to Grow Program</w:t>
            </w:r>
            <w:r>
              <w:rPr>
                <w:rFonts w:ascii="Arial" w:cs="Arial" w:eastAsia="Arial" w:hAnsi="Arial"/>
                <w:sz w:val="26"/>
                <w:szCs w:val="26"/>
                <w:color w:val="auto"/>
                <w:vertAlign w:val="superscript"/>
              </w:rPr>
              <w:t>(1)</w:t>
            </w:r>
          </w:p>
        </w:tc>
        <w:tc>
          <w:tcPr>
            <w:tcW w:w="680" w:type="dxa"/>
            <w:vAlign w:val="bottom"/>
            <w:tcBorders>
              <w:top w:val="single" w:sz="8" w:color="582C83"/>
              <w:bottom w:val="single" w:sz="8" w:color="582C83"/>
            </w:tcBorders>
          </w:tcPr>
          <w:p>
            <w:pPr>
              <w:spacing w:after="0"/>
              <w:rPr>
                <w:sz w:val="24"/>
                <w:szCs w:val="24"/>
                <w:color w:val="auto"/>
              </w:rPr>
            </w:pPr>
          </w:p>
        </w:tc>
        <w:tc>
          <w:tcPr>
            <w:tcW w:w="6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45</w:t>
            </w:r>
          </w:p>
        </w:tc>
        <w:tc>
          <w:tcPr>
            <w:tcW w:w="660" w:type="dxa"/>
            <w:vAlign w:val="bottom"/>
            <w:tcBorders>
              <w:top w:val="single" w:sz="8" w:color="582C83"/>
              <w:bottom w:val="single" w:sz="8" w:color="582C83"/>
            </w:tcBorders>
          </w:tcPr>
          <w:p>
            <w:pPr>
              <w:spacing w:after="0"/>
              <w:rPr>
                <w:sz w:val="24"/>
                <w:szCs w:val="24"/>
                <w:color w:val="auto"/>
              </w:rPr>
            </w:pPr>
          </w:p>
        </w:tc>
        <w:tc>
          <w:tcPr>
            <w:tcW w:w="6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114</w:t>
            </w:r>
          </w:p>
        </w:tc>
        <w:tc>
          <w:tcPr>
            <w:tcW w:w="660" w:type="dxa"/>
            <w:vAlign w:val="bottom"/>
            <w:tcBorders>
              <w:top w:val="single" w:sz="8" w:color="582C83"/>
              <w:bottom w:val="single" w:sz="8" w:color="582C83"/>
            </w:tcBorders>
          </w:tcPr>
          <w:p>
            <w:pPr>
              <w:spacing w:after="0"/>
              <w:rPr>
                <w:sz w:val="24"/>
                <w:szCs w:val="24"/>
                <w:color w:val="auto"/>
              </w:rPr>
            </w:pPr>
          </w:p>
        </w:tc>
        <w:tc>
          <w:tcPr>
            <w:tcW w:w="6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(69)</w:t>
            </w:r>
          </w:p>
        </w:tc>
        <w:tc>
          <w:tcPr>
            <w:tcW w:w="400" w:type="dxa"/>
            <w:vAlign w:val="bottom"/>
            <w:tcBorders>
              <w:top w:val="single" w:sz="8" w:color="582C83"/>
              <w:bottom w:val="single" w:sz="8" w:color="582C83"/>
            </w:tcBorders>
          </w:tcPr>
          <w:p>
            <w:pPr>
              <w:spacing w:after="0"/>
              <w:rPr>
                <w:sz w:val="24"/>
                <w:szCs w:val="24"/>
                <w:color w:val="auto"/>
              </w:rPr>
            </w:pPr>
          </w:p>
        </w:tc>
        <w:tc>
          <w:tcPr>
            <w:tcW w:w="940" w:type="dxa"/>
            <w:vAlign w:val="bottom"/>
            <w:tcBorders>
              <w:top w:val="single" w:sz="8" w:color="582C83"/>
              <w:bottom w:val="single" w:sz="8" w:color="582C83"/>
            </w:tcBorders>
          </w:tcPr>
          <w:p>
            <w:pPr>
              <w:spacing w:after="0"/>
              <w:rPr>
                <w:sz w:val="24"/>
                <w:szCs w:val="24"/>
                <w:color w:val="auto"/>
              </w:rPr>
            </w:pPr>
          </w:p>
        </w:tc>
      </w:tr>
      <w:tr>
        <w:trPr>
          <w:trHeight w:val="315"/>
        </w:trPr>
        <w:tc>
          <w:tcPr>
            <w:tcW w:w="5880" w:type="dxa"/>
            <w:vAlign w:val="bottom"/>
            <w:tcBorders>
              <w:left w:val="single" w:sz="8" w:color="EBE6F0"/>
              <w:bottom w:val="single" w:sz="8" w:color="582C83"/>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Mark-to-market losses/(gains) from derivatives</w:t>
            </w:r>
            <w:r>
              <w:rPr>
                <w:rFonts w:ascii="Arial" w:cs="Arial" w:eastAsia="Arial" w:hAnsi="Arial"/>
                <w:sz w:val="26"/>
                <w:szCs w:val="26"/>
                <w:color w:val="auto"/>
                <w:vertAlign w:val="superscript"/>
              </w:rPr>
              <w:t>(2)</w:t>
            </w:r>
          </w:p>
        </w:tc>
        <w:tc>
          <w:tcPr>
            <w:tcW w:w="680" w:type="dxa"/>
            <w:vAlign w:val="bottom"/>
            <w:tcBorders>
              <w:bottom w:val="single" w:sz="8" w:color="582C83"/>
              <w:right w:val="single" w:sz="8" w:color="EBE6F0"/>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324</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(279)</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603</w:t>
            </w:r>
          </w:p>
        </w:tc>
        <w:tc>
          <w:tcPr>
            <w:tcW w:w="400" w:type="dxa"/>
            <w:vAlign w:val="bottom"/>
            <w:tcBorders>
              <w:bottom w:val="single" w:sz="8" w:color="582C83"/>
            </w:tcBorders>
            <w:shd w:val="clear" w:color="auto" w:fill="EBE6F0"/>
          </w:tcPr>
          <w:p>
            <w:pPr>
              <w:spacing w:after="0"/>
              <w:rPr>
                <w:sz w:val="24"/>
                <w:szCs w:val="24"/>
                <w:color w:val="auto"/>
              </w:rPr>
            </w:pPr>
          </w:p>
        </w:tc>
        <w:tc>
          <w:tcPr>
            <w:tcW w:w="940" w:type="dxa"/>
            <w:vAlign w:val="bottom"/>
            <w:tcBorders>
              <w:bottom w:val="single" w:sz="8" w:color="582C83"/>
              <w:right w:val="single" w:sz="8" w:color="EBE6F0"/>
            </w:tcBorders>
            <w:shd w:val="clear" w:color="auto" w:fill="EBE6F0"/>
          </w:tcPr>
          <w:p>
            <w:pPr>
              <w:spacing w:after="0"/>
              <w:rPr>
                <w:sz w:val="24"/>
                <w:szCs w:val="24"/>
                <w:color w:val="auto"/>
              </w:rPr>
            </w:pPr>
          </w:p>
        </w:tc>
      </w:tr>
      <w:tr>
        <w:trPr>
          <w:trHeight w:val="315"/>
        </w:trPr>
        <w:tc>
          <w:tcPr>
            <w:tcW w:w="5880" w:type="dxa"/>
            <w:vAlign w:val="bottom"/>
            <w:tcBorders>
              <w:bottom w:val="single" w:sz="8" w:color="582C83"/>
            </w:tcBorders>
          </w:tcPr>
          <w:p>
            <w:pPr>
              <w:ind w:left="60"/>
              <w:spacing w:after="0"/>
              <w:rPr>
                <w:sz w:val="20"/>
                <w:szCs w:val="20"/>
                <w:color w:val="auto"/>
              </w:rPr>
            </w:pPr>
            <w:r>
              <w:rPr>
                <w:rFonts w:ascii="Arial" w:cs="Arial" w:eastAsia="Arial" w:hAnsi="Arial"/>
                <w:sz w:val="16"/>
                <w:szCs w:val="16"/>
                <w:color w:val="auto"/>
              </w:rPr>
              <w:t>Acquisition integration costs and contingent consideration adjustments</w:t>
            </w:r>
            <w:r>
              <w:rPr>
                <w:rFonts w:ascii="Arial" w:cs="Arial" w:eastAsia="Arial" w:hAnsi="Arial"/>
                <w:sz w:val="26"/>
                <w:szCs w:val="26"/>
                <w:color w:val="auto"/>
                <w:vertAlign w:val="superscript"/>
              </w:rPr>
              <w:t>(3)</w:t>
            </w:r>
          </w:p>
        </w:tc>
        <w:tc>
          <w:tcPr>
            <w:tcW w:w="68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6</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1</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582C83"/>
            </w:tcBorders>
          </w:tcPr>
          <w:p>
            <w:pPr>
              <w:spacing w:after="0"/>
              <w:rPr>
                <w:sz w:val="24"/>
                <w:szCs w:val="24"/>
                <w:color w:val="auto"/>
              </w:rPr>
            </w:pPr>
          </w:p>
        </w:tc>
        <w:tc>
          <w:tcPr>
            <w:tcW w:w="940" w:type="dxa"/>
            <w:vAlign w:val="bottom"/>
            <w:tcBorders>
              <w:bottom w:val="single" w:sz="8" w:color="582C83"/>
            </w:tcBorders>
          </w:tcPr>
          <w:p>
            <w:pPr>
              <w:spacing w:after="0"/>
              <w:rPr>
                <w:sz w:val="24"/>
                <w:szCs w:val="24"/>
                <w:color w:val="auto"/>
              </w:rPr>
            </w:pPr>
          </w:p>
        </w:tc>
      </w:tr>
      <w:tr>
        <w:trPr>
          <w:trHeight w:val="315"/>
        </w:trPr>
        <w:tc>
          <w:tcPr>
            <w:tcW w:w="5880" w:type="dxa"/>
            <w:vAlign w:val="bottom"/>
            <w:tcBorders>
              <w:left w:val="single" w:sz="8" w:color="EBE6F0"/>
              <w:bottom w:val="single" w:sz="8" w:color="582C83"/>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Inventory step-up charges</w:t>
            </w:r>
            <w:r>
              <w:rPr>
                <w:rFonts w:ascii="Arial" w:cs="Arial" w:eastAsia="Arial" w:hAnsi="Arial"/>
                <w:sz w:val="26"/>
                <w:szCs w:val="26"/>
                <w:color w:val="auto"/>
                <w:vertAlign w:val="superscript"/>
              </w:rPr>
              <w:t>(3)</w:t>
            </w:r>
          </w:p>
        </w:tc>
        <w:tc>
          <w:tcPr>
            <w:tcW w:w="680" w:type="dxa"/>
            <w:vAlign w:val="bottom"/>
            <w:tcBorders>
              <w:bottom w:val="single" w:sz="8" w:color="582C83"/>
              <w:right w:val="single" w:sz="8" w:color="EBE6F0"/>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25</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25</w:t>
            </w:r>
          </w:p>
        </w:tc>
        <w:tc>
          <w:tcPr>
            <w:tcW w:w="400" w:type="dxa"/>
            <w:vAlign w:val="bottom"/>
            <w:tcBorders>
              <w:bottom w:val="single" w:sz="8" w:color="582C83"/>
            </w:tcBorders>
            <w:shd w:val="clear" w:color="auto" w:fill="EBE6F0"/>
          </w:tcPr>
          <w:p>
            <w:pPr>
              <w:spacing w:after="0"/>
              <w:rPr>
                <w:sz w:val="24"/>
                <w:szCs w:val="24"/>
                <w:color w:val="auto"/>
              </w:rPr>
            </w:pPr>
          </w:p>
        </w:tc>
        <w:tc>
          <w:tcPr>
            <w:tcW w:w="940" w:type="dxa"/>
            <w:vAlign w:val="bottom"/>
            <w:tcBorders>
              <w:bottom w:val="single" w:sz="8" w:color="582C83"/>
              <w:right w:val="single" w:sz="8" w:color="EBE6F0"/>
            </w:tcBorders>
            <w:shd w:val="clear" w:color="auto" w:fill="EBE6F0"/>
          </w:tcPr>
          <w:p>
            <w:pPr>
              <w:spacing w:after="0"/>
              <w:rPr>
                <w:sz w:val="24"/>
                <w:szCs w:val="24"/>
                <w:color w:val="auto"/>
              </w:rPr>
            </w:pPr>
          </w:p>
        </w:tc>
      </w:tr>
      <w:tr>
        <w:trPr>
          <w:trHeight w:val="315"/>
        </w:trPr>
        <w:tc>
          <w:tcPr>
            <w:tcW w:w="5880" w:type="dxa"/>
            <w:vAlign w:val="bottom"/>
            <w:tcBorders>
              <w:bottom w:val="single" w:sz="8" w:color="582C83"/>
            </w:tcBorders>
          </w:tcPr>
          <w:p>
            <w:pPr>
              <w:ind w:left="6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6"/>
                <w:szCs w:val="26"/>
                <w:color w:val="auto"/>
                <w:vertAlign w:val="superscript"/>
              </w:rPr>
              <w:t>(3)</w:t>
            </w:r>
          </w:p>
        </w:tc>
        <w:tc>
          <w:tcPr>
            <w:tcW w:w="68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72</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72</w:t>
            </w:r>
          </w:p>
        </w:tc>
        <w:tc>
          <w:tcPr>
            <w:tcW w:w="400" w:type="dxa"/>
            <w:vAlign w:val="bottom"/>
            <w:tcBorders>
              <w:bottom w:val="single" w:sz="8" w:color="582C83"/>
            </w:tcBorders>
          </w:tcPr>
          <w:p>
            <w:pPr>
              <w:spacing w:after="0"/>
              <w:rPr>
                <w:sz w:val="24"/>
                <w:szCs w:val="24"/>
                <w:color w:val="auto"/>
              </w:rPr>
            </w:pPr>
          </w:p>
        </w:tc>
        <w:tc>
          <w:tcPr>
            <w:tcW w:w="940" w:type="dxa"/>
            <w:vAlign w:val="bottom"/>
            <w:tcBorders>
              <w:bottom w:val="single" w:sz="8" w:color="582C83"/>
            </w:tcBorders>
          </w:tcPr>
          <w:p>
            <w:pPr>
              <w:spacing w:after="0"/>
              <w:rPr>
                <w:sz w:val="24"/>
                <w:szCs w:val="24"/>
                <w:color w:val="auto"/>
              </w:rPr>
            </w:pPr>
          </w:p>
        </w:tc>
      </w:tr>
      <w:tr>
        <w:trPr>
          <w:trHeight w:val="315"/>
        </w:trPr>
        <w:tc>
          <w:tcPr>
            <w:tcW w:w="5880" w:type="dxa"/>
            <w:vAlign w:val="bottom"/>
            <w:tcBorders>
              <w:left w:val="single" w:sz="8" w:color="EBE6F0"/>
              <w:bottom w:val="single" w:sz="8" w:color="582C83"/>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Divestiture-related costs</w:t>
            </w:r>
            <w:r>
              <w:rPr>
                <w:rFonts w:ascii="Arial" w:cs="Arial" w:eastAsia="Arial" w:hAnsi="Arial"/>
                <w:sz w:val="26"/>
                <w:szCs w:val="26"/>
                <w:color w:val="auto"/>
                <w:vertAlign w:val="superscript"/>
              </w:rPr>
              <w:t>(3)</w:t>
            </w:r>
          </w:p>
        </w:tc>
        <w:tc>
          <w:tcPr>
            <w:tcW w:w="680" w:type="dxa"/>
            <w:vAlign w:val="bottom"/>
            <w:tcBorders>
              <w:bottom w:val="single" w:sz="8" w:color="582C83"/>
              <w:right w:val="single" w:sz="8" w:color="EBE6F0"/>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w:t>
            </w:r>
          </w:p>
        </w:tc>
        <w:tc>
          <w:tcPr>
            <w:tcW w:w="400" w:type="dxa"/>
            <w:vAlign w:val="bottom"/>
            <w:tcBorders>
              <w:bottom w:val="single" w:sz="8" w:color="582C83"/>
            </w:tcBorders>
            <w:shd w:val="clear" w:color="auto" w:fill="EBE6F0"/>
          </w:tcPr>
          <w:p>
            <w:pPr>
              <w:spacing w:after="0"/>
              <w:rPr>
                <w:sz w:val="24"/>
                <w:szCs w:val="24"/>
                <w:color w:val="auto"/>
              </w:rPr>
            </w:pPr>
          </w:p>
        </w:tc>
        <w:tc>
          <w:tcPr>
            <w:tcW w:w="940" w:type="dxa"/>
            <w:vAlign w:val="bottom"/>
            <w:tcBorders>
              <w:bottom w:val="single" w:sz="8" w:color="582C83"/>
              <w:right w:val="single" w:sz="8" w:color="EBE6F0"/>
            </w:tcBorders>
            <w:shd w:val="clear" w:color="auto" w:fill="EBE6F0"/>
          </w:tcPr>
          <w:p>
            <w:pPr>
              <w:spacing w:after="0"/>
              <w:rPr>
                <w:sz w:val="24"/>
                <w:szCs w:val="24"/>
                <w:color w:val="auto"/>
              </w:rPr>
            </w:pPr>
          </w:p>
        </w:tc>
      </w:tr>
      <w:tr>
        <w:trPr>
          <w:trHeight w:val="315"/>
        </w:trPr>
        <w:tc>
          <w:tcPr>
            <w:tcW w:w="5880" w:type="dxa"/>
            <w:vAlign w:val="bottom"/>
            <w:tcBorders>
              <w:bottom w:val="single" w:sz="8" w:color="582C83"/>
            </w:tcBorders>
          </w:tcPr>
          <w:p>
            <w:pPr>
              <w:ind w:left="60"/>
              <w:spacing w:after="0"/>
              <w:rPr>
                <w:sz w:val="20"/>
                <w:szCs w:val="20"/>
                <w:color w:val="auto"/>
              </w:rPr>
            </w:pPr>
            <w:r>
              <w:rPr>
                <w:rFonts w:ascii="Arial" w:cs="Arial" w:eastAsia="Arial" w:hAnsi="Arial"/>
                <w:sz w:val="16"/>
                <w:szCs w:val="16"/>
                <w:color w:val="auto"/>
              </w:rPr>
              <w:t>Operating results from divestitures</w:t>
            </w:r>
            <w:r>
              <w:rPr>
                <w:rFonts w:ascii="Arial" w:cs="Arial" w:eastAsia="Arial" w:hAnsi="Arial"/>
                <w:sz w:val="26"/>
                <w:szCs w:val="26"/>
                <w:color w:val="auto"/>
                <w:vertAlign w:val="superscript"/>
              </w:rPr>
              <w:t>(3)</w:t>
            </w:r>
          </w:p>
        </w:tc>
        <w:tc>
          <w:tcPr>
            <w:tcW w:w="68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(3)</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(15)</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12</w:t>
            </w:r>
          </w:p>
        </w:tc>
        <w:tc>
          <w:tcPr>
            <w:tcW w:w="400" w:type="dxa"/>
            <w:vAlign w:val="bottom"/>
            <w:tcBorders>
              <w:bottom w:val="single" w:sz="8" w:color="582C83"/>
            </w:tcBorders>
          </w:tcPr>
          <w:p>
            <w:pPr>
              <w:spacing w:after="0"/>
              <w:rPr>
                <w:sz w:val="24"/>
                <w:szCs w:val="24"/>
                <w:color w:val="auto"/>
              </w:rPr>
            </w:pPr>
          </w:p>
        </w:tc>
        <w:tc>
          <w:tcPr>
            <w:tcW w:w="940" w:type="dxa"/>
            <w:vAlign w:val="bottom"/>
            <w:tcBorders>
              <w:bottom w:val="single" w:sz="8" w:color="582C83"/>
            </w:tcBorders>
          </w:tcPr>
          <w:p>
            <w:pPr>
              <w:spacing w:after="0"/>
              <w:rPr>
                <w:sz w:val="24"/>
                <w:szCs w:val="24"/>
                <w:color w:val="auto"/>
              </w:rPr>
            </w:pPr>
          </w:p>
        </w:tc>
      </w:tr>
      <w:tr>
        <w:trPr>
          <w:trHeight w:val="283"/>
        </w:trPr>
        <w:tc>
          <w:tcPr>
            <w:tcW w:w="588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2017 malware incident net recoveries</w:t>
            </w:r>
          </w:p>
        </w:tc>
        <w:tc>
          <w:tcPr>
            <w:tcW w:w="680" w:type="dxa"/>
            <w:vAlign w:val="bottom"/>
            <w:tcBorders>
              <w:bottom w:val="single" w:sz="8" w:color="EBE6F0"/>
              <w:right w:val="single" w:sz="8" w:color="EBE6F0"/>
            </w:tcBorders>
            <w:shd w:val="clear" w:color="auto" w:fill="EBE6F0"/>
          </w:tcPr>
          <w:p>
            <w:pPr>
              <w:spacing w:after="0"/>
              <w:rPr>
                <w:sz w:val="24"/>
                <w:szCs w:val="24"/>
                <w:color w:val="auto"/>
              </w:rPr>
            </w:pP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(25)</w:t>
            </w:r>
          </w:p>
        </w:tc>
        <w:tc>
          <w:tcPr>
            <w:tcW w:w="660" w:type="dxa"/>
            <w:vAlign w:val="bottom"/>
            <w:tcBorders>
              <w:bottom w:val="single" w:sz="8" w:color="EBE6F0"/>
            </w:tcBorders>
            <w:shd w:val="clear" w:color="auto" w:fill="EBE6F0"/>
          </w:tcPr>
          <w:p>
            <w:pPr>
              <w:spacing w:after="0"/>
              <w:rPr>
                <w:sz w:val="24"/>
                <w:szCs w:val="24"/>
                <w:color w:val="auto"/>
              </w:rPr>
            </w:pP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EBE6F0"/>
            </w:tcBorders>
            <w:shd w:val="clear" w:color="auto" w:fill="EBE6F0"/>
          </w:tcPr>
          <w:p>
            <w:pPr>
              <w:spacing w:after="0"/>
              <w:rPr>
                <w:sz w:val="24"/>
                <w:szCs w:val="24"/>
                <w:color w:val="auto"/>
              </w:rPr>
            </w:pP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(25)</w:t>
            </w:r>
          </w:p>
        </w:tc>
        <w:tc>
          <w:tcPr>
            <w:tcW w:w="400" w:type="dxa"/>
            <w:vAlign w:val="bottom"/>
            <w:tcBorders>
              <w:bottom w:val="single" w:sz="8" w:color="EBE6F0"/>
            </w:tcBorders>
            <w:shd w:val="clear" w:color="auto" w:fill="EBE6F0"/>
          </w:tcPr>
          <w:p>
            <w:pPr>
              <w:spacing w:after="0"/>
              <w:rPr>
                <w:sz w:val="24"/>
                <w:szCs w:val="24"/>
                <w:color w:val="auto"/>
              </w:rPr>
            </w:pPr>
          </w:p>
        </w:tc>
        <w:tc>
          <w:tcPr>
            <w:tcW w:w="940" w:type="dxa"/>
            <w:vAlign w:val="bottom"/>
            <w:tcBorders>
              <w:bottom w:val="single" w:sz="8" w:color="EBE6F0"/>
              <w:right w:val="single" w:sz="8" w:color="EBE6F0"/>
            </w:tcBorders>
            <w:shd w:val="clear" w:color="auto" w:fill="EBE6F0"/>
          </w:tcPr>
          <w:p>
            <w:pPr>
              <w:spacing w:after="0"/>
              <w:rPr>
                <w:sz w:val="24"/>
                <w:szCs w:val="24"/>
                <w:color w:val="auto"/>
              </w:rPr>
            </w:pPr>
          </w:p>
        </w:tc>
      </w:tr>
      <w:tr>
        <w:trPr>
          <w:trHeight w:val="315"/>
        </w:trPr>
        <w:tc>
          <w:tcPr>
            <w:tcW w:w="5880" w:type="dxa"/>
            <w:vAlign w:val="bottom"/>
            <w:tcBorders>
              <w:top w:val="single" w:sz="8" w:color="582C83"/>
              <w:bottom w:val="single" w:sz="8" w:color="582C83"/>
            </w:tcBorders>
          </w:tcPr>
          <w:p>
            <w:pPr>
              <w:ind w:left="60"/>
              <w:spacing w:after="0"/>
              <w:rPr>
                <w:sz w:val="20"/>
                <w:szCs w:val="20"/>
                <w:color w:val="auto"/>
              </w:rPr>
            </w:pPr>
            <w:r>
              <w:rPr>
                <w:rFonts w:ascii="Arial" w:cs="Arial" w:eastAsia="Arial" w:hAnsi="Arial"/>
                <w:sz w:val="16"/>
                <w:szCs w:val="16"/>
                <w:color w:val="auto"/>
              </w:rPr>
              <w:t>Incremental costs due to war in Ukraine</w:t>
            </w:r>
            <w:r>
              <w:rPr>
                <w:rFonts w:ascii="Arial" w:cs="Arial" w:eastAsia="Arial" w:hAnsi="Arial"/>
                <w:sz w:val="26"/>
                <w:szCs w:val="26"/>
                <w:color w:val="auto"/>
                <w:vertAlign w:val="superscript"/>
              </w:rPr>
              <w:t>(4)</w:t>
            </w:r>
          </w:p>
        </w:tc>
        <w:tc>
          <w:tcPr>
            <w:tcW w:w="680" w:type="dxa"/>
            <w:vAlign w:val="bottom"/>
            <w:tcBorders>
              <w:top w:val="single" w:sz="8" w:color="582C83"/>
              <w:bottom w:val="single" w:sz="8" w:color="582C83"/>
            </w:tcBorders>
          </w:tcPr>
          <w:p>
            <w:pPr>
              <w:spacing w:after="0"/>
              <w:rPr>
                <w:sz w:val="24"/>
                <w:szCs w:val="24"/>
                <w:color w:val="auto"/>
              </w:rPr>
            </w:pPr>
          </w:p>
        </w:tc>
        <w:tc>
          <w:tcPr>
            <w:tcW w:w="6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36</w:t>
            </w:r>
          </w:p>
        </w:tc>
        <w:tc>
          <w:tcPr>
            <w:tcW w:w="660" w:type="dxa"/>
            <w:vAlign w:val="bottom"/>
            <w:tcBorders>
              <w:top w:val="single" w:sz="8" w:color="582C83"/>
              <w:bottom w:val="single" w:sz="8" w:color="582C83"/>
            </w:tcBorders>
          </w:tcPr>
          <w:p>
            <w:pPr>
              <w:spacing w:after="0"/>
              <w:rPr>
                <w:sz w:val="24"/>
                <w:szCs w:val="24"/>
                <w:color w:val="auto"/>
              </w:rPr>
            </w:pPr>
          </w:p>
        </w:tc>
        <w:tc>
          <w:tcPr>
            <w:tcW w:w="6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582C83"/>
              <w:bottom w:val="single" w:sz="8" w:color="582C83"/>
            </w:tcBorders>
          </w:tcPr>
          <w:p>
            <w:pPr>
              <w:spacing w:after="0"/>
              <w:rPr>
                <w:sz w:val="24"/>
                <w:szCs w:val="24"/>
                <w:color w:val="auto"/>
              </w:rPr>
            </w:pPr>
          </w:p>
        </w:tc>
        <w:tc>
          <w:tcPr>
            <w:tcW w:w="6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36</w:t>
            </w:r>
          </w:p>
        </w:tc>
        <w:tc>
          <w:tcPr>
            <w:tcW w:w="400" w:type="dxa"/>
            <w:vAlign w:val="bottom"/>
            <w:tcBorders>
              <w:top w:val="single" w:sz="8" w:color="582C83"/>
              <w:bottom w:val="single" w:sz="8" w:color="582C83"/>
            </w:tcBorders>
          </w:tcPr>
          <w:p>
            <w:pPr>
              <w:spacing w:after="0"/>
              <w:rPr>
                <w:sz w:val="24"/>
                <w:szCs w:val="24"/>
                <w:color w:val="auto"/>
              </w:rPr>
            </w:pPr>
          </w:p>
        </w:tc>
        <w:tc>
          <w:tcPr>
            <w:tcW w:w="940" w:type="dxa"/>
            <w:vAlign w:val="bottom"/>
            <w:tcBorders>
              <w:top w:val="single" w:sz="8" w:color="582C83"/>
              <w:bottom w:val="single" w:sz="8" w:color="582C83"/>
            </w:tcBorders>
          </w:tcPr>
          <w:p>
            <w:pPr>
              <w:spacing w:after="0"/>
              <w:rPr>
                <w:sz w:val="24"/>
                <w:szCs w:val="24"/>
                <w:color w:val="auto"/>
              </w:rPr>
            </w:pPr>
          </w:p>
        </w:tc>
      </w:tr>
      <w:tr>
        <w:trPr>
          <w:trHeight w:val="315"/>
        </w:trPr>
        <w:tc>
          <w:tcPr>
            <w:tcW w:w="5880" w:type="dxa"/>
            <w:vAlign w:val="bottom"/>
            <w:tcBorders>
              <w:left w:val="single" w:sz="8" w:color="EBE6F0"/>
              <w:bottom w:val="single" w:sz="8" w:color="582C83"/>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Impact from pension participation changes</w:t>
            </w:r>
            <w:r>
              <w:rPr>
                <w:rFonts w:ascii="Arial" w:cs="Arial" w:eastAsia="Arial" w:hAnsi="Arial"/>
                <w:sz w:val="26"/>
                <w:szCs w:val="26"/>
                <w:color w:val="auto"/>
                <w:vertAlign w:val="superscript"/>
              </w:rPr>
              <w:t>(5)</w:t>
            </w:r>
          </w:p>
        </w:tc>
        <w:tc>
          <w:tcPr>
            <w:tcW w:w="680" w:type="dxa"/>
            <w:vAlign w:val="bottom"/>
            <w:tcBorders>
              <w:bottom w:val="single" w:sz="8" w:color="582C83"/>
              <w:right w:val="single" w:sz="8" w:color="EBE6F0"/>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20</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(21)</w:t>
            </w:r>
          </w:p>
        </w:tc>
        <w:tc>
          <w:tcPr>
            <w:tcW w:w="400" w:type="dxa"/>
            <w:vAlign w:val="bottom"/>
            <w:tcBorders>
              <w:bottom w:val="single" w:sz="8" w:color="582C83"/>
            </w:tcBorders>
            <w:shd w:val="clear" w:color="auto" w:fill="EBE6F0"/>
          </w:tcPr>
          <w:p>
            <w:pPr>
              <w:spacing w:after="0"/>
              <w:rPr>
                <w:sz w:val="24"/>
                <w:szCs w:val="24"/>
                <w:color w:val="auto"/>
              </w:rPr>
            </w:pPr>
          </w:p>
        </w:tc>
        <w:tc>
          <w:tcPr>
            <w:tcW w:w="940" w:type="dxa"/>
            <w:vAlign w:val="bottom"/>
            <w:tcBorders>
              <w:bottom w:val="single" w:sz="8" w:color="582C83"/>
              <w:right w:val="single" w:sz="8" w:color="EBE6F0"/>
            </w:tcBorders>
            <w:shd w:val="clear" w:color="auto" w:fill="EBE6F0"/>
          </w:tcPr>
          <w:p>
            <w:pPr>
              <w:spacing w:after="0"/>
              <w:rPr>
                <w:sz w:val="24"/>
                <w:szCs w:val="24"/>
                <w:color w:val="auto"/>
              </w:rPr>
            </w:pPr>
          </w:p>
        </w:tc>
      </w:tr>
      <w:tr>
        <w:trPr>
          <w:trHeight w:val="243"/>
        </w:trPr>
        <w:tc>
          <w:tcPr>
            <w:tcW w:w="5880" w:type="dxa"/>
            <w:vAlign w:val="bottom"/>
          </w:tcPr>
          <w:p>
            <w:pPr>
              <w:ind w:left="60"/>
              <w:spacing w:after="0"/>
              <w:rPr>
                <w:sz w:val="20"/>
                <w:szCs w:val="20"/>
                <w:color w:val="auto"/>
              </w:rPr>
            </w:pPr>
            <w:r>
              <w:rPr>
                <w:rFonts w:ascii="Arial" w:cs="Arial" w:eastAsia="Arial" w:hAnsi="Arial"/>
                <w:sz w:val="16"/>
                <w:szCs w:val="16"/>
                <w:color w:val="auto"/>
              </w:rPr>
              <w:t>Other/Rounding</w:t>
            </w:r>
          </w:p>
        </w:tc>
        <w:tc>
          <w:tcPr>
            <w:tcW w:w="6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35"/>
        </w:trPr>
        <w:tc>
          <w:tcPr>
            <w:tcW w:w="588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66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66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400" w:type="dxa"/>
            <w:vAlign w:val="bottom"/>
            <w:tcBorders>
              <w:bottom w:val="single" w:sz="8" w:color="582C83"/>
            </w:tcBorders>
          </w:tcPr>
          <w:p>
            <w:pPr>
              <w:spacing w:after="0"/>
              <w:rPr>
                <w:sz w:val="3"/>
                <w:szCs w:val="3"/>
                <w:color w:val="auto"/>
              </w:rPr>
            </w:pPr>
          </w:p>
        </w:tc>
        <w:tc>
          <w:tcPr>
            <w:tcW w:w="940" w:type="dxa"/>
            <w:vAlign w:val="bottom"/>
            <w:tcBorders>
              <w:bottom w:val="single" w:sz="8" w:color="582C83"/>
            </w:tcBorders>
          </w:tcPr>
          <w:p>
            <w:pPr>
              <w:spacing w:after="0"/>
              <w:rPr>
                <w:sz w:val="3"/>
                <w:szCs w:val="3"/>
                <w:color w:val="auto"/>
              </w:rPr>
            </w:pPr>
          </w:p>
        </w:tc>
      </w:tr>
      <w:tr>
        <w:trPr>
          <w:trHeight w:val="283"/>
        </w:trPr>
        <w:tc>
          <w:tcPr>
            <w:tcW w:w="588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Adjusted (Non-GAAP)</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11,794</w:t>
            </w:r>
          </w:p>
        </w:tc>
        <w:tc>
          <w:tcPr>
            <w:tcW w:w="6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11,096</w:t>
            </w:r>
          </w:p>
        </w:tc>
        <w:tc>
          <w:tcPr>
            <w:tcW w:w="6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698</w:t>
            </w:r>
          </w:p>
        </w:tc>
        <w:tc>
          <w:tcPr>
            <w:tcW w:w="400" w:type="dxa"/>
            <w:vAlign w:val="bottom"/>
            <w:tcBorders>
              <w:bottom w:val="single" w:sz="8" w:color="EBE6F0"/>
            </w:tcBorders>
            <w:shd w:val="clear" w:color="auto" w:fill="EBE6F0"/>
          </w:tcPr>
          <w:p>
            <w:pPr>
              <w:spacing w:after="0"/>
              <w:rPr>
                <w:sz w:val="24"/>
                <w:szCs w:val="24"/>
                <w:color w:val="auto"/>
              </w:rPr>
            </w:pPr>
          </w:p>
        </w:tc>
        <w:tc>
          <w:tcPr>
            <w:tcW w:w="9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6.3%</w:t>
            </w:r>
          </w:p>
        </w:tc>
      </w:tr>
      <w:tr>
        <w:trPr>
          <w:trHeight w:val="243"/>
        </w:trPr>
        <w:tc>
          <w:tcPr>
            <w:tcW w:w="588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Impact of unfavorable currency</w:t>
            </w:r>
          </w:p>
        </w:tc>
        <w:tc>
          <w:tcPr>
            <w:tcW w:w="680" w:type="dxa"/>
            <w:vAlign w:val="bottom"/>
            <w:tcBorders>
              <w:top w:val="single" w:sz="8" w:color="582C83"/>
            </w:tcBorders>
          </w:tcPr>
          <w:p>
            <w:pPr>
              <w:spacing w:after="0"/>
              <w:rPr>
                <w:sz w:val="21"/>
                <w:szCs w:val="21"/>
                <w:color w:val="auto"/>
              </w:rPr>
            </w:pPr>
          </w:p>
        </w:tc>
        <w:tc>
          <w:tcPr>
            <w:tcW w:w="6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664</w:t>
            </w:r>
          </w:p>
        </w:tc>
        <w:tc>
          <w:tcPr>
            <w:tcW w:w="660" w:type="dxa"/>
            <w:vAlign w:val="bottom"/>
            <w:tcBorders>
              <w:top w:val="single" w:sz="8" w:color="582C83"/>
            </w:tcBorders>
          </w:tcPr>
          <w:p>
            <w:pPr>
              <w:spacing w:after="0"/>
              <w:rPr>
                <w:sz w:val="21"/>
                <w:szCs w:val="21"/>
                <w:color w:val="auto"/>
              </w:rPr>
            </w:pPr>
          </w:p>
        </w:tc>
        <w:tc>
          <w:tcPr>
            <w:tcW w:w="6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582C83"/>
            </w:tcBorders>
          </w:tcPr>
          <w:p>
            <w:pPr>
              <w:spacing w:after="0"/>
              <w:rPr>
                <w:sz w:val="21"/>
                <w:szCs w:val="21"/>
                <w:color w:val="auto"/>
              </w:rPr>
            </w:pPr>
          </w:p>
        </w:tc>
        <w:tc>
          <w:tcPr>
            <w:tcW w:w="6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664</w:t>
            </w:r>
          </w:p>
        </w:tc>
        <w:tc>
          <w:tcPr>
            <w:tcW w:w="400" w:type="dxa"/>
            <w:vAlign w:val="bottom"/>
            <w:tcBorders>
              <w:top w:val="single" w:sz="8" w:color="582C83"/>
            </w:tcBorders>
          </w:tcPr>
          <w:p>
            <w:pPr>
              <w:spacing w:after="0"/>
              <w:rPr>
                <w:sz w:val="21"/>
                <w:szCs w:val="21"/>
                <w:color w:val="auto"/>
              </w:rPr>
            </w:pPr>
          </w:p>
        </w:tc>
        <w:tc>
          <w:tcPr>
            <w:tcW w:w="940" w:type="dxa"/>
            <w:vAlign w:val="bottom"/>
            <w:tcBorders>
              <w:top w:val="single" w:sz="8" w:color="582C83"/>
            </w:tcBorders>
          </w:tcPr>
          <w:p>
            <w:pPr>
              <w:spacing w:after="0"/>
              <w:rPr>
                <w:sz w:val="21"/>
                <w:szCs w:val="21"/>
                <w:color w:val="auto"/>
              </w:rPr>
            </w:pPr>
          </w:p>
        </w:tc>
      </w:tr>
      <w:tr>
        <w:trPr>
          <w:trHeight w:val="35"/>
        </w:trPr>
        <w:tc>
          <w:tcPr>
            <w:tcW w:w="588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66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66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400" w:type="dxa"/>
            <w:vAlign w:val="bottom"/>
            <w:tcBorders>
              <w:bottom w:val="single" w:sz="8" w:color="582C83"/>
            </w:tcBorders>
          </w:tcPr>
          <w:p>
            <w:pPr>
              <w:spacing w:after="0"/>
              <w:rPr>
                <w:sz w:val="3"/>
                <w:szCs w:val="3"/>
                <w:color w:val="auto"/>
              </w:rPr>
            </w:pPr>
          </w:p>
        </w:tc>
        <w:tc>
          <w:tcPr>
            <w:tcW w:w="940" w:type="dxa"/>
            <w:vAlign w:val="bottom"/>
            <w:tcBorders>
              <w:bottom w:val="single" w:sz="8" w:color="582C83"/>
            </w:tcBorders>
          </w:tcPr>
          <w:p>
            <w:pPr>
              <w:spacing w:after="0"/>
              <w:rPr>
                <w:sz w:val="3"/>
                <w:szCs w:val="3"/>
                <w:color w:val="auto"/>
              </w:rPr>
            </w:pPr>
          </w:p>
        </w:tc>
      </w:tr>
      <w:tr>
        <w:trPr>
          <w:trHeight w:val="258"/>
        </w:trPr>
        <w:tc>
          <w:tcPr>
            <w:tcW w:w="588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Adjusted @ Constant FX (Non-GAAP)</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12,458</w:t>
            </w:r>
          </w:p>
        </w:tc>
        <w:tc>
          <w:tcPr>
            <w:tcW w:w="6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11,096</w:t>
            </w:r>
          </w:p>
        </w:tc>
        <w:tc>
          <w:tcPr>
            <w:tcW w:w="6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1,362</w:t>
            </w:r>
          </w:p>
        </w:tc>
        <w:tc>
          <w:tcPr>
            <w:tcW w:w="400" w:type="dxa"/>
            <w:vAlign w:val="bottom"/>
            <w:tcBorders>
              <w:bottom w:val="single" w:sz="8" w:color="EBE6F0"/>
            </w:tcBorders>
            <w:shd w:val="clear" w:color="auto" w:fill="EBE6F0"/>
          </w:tcPr>
          <w:p>
            <w:pPr>
              <w:spacing w:after="0"/>
              <w:rPr>
                <w:sz w:val="22"/>
                <w:szCs w:val="22"/>
                <w:color w:val="auto"/>
              </w:rPr>
            </w:pPr>
          </w:p>
        </w:tc>
        <w:tc>
          <w:tcPr>
            <w:tcW w:w="9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12.3%</w:t>
            </w:r>
          </w:p>
        </w:tc>
      </w:tr>
      <w:tr>
        <w:trPr>
          <w:trHeight w:val="20"/>
        </w:trPr>
        <w:tc>
          <w:tcPr>
            <w:tcW w:w="5880" w:type="dxa"/>
            <w:vAlign w:val="bottom"/>
            <w:tcBorders>
              <w:left w:val="single" w:sz="8" w:color="EBE6F0"/>
              <w:right w:val="single" w:sz="8" w:color="EBE6F0"/>
            </w:tcBorders>
            <w:shd w:val="clear" w:color="auto" w:fill="582C83"/>
          </w:tcPr>
          <w:p>
            <w:pPr>
              <w:spacing w:after="0" w:line="20" w:lineRule="exact"/>
              <w:rPr>
                <w:sz w:val="1"/>
                <w:szCs w:val="1"/>
                <w:color w:val="auto"/>
              </w:rPr>
            </w:pPr>
          </w:p>
        </w:tc>
        <w:tc>
          <w:tcPr>
            <w:tcW w:w="680" w:type="dxa"/>
            <w:vAlign w:val="bottom"/>
            <w:tcBorders>
              <w:right w:val="single" w:sz="8" w:color="EBE6F0"/>
            </w:tcBorders>
            <w:shd w:val="clear" w:color="auto" w:fill="582C83"/>
          </w:tcPr>
          <w:p>
            <w:pPr>
              <w:spacing w:after="0" w:line="20" w:lineRule="exact"/>
              <w:rPr>
                <w:sz w:val="1"/>
                <w:szCs w:val="1"/>
                <w:color w:val="auto"/>
              </w:rPr>
            </w:pPr>
          </w:p>
        </w:tc>
        <w:tc>
          <w:tcPr>
            <w:tcW w:w="680" w:type="dxa"/>
            <w:vAlign w:val="bottom"/>
            <w:tcBorders>
              <w:right w:val="single" w:sz="8" w:color="EBE6F0"/>
            </w:tcBorders>
            <w:shd w:val="clear" w:color="auto" w:fill="582C83"/>
          </w:tcPr>
          <w:p>
            <w:pPr>
              <w:spacing w:after="0" w:line="20" w:lineRule="exact"/>
              <w:rPr>
                <w:sz w:val="1"/>
                <w:szCs w:val="1"/>
                <w:color w:val="auto"/>
              </w:rPr>
            </w:pPr>
          </w:p>
        </w:tc>
        <w:tc>
          <w:tcPr>
            <w:tcW w:w="660" w:type="dxa"/>
            <w:vAlign w:val="bottom"/>
            <w:shd w:val="clear" w:color="auto" w:fill="582C83"/>
          </w:tcPr>
          <w:p>
            <w:pPr>
              <w:spacing w:after="0" w:line="20" w:lineRule="exact"/>
              <w:rPr>
                <w:sz w:val="1"/>
                <w:szCs w:val="1"/>
                <w:color w:val="auto"/>
              </w:rPr>
            </w:pPr>
          </w:p>
        </w:tc>
        <w:tc>
          <w:tcPr>
            <w:tcW w:w="680" w:type="dxa"/>
            <w:vAlign w:val="bottom"/>
            <w:tcBorders>
              <w:right w:val="single" w:sz="8" w:color="EBE6F0"/>
            </w:tcBorders>
            <w:shd w:val="clear" w:color="auto" w:fill="582C83"/>
          </w:tcPr>
          <w:p>
            <w:pPr>
              <w:spacing w:after="0" w:line="20" w:lineRule="exact"/>
              <w:rPr>
                <w:sz w:val="1"/>
                <w:szCs w:val="1"/>
                <w:color w:val="auto"/>
              </w:rPr>
            </w:pPr>
          </w:p>
        </w:tc>
        <w:tc>
          <w:tcPr>
            <w:tcW w:w="660" w:type="dxa"/>
            <w:vAlign w:val="bottom"/>
            <w:shd w:val="clear" w:color="auto" w:fill="582C83"/>
          </w:tcPr>
          <w:p>
            <w:pPr>
              <w:spacing w:after="0" w:line="20" w:lineRule="exact"/>
              <w:rPr>
                <w:sz w:val="1"/>
                <w:szCs w:val="1"/>
                <w:color w:val="auto"/>
              </w:rPr>
            </w:pPr>
          </w:p>
        </w:tc>
        <w:tc>
          <w:tcPr>
            <w:tcW w:w="680" w:type="dxa"/>
            <w:vAlign w:val="bottom"/>
            <w:tcBorders>
              <w:right w:val="single" w:sz="8" w:color="EBE6F0"/>
            </w:tcBorders>
            <w:shd w:val="clear" w:color="auto" w:fill="582C83"/>
          </w:tcPr>
          <w:p>
            <w:pPr>
              <w:spacing w:after="0" w:line="20" w:lineRule="exact"/>
              <w:rPr>
                <w:sz w:val="1"/>
                <w:szCs w:val="1"/>
                <w:color w:val="auto"/>
              </w:rPr>
            </w:pPr>
          </w:p>
        </w:tc>
        <w:tc>
          <w:tcPr>
            <w:tcW w:w="400" w:type="dxa"/>
            <w:vAlign w:val="bottom"/>
            <w:shd w:val="clear" w:color="auto" w:fill="582C83"/>
          </w:tcPr>
          <w:p>
            <w:pPr>
              <w:spacing w:after="0" w:line="20" w:lineRule="exact"/>
              <w:rPr>
                <w:sz w:val="1"/>
                <w:szCs w:val="1"/>
                <w:color w:val="auto"/>
              </w:rPr>
            </w:pPr>
          </w:p>
        </w:tc>
        <w:tc>
          <w:tcPr>
            <w:tcW w:w="940" w:type="dxa"/>
            <w:vAlign w:val="bottom"/>
            <w:tcBorders>
              <w:right w:val="single" w:sz="8" w:color="EBE6F0"/>
            </w:tcBorders>
            <w:shd w:val="clear" w:color="auto" w:fill="582C83"/>
          </w:tcPr>
          <w:p>
            <w:pPr>
              <w:spacing w:after="0" w:line="20" w:lineRule="exact"/>
              <w:rPr>
                <w:sz w:val="1"/>
                <w:szCs w:val="1"/>
                <w:color w:val="auto"/>
              </w:rPr>
            </w:pPr>
          </w:p>
        </w:tc>
      </w:tr>
    </w:tbl>
    <w:p>
      <w:pPr>
        <w:spacing w:after="0" w:line="75" w:lineRule="exact"/>
        <w:rPr>
          <w:sz w:val="20"/>
          <w:szCs w:val="20"/>
          <w:color w:val="auto"/>
        </w:rPr>
      </w:pPr>
    </w:p>
    <w:p>
      <w:pPr>
        <w:ind w:left="380" w:hanging="319"/>
        <w:spacing w:after="0"/>
        <w:tabs>
          <w:tab w:leader="none" w:pos="3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Refer to Note 8, </w:t>
      </w:r>
      <w:r>
        <w:rPr>
          <w:rFonts w:ascii="Arial" w:cs="Arial" w:eastAsia="Arial" w:hAnsi="Arial"/>
          <w:sz w:val="15"/>
          <w:szCs w:val="15"/>
          <w:i w:val="1"/>
          <w:iCs w:val="1"/>
          <w:color w:val="auto"/>
        </w:rPr>
        <w:t>Restructuring Program</w:t>
      </w:r>
      <w:r>
        <w:rPr>
          <w:rFonts w:ascii="Arial" w:cs="Arial" w:eastAsia="Arial" w:hAnsi="Arial"/>
          <w:sz w:val="15"/>
          <w:szCs w:val="15"/>
          <w:color w:val="auto"/>
        </w:rPr>
        <w:t>, to the consolidated financial statements in the 2022 Form 10-K for more information.</w:t>
      </w:r>
    </w:p>
    <w:p>
      <w:pPr>
        <w:spacing w:after="0" w:line="38" w:lineRule="exact"/>
        <w:rPr>
          <w:rFonts w:ascii="Arial" w:cs="Arial" w:eastAsia="Arial" w:hAnsi="Arial"/>
          <w:sz w:val="15"/>
          <w:szCs w:val="15"/>
          <w:color w:val="auto"/>
        </w:rPr>
      </w:pPr>
    </w:p>
    <w:p>
      <w:pPr>
        <w:ind w:left="380" w:right="220" w:hanging="319"/>
        <w:spacing w:after="0" w:line="267" w:lineRule="auto"/>
        <w:tabs>
          <w:tab w:leader="none" w:pos="3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Refer to Note 10, </w:t>
      </w:r>
      <w:r>
        <w:rPr>
          <w:rFonts w:ascii="Arial" w:cs="Arial" w:eastAsia="Arial" w:hAnsi="Arial"/>
          <w:sz w:val="15"/>
          <w:szCs w:val="15"/>
          <w:i w:val="1"/>
          <w:iCs w:val="1"/>
          <w:color w:val="auto"/>
        </w:rPr>
        <w:t>Financial Instruments</w:t>
      </w:r>
      <w:r>
        <w:rPr>
          <w:rFonts w:ascii="Arial" w:cs="Arial" w:eastAsia="Arial" w:hAnsi="Arial"/>
          <w:sz w:val="15"/>
          <w:szCs w:val="15"/>
          <w:color w:val="auto"/>
        </w:rPr>
        <w:t xml:space="preserve">, and Note 18, </w:t>
      </w:r>
      <w:r>
        <w:rPr>
          <w:rFonts w:ascii="Arial" w:cs="Arial" w:eastAsia="Arial" w:hAnsi="Arial"/>
          <w:sz w:val="15"/>
          <w:szCs w:val="15"/>
          <w:i w:val="1"/>
          <w:iCs w:val="1"/>
          <w:color w:val="auto"/>
        </w:rPr>
        <w:t>Segment Reporting</w:t>
      </w:r>
      <w:r>
        <w:rPr>
          <w:rFonts w:ascii="Arial" w:cs="Arial" w:eastAsia="Arial" w:hAnsi="Arial"/>
          <w:sz w:val="15"/>
          <w:szCs w:val="15"/>
          <w:color w:val="auto"/>
        </w:rPr>
        <w:t>, to the consolidated financial statements in the 2022 Form 10-K for more information on the unrealized gains and losses on commodity and forecasted currency transaction derivatives.</w:t>
      </w:r>
    </w:p>
    <w:p>
      <w:pPr>
        <w:spacing w:after="0" w:line="1" w:lineRule="exact"/>
        <w:rPr>
          <w:rFonts w:ascii="Arial" w:cs="Arial" w:eastAsia="Arial" w:hAnsi="Arial"/>
          <w:sz w:val="15"/>
          <w:szCs w:val="15"/>
          <w:color w:val="auto"/>
        </w:rPr>
      </w:pPr>
    </w:p>
    <w:p>
      <w:pPr>
        <w:ind w:left="380" w:hanging="319"/>
        <w:spacing w:after="0"/>
        <w:tabs>
          <w:tab w:leader="none" w:pos="3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Refer to Note 2, </w:t>
      </w:r>
      <w:r>
        <w:rPr>
          <w:rFonts w:ascii="Arial" w:cs="Arial" w:eastAsia="Arial" w:hAnsi="Arial"/>
          <w:sz w:val="15"/>
          <w:szCs w:val="15"/>
          <w:i w:val="1"/>
          <w:iCs w:val="1"/>
          <w:color w:val="auto"/>
        </w:rPr>
        <w:t>Acquisitions and Divestitures</w:t>
      </w:r>
      <w:r>
        <w:rPr>
          <w:rFonts w:ascii="Arial" w:cs="Arial" w:eastAsia="Arial" w:hAnsi="Arial"/>
          <w:sz w:val="15"/>
          <w:szCs w:val="15"/>
          <w:color w:val="auto"/>
        </w:rPr>
        <w:t>, to the consolidated financial statements in the 2022 Form 10-K for more information on acquisitions and divestitures.</w:t>
      </w:r>
    </w:p>
    <w:p>
      <w:pPr>
        <w:spacing w:after="0" w:line="38" w:lineRule="exact"/>
        <w:rPr>
          <w:rFonts w:ascii="Arial" w:cs="Arial" w:eastAsia="Arial" w:hAnsi="Arial"/>
          <w:sz w:val="15"/>
          <w:szCs w:val="15"/>
          <w:color w:val="auto"/>
        </w:rPr>
      </w:pPr>
    </w:p>
    <w:p>
      <w:pPr>
        <w:ind w:left="380" w:hanging="319"/>
        <w:spacing w:after="0"/>
        <w:tabs>
          <w:tab w:leader="none" w:pos="3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Refer to Note 1, </w:t>
      </w:r>
      <w:r>
        <w:rPr>
          <w:rFonts w:ascii="Arial" w:cs="Arial" w:eastAsia="Arial" w:hAnsi="Arial"/>
          <w:sz w:val="15"/>
          <w:szCs w:val="15"/>
          <w:i w:val="1"/>
          <w:iCs w:val="1"/>
          <w:color w:val="auto"/>
        </w:rPr>
        <w:t>Summary of Significant Accounting Policies – War in Ukraine,</w:t>
      </w:r>
      <w:r>
        <w:rPr>
          <w:rFonts w:ascii="Arial" w:cs="Arial" w:eastAsia="Arial" w:hAnsi="Arial"/>
          <w:sz w:val="15"/>
          <w:szCs w:val="15"/>
          <w:color w:val="auto"/>
        </w:rPr>
        <w:t xml:space="preserve"> to the consolidated financial statements in the 2022 Form 10-K for more information.</w:t>
      </w:r>
    </w:p>
    <w:p>
      <w:pPr>
        <w:spacing w:after="0" w:line="38" w:lineRule="exact"/>
        <w:rPr>
          <w:rFonts w:ascii="Arial" w:cs="Arial" w:eastAsia="Arial" w:hAnsi="Arial"/>
          <w:sz w:val="15"/>
          <w:szCs w:val="15"/>
          <w:color w:val="auto"/>
        </w:rPr>
      </w:pPr>
    </w:p>
    <w:p>
      <w:pPr>
        <w:ind w:left="380" w:hanging="319"/>
        <w:spacing w:after="0"/>
        <w:tabs>
          <w:tab w:leader="none" w:pos="3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Refer to Note 11, </w:t>
      </w:r>
      <w:r>
        <w:rPr>
          <w:rFonts w:ascii="Arial" w:cs="Arial" w:eastAsia="Arial" w:hAnsi="Arial"/>
          <w:sz w:val="15"/>
          <w:szCs w:val="15"/>
          <w:i w:val="1"/>
          <w:iCs w:val="1"/>
          <w:color w:val="auto"/>
        </w:rPr>
        <w:t>Benefit Plans</w:t>
      </w:r>
      <w:r>
        <w:rPr>
          <w:rFonts w:ascii="Arial" w:cs="Arial" w:eastAsia="Arial" w:hAnsi="Arial"/>
          <w:sz w:val="15"/>
          <w:szCs w:val="15"/>
          <w:color w:val="auto"/>
        </w:rPr>
        <w:t>, to the consolidated financial statements in the 2021 Form 10-K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253365</wp:posOffset>
            </wp:positionV>
            <wp:extent cx="7143115" cy="762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8980"/>
        <w:spacing w:after="0"/>
        <w:rPr>
          <w:sz w:val="20"/>
          <w:szCs w:val="20"/>
          <w:color w:val="auto"/>
        </w:rPr>
      </w:pPr>
      <w:r>
        <w:rPr>
          <w:rFonts w:ascii="Arial" w:cs="Arial" w:eastAsia="Arial" w:hAnsi="Arial"/>
          <w:sz w:val="15"/>
          <w:szCs w:val="15"/>
          <w:b w:val="1"/>
          <w:bCs w:val="1"/>
          <w:color w:val="58358F"/>
        </w:rPr>
        <w:t>2023 PROXY STATEMENT |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50" w:name="page151"/>
    <w:bookmarkEnd w:id="150"/>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99"/>
        </w:trPr>
        <w:tc>
          <w:tcPr>
            <w:tcW w:w="5880" w:type="dxa"/>
            <w:vAlign w:val="bottom"/>
          </w:tcPr>
          <w:p>
            <w:pPr>
              <w:ind w:left="60"/>
              <w:spacing w:after="0"/>
              <w:rPr>
                <w:sz w:val="20"/>
                <w:szCs w:val="20"/>
                <w:color w:val="auto"/>
              </w:rPr>
            </w:pPr>
            <w:r>
              <w:rPr>
                <w:rFonts w:ascii="Arial" w:cs="Arial" w:eastAsia="Arial" w:hAnsi="Arial"/>
                <w:sz w:val="16"/>
                <w:szCs w:val="16"/>
                <w:b w:val="1"/>
                <w:bCs w:val="1"/>
                <w:color w:val="auto"/>
              </w:rPr>
              <w:t>Diluted EPS to Adjusted EPS</w:t>
            </w:r>
            <w:r>
              <w:rPr>
                <w:rFonts w:ascii="Arial" w:cs="Arial" w:eastAsia="Arial" w:hAnsi="Arial"/>
                <w:sz w:val="26"/>
                <w:szCs w:val="26"/>
                <w:b w:val="1"/>
                <w:bCs w:val="1"/>
                <w:color w:val="auto"/>
                <w:vertAlign w:val="superscript"/>
              </w:rPr>
              <w:t>(1)</w:t>
            </w:r>
          </w:p>
        </w:tc>
        <w:tc>
          <w:tcPr>
            <w:tcW w:w="680" w:type="dxa"/>
            <w:vAlign w:val="bottom"/>
            <w:tcBorders>
              <w:bottom w:val="single" w:sz="8" w:color="582C83"/>
            </w:tcBorders>
          </w:tcPr>
          <w:p>
            <w:pPr>
              <w:spacing w:after="0"/>
              <w:rPr>
                <w:sz w:val="24"/>
                <w:szCs w:val="24"/>
                <w:color w:val="auto"/>
              </w:rPr>
            </w:pPr>
          </w:p>
        </w:tc>
        <w:tc>
          <w:tcPr>
            <w:tcW w:w="3760" w:type="dxa"/>
            <w:vAlign w:val="bottom"/>
            <w:tcBorders>
              <w:bottom w:val="single" w:sz="8" w:color="582C83"/>
            </w:tcBorders>
            <w:gridSpan w:val="6"/>
          </w:tcPr>
          <w:p>
            <w:pPr>
              <w:ind w:left="300"/>
              <w:spacing w:after="0"/>
              <w:rPr>
                <w:sz w:val="20"/>
                <w:szCs w:val="20"/>
                <w:color w:val="auto"/>
              </w:rPr>
            </w:pPr>
            <w:r>
              <w:rPr>
                <w:rFonts w:ascii="Arial" w:cs="Arial" w:eastAsia="Arial" w:hAnsi="Arial"/>
                <w:sz w:val="16"/>
                <w:szCs w:val="16"/>
                <w:b w:val="1"/>
                <w:bCs w:val="1"/>
                <w:color w:val="auto"/>
              </w:rPr>
              <w:t>For the Twelve Months Ended December 31,</w:t>
            </w:r>
          </w:p>
        </w:tc>
        <w:tc>
          <w:tcPr>
            <w:tcW w:w="940" w:type="dxa"/>
            <w:vAlign w:val="bottom"/>
            <w:tcBorders>
              <w:bottom w:val="single" w:sz="8" w:color="582C83"/>
            </w:tcBorders>
          </w:tcPr>
          <w:p>
            <w:pPr>
              <w:spacing w:after="0"/>
              <w:rPr>
                <w:sz w:val="24"/>
                <w:szCs w:val="24"/>
                <w:color w:val="auto"/>
              </w:rPr>
            </w:pPr>
          </w:p>
        </w:tc>
      </w:tr>
      <w:tr>
        <w:trPr>
          <w:trHeight w:val="233"/>
        </w:trPr>
        <w:tc>
          <w:tcPr>
            <w:tcW w:w="588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(Unaudited)</w:t>
            </w:r>
          </w:p>
        </w:tc>
        <w:tc>
          <w:tcPr>
            <w:tcW w:w="680" w:type="dxa"/>
            <w:vAlign w:val="bottom"/>
            <w:tcBorders>
              <w:bottom w:val="single" w:sz="8" w:color="582C83"/>
            </w:tcBorders>
          </w:tcPr>
          <w:p>
            <w:pPr>
              <w:spacing w:after="0"/>
              <w:rPr>
                <w:sz w:val="20"/>
                <w:szCs w:val="20"/>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582C83"/>
            </w:tcBorders>
          </w:tcPr>
          <w:p>
            <w:pPr>
              <w:spacing w:after="0"/>
              <w:rPr>
                <w:sz w:val="20"/>
                <w:szCs w:val="20"/>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582C83"/>
            </w:tcBorders>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 Change</w:t>
            </w:r>
          </w:p>
        </w:tc>
      </w:tr>
      <w:tr>
        <w:trPr>
          <w:trHeight w:val="291"/>
        </w:trPr>
        <w:tc>
          <w:tcPr>
            <w:tcW w:w="588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Diluted EPS attributable to Mondelēz International (GAAP)</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1.96</w:t>
            </w:r>
          </w:p>
        </w:tc>
        <w:tc>
          <w:tcPr>
            <w:tcW w:w="6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3.04</w:t>
            </w:r>
          </w:p>
        </w:tc>
        <w:tc>
          <w:tcPr>
            <w:tcW w:w="6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(1.08)</w:t>
            </w:r>
          </w:p>
        </w:tc>
        <w:tc>
          <w:tcPr>
            <w:tcW w:w="400" w:type="dxa"/>
            <w:vAlign w:val="bottom"/>
            <w:tcBorders>
              <w:bottom w:val="single" w:sz="8" w:color="EBE6F0"/>
            </w:tcBorders>
            <w:shd w:val="clear" w:color="auto" w:fill="EBE6F0"/>
          </w:tcPr>
          <w:p>
            <w:pPr>
              <w:spacing w:after="0"/>
              <w:rPr>
                <w:sz w:val="24"/>
                <w:szCs w:val="24"/>
                <w:color w:val="auto"/>
              </w:rPr>
            </w:pPr>
          </w:p>
        </w:tc>
        <w:tc>
          <w:tcPr>
            <w:tcW w:w="9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(35.5)%</w:t>
            </w:r>
          </w:p>
        </w:tc>
      </w:tr>
      <w:tr>
        <w:trPr>
          <w:trHeight w:val="315"/>
        </w:trPr>
        <w:tc>
          <w:tcPr>
            <w:tcW w:w="5880" w:type="dxa"/>
            <w:vAlign w:val="bottom"/>
            <w:tcBorders>
              <w:top w:val="single" w:sz="8" w:color="582C83"/>
              <w:bottom w:val="single" w:sz="8" w:color="582C83"/>
            </w:tcBorders>
          </w:tcPr>
          <w:p>
            <w:pPr>
              <w:ind w:left="60"/>
              <w:spacing w:after="0"/>
              <w:rPr>
                <w:sz w:val="20"/>
                <w:szCs w:val="20"/>
                <w:color w:val="auto"/>
              </w:rPr>
            </w:pPr>
            <w:r>
              <w:rPr>
                <w:rFonts w:ascii="Arial" w:cs="Arial" w:eastAsia="Arial" w:hAnsi="Arial"/>
                <w:sz w:val="16"/>
                <w:szCs w:val="16"/>
                <w:color w:val="auto"/>
              </w:rPr>
              <w:t>Simplify to Grow Program</w:t>
            </w:r>
            <w:r>
              <w:rPr>
                <w:rFonts w:ascii="Arial" w:cs="Arial" w:eastAsia="Arial" w:hAnsi="Arial"/>
                <w:sz w:val="26"/>
                <w:szCs w:val="26"/>
                <w:color w:val="auto"/>
                <w:vertAlign w:val="superscript"/>
              </w:rPr>
              <w:t>(2)</w:t>
            </w:r>
          </w:p>
        </w:tc>
        <w:tc>
          <w:tcPr>
            <w:tcW w:w="680" w:type="dxa"/>
            <w:vAlign w:val="bottom"/>
            <w:tcBorders>
              <w:top w:val="single" w:sz="8" w:color="582C83"/>
              <w:bottom w:val="single" w:sz="8" w:color="582C83"/>
            </w:tcBorders>
          </w:tcPr>
          <w:p>
            <w:pPr>
              <w:spacing w:after="0"/>
              <w:rPr>
                <w:sz w:val="24"/>
                <w:szCs w:val="24"/>
                <w:color w:val="auto"/>
              </w:rPr>
            </w:pPr>
          </w:p>
        </w:tc>
        <w:tc>
          <w:tcPr>
            <w:tcW w:w="6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0.07</w:t>
            </w:r>
          </w:p>
        </w:tc>
        <w:tc>
          <w:tcPr>
            <w:tcW w:w="660" w:type="dxa"/>
            <w:vAlign w:val="bottom"/>
            <w:tcBorders>
              <w:top w:val="single" w:sz="8" w:color="582C83"/>
              <w:bottom w:val="single" w:sz="8" w:color="582C83"/>
            </w:tcBorders>
          </w:tcPr>
          <w:p>
            <w:pPr>
              <w:spacing w:after="0"/>
              <w:rPr>
                <w:sz w:val="24"/>
                <w:szCs w:val="24"/>
                <w:color w:val="auto"/>
              </w:rPr>
            </w:pPr>
          </w:p>
        </w:tc>
        <w:tc>
          <w:tcPr>
            <w:tcW w:w="6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0.17</w:t>
            </w:r>
          </w:p>
        </w:tc>
        <w:tc>
          <w:tcPr>
            <w:tcW w:w="660" w:type="dxa"/>
            <w:vAlign w:val="bottom"/>
            <w:tcBorders>
              <w:top w:val="single" w:sz="8" w:color="582C83"/>
              <w:bottom w:val="single" w:sz="8" w:color="582C83"/>
            </w:tcBorders>
          </w:tcPr>
          <w:p>
            <w:pPr>
              <w:spacing w:after="0"/>
              <w:rPr>
                <w:sz w:val="24"/>
                <w:szCs w:val="24"/>
                <w:color w:val="auto"/>
              </w:rPr>
            </w:pPr>
          </w:p>
        </w:tc>
        <w:tc>
          <w:tcPr>
            <w:tcW w:w="6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6"/>
                <w:szCs w:val="16"/>
                <w:color w:val="auto"/>
              </w:rPr>
              <w:t>(0.10)</w:t>
            </w:r>
          </w:p>
        </w:tc>
        <w:tc>
          <w:tcPr>
            <w:tcW w:w="400" w:type="dxa"/>
            <w:vAlign w:val="bottom"/>
            <w:tcBorders>
              <w:top w:val="single" w:sz="8" w:color="582C83"/>
              <w:bottom w:val="single" w:sz="8" w:color="582C83"/>
            </w:tcBorders>
          </w:tcPr>
          <w:p>
            <w:pPr>
              <w:spacing w:after="0"/>
              <w:rPr>
                <w:sz w:val="24"/>
                <w:szCs w:val="24"/>
                <w:color w:val="auto"/>
              </w:rPr>
            </w:pPr>
          </w:p>
        </w:tc>
        <w:tc>
          <w:tcPr>
            <w:tcW w:w="940" w:type="dxa"/>
            <w:vAlign w:val="bottom"/>
            <w:tcBorders>
              <w:top w:val="single" w:sz="8" w:color="582C83"/>
              <w:bottom w:val="single" w:sz="8" w:color="582C83"/>
            </w:tcBorders>
          </w:tcPr>
          <w:p>
            <w:pPr>
              <w:spacing w:after="0"/>
              <w:rPr>
                <w:sz w:val="24"/>
                <w:szCs w:val="24"/>
                <w:color w:val="auto"/>
              </w:rPr>
            </w:pPr>
          </w:p>
        </w:tc>
      </w:tr>
      <w:tr>
        <w:trPr>
          <w:trHeight w:val="315"/>
        </w:trPr>
        <w:tc>
          <w:tcPr>
            <w:tcW w:w="5880" w:type="dxa"/>
            <w:vAlign w:val="bottom"/>
            <w:tcBorders>
              <w:left w:val="single" w:sz="8" w:color="EBE6F0"/>
              <w:bottom w:val="single" w:sz="8" w:color="582C83"/>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Intangible asset impairment charges</w:t>
            </w:r>
            <w:r>
              <w:rPr>
                <w:rFonts w:ascii="Arial" w:cs="Arial" w:eastAsia="Arial" w:hAnsi="Arial"/>
                <w:sz w:val="26"/>
                <w:szCs w:val="26"/>
                <w:color w:val="auto"/>
                <w:vertAlign w:val="superscript"/>
              </w:rPr>
              <w:t>(3)</w:t>
            </w:r>
          </w:p>
        </w:tc>
        <w:tc>
          <w:tcPr>
            <w:tcW w:w="680" w:type="dxa"/>
            <w:vAlign w:val="bottom"/>
            <w:tcBorders>
              <w:bottom w:val="single" w:sz="8" w:color="582C83"/>
              <w:right w:val="single" w:sz="8" w:color="EBE6F0"/>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0.05</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0.02</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0.03</w:t>
            </w:r>
          </w:p>
        </w:tc>
        <w:tc>
          <w:tcPr>
            <w:tcW w:w="400" w:type="dxa"/>
            <w:vAlign w:val="bottom"/>
            <w:tcBorders>
              <w:bottom w:val="single" w:sz="8" w:color="582C83"/>
            </w:tcBorders>
            <w:shd w:val="clear" w:color="auto" w:fill="EBE6F0"/>
          </w:tcPr>
          <w:p>
            <w:pPr>
              <w:spacing w:after="0"/>
              <w:rPr>
                <w:sz w:val="24"/>
                <w:szCs w:val="24"/>
                <w:color w:val="auto"/>
              </w:rPr>
            </w:pPr>
          </w:p>
        </w:tc>
        <w:tc>
          <w:tcPr>
            <w:tcW w:w="940" w:type="dxa"/>
            <w:vAlign w:val="bottom"/>
            <w:tcBorders>
              <w:bottom w:val="single" w:sz="8" w:color="582C83"/>
              <w:right w:val="single" w:sz="8" w:color="EBE6F0"/>
            </w:tcBorders>
            <w:shd w:val="clear" w:color="auto" w:fill="EBE6F0"/>
          </w:tcPr>
          <w:p>
            <w:pPr>
              <w:spacing w:after="0"/>
              <w:rPr>
                <w:sz w:val="24"/>
                <w:szCs w:val="24"/>
                <w:color w:val="auto"/>
              </w:rPr>
            </w:pPr>
          </w:p>
        </w:tc>
      </w:tr>
      <w:tr>
        <w:trPr>
          <w:trHeight w:val="315"/>
        </w:trPr>
        <w:tc>
          <w:tcPr>
            <w:tcW w:w="5880" w:type="dxa"/>
            <w:vAlign w:val="bottom"/>
            <w:tcBorders>
              <w:bottom w:val="single" w:sz="8" w:color="582C83"/>
            </w:tcBorders>
          </w:tcPr>
          <w:p>
            <w:pPr>
              <w:ind w:left="60"/>
              <w:spacing w:after="0"/>
              <w:rPr>
                <w:sz w:val="20"/>
                <w:szCs w:val="20"/>
                <w:color w:val="auto"/>
              </w:rPr>
            </w:pPr>
            <w:r>
              <w:rPr>
                <w:rFonts w:ascii="Arial" w:cs="Arial" w:eastAsia="Arial" w:hAnsi="Arial"/>
                <w:sz w:val="16"/>
                <w:szCs w:val="16"/>
                <w:color w:val="auto"/>
              </w:rPr>
              <w:t>Mark-to-market losses/(gains) from derivatives</w:t>
            </w:r>
            <w:r>
              <w:rPr>
                <w:rFonts w:ascii="Arial" w:cs="Arial" w:eastAsia="Arial" w:hAnsi="Arial"/>
                <w:sz w:val="26"/>
                <w:szCs w:val="26"/>
                <w:color w:val="auto"/>
                <w:vertAlign w:val="superscript"/>
              </w:rPr>
              <w:t>(2)</w:t>
            </w:r>
          </w:p>
        </w:tc>
        <w:tc>
          <w:tcPr>
            <w:tcW w:w="68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0.19</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(0.17)</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0.36</w:t>
            </w:r>
          </w:p>
        </w:tc>
        <w:tc>
          <w:tcPr>
            <w:tcW w:w="400" w:type="dxa"/>
            <w:vAlign w:val="bottom"/>
            <w:tcBorders>
              <w:bottom w:val="single" w:sz="8" w:color="582C83"/>
            </w:tcBorders>
          </w:tcPr>
          <w:p>
            <w:pPr>
              <w:spacing w:after="0"/>
              <w:rPr>
                <w:sz w:val="24"/>
                <w:szCs w:val="24"/>
                <w:color w:val="auto"/>
              </w:rPr>
            </w:pPr>
          </w:p>
        </w:tc>
        <w:tc>
          <w:tcPr>
            <w:tcW w:w="940" w:type="dxa"/>
            <w:vAlign w:val="bottom"/>
            <w:tcBorders>
              <w:bottom w:val="single" w:sz="8" w:color="582C83"/>
            </w:tcBorders>
          </w:tcPr>
          <w:p>
            <w:pPr>
              <w:spacing w:after="0"/>
              <w:rPr>
                <w:sz w:val="24"/>
                <w:szCs w:val="24"/>
                <w:color w:val="auto"/>
              </w:rPr>
            </w:pPr>
          </w:p>
        </w:tc>
      </w:tr>
      <w:tr>
        <w:trPr>
          <w:trHeight w:val="315"/>
        </w:trPr>
        <w:tc>
          <w:tcPr>
            <w:tcW w:w="5880" w:type="dxa"/>
            <w:vAlign w:val="bottom"/>
            <w:tcBorders>
              <w:left w:val="single" w:sz="8" w:color="EBE6F0"/>
              <w:bottom w:val="single" w:sz="8" w:color="582C83"/>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Acquisition integration costs and contingent consideration adjustments</w:t>
            </w:r>
            <w:r>
              <w:rPr>
                <w:rFonts w:ascii="Arial" w:cs="Arial" w:eastAsia="Arial" w:hAnsi="Arial"/>
                <w:sz w:val="26"/>
                <w:szCs w:val="26"/>
                <w:color w:val="auto"/>
                <w:vertAlign w:val="superscript"/>
              </w:rPr>
              <w:t>(2)</w:t>
            </w:r>
          </w:p>
        </w:tc>
        <w:tc>
          <w:tcPr>
            <w:tcW w:w="680" w:type="dxa"/>
            <w:vAlign w:val="bottom"/>
            <w:tcBorders>
              <w:bottom w:val="single" w:sz="8" w:color="582C83"/>
              <w:right w:val="single" w:sz="8" w:color="EBE6F0"/>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0.05</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(0.02)</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0.07</w:t>
            </w:r>
          </w:p>
        </w:tc>
        <w:tc>
          <w:tcPr>
            <w:tcW w:w="400" w:type="dxa"/>
            <w:vAlign w:val="bottom"/>
            <w:tcBorders>
              <w:bottom w:val="single" w:sz="8" w:color="582C83"/>
            </w:tcBorders>
            <w:shd w:val="clear" w:color="auto" w:fill="EBE6F0"/>
          </w:tcPr>
          <w:p>
            <w:pPr>
              <w:spacing w:after="0"/>
              <w:rPr>
                <w:sz w:val="24"/>
                <w:szCs w:val="24"/>
                <w:color w:val="auto"/>
              </w:rPr>
            </w:pPr>
          </w:p>
        </w:tc>
        <w:tc>
          <w:tcPr>
            <w:tcW w:w="940" w:type="dxa"/>
            <w:vAlign w:val="bottom"/>
            <w:tcBorders>
              <w:bottom w:val="single" w:sz="8" w:color="582C83"/>
              <w:right w:val="single" w:sz="8" w:color="EBE6F0"/>
            </w:tcBorders>
            <w:shd w:val="clear" w:color="auto" w:fill="EBE6F0"/>
          </w:tcPr>
          <w:p>
            <w:pPr>
              <w:spacing w:after="0"/>
              <w:rPr>
                <w:sz w:val="24"/>
                <w:szCs w:val="24"/>
                <w:color w:val="auto"/>
              </w:rPr>
            </w:pPr>
          </w:p>
        </w:tc>
      </w:tr>
      <w:tr>
        <w:trPr>
          <w:trHeight w:val="315"/>
        </w:trPr>
        <w:tc>
          <w:tcPr>
            <w:tcW w:w="5880" w:type="dxa"/>
            <w:vAlign w:val="bottom"/>
            <w:tcBorders>
              <w:bottom w:val="single" w:sz="8" w:color="582C83"/>
            </w:tcBorders>
          </w:tcPr>
          <w:p>
            <w:pPr>
              <w:ind w:left="60"/>
              <w:spacing w:after="0"/>
              <w:rPr>
                <w:sz w:val="20"/>
                <w:szCs w:val="20"/>
                <w:color w:val="auto"/>
              </w:rPr>
            </w:pPr>
            <w:r>
              <w:rPr>
                <w:rFonts w:ascii="Arial" w:cs="Arial" w:eastAsia="Arial" w:hAnsi="Arial"/>
                <w:sz w:val="16"/>
                <w:szCs w:val="16"/>
                <w:color w:val="auto"/>
              </w:rPr>
              <w:t>Inventory step-up charges</w:t>
            </w:r>
            <w:r>
              <w:rPr>
                <w:rFonts w:ascii="Arial" w:cs="Arial" w:eastAsia="Arial" w:hAnsi="Arial"/>
                <w:sz w:val="26"/>
                <w:szCs w:val="26"/>
                <w:color w:val="auto"/>
                <w:vertAlign w:val="superscript"/>
              </w:rPr>
              <w:t>(2)</w:t>
            </w:r>
          </w:p>
        </w:tc>
        <w:tc>
          <w:tcPr>
            <w:tcW w:w="68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0.01</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0.01</w:t>
            </w:r>
          </w:p>
        </w:tc>
        <w:tc>
          <w:tcPr>
            <w:tcW w:w="400" w:type="dxa"/>
            <w:vAlign w:val="bottom"/>
            <w:tcBorders>
              <w:bottom w:val="single" w:sz="8" w:color="582C83"/>
            </w:tcBorders>
          </w:tcPr>
          <w:p>
            <w:pPr>
              <w:spacing w:after="0"/>
              <w:rPr>
                <w:sz w:val="24"/>
                <w:szCs w:val="24"/>
                <w:color w:val="auto"/>
              </w:rPr>
            </w:pPr>
          </w:p>
        </w:tc>
        <w:tc>
          <w:tcPr>
            <w:tcW w:w="940" w:type="dxa"/>
            <w:vAlign w:val="bottom"/>
            <w:tcBorders>
              <w:bottom w:val="single" w:sz="8" w:color="582C83"/>
            </w:tcBorders>
          </w:tcPr>
          <w:p>
            <w:pPr>
              <w:spacing w:after="0"/>
              <w:rPr>
                <w:sz w:val="24"/>
                <w:szCs w:val="24"/>
                <w:color w:val="auto"/>
              </w:rPr>
            </w:pPr>
          </w:p>
        </w:tc>
      </w:tr>
      <w:tr>
        <w:trPr>
          <w:trHeight w:val="315"/>
        </w:trPr>
        <w:tc>
          <w:tcPr>
            <w:tcW w:w="5880" w:type="dxa"/>
            <w:vAlign w:val="bottom"/>
            <w:tcBorders>
              <w:left w:val="single" w:sz="8" w:color="EBE6F0"/>
              <w:bottom w:val="single" w:sz="8" w:color="582C83"/>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6"/>
                <w:szCs w:val="26"/>
                <w:color w:val="auto"/>
                <w:vertAlign w:val="superscript"/>
              </w:rPr>
              <w:t>(2)</w:t>
            </w:r>
          </w:p>
        </w:tc>
        <w:tc>
          <w:tcPr>
            <w:tcW w:w="680" w:type="dxa"/>
            <w:vAlign w:val="bottom"/>
            <w:tcBorders>
              <w:bottom w:val="single" w:sz="8" w:color="582C83"/>
              <w:right w:val="single" w:sz="8" w:color="EBE6F0"/>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0.19</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0.01</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0.18</w:t>
            </w:r>
          </w:p>
        </w:tc>
        <w:tc>
          <w:tcPr>
            <w:tcW w:w="400" w:type="dxa"/>
            <w:vAlign w:val="bottom"/>
            <w:tcBorders>
              <w:bottom w:val="single" w:sz="8" w:color="582C83"/>
            </w:tcBorders>
            <w:shd w:val="clear" w:color="auto" w:fill="EBE6F0"/>
          </w:tcPr>
          <w:p>
            <w:pPr>
              <w:spacing w:after="0"/>
              <w:rPr>
                <w:sz w:val="24"/>
                <w:szCs w:val="24"/>
                <w:color w:val="auto"/>
              </w:rPr>
            </w:pPr>
          </w:p>
        </w:tc>
        <w:tc>
          <w:tcPr>
            <w:tcW w:w="940" w:type="dxa"/>
            <w:vAlign w:val="bottom"/>
            <w:tcBorders>
              <w:bottom w:val="single" w:sz="8" w:color="582C83"/>
              <w:right w:val="single" w:sz="8" w:color="EBE6F0"/>
            </w:tcBorders>
            <w:shd w:val="clear" w:color="auto" w:fill="EBE6F0"/>
          </w:tcPr>
          <w:p>
            <w:pPr>
              <w:spacing w:after="0"/>
              <w:rPr>
                <w:sz w:val="24"/>
                <w:szCs w:val="24"/>
                <w:color w:val="auto"/>
              </w:rPr>
            </w:pPr>
          </w:p>
        </w:tc>
      </w:tr>
      <w:tr>
        <w:trPr>
          <w:trHeight w:val="315"/>
        </w:trPr>
        <w:tc>
          <w:tcPr>
            <w:tcW w:w="5880" w:type="dxa"/>
            <w:vAlign w:val="bottom"/>
            <w:tcBorders>
              <w:bottom w:val="single" w:sz="8" w:color="582C83"/>
            </w:tcBorders>
          </w:tcPr>
          <w:p>
            <w:pPr>
              <w:ind w:left="60"/>
              <w:spacing w:after="0"/>
              <w:rPr>
                <w:sz w:val="20"/>
                <w:szCs w:val="20"/>
                <w:color w:val="auto"/>
              </w:rPr>
            </w:pPr>
            <w:r>
              <w:rPr>
                <w:rFonts w:ascii="Arial" w:cs="Arial" w:eastAsia="Arial" w:hAnsi="Arial"/>
                <w:sz w:val="16"/>
                <w:szCs w:val="16"/>
                <w:color w:val="auto"/>
              </w:rPr>
              <w:t>Divestiture-related costs</w:t>
            </w:r>
            <w:r>
              <w:rPr>
                <w:rFonts w:ascii="Arial" w:cs="Arial" w:eastAsia="Arial" w:hAnsi="Arial"/>
                <w:sz w:val="26"/>
                <w:szCs w:val="26"/>
                <w:color w:val="auto"/>
                <w:vertAlign w:val="superscript"/>
              </w:rPr>
              <w:t>(2)</w:t>
            </w:r>
          </w:p>
        </w:tc>
        <w:tc>
          <w:tcPr>
            <w:tcW w:w="68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0.01</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0.01</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582C83"/>
            </w:tcBorders>
          </w:tcPr>
          <w:p>
            <w:pPr>
              <w:spacing w:after="0"/>
              <w:rPr>
                <w:sz w:val="24"/>
                <w:szCs w:val="24"/>
                <w:color w:val="auto"/>
              </w:rPr>
            </w:pPr>
          </w:p>
        </w:tc>
        <w:tc>
          <w:tcPr>
            <w:tcW w:w="940" w:type="dxa"/>
            <w:vAlign w:val="bottom"/>
            <w:tcBorders>
              <w:bottom w:val="single" w:sz="8" w:color="582C83"/>
            </w:tcBorders>
          </w:tcPr>
          <w:p>
            <w:pPr>
              <w:spacing w:after="0"/>
              <w:rPr>
                <w:sz w:val="24"/>
                <w:szCs w:val="24"/>
                <w:color w:val="auto"/>
              </w:rPr>
            </w:pPr>
          </w:p>
        </w:tc>
      </w:tr>
      <w:tr>
        <w:trPr>
          <w:trHeight w:val="315"/>
        </w:trPr>
        <w:tc>
          <w:tcPr>
            <w:tcW w:w="5880" w:type="dxa"/>
            <w:vAlign w:val="bottom"/>
            <w:tcBorders>
              <w:left w:val="single" w:sz="8" w:color="EBE6F0"/>
              <w:bottom w:val="single" w:sz="8" w:color="582C83"/>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Net earnings from divestitures</w:t>
            </w:r>
            <w:r>
              <w:rPr>
                <w:rFonts w:ascii="Arial" w:cs="Arial" w:eastAsia="Arial" w:hAnsi="Arial"/>
                <w:sz w:val="26"/>
                <w:szCs w:val="26"/>
                <w:color w:val="auto"/>
                <w:vertAlign w:val="superscript"/>
              </w:rPr>
              <w:t>(2)</w:t>
            </w:r>
          </w:p>
        </w:tc>
        <w:tc>
          <w:tcPr>
            <w:tcW w:w="680" w:type="dxa"/>
            <w:vAlign w:val="bottom"/>
            <w:tcBorders>
              <w:bottom w:val="single" w:sz="8" w:color="582C83"/>
              <w:right w:val="single" w:sz="8" w:color="EBE6F0"/>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(0.01)</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(0.03)</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0.02</w:t>
            </w:r>
          </w:p>
        </w:tc>
        <w:tc>
          <w:tcPr>
            <w:tcW w:w="400" w:type="dxa"/>
            <w:vAlign w:val="bottom"/>
            <w:tcBorders>
              <w:bottom w:val="single" w:sz="8" w:color="582C83"/>
            </w:tcBorders>
            <w:shd w:val="clear" w:color="auto" w:fill="EBE6F0"/>
          </w:tcPr>
          <w:p>
            <w:pPr>
              <w:spacing w:after="0"/>
              <w:rPr>
                <w:sz w:val="24"/>
                <w:szCs w:val="24"/>
                <w:color w:val="auto"/>
              </w:rPr>
            </w:pPr>
          </w:p>
        </w:tc>
        <w:tc>
          <w:tcPr>
            <w:tcW w:w="940" w:type="dxa"/>
            <w:vAlign w:val="bottom"/>
            <w:tcBorders>
              <w:bottom w:val="single" w:sz="8" w:color="582C83"/>
              <w:right w:val="single" w:sz="8" w:color="EBE6F0"/>
            </w:tcBorders>
            <w:shd w:val="clear" w:color="auto" w:fill="EBE6F0"/>
          </w:tcPr>
          <w:p>
            <w:pPr>
              <w:spacing w:after="0"/>
              <w:rPr>
                <w:sz w:val="24"/>
                <w:szCs w:val="24"/>
                <w:color w:val="auto"/>
              </w:rPr>
            </w:pPr>
          </w:p>
        </w:tc>
      </w:tr>
      <w:tr>
        <w:trPr>
          <w:trHeight w:val="243"/>
        </w:trPr>
        <w:tc>
          <w:tcPr>
            <w:tcW w:w="5880" w:type="dxa"/>
            <w:vAlign w:val="bottom"/>
          </w:tcPr>
          <w:p>
            <w:pPr>
              <w:ind w:left="60"/>
              <w:spacing w:after="0"/>
              <w:rPr>
                <w:sz w:val="20"/>
                <w:szCs w:val="20"/>
                <w:color w:val="auto"/>
              </w:rPr>
            </w:pPr>
            <w:r>
              <w:rPr>
                <w:rFonts w:ascii="Arial" w:cs="Arial" w:eastAsia="Arial" w:hAnsi="Arial"/>
                <w:sz w:val="16"/>
                <w:szCs w:val="16"/>
                <w:color w:val="auto"/>
              </w:rPr>
              <w:t>2017 malware incident net recoveries</w:t>
            </w:r>
          </w:p>
        </w:tc>
        <w:tc>
          <w:tcPr>
            <w:tcW w:w="6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(0.02)</w:t>
            </w:r>
          </w:p>
        </w:tc>
        <w:tc>
          <w:tcPr>
            <w:tcW w:w="6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(0.02)</w:t>
            </w: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35"/>
        </w:trPr>
        <w:tc>
          <w:tcPr>
            <w:tcW w:w="588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66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66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400" w:type="dxa"/>
            <w:vAlign w:val="bottom"/>
            <w:tcBorders>
              <w:bottom w:val="single" w:sz="8" w:color="582C83"/>
            </w:tcBorders>
          </w:tcPr>
          <w:p>
            <w:pPr>
              <w:spacing w:after="0"/>
              <w:rPr>
                <w:sz w:val="3"/>
                <w:szCs w:val="3"/>
                <w:color w:val="auto"/>
              </w:rPr>
            </w:pPr>
          </w:p>
        </w:tc>
        <w:tc>
          <w:tcPr>
            <w:tcW w:w="940" w:type="dxa"/>
            <w:vAlign w:val="bottom"/>
            <w:tcBorders>
              <w:bottom w:val="single" w:sz="8" w:color="582C83"/>
            </w:tcBorders>
          </w:tcPr>
          <w:p>
            <w:pPr>
              <w:spacing w:after="0"/>
              <w:rPr>
                <w:sz w:val="3"/>
                <w:szCs w:val="3"/>
                <w:color w:val="auto"/>
              </w:rPr>
            </w:pPr>
          </w:p>
        </w:tc>
      </w:tr>
      <w:tr>
        <w:trPr>
          <w:trHeight w:val="315"/>
        </w:trPr>
        <w:tc>
          <w:tcPr>
            <w:tcW w:w="5880" w:type="dxa"/>
            <w:vAlign w:val="bottom"/>
            <w:tcBorders>
              <w:left w:val="single" w:sz="8" w:color="EBE6F0"/>
              <w:bottom w:val="single" w:sz="8" w:color="582C83"/>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European Commission legal matter</w:t>
            </w:r>
            <w:r>
              <w:rPr>
                <w:rFonts w:ascii="Arial" w:cs="Arial" w:eastAsia="Arial" w:hAnsi="Arial"/>
                <w:sz w:val="26"/>
                <w:szCs w:val="26"/>
                <w:color w:val="auto"/>
                <w:vertAlign w:val="superscript"/>
              </w:rPr>
              <w:t>(4)</w:t>
            </w:r>
          </w:p>
        </w:tc>
        <w:tc>
          <w:tcPr>
            <w:tcW w:w="680" w:type="dxa"/>
            <w:vAlign w:val="bottom"/>
            <w:tcBorders>
              <w:bottom w:val="single" w:sz="8" w:color="582C83"/>
              <w:right w:val="single" w:sz="8" w:color="EBE6F0"/>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0.23</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0.23</w:t>
            </w:r>
          </w:p>
        </w:tc>
        <w:tc>
          <w:tcPr>
            <w:tcW w:w="400" w:type="dxa"/>
            <w:vAlign w:val="bottom"/>
            <w:tcBorders>
              <w:bottom w:val="single" w:sz="8" w:color="582C83"/>
            </w:tcBorders>
            <w:shd w:val="clear" w:color="auto" w:fill="EBE6F0"/>
          </w:tcPr>
          <w:p>
            <w:pPr>
              <w:spacing w:after="0"/>
              <w:rPr>
                <w:sz w:val="24"/>
                <w:szCs w:val="24"/>
                <w:color w:val="auto"/>
              </w:rPr>
            </w:pPr>
          </w:p>
        </w:tc>
        <w:tc>
          <w:tcPr>
            <w:tcW w:w="940" w:type="dxa"/>
            <w:vAlign w:val="bottom"/>
            <w:tcBorders>
              <w:bottom w:val="single" w:sz="8" w:color="582C83"/>
              <w:right w:val="single" w:sz="8" w:color="EBE6F0"/>
            </w:tcBorders>
            <w:shd w:val="clear" w:color="auto" w:fill="EBE6F0"/>
          </w:tcPr>
          <w:p>
            <w:pPr>
              <w:spacing w:after="0"/>
              <w:rPr>
                <w:sz w:val="24"/>
                <w:szCs w:val="24"/>
                <w:color w:val="auto"/>
              </w:rPr>
            </w:pPr>
          </w:p>
        </w:tc>
      </w:tr>
      <w:tr>
        <w:trPr>
          <w:trHeight w:val="315"/>
        </w:trPr>
        <w:tc>
          <w:tcPr>
            <w:tcW w:w="5880" w:type="dxa"/>
            <w:vAlign w:val="bottom"/>
            <w:tcBorders>
              <w:bottom w:val="single" w:sz="8" w:color="582C83"/>
            </w:tcBorders>
          </w:tcPr>
          <w:p>
            <w:pPr>
              <w:ind w:left="60"/>
              <w:spacing w:after="0"/>
              <w:rPr>
                <w:sz w:val="20"/>
                <w:szCs w:val="20"/>
                <w:color w:val="auto"/>
              </w:rPr>
            </w:pPr>
            <w:r>
              <w:rPr>
                <w:rFonts w:ascii="Arial" w:cs="Arial" w:eastAsia="Arial" w:hAnsi="Arial"/>
                <w:sz w:val="16"/>
                <w:szCs w:val="16"/>
                <w:color w:val="auto"/>
              </w:rPr>
              <w:t>Incremental cost due to war in Ukraine</w:t>
            </w:r>
            <w:r>
              <w:rPr>
                <w:rFonts w:ascii="Arial" w:cs="Arial" w:eastAsia="Arial" w:hAnsi="Arial"/>
                <w:sz w:val="26"/>
                <w:szCs w:val="26"/>
                <w:color w:val="auto"/>
                <w:vertAlign w:val="superscript"/>
              </w:rPr>
              <w:t>(2)</w:t>
            </w:r>
          </w:p>
        </w:tc>
        <w:tc>
          <w:tcPr>
            <w:tcW w:w="68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0.09</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0.09</w:t>
            </w:r>
          </w:p>
        </w:tc>
        <w:tc>
          <w:tcPr>
            <w:tcW w:w="400" w:type="dxa"/>
            <w:vAlign w:val="bottom"/>
            <w:tcBorders>
              <w:bottom w:val="single" w:sz="8" w:color="582C83"/>
            </w:tcBorders>
          </w:tcPr>
          <w:p>
            <w:pPr>
              <w:spacing w:after="0"/>
              <w:rPr>
                <w:sz w:val="24"/>
                <w:szCs w:val="24"/>
                <w:color w:val="auto"/>
              </w:rPr>
            </w:pPr>
          </w:p>
        </w:tc>
        <w:tc>
          <w:tcPr>
            <w:tcW w:w="940" w:type="dxa"/>
            <w:vAlign w:val="bottom"/>
            <w:tcBorders>
              <w:bottom w:val="single" w:sz="8" w:color="582C83"/>
            </w:tcBorders>
          </w:tcPr>
          <w:p>
            <w:pPr>
              <w:spacing w:after="0"/>
              <w:rPr>
                <w:sz w:val="24"/>
                <w:szCs w:val="24"/>
                <w:color w:val="auto"/>
              </w:rPr>
            </w:pPr>
          </w:p>
        </w:tc>
      </w:tr>
      <w:tr>
        <w:trPr>
          <w:trHeight w:val="315"/>
        </w:trPr>
        <w:tc>
          <w:tcPr>
            <w:tcW w:w="5880" w:type="dxa"/>
            <w:vAlign w:val="bottom"/>
            <w:tcBorders>
              <w:left w:val="single" w:sz="8" w:color="EBE6F0"/>
              <w:bottom w:val="single" w:sz="8" w:color="582C83"/>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Remeasurement of net monetary position</w:t>
            </w:r>
            <w:r>
              <w:rPr>
                <w:rFonts w:ascii="Arial" w:cs="Arial" w:eastAsia="Arial" w:hAnsi="Arial"/>
                <w:sz w:val="26"/>
                <w:szCs w:val="26"/>
                <w:color w:val="auto"/>
                <w:vertAlign w:val="superscript"/>
              </w:rPr>
              <w:t>(5)</w:t>
            </w:r>
          </w:p>
        </w:tc>
        <w:tc>
          <w:tcPr>
            <w:tcW w:w="680" w:type="dxa"/>
            <w:vAlign w:val="bottom"/>
            <w:tcBorders>
              <w:bottom w:val="single" w:sz="8" w:color="582C83"/>
              <w:right w:val="single" w:sz="8" w:color="EBE6F0"/>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0.03</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0.01</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0.02</w:t>
            </w:r>
          </w:p>
        </w:tc>
        <w:tc>
          <w:tcPr>
            <w:tcW w:w="400" w:type="dxa"/>
            <w:vAlign w:val="bottom"/>
            <w:tcBorders>
              <w:bottom w:val="single" w:sz="8" w:color="582C83"/>
            </w:tcBorders>
            <w:shd w:val="clear" w:color="auto" w:fill="EBE6F0"/>
          </w:tcPr>
          <w:p>
            <w:pPr>
              <w:spacing w:after="0"/>
              <w:rPr>
                <w:sz w:val="24"/>
                <w:szCs w:val="24"/>
                <w:color w:val="auto"/>
              </w:rPr>
            </w:pPr>
          </w:p>
        </w:tc>
        <w:tc>
          <w:tcPr>
            <w:tcW w:w="940" w:type="dxa"/>
            <w:vAlign w:val="bottom"/>
            <w:tcBorders>
              <w:bottom w:val="single" w:sz="8" w:color="582C83"/>
              <w:right w:val="single" w:sz="8" w:color="EBE6F0"/>
            </w:tcBorders>
            <w:shd w:val="clear" w:color="auto" w:fill="EBE6F0"/>
          </w:tcPr>
          <w:p>
            <w:pPr>
              <w:spacing w:after="0"/>
              <w:rPr>
                <w:sz w:val="24"/>
                <w:szCs w:val="24"/>
                <w:color w:val="auto"/>
              </w:rPr>
            </w:pPr>
          </w:p>
        </w:tc>
      </w:tr>
      <w:tr>
        <w:trPr>
          <w:trHeight w:val="315"/>
        </w:trPr>
        <w:tc>
          <w:tcPr>
            <w:tcW w:w="5880" w:type="dxa"/>
            <w:vAlign w:val="bottom"/>
            <w:tcBorders>
              <w:bottom w:val="single" w:sz="8" w:color="582C83"/>
            </w:tcBorders>
          </w:tcPr>
          <w:p>
            <w:pPr>
              <w:ind w:left="60"/>
              <w:spacing w:after="0"/>
              <w:rPr>
                <w:sz w:val="20"/>
                <w:szCs w:val="20"/>
                <w:color w:val="auto"/>
              </w:rPr>
            </w:pPr>
            <w:r>
              <w:rPr>
                <w:rFonts w:ascii="Arial" w:cs="Arial" w:eastAsia="Arial" w:hAnsi="Arial"/>
                <w:sz w:val="16"/>
                <w:szCs w:val="16"/>
                <w:color w:val="auto"/>
              </w:rPr>
              <w:t>Impact from pension participation changes</w:t>
            </w:r>
            <w:r>
              <w:rPr>
                <w:rFonts w:ascii="Arial" w:cs="Arial" w:eastAsia="Arial" w:hAnsi="Arial"/>
                <w:sz w:val="26"/>
                <w:szCs w:val="26"/>
                <w:color w:val="auto"/>
                <w:vertAlign w:val="superscript"/>
              </w:rPr>
              <w:t>(2)</w:t>
            </w:r>
          </w:p>
        </w:tc>
        <w:tc>
          <w:tcPr>
            <w:tcW w:w="68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0.01</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0.02</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(0.01)</w:t>
            </w:r>
          </w:p>
        </w:tc>
        <w:tc>
          <w:tcPr>
            <w:tcW w:w="400" w:type="dxa"/>
            <w:vAlign w:val="bottom"/>
            <w:tcBorders>
              <w:bottom w:val="single" w:sz="8" w:color="582C83"/>
            </w:tcBorders>
          </w:tcPr>
          <w:p>
            <w:pPr>
              <w:spacing w:after="0"/>
              <w:rPr>
                <w:sz w:val="24"/>
                <w:szCs w:val="24"/>
                <w:color w:val="auto"/>
              </w:rPr>
            </w:pPr>
          </w:p>
        </w:tc>
        <w:tc>
          <w:tcPr>
            <w:tcW w:w="940" w:type="dxa"/>
            <w:vAlign w:val="bottom"/>
            <w:tcBorders>
              <w:bottom w:val="single" w:sz="8" w:color="582C83"/>
            </w:tcBorders>
          </w:tcPr>
          <w:p>
            <w:pPr>
              <w:spacing w:after="0"/>
              <w:rPr>
                <w:sz w:val="24"/>
                <w:szCs w:val="24"/>
                <w:color w:val="auto"/>
              </w:rPr>
            </w:pPr>
          </w:p>
        </w:tc>
      </w:tr>
      <w:tr>
        <w:trPr>
          <w:trHeight w:val="315"/>
        </w:trPr>
        <w:tc>
          <w:tcPr>
            <w:tcW w:w="5880" w:type="dxa"/>
            <w:vAlign w:val="bottom"/>
            <w:tcBorders>
              <w:left w:val="single" w:sz="8" w:color="EBE6F0"/>
              <w:bottom w:val="single" w:sz="8" w:color="582C83"/>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Loss on debt extinguishment and related expenses</w:t>
            </w:r>
            <w:r>
              <w:rPr>
                <w:rFonts w:ascii="Arial" w:cs="Arial" w:eastAsia="Arial" w:hAnsi="Arial"/>
                <w:sz w:val="26"/>
                <w:szCs w:val="26"/>
                <w:color w:val="auto"/>
                <w:vertAlign w:val="superscript"/>
              </w:rPr>
              <w:t>(6)</w:t>
            </w:r>
          </w:p>
        </w:tc>
        <w:tc>
          <w:tcPr>
            <w:tcW w:w="680" w:type="dxa"/>
            <w:vAlign w:val="bottom"/>
            <w:tcBorders>
              <w:bottom w:val="single" w:sz="8" w:color="582C83"/>
              <w:right w:val="single" w:sz="8" w:color="EBE6F0"/>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0.07</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0.07</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582C83"/>
            </w:tcBorders>
            <w:shd w:val="clear" w:color="auto" w:fill="EBE6F0"/>
          </w:tcPr>
          <w:p>
            <w:pPr>
              <w:spacing w:after="0"/>
              <w:rPr>
                <w:sz w:val="24"/>
                <w:szCs w:val="24"/>
                <w:color w:val="auto"/>
              </w:rPr>
            </w:pPr>
          </w:p>
        </w:tc>
        <w:tc>
          <w:tcPr>
            <w:tcW w:w="940" w:type="dxa"/>
            <w:vAlign w:val="bottom"/>
            <w:tcBorders>
              <w:bottom w:val="single" w:sz="8" w:color="582C83"/>
              <w:right w:val="single" w:sz="8" w:color="EBE6F0"/>
            </w:tcBorders>
            <w:shd w:val="clear" w:color="auto" w:fill="EBE6F0"/>
          </w:tcPr>
          <w:p>
            <w:pPr>
              <w:spacing w:after="0"/>
              <w:rPr>
                <w:sz w:val="24"/>
                <w:szCs w:val="24"/>
                <w:color w:val="auto"/>
              </w:rPr>
            </w:pPr>
          </w:p>
        </w:tc>
      </w:tr>
      <w:tr>
        <w:trPr>
          <w:trHeight w:val="315"/>
        </w:trPr>
        <w:tc>
          <w:tcPr>
            <w:tcW w:w="5880" w:type="dxa"/>
            <w:vAlign w:val="bottom"/>
            <w:tcBorders>
              <w:bottom w:val="single" w:sz="8" w:color="582C83"/>
            </w:tcBorders>
          </w:tcPr>
          <w:p>
            <w:pPr>
              <w:ind w:left="60"/>
              <w:spacing w:after="0"/>
              <w:rPr>
                <w:sz w:val="20"/>
                <w:szCs w:val="20"/>
                <w:color w:val="auto"/>
              </w:rPr>
            </w:pPr>
            <w:r>
              <w:rPr>
                <w:rFonts w:ascii="Arial" w:cs="Arial" w:eastAsia="Arial" w:hAnsi="Arial"/>
                <w:sz w:val="16"/>
                <w:szCs w:val="16"/>
                <w:color w:val="auto"/>
              </w:rPr>
              <w:t>Initial impacts from enacted tax law changes</w:t>
            </w:r>
            <w:r>
              <w:rPr>
                <w:rFonts w:ascii="Arial" w:cs="Arial" w:eastAsia="Arial" w:hAnsi="Arial"/>
                <w:sz w:val="26"/>
                <w:szCs w:val="26"/>
                <w:color w:val="auto"/>
                <w:vertAlign w:val="superscript"/>
              </w:rPr>
              <w:t>(7)</w:t>
            </w:r>
          </w:p>
        </w:tc>
        <w:tc>
          <w:tcPr>
            <w:tcW w:w="68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0.01</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0.07</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(0.06)</w:t>
            </w:r>
          </w:p>
        </w:tc>
        <w:tc>
          <w:tcPr>
            <w:tcW w:w="400" w:type="dxa"/>
            <w:vAlign w:val="bottom"/>
            <w:tcBorders>
              <w:bottom w:val="single" w:sz="8" w:color="582C83"/>
            </w:tcBorders>
          </w:tcPr>
          <w:p>
            <w:pPr>
              <w:spacing w:after="0"/>
              <w:rPr>
                <w:sz w:val="24"/>
                <w:szCs w:val="24"/>
                <w:color w:val="auto"/>
              </w:rPr>
            </w:pPr>
          </w:p>
        </w:tc>
        <w:tc>
          <w:tcPr>
            <w:tcW w:w="940" w:type="dxa"/>
            <w:vAlign w:val="bottom"/>
            <w:tcBorders>
              <w:bottom w:val="single" w:sz="8" w:color="582C83"/>
            </w:tcBorders>
          </w:tcPr>
          <w:p>
            <w:pPr>
              <w:spacing w:after="0"/>
              <w:rPr>
                <w:sz w:val="24"/>
                <w:szCs w:val="24"/>
                <w:color w:val="auto"/>
              </w:rPr>
            </w:pPr>
          </w:p>
        </w:tc>
      </w:tr>
      <w:tr>
        <w:trPr>
          <w:trHeight w:val="315"/>
        </w:trPr>
        <w:tc>
          <w:tcPr>
            <w:tcW w:w="5880" w:type="dxa"/>
            <w:vAlign w:val="bottom"/>
            <w:tcBorders>
              <w:left w:val="single" w:sz="8" w:color="EBE6F0"/>
              <w:bottom w:val="single" w:sz="8" w:color="582C83"/>
              <w:right w:val="single" w:sz="8" w:color="EBE6F0"/>
            </w:tcBorders>
            <w:shd w:val="clear" w:color="auto" w:fill="EBE6F0"/>
          </w:tcPr>
          <w:p>
            <w:pPr>
              <w:ind w:left="80"/>
              <w:spacing w:after="0"/>
              <w:rPr>
                <w:sz w:val="20"/>
                <w:szCs w:val="20"/>
                <w:color w:val="auto"/>
              </w:rPr>
            </w:pPr>
            <w:r>
              <w:rPr>
                <w:rFonts w:ascii="Arial" w:cs="Arial" w:eastAsia="Arial" w:hAnsi="Arial"/>
                <w:sz w:val="16"/>
                <w:szCs w:val="16"/>
                <w:color w:val="auto"/>
              </w:rPr>
              <w:t>Loss/(gain) on equity method investment transactions</w:t>
            </w:r>
            <w:r>
              <w:rPr>
                <w:rFonts w:ascii="Arial" w:cs="Arial" w:eastAsia="Arial" w:hAnsi="Arial"/>
                <w:sz w:val="26"/>
                <w:szCs w:val="26"/>
                <w:color w:val="auto"/>
                <w:vertAlign w:val="superscript"/>
              </w:rPr>
              <w:t>(8)</w:t>
            </w:r>
          </w:p>
        </w:tc>
        <w:tc>
          <w:tcPr>
            <w:tcW w:w="680" w:type="dxa"/>
            <w:vAlign w:val="bottom"/>
            <w:tcBorders>
              <w:bottom w:val="single" w:sz="8" w:color="582C83"/>
              <w:right w:val="single" w:sz="8" w:color="EBE6F0"/>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0.02</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(0.39)</w:t>
            </w:r>
          </w:p>
        </w:tc>
        <w:tc>
          <w:tcPr>
            <w:tcW w:w="660" w:type="dxa"/>
            <w:vAlign w:val="bottom"/>
            <w:tcBorders>
              <w:bottom w:val="single" w:sz="8" w:color="582C83"/>
            </w:tcBorders>
            <w:shd w:val="clear" w:color="auto" w:fill="EBE6F0"/>
          </w:tcPr>
          <w:p>
            <w:pPr>
              <w:spacing w:after="0"/>
              <w:rPr>
                <w:sz w:val="24"/>
                <w:szCs w:val="24"/>
                <w:color w:val="auto"/>
              </w:rPr>
            </w:pPr>
          </w:p>
        </w:tc>
        <w:tc>
          <w:tcPr>
            <w:tcW w:w="680" w:type="dxa"/>
            <w:vAlign w:val="bottom"/>
            <w:tcBorders>
              <w:bottom w:val="single" w:sz="8" w:color="582C83"/>
              <w:right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0.41</w:t>
            </w:r>
          </w:p>
        </w:tc>
        <w:tc>
          <w:tcPr>
            <w:tcW w:w="400" w:type="dxa"/>
            <w:vAlign w:val="bottom"/>
            <w:tcBorders>
              <w:bottom w:val="single" w:sz="8" w:color="582C83"/>
            </w:tcBorders>
            <w:shd w:val="clear" w:color="auto" w:fill="EBE6F0"/>
          </w:tcPr>
          <w:p>
            <w:pPr>
              <w:spacing w:after="0"/>
              <w:rPr>
                <w:sz w:val="24"/>
                <w:szCs w:val="24"/>
                <w:color w:val="auto"/>
              </w:rPr>
            </w:pPr>
          </w:p>
        </w:tc>
        <w:tc>
          <w:tcPr>
            <w:tcW w:w="940" w:type="dxa"/>
            <w:vAlign w:val="bottom"/>
            <w:tcBorders>
              <w:bottom w:val="single" w:sz="8" w:color="582C83"/>
              <w:right w:val="single" w:sz="8" w:color="EBE6F0"/>
            </w:tcBorders>
            <w:shd w:val="clear" w:color="auto" w:fill="EBE6F0"/>
          </w:tcPr>
          <w:p>
            <w:pPr>
              <w:spacing w:after="0"/>
              <w:rPr>
                <w:sz w:val="24"/>
                <w:szCs w:val="24"/>
                <w:color w:val="auto"/>
              </w:rPr>
            </w:pPr>
          </w:p>
        </w:tc>
      </w:tr>
      <w:tr>
        <w:trPr>
          <w:trHeight w:val="315"/>
        </w:trPr>
        <w:tc>
          <w:tcPr>
            <w:tcW w:w="5880" w:type="dxa"/>
            <w:vAlign w:val="bottom"/>
            <w:tcBorders>
              <w:bottom w:val="single" w:sz="8" w:color="582C83"/>
            </w:tcBorders>
          </w:tcPr>
          <w:p>
            <w:pPr>
              <w:ind w:left="60"/>
              <w:spacing w:after="0"/>
              <w:rPr>
                <w:sz w:val="20"/>
                <w:szCs w:val="20"/>
                <w:color w:val="auto"/>
              </w:rPr>
            </w:pPr>
            <w:r>
              <w:rPr>
                <w:rFonts w:ascii="Arial" w:cs="Arial" w:eastAsia="Arial" w:hAnsi="Arial"/>
                <w:sz w:val="16"/>
                <w:szCs w:val="16"/>
                <w:color w:val="auto"/>
              </w:rPr>
              <w:t>Equity method investee items</w:t>
            </w:r>
            <w:r>
              <w:rPr>
                <w:rFonts w:ascii="Arial" w:cs="Arial" w:eastAsia="Arial" w:hAnsi="Arial"/>
                <w:sz w:val="26"/>
                <w:szCs w:val="26"/>
                <w:color w:val="auto"/>
                <w:vertAlign w:val="superscript"/>
              </w:rPr>
              <w:t>(9)</w:t>
            </w:r>
          </w:p>
        </w:tc>
        <w:tc>
          <w:tcPr>
            <w:tcW w:w="68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(0.01)</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0.04</w:t>
            </w:r>
          </w:p>
        </w:tc>
        <w:tc>
          <w:tcPr>
            <w:tcW w:w="6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6"/>
                <w:szCs w:val="16"/>
                <w:color w:val="auto"/>
              </w:rPr>
              <w:t>(0.05)</w:t>
            </w:r>
          </w:p>
        </w:tc>
        <w:tc>
          <w:tcPr>
            <w:tcW w:w="400" w:type="dxa"/>
            <w:vAlign w:val="bottom"/>
            <w:tcBorders>
              <w:bottom w:val="single" w:sz="8" w:color="582C83"/>
            </w:tcBorders>
          </w:tcPr>
          <w:p>
            <w:pPr>
              <w:spacing w:after="0"/>
              <w:rPr>
                <w:sz w:val="24"/>
                <w:szCs w:val="24"/>
                <w:color w:val="auto"/>
              </w:rPr>
            </w:pPr>
          </w:p>
        </w:tc>
        <w:tc>
          <w:tcPr>
            <w:tcW w:w="940" w:type="dxa"/>
            <w:vAlign w:val="bottom"/>
            <w:tcBorders>
              <w:bottom w:val="single" w:sz="8" w:color="582C83"/>
            </w:tcBorders>
          </w:tcPr>
          <w:p>
            <w:pPr>
              <w:spacing w:after="0"/>
              <w:rPr>
                <w:sz w:val="24"/>
                <w:szCs w:val="24"/>
                <w:color w:val="auto"/>
              </w:rPr>
            </w:pPr>
          </w:p>
        </w:tc>
      </w:tr>
      <w:tr>
        <w:trPr>
          <w:trHeight w:val="283"/>
        </w:trPr>
        <w:tc>
          <w:tcPr>
            <w:tcW w:w="588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Adjusted EPS (Non-GAAP)</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2.95</w:t>
            </w:r>
          </w:p>
        </w:tc>
        <w:tc>
          <w:tcPr>
            <w:tcW w:w="6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2.85</w:t>
            </w:r>
          </w:p>
        </w:tc>
        <w:tc>
          <w:tcPr>
            <w:tcW w:w="6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0.10</w:t>
            </w:r>
          </w:p>
        </w:tc>
        <w:tc>
          <w:tcPr>
            <w:tcW w:w="400" w:type="dxa"/>
            <w:vAlign w:val="bottom"/>
            <w:tcBorders>
              <w:bottom w:val="single" w:sz="8" w:color="EBE6F0"/>
            </w:tcBorders>
            <w:shd w:val="clear" w:color="auto" w:fill="EBE6F0"/>
          </w:tcPr>
          <w:p>
            <w:pPr>
              <w:spacing w:after="0"/>
              <w:rPr>
                <w:sz w:val="24"/>
                <w:szCs w:val="24"/>
                <w:color w:val="auto"/>
              </w:rPr>
            </w:pPr>
          </w:p>
        </w:tc>
        <w:tc>
          <w:tcPr>
            <w:tcW w:w="9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3.5%</w:t>
            </w:r>
          </w:p>
        </w:tc>
      </w:tr>
      <w:tr>
        <w:trPr>
          <w:trHeight w:val="243"/>
        </w:trPr>
        <w:tc>
          <w:tcPr>
            <w:tcW w:w="588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Impact of unfavorable currency</w:t>
            </w:r>
          </w:p>
        </w:tc>
        <w:tc>
          <w:tcPr>
            <w:tcW w:w="680" w:type="dxa"/>
            <w:vAlign w:val="bottom"/>
            <w:tcBorders>
              <w:top w:val="single" w:sz="8" w:color="582C83"/>
            </w:tcBorders>
          </w:tcPr>
          <w:p>
            <w:pPr>
              <w:spacing w:after="0"/>
              <w:rPr>
                <w:sz w:val="21"/>
                <w:szCs w:val="21"/>
                <w:color w:val="auto"/>
              </w:rPr>
            </w:pPr>
          </w:p>
        </w:tc>
        <w:tc>
          <w:tcPr>
            <w:tcW w:w="6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0.24</w:t>
            </w:r>
          </w:p>
        </w:tc>
        <w:tc>
          <w:tcPr>
            <w:tcW w:w="660" w:type="dxa"/>
            <w:vAlign w:val="bottom"/>
            <w:tcBorders>
              <w:top w:val="single" w:sz="8" w:color="582C83"/>
            </w:tcBorders>
          </w:tcPr>
          <w:p>
            <w:pPr>
              <w:spacing w:after="0"/>
              <w:rPr>
                <w:sz w:val="21"/>
                <w:szCs w:val="21"/>
                <w:color w:val="auto"/>
              </w:rPr>
            </w:pPr>
          </w:p>
        </w:tc>
        <w:tc>
          <w:tcPr>
            <w:tcW w:w="6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582C83"/>
            </w:tcBorders>
          </w:tcPr>
          <w:p>
            <w:pPr>
              <w:spacing w:after="0"/>
              <w:rPr>
                <w:sz w:val="21"/>
                <w:szCs w:val="21"/>
                <w:color w:val="auto"/>
              </w:rPr>
            </w:pPr>
          </w:p>
        </w:tc>
        <w:tc>
          <w:tcPr>
            <w:tcW w:w="68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0.24</w:t>
            </w:r>
          </w:p>
        </w:tc>
        <w:tc>
          <w:tcPr>
            <w:tcW w:w="400" w:type="dxa"/>
            <w:vAlign w:val="bottom"/>
            <w:tcBorders>
              <w:top w:val="single" w:sz="8" w:color="582C83"/>
            </w:tcBorders>
          </w:tcPr>
          <w:p>
            <w:pPr>
              <w:spacing w:after="0"/>
              <w:rPr>
                <w:sz w:val="21"/>
                <w:szCs w:val="21"/>
                <w:color w:val="auto"/>
              </w:rPr>
            </w:pPr>
          </w:p>
        </w:tc>
        <w:tc>
          <w:tcPr>
            <w:tcW w:w="940" w:type="dxa"/>
            <w:vAlign w:val="bottom"/>
            <w:tcBorders>
              <w:top w:val="single" w:sz="8" w:color="582C83"/>
            </w:tcBorders>
          </w:tcPr>
          <w:p>
            <w:pPr>
              <w:spacing w:after="0"/>
              <w:rPr>
                <w:sz w:val="21"/>
                <w:szCs w:val="21"/>
                <w:color w:val="auto"/>
              </w:rPr>
            </w:pPr>
          </w:p>
        </w:tc>
      </w:tr>
      <w:tr>
        <w:trPr>
          <w:trHeight w:val="35"/>
        </w:trPr>
        <w:tc>
          <w:tcPr>
            <w:tcW w:w="588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66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66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400" w:type="dxa"/>
            <w:vAlign w:val="bottom"/>
            <w:tcBorders>
              <w:bottom w:val="single" w:sz="8" w:color="582C83"/>
            </w:tcBorders>
          </w:tcPr>
          <w:p>
            <w:pPr>
              <w:spacing w:after="0"/>
              <w:rPr>
                <w:sz w:val="3"/>
                <w:szCs w:val="3"/>
                <w:color w:val="auto"/>
              </w:rPr>
            </w:pPr>
          </w:p>
        </w:tc>
        <w:tc>
          <w:tcPr>
            <w:tcW w:w="940" w:type="dxa"/>
            <w:vAlign w:val="bottom"/>
            <w:tcBorders>
              <w:bottom w:val="single" w:sz="8" w:color="582C83"/>
            </w:tcBorders>
          </w:tcPr>
          <w:p>
            <w:pPr>
              <w:spacing w:after="0"/>
              <w:rPr>
                <w:sz w:val="3"/>
                <w:szCs w:val="3"/>
                <w:color w:val="auto"/>
              </w:rPr>
            </w:pPr>
          </w:p>
        </w:tc>
      </w:tr>
      <w:tr>
        <w:trPr>
          <w:trHeight w:val="258"/>
        </w:trPr>
        <w:tc>
          <w:tcPr>
            <w:tcW w:w="588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Adjusted EPS @ Constant FX (Non-GAAP)</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3.19</w:t>
            </w:r>
          </w:p>
        </w:tc>
        <w:tc>
          <w:tcPr>
            <w:tcW w:w="6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2.85</w:t>
            </w:r>
          </w:p>
        </w:tc>
        <w:tc>
          <w:tcPr>
            <w:tcW w:w="6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0.34</w:t>
            </w:r>
          </w:p>
        </w:tc>
        <w:tc>
          <w:tcPr>
            <w:tcW w:w="400" w:type="dxa"/>
            <w:vAlign w:val="bottom"/>
            <w:tcBorders>
              <w:bottom w:val="single" w:sz="8" w:color="EBE6F0"/>
            </w:tcBorders>
            <w:shd w:val="clear" w:color="auto" w:fill="EBE6F0"/>
          </w:tcPr>
          <w:p>
            <w:pPr>
              <w:spacing w:after="0"/>
              <w:rPr>
                <w:sz w:val="22"/>
                <w:szCs w:val="22"/>
                <w:color w:val="auto"/>
              </w:rPr>
            </w:pPr>
          </w:p>
        </w:tc>
        <w:tc>
          <w:tcPr>
            <w:tcW w:w="94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11.9%</w:t>
            </w:r>
          </w:p>
        </w:tc>
      </w:tr>
      <w:tr>
        <w:trPr>
          <w:trHeight w:val="20"/>
        </w:trPr>
        <w:tc>
          <w:tcPr>
            <w:tcW w:w="5880" w:type="dxa"/>
            <w:vAlign w:val="bottom"/>
            <w:tcBorders>
              <w:left w:val="single" w:sz="8" w:color="EBE6F0"/>
              <w:right w:val="single" w:sz="8" w:color="EBE6F0"/>
            </w:tcBorders>
            <w:shd w:val="clear" w:color="auto" w:fill="582C83"/>
          </w:tcPr>
          <w:p>
            <w:pPr>
              <w:spacing w:after="0" w:line="20" w:lineRule="exact"/>
              <w:rPr>
                <w:sz w:val="1"/>
                <w:szCs w:val="1"/>
                <w:color w:val="auto"/>
              </w:rPr>
            </w:pPr>
          </w:p>
        </w:tc>
        <w:tc>
          <w:tcPr>
            <w:tcW w:w="680" w:type="dxa"/>
            <w:vAlign w:val="bottom"/>
            <w:tcBorders>
              <w:right w:val="single" w:sz="8" w:color="EBE6F0"/>
            </w:tcBorders>
            <w:shd w:val="clear" w:color="auto" w:fill="582C83"/>
          </w:tcPr>
          <w:p>
            <w:pPr>
              <w:spacing w:after="0" w:line="20" w:lineRule="exact"/>
              <w:rPr>
                <w:sz w:val="1"/>
                <w:szCs w:val="1"/>
                <w:color w:val="auto"/>
              </w:rPr>
            </w:pPr>
          </w:p>
        </w:tc>
        <w:tc>
          <w:tcPr>
            <w:tcW w:w="680" w:type="dxa"/>
            <w:vAlign w:val="bottom"/>
            <w:tcBorders>
              <w:right w:val="single" w:sz="8" w:color="EBE6F0"/>
            </w:tcBorders>
            <w:shd w:val="clear" w:color="auto" w:fill="582C83"/>
          </w:tcPr>
          <w:p>
            <w:pPr>
              <w:spacing w:after="0" w:line="20" w:lineRule="exact"/>
              <w:rPr>
                <w:sz w:val="1"/>
                <w:szCs w:val="1"/>
                <w:color w:val="auto"/>
              </w:rPr>
            </w:pPr>
          </w:p>
        </w:tc>
        <w:tc>
          <w:tcPr>
            <w:tcW w:w="660" w:type="dxa"/>
            <w:vAlign w:val="bottom"/>
            <w:shd w:val="clear" w:color="auto" w:fill="582C83"/>
          </w:tcPr>
          <w:p>
            <w:pPr>
              <w:spacing w:after="0" w:line="20" w:lineRule="exact"/>
              <w:rPr>
                <w:sz w:val="1"/>
                <w:szCs w:val="1"/>
                <w:color w:val="auto"/>
              </w:rPr>
            </w:pPr>
          </w:p>
        </w:tc>
        <w:tc>
          <w:tcPr>
            <w:tcW w:w="680" w:type="dxa"/>
            <w:vAlign w:val="bottom"/>
            <w:tcBorders>
              <w:right w:val="single" w:sz="8" w:color="EBE6F0"/>
            </w:tcBorders>
            <w:shd w:val="clear" w:color="auto" w:fill="582C83"/>
          </w:tcPr>
          <w:p>
            <w:pPr>
              <w:spacing w:after="0" w:line="20" w:lineRule="exact"/>
              <w:rPr>
                <w:sz w:val="1"/>
                <w:szCs w:val="1"/>
                <w:color w:val="auto"/>
              </w:rPr>
            </w:pPr>
          </w:p>
        </w:tc>
        <w:tc>
          <w:tcPr>
            <w:tcW w:w="660" w:type="dxa"/>
            <w:vAlign w:val="bottom"/>
            <w:shd w:val="clear" w:color="auto" w:fill="582C83"/>
          </w:tcPr>
          <w:p>
            <w:pPr>
              <w:spacing w:after="0" w:line="20" w:lineRule="exact"/>
              <w:rPr>
                <w:sz w:val="1"/>
                <w:szCs w:val="1"/>
                <w:color w:val="auto"/>
              </w:rPr>
            </w:pPr>
          </w:p>
        </w:tc>
        <w:tc>
          <w:tcPr>
            <w:tcW w:w="680" w:type="dxa"/>
            <w:vAlign w:val="bottom"/>
            <w:tcBorders>
              <w:right w:val="single" w:sz="8" w:color="EBE6F0"/>
            </w:tcBorders>
            <w:shd w:val="clear" w:color="auto" w:fill="582C83"/>
          </w:tcPr>
          <w:p>
            <w:pPr>
              <w:spacing w:after="0" w:line="20" w:lineRule="exact"/>
              <w:rPr>
                <w:sz w:val="1"/>
                <w:szCs w:val="1"/>
                <w:color w:val="auto"/>
              </w:rPr>
            </w:pPr>
          </w:p>
        </w:tc>
        <w:tc>
          <w:tcPr>
            <w:tcW w:w="400" w:type="dxa"/>
            <w:vAlign w:val="bottom"/>
            <w:shd w:val="clear" w:color="auto" w:fill="582C83"/>
          </w:tcPr>
          <w:p>
            <w:pPr>
              <w:spacing w:after="0" w:line="20" w:lineRule="exact"/>
              <w:rPr>
                <w:sz w:val="1"/>
                <w:szCs w:val="1"/>
                <w:color w:val="auto"/>
              </w:rPr>
            </w:pPr>
          </w:p>
        </w:tc>
        <w:tc>
          <w:tcPr>
            <w:tcW w:w="940" w:type="dxa"/>
            <w:vAlign w:val="bottom"/>
            <w:tcBorders>
              <w:right w:val="single" w:sz="8" w:color="EBE6F0"/>
            </w:tcBorders>
            <w:shd w:val="clear" w:color="auto" w:fill="582C8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7143115" cy="762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8980"/>
        <w:spacing w:after="0"/>
        <w:rPr>
          <w:sz w:val="20"/>
          <w:szCs w:val="20"/>
          <w:color w:val="auto"/>
        </w:rPr>
      </w:pPr>
      <w:r>
        <w:rPr>
          <w:rFonts w:ascii="Arial" w:cs="Arial" w:eastAsia="Arial" w:hAnsi="Arial"/>
          <w:sz w:val="15"/>
          <w:szCs w:val="15"/>
          <w:b w:val="1"/>
          <w:bCs w:val="1"/>
          <w:color w:val="58358F"/>
        </w:rPr>
        <w:t>2023 PROXY STATEMENT |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51" w:name="page152"/>
    <w:bookmarkEnd w:id="151"/>
    <w:p>
      <w:pPr>
        <w:spacing w:after="0"/>
        <w:rPr>
          <w:sz w:val="20"/>
          <w:szCs w:val="20"/>
          <w:color w:val="auto"/>
        </w:rPr>
      </w:pPr>
      <w:r>
        <w:rPr>
          <w:rFonts w:ascii="Arial" w:cs="Arial" w:eastAsia="Arial" w:hAnsi="Arial"/>
          <w:sz w:val="13"/>
          <w:szCs w:val="13"/>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39445" cy="762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39445" cy="762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380" w:right="440" w:hanging="319"/>
        <w:spacing w:after="0" w:line="267" w:lineRule="auto"/>
        <w:tabs>
          <w:tab w:leader="none" w:pos="3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tax expense/(benefit) of each of the pre-tax items excluded from our GAAP results was computed based on the facts and tax assumptions associated with each item, and such impacts have also been excluded from Adjusted EPS.</w:t>
      </w:r>
    </w:p>
    <w:p>
      <w:pPr>
        <w:spacing w:after="0" w:line="1" w:lineRule="exact"/>
        <w:rPr>
          <w:rFonts w:ascii="Arial" w:cs="Arial" w:eastAsia="Arial" w:hAnsi="Arial"/>
          <w:sz w:val="15"/>
          <w:szCs w:val="15"/>
          <w:color w:val="auto"/>
        </w:rPr>
      </w:pPr>
    </w:p>
    <w:p>
      <w:pPr>
        <w:ind w:left="500" w:right="160" w:hanging="116"/>
        <w:spacing w:after="0" w:line="247" w:lineRule="auto"/>
        <w:tabs>
          <w:tab w:leader="none" w:pos="500" w:val="left"/>
        </w:tabs>
        <w:numPr>
          <w:ilvl w:val="1"/>
          <w:numId w:val="135"/>
        </w:numPr>
        <w:rPr>
          <w:rFonts w:ascii="Arial" w:cs="Arial" w:eastAsia="Arial" w:hAnsi="Arial"/>
          <w:sz w:val="15"/>
          <w:szCs w:val="15"/>
          <w:color w:val="582C83"/>
        </w:rPr>
      </w:pPr>
      <w:r>
        <w:rPr>
          <w:rFonts w:ascii="Arial" w:cs="Arial" w:eastAsia="Arial" w:hAnsi="Arial"/>
          <w:sz w:val="15"/>
          <w:szCs w:val="15"/>
          <w:color w:val="auto"/>
        </w:rPr>
        <w:t>For the year ended December 31, 2022, taxes for the: Simplify to Grow Program were $(26) million, intangible asset impairment charge were $(25) million, mark-to-market losses from derivatives were $(56) million, acquisition integration costs and contingent consideration adjustments were $(72) million, inventory step-up charges were $(7) million, acquisition-related costs were $11 million, divestiture-related costs were $(9) million, net earnings from divestitures were $1 million, 2017 malware incident net recoveries were $10 million, European Commission legal matter were zero, incremental costs due to the war in Ukraine were $4 million, remeasurement of net monetary position were zero, impact from pension participation changes were $(3) million, loss on debt extinguishment and related expenses were $(31) million, initial impacts from enacted tax law changes were $17 million, loss on equity method investment transactions were $2 million and equity method investee items were $(5) million.</w:t>
      </w:r>
    </w:p>
    <w:p>
      <w:pPr>
        <w:spacing w:after="0" w:line="11" w:lineRule="exact"/>
        <w:rPr>
          <w:rFonts w:ascii="Arial" w:cs="Arial" w:eastAsia="Arial" w:hAnsi="Arial"/>
          <w:sz w:val="15"/>
          <w:szCs w:val="15"/>
          <w:color w:val="582C83"/>
        </w:rPr>
      </w:pPr>
    </w:p>
    <w:p>
      <w:pPr>
        <w:ind w:left="500" w:right="120" w:hanging="116"/>
        <w:spacing w:after="0" w:line="250" w:lineRule="auto"/>
        <w:tabs>
          <w:tab w:leader="none" w:pos="500" w:val="left"/>
        </w:tabs>
        <w:numPr>
          <w:ilvl w:val="1"/>
          <w:numId w:val="135"/>
        </w:numPr>
        <w:rPr>
          <w:rFonts w:ascii="Arial" w:cs="Arial" w:eastAsia="Arial" w:hAnsi="Arial"/>
          <w:sz w:val="15"/>
          <w:szCs w:val="15"/>
          <w:color w:val="582C83"/>
        </w:rPr>
      </w:pPr>
      <w:r>
        <w:rPr>
          <w:rFonts w:ascii="Arial" w:cs="Arial" w:eastAsia="Arial" w:hAnsi="Arial"/>
          <w:sz w:val="15"/>
          <w:szCs w:val="15"/>
          <w:color w:val="auto"/>
        </w:rPr>
        <w:t>For the year ended December 31, 2021, taxes for the: Simplify to Grow Program were $(83) million, intangible asset impairment charges were $(8) million, mark-to-market gains from derivatives were $44 million, acquisition-related costs were $(4) million, acquisition integration costs and contingent consideration adjustments were $12 million, divestiture-related costs were $(8) million, net earnings from divestitures were $12 million, remeasurement of net monetary position were zero, impact from pension participation changes were $(8) million, loss on debt extinguishment were $(34) million, initial impacts from enacted tax law changes were $100 million, gain on equity method investment transactions were $184 million and equity method investee items were $(4) million.</w:t>
      </w:r>
    </w:p>
    <w:p>
      <w:pPr>
        <w:spacing w:after="0" w:line="8" w:lineRule="exact"/>
        <w:rPr>
          <w:rFonts w:ascii="Arial" w:cs="Arial" w:eastAsia="Arial" w:hAnsi="Arial"/>
          <w:sz w:val="15"/>
          <w:szCs w:val="15"/>
          <w:color w:val="582C83"/>
        </w:rPr>
      </w:pPr>
    </w:p>
    <w:p>
      <w:pPr>
        <w:ind w:left="380" w:hanging="319"/>
        <w:spacing w:after="0"/>
        <w:tabs>
          <w:tab w:leader="none" w:pos="3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See the Gross Profit table and the related footnotes for more information.</w:t>
      </w:r>
    </w:p>
    <w:p>
      <w:pPr>
        <w:spacing w:after="0" w:line="38" w:lineRule="exact"/>
        <w:rPr>
          <w:rFonts w:ascii="Arial" w:cs="Arial" w:eastAsia="Arial" w:hAnsi="Arial"/>
          <w:sz w:val="15"/>
          <w:szCs w:val="15"/>
          <w:color w:val="auto"/>
        </w:rPr>
      </w:pPr>
    </w:p>
    <w:p>
      <w:pPr>
        <w:ind w:left="380" w:hanging="319"/>
        <w:spacing w:after="0"/>
        <w:tabs>
          <w:tab w:leader="none" w:pos="3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 xml:space="preserve">Refer to Note 6, </w:t>
      </w:r>
      <w:r>
        <w:rPr>
          <w:rFonts w:ascii="Arial" w:cs="Arial" w:eastAsia="Arial" w:hAnsi="Arial"/>
          <w:sz w:val="15"/>
          <w:szCs w:val="15"/>
          <w:i w:val="1"/>
          <w:iCs w:val="1"/>
          <w:color w:val="auto"/>
        </w:rPr>
        <w:t>Goodwill and Intangible Assets</w:t>
      </w:r>
      <w:r>
        <w:rPr>
          <w:rFonts w:ascii="Arial" w:cs="Arial" w:eastAsia="Arial" w:hAnsi="Arial"/>
          <w:sz w:val="15"/>
          <w:szCs w:val="15"/>
          <w:color w:val="auto"/>
        </w:rPr>
        <w:t>, to the consolidated financial statements in the 2022 Form 10-K for more information on trademark impairments.</w:t>
      </w:r>
    </w:p>
    <w:p>
      <w:pPr>
        <w:spacing w:after="0" w:line="38" w:lineRule="exact"/>
        <w:rPr>
          <w:rFonts w:ascii="Arial" w:cs="Arial" w:eastAsia="Arial" w:hAnsi="Arial"/>
          <w:sz w:val="15"/>
          <w:szCs w:val="15"/>
          <w:color w:val="auto"/>
        </w:rPr>
      </w:pPr>
    </w:p>
    <w:p>
      <w:pPr>
        <w:ind w:left="380" w:hanging="319"/>
        <w:spacing w:after="0"/>
        <w:tabs>
          <w:tab w:leader="none" w:pos="3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Refer to Note 14, Commitments and Contingencies – Tax Matters, to the consolidated financial statement in the 2022 Form 10-K for more information.</w:t>
      </w:r>
    </w:p>
    <w:p>
      <w:pPr>
        <w:spacing w:after="0" w:line="38" w:lineRule="exact"/>
        <w:rPr>
          <w:rFonts w:ascii="Arial" w:cs="Arial" w:eastAsia="Arial" w:hAnsi="Arial"/>
          <w:sz w:val="15"/>
          <w:szCs w:val="15"/>
          <w:color w:val="auto"/>
        </w:rPr>
      </w:pPr>
    </w:p>
    <w:p>
      <w:pPr>
        <w:ind w:left="380" w:right="240" w:hanging="319"/>
        <w:spacing w:after="0" w:line="267" w:lineRule="auto"/>
        <w:tabs>
          <w:tab w:leader="none" w:pos="3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Refer to Note 1, Summary of Significant Accounting Policies – Currency Translation and Highly Inflationary Accounting, to the consolidated financial statements in the 2022 Form 10-K for more information on our application of highly inflationary accounting for Argentina</w:t>
      </w:r>
    </w:p>
    <w:p>
      <w:pPr>
        <w:spacing w:after="0" w:line="1" w:lineRule="exact"/>
        <w:rPr>
          <w:rFonts w:ascii="Arial" w:cs="Arial" w:eastAsia="Arial" w:hAnsi="Arial"/>
          <w:sz w:val="15"/>
          <w:szCs w:val="15"/>
          <w:color w:val="auto"/>
        </w:rPr>
      </w:pPr>
    </w:p>
    <w:p>
      <w:pPr>
        <w:ind w:left="380" w:right="680" w:hanging="319"/>
        <w:spacing w:after="0" w:line="267" w:lineRule="auto"/>
        <w:tabs>
          <w:tab w:leader="none" w:pos="3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 xml:space="preserve">Refer to Note 9, </w:t>
      </w:r>
      <w:r>
        <w:rPr>
          <w:rFonts w:ascii="Arial" w:cs="Arial" w:eastAsia="Arial" w:hAnsi="Arial"/>
          <w:sz w:val="15"/>
          <w:szCs w:val="15"/>
          <w:i w:val="1"/>
          <w:iCs w:val="1"/>
          <w:color w:val="auto"/>
        </w:rPr>
        <w:t>Debt and Borrowing Arrangements</w:t>
      </w:r>
      <w:r>
        <w:rPr>
          <w:rFonts w:ascii="Arial" w:cs="Arial" w:eastAsia="Arial" w:hAnsi="Arial"/>
          <w:sz w:val="15"/>
          <w:szCs w:val="15"/>
          <w:color w:val="auto"/>
        </w:rPr>
        <w:t>, to the consolidated financial statements in the 2022 Form 10-K for more information on losses on debt extinguishment.</w:t>
      </w:r>
    </w:p>
    <w:p>
      <w:pPr>
        <w:spacing w:after="0" w:line="1" w:lineRule="exact"/>
        <w:rPr>
          <w:rFonts w:ascii="Arial" w:cs="Arial" w:eastAsia="Arial" w:hAnsi="Arial"/>
          <w:sz w:val="15"/>
          <w:szCs w:val="15"/>
          <w:color w:val="auto"/>
        </w:rPr>
      </w:pPr>
    </w:p>
    <w:p>
      <w:pPr>
        <w:ind w:left="380" w:hanging="319"/>
        <w:spacing w:after="0"/>
        <w:tabs>
          <w:tab w:leader="none" w:pos="3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 xml:space="preserve">Refer to Note 16, </w:t>
      </w:r>
      <w:r>
        <w:rPr>
          <w:rFonts w:ascii="Arial" w:cs="Arial" w:eastAsia="Arial" w:hAnsi="Arial"/>
          <w:sz w:val="15"/>
          <w:szCs w:val="15"/>
          <w:i w:val="1"/>
          <w:iCs w:val="1"/>
          <w:color w:val="auto"/>
        </w:rPr>
        <w:t>Income Taxes</w:t>
      </w:r>
      <w:r>
        <w:rPr>
          <w:rFonts w:ascii="Arial" w:cs="Arial" w:eastAsia="Arial" w:hAnsi="Arial"/>
          <w:sz w:val="15"/>
          <w:szCs w:val="15"/>
          <w:color w:val="auto"/>
        </w:rPr>
        <w:t>, to the consolidated financial statements in the 2022 Form 10-K for more information.</w:t>
      </w:r>
    </w:p>
    <w:p>
      <w:pPr>
        <w:spacing w:after="0" w:line="38" w:lineRule="exact"/>
        <w:rPr>
          <w:rFonts w:ascii="Arial" w:cs="Arial" w:eastAsia="Arial" w:hAnsi="Arial"/>
          <w:sz w:val="15"/>
          <w:szCs w:val="15"/>
          <w:color w:val="auto"/>
        </w:rPr>
      </w:pPr>
    </w:p>
    <w:p>
      <w:pPr>
        <w:ind w:left="380" w:right="200" w:hanging="319"/>
        <w:spacing w:after="0" w:line="267" w:lineRule="auto"/>
        <w:tabs>
          <w:tab w:leader="none" w:pos="3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Refer to Note 7, Equity Method Investments, to the consolidated financial statements in the 2022 Form 10-K for more information on our equity method investment transactions</w:t>
      </w:r>
    </w:p>
    <w:p>
      <w:pPr>
        <w:spacing w:after="0" w:line="1" w:lineRule="exact"/>
        <w:rPr>
          <w:rFonts w:ascii="Arial" w:cs="Arial" w:eastAsia="Arial" w:hAnsi="Arial"/>
          <w:sz w:val="15"/>
          <w:szCs w:val="15"/>
          <w:color w:val="auto"/>
        </w:rPr>
      </w:pPr>
    </w:p>
    <w:p>
      <w:pPr>
        <w:ind w:left="380" w:right="800" w:hanging="319"/>
        <w:spacing w:after="0" w:line="275" w:lineRule="auto"/>
        <w:tabs>
          <w:tab w:leader="none" w:pos="3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Includes our proportionate share of significant operating and non-operating items recorded by our JDE Peet’s and KDP equity method investees, such as acquisition and divestiture-related costs and restructuring program costs.</w:t>
      </w:r>
    </w:p>
    <w:p>
      <w:pPr>
        <w:spacing w:after="0" w:line="336"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100" w:type="dxa"/>
            <w:vAlign w:val="bottom"/>
          </w:tcPr>
          <w:p>
            <w:pPr>
              <w:ind w:left="60"/>
              <w:spacing w:after="0"/>
              <w:rPr>
                <w:sz w:val="20"/>
                <w:szCs w:val="20"/>
                <w:color w:val="auto"/>
              </w:rPr>
            </w:pPr>
            <w:r>
              <w:rPr>
                <w:rFonts w:ascii="Arial" w:cs="Arial" w:eastAsia="Arial" w:hAnsi="Arial"/>
                <w:sz w:val="16"/>
                <w:szCs w:val="16"/>
                <w:b w:val="1"/>
                <w:bCs w:val="1"/>
                <w:color w:val="auto"/>
              </w:rPr>
              <w:t>Net Cash Provided by Operating Activities to Free Cash Flow</w:t>
            </w:r>
          </w:p>
        </w:tc>
        <w:tc>
          <w:tcPr>
            <w:tcW w:w="4160" w:type="dxa"/>
            <w:vAlign w:val="bottom"/>
            <w:gridSpan w:val="2"/>
          </w:tcPr>
          <w:p>
            <w:pPr>
              <w:jc w:val="right"/>
              <w:spacing w:after="0"/>
              <w:rPr>
                <w:sz w:val="20"/>
                <w:szCs w:val="20"/>
                <w:color w:val="auto"/>
              </w:rPr>
            </w:pPr>
            <w:r>
              <w:rPr>
                <w:rFonts w:ascii="Arial" w:cs="Arial" w:eastAsia="Arial" w:hAnsi="Arial"/>
                <w:sz w:val="16"/>
                <w:szCs w:val="16"/>
                <w:b w:val="1"/>
                <w:bCs w:val="1"/>
                <w:color w:val="auto"/>
              </w:rPr>
              <w:t>For the Twelve Months Ended</w:t>
            </w:r>
          </w:p>
        </w:tc>
      </w:tr>
      <w:tr>
        <w:trPr>
          <w:trHeight w:val="241"/>
        </w:trPr>
        <w:tc>
          <w:tcPr>
            <w:tcW w:w="710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(in millions of U.S. dollars) (Unaudited)</w:t>
            </w:r>
          </w:p>
        </w:tc>
        <w:tc>
          <w:tcPr>
            <w:tcW w:w="4160" w:type="dxa"/>
            <w:vAlign w:val="bottom"/>
            <w:tcBorders>
              <w:bottom w:val="single" w:sz="8" w:color="582C83"/>
            </w:tcBorders>
            <w:gridSpan w:val="2"/>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91"/>
        </w:trPr>
        <w:tc>
          <w:tcPr>
            <w:tcW w:w="710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Net Cash Provided by Operating Activities (GAAP)</w:t>
            </w:r>
          </w:p>
        </w:tc>
        <w:tc>
          <w:tcPr>
            <w:tcW w:w="350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3,908</w:t>
            </w:r>
          </w:p>
        </w:tc>
      </w:tr>
      <w:tr>
        <w:trPr>
          <w:trHeight w:val="243"/>
        </w:trPr>
        <w:tc>
          <w:tcPr>
            <w:tcW w:w="7100" w:type="dxa"/>
            <w:vAlign w:val="bottom"/>
            <w:tcBorders>
              <w:top w:val="single" w:sz="8" w:color="582C83"/>
            </w:tcBorders>
          </w:tcPr>
          <w:p>
            <w:pPr>
              <w:ind w:left="60"/>
              <w:spacing w:after="0"/>
              <w:rPr>
                <w:sz w:val="20"/>
                <w:szCs w:val="20"/>
                <w:color w:val="auto"/>
              </w:rPr>
            </w:pPr>
            <w:r>
              <w:rPr>
                <w:rFonts w:ascii="Arial" w:cs="Arial" w:eastAsia="Arial" w:hAnsi="Arial"/>
                <w:sz w:val="16"/>
                <w:szCs w:val="16"/>
                <w:color w:val="auto"/>
              </w:rPr>
              <w:t>Capital Expenditures</w:t>
            </w:r>
          </w:p>
        </w:tc>
        <w:tc>
          <w:tcPr>
            <w:tcW w:w="3500" w:type="dxa"/>
            <w:vAlign w:val="bottom"/>
            <w:tcBorders>
              <w:top w:val="single" w:sz="8" w:color="582C83"/>
            </w:tcBorders>
          </w:tcPr>
          <w:p>
            <w:pPr>
              <w:spacing w:after="0"/>
              <w:rPr>
                <w:sz w:val="21"/>
                <w:szCs w:val="21"/>
                <w:color w:val="auto"/>
              </w:rPr>
            </w:pPr>
          </w:p>
        </w:tc>
        <w:tc>
          <w:tcPr>
            <w:tcW w:w="660" w:type="dxa"/>
            <w:vAlign w:val="bottom"/>
            <w:tcBorders>
              <w:top w:val="single" w:sz="8" w:color="582C83"/>
            </w:tcBorders>
          </w:tcPr>
          <w:p>
            <w:pPr>
              <w:jc w:val="right"/>
              <w:spacing w:after="0"/>
              <w:rPr>
                <w:sz w:val="20"/>
                <w:szCs w:val="20"/>
                <w:color w:val="auto"/>
              </w:rPr>
            </w:pPr>
            <w:r>
              <w:rPr>
                <w:rFonts w:ascii="Arial" w:cs="Arial" w:eastAsia="Arial" w:hAnsi="Arial"/>
                <w:sz w:val="16"/>
                <w:szCs w:val="16"/>
                <w:color w:val="auto"/>
              </w:rPr>
              <w:t>(906)</w:t>
            </w:r>
          </w:p>
        </w:tc>
      </w:tr>
      <w:tr>
        <w:trPr>
          <w:trHeight w:val="35"/>
        </w:trPr>
        <w:tc>
          <w:tcPr>
            <w:tcW w:w="7100" w:type="dxa"/>
            <w:vAlign w:val="bottom"/>
            <w:tcBorders>
              <w:bottom w:val="single" w:sz="8" w:color="582C83"/>
            </w:tcBorders>
          </w:tcPr>
          <w:p>
            <w:pPr>
              <w:spacing w:after="0"/>
              <w:rPr>
                <w:sz w:val="3"/>
                <w:szCs w:val="3"/>
                <w:color w:val="auto"/>
              </w:rPr>
            </w:pPr>
          </w:p>
        </w:tc>
        <w:tc>
          <w:tcPr>
            <w:tcW w:w="3500" w:type="dxa"/>
            <w:vAlign w:val="bottom"/>
            <w:tcBorders>
              <w:bottom w:val="single" w:sz="8" w:color="582C83"/>
            </w:tcBorders>
          </w:tcPr>
          <w:p>
            <w:pPr>
              <w:spacing w:after="0"/>
              <w:rPr>
                <w:sz w:val="3"/>
                <w:szCs w:val="3"/>
                <w:color w:val="auto"/>
              </w:rPr>
            </w:pPr>
          </w:p>
        </w:tc>
        <w:tc>
          <w:tcPr>
            <w:tcW w:w="660" w:type="dxa"/>
            <w:vAlign w:val="bottom"/>
            <w:tcBorders>
              <w:bottom w:val="single" w:sz="8" w:color="582C83"/>
            </w:tcBorders>
          </w:tcPr>
          <w:p>
            <w:pPr>
              <w:spacing w:after="0"/>
              <w:rPr>
                <w:sz w:val="3"/>
                <w:szCs w:val="3"/>
                <w:color w:val="auto"/>
              </w:rPr>
            </w:pPr>
          </w:p>
        </w:tc>
      </w:tr>
      <w:tr>
        <w:trPr>
          <w:trHeight w:val="258"/>
        </w:trPr>
        <w:tc>
          <w:tcPr>
            <w:tcW w:w="7100" w:type="dxa"/>
            <w:vAlign w:val="bottom"/>
            <w:tcBorders>
              <w:left w:val="single" w:sz="8" w:color="EBE6F0"/>
              <w:bottom w:val="single" w:sz="8" w:color="EBE6F0"/>
              <w:right w:val="single" w:sz="8" w:color="EBE6F0"/>
            </w:tcBorders>
            <w:shd w:val="clear" w:color="auto" w:fill="EBE6F0"/>
          </w:tcPr>
          <w:p>
            <w:pPr>
              <w:ind w:left="80"/>
              <w:spacing w:after="0"/>
              <w:rPr>
                <w:sz w:val="20"/>
                <w:szCs w:val="20"/>
                <w:color w:val="auto"/>
              </w:rPr>
            </w:pPr>
            <w:r>
              <w:rPr>
                <w:rFonts w:ascii="Arial" w:cs="Arial" w:eastAsia="Arial" w:hAnsi="Arial"/>
                <w:sz w:val="16"/>
                <w:szCs w:val="16"/>
                <w:b w:val="1"/>
                <w:bCs w:val="1"/>
                <w:color w:val="auto"/>
              </w:rPr>
              <w:t>Free Cash Flow (Non-GAAP)</w:t>
            </w:r>
          </w:p>
        </w:tc>
        <w:tc>
          <w:tcPr>
            <w:tcW w:w="350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EBE6F0"/>
              <w:right w:val="single" w:sz="8" w:color="EBE6F0"/>
            </w:tcBorders>
            <w:shd w:val="clear" w:color="auto" w:fill="EBE6F0"/>
          </w:tcPr>
          <w:p>
            <w:pPr>
              <w:jc w:val="right"/>
              <w:spacing w:after="0"/>
              <w:rPr>
                <w:sz w:val="20"/>
                <w:szCs w:val="20"/>
                <w:color w:val="auto"/>
              </w:rPr>
            </w:pPr>
            <w:r>
              <w:rPr>
                <w:rFonts w:ascii="Arial" w:cs="Arial" w:eastAsia="Arial" w:hAnsi="Arial"/>
                <w:sz w:val="16"/>
                <w:szCs w:val="16"/>
                <w:b w:val="1"/>
                <w:bCs w:val="1"/>
                <w:color w:val="auto"/>
              </w:rPr>
              <w:t>3,002</w:t>
            </w:r>
          </w:p>
        </w:tc>
      </w:tr>
      <w:tr>
        <w:trPr>
          <w:trHeight w:val="20"/>
        </w:trPr>
        <w:tc>
          <w:tcPr>
            <w:tcW w:w="7100" w:type="dxa"/>
            <w:vAlign w:val="bottom"/>
            <w:tcBorders>
              <w:left w:val="single" w:sz="8" w:color="EBE6F0"/>
              <w:right w:val="single" w:sz="8" w:color="EBE6F0"/>
            </w:tcBorders>
            <w:shd w:val="clear" w:color="auto" w:fill="582C83"/>
          </w:tcPr>
          <w:p>
            <w:pPr>
              <w:spacing w:after="0" w:line="20" w:lineRule="exact"/>
              <w:rPr>
                <w:sz w:val="1"/>
                <w:szCs w:val="1"/>
                <w:color w:val="auto"/>
              </w:rPr>
            </w:pPr>
          </w:p>
        </w:tc>
        <w:tc>
          <w:tcPr>
            <w:tcW w:w="3500" w:type="dxa"/>
            <w:vAlign w:val="bottom"/>
            <w:tcBorders>
              <w:right w:val="single" w:sz="8" w:color="EBE6F0"/>
            </w:tcBorders>
            <w:shd w:val="clear" w:color="auto" w:fill="582C83"/>
          </w:tcPr>
          <w:p>
            <w:pPr>
              <w:spacing w:after="0" w:line="20" w:lineRule="exact"/>
              <w:rPr>
                <w:sz w:val="1"/>
                <w:szCs w:val="1"/>
                <w:color w:val="auto"/>
              </w:rPr>
            </w:pPr>
          </w:p>
        </w:tc>
        <w:tc>
          <w:tcPr>
            <w:tcW w:w="660" w:type="dxa"/>
            <w:vAlign w:val="bottom"/>
            <w:tcBorders>
              <w:right w:val="single" w:sz="8" w:color="EBE6F0"/>
            </w:tcBorders>
            <w:shd w:val="clear" w:color="auto" w:fill="582C8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7143115" cy="762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58358F"/>
        </w:rPr>
        <w:t>2023 PROXY STATEMENT |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3115" cy="1587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906780" cy="22098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906780" cy="22098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52" w:name="page153"/>
    <w:bookmarkEnd w:id="152"/>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311785</wp:posOffset>
            </wp:positionV>
            <wp:extent cx="7143115" cy="848360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43115" cy="848360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3" w:name="page154"/>
    <w:bookmarkEnd w:id="153"/>
    <w:p>
      <w:pPr>
        <w:spacing w:after="0"/>
        <w:rPr>
          <w:sz w:val="20"/>
          <w:szCs w:val="20"/>
          <w:color w:val="auto"/>
        </w:rPr>
      </w:pPr>
      <w:r>
        <w:rPr>
          <w:rFonts w:ascii="Arial" w:cs="Arial" w:eastAsia="Arial" w:hAnsi="Arial"/>
          <w:sz w:val="13"/>
          <w:szCs w:val="13"/>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311785</wp:posOffset>
            </wp:positionV>
            <wp:extent cx="7143115" cy="84283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43115" cy="84283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115" cy="81997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43115" cy="8199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115" cy="777430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43115" cy="77743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1)"/>
      <w:numFmt w:val="decimal"/>
      <w:start w:val="1"/>
    </w:lvl>
  </w:abstractNum>
  <w:abstractNum w:abstractNumId="2">
    <w:nsid w:val="6590700B"/>
    <w:multiLevelType w:val="hybridMultilevel"/>
    <w:lvl w:ilvl="0">
      <w:lvlJc w:val="left"/>
      <w:lvlText w:val="\endash "/>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1)"/>
      <w:numFmt w:val="decimal"/>
      <w:start w:val="2"/>
    </w:lvl>
  </w:abstractNum>
  <w:abstractNum w:abstractNumId="5">
    <w:nsid w:val="98A3148"/>
    <w:multiLevelType w:val="hybridMultilevel"/>
    <w:lvl w:ilvl="0">
      <w:lvlJc w:val="left"/>
      <w:lvlText w:val="%1."/>
      <w:numFmt w:val="decimal"/>
      <w:start w:val="1"/>
    </w:lvl>
  </w:abstractNum>
  <w:abstractNum w:abstractNumId="6">
    <w:nsid w:val="799D0247"/>
    <w:multiLevelType w:val="hybridMultilevel"/>
    <w:lvl w:ilvl="0">
      <w:lvlJc w:val="left"/>
      <w:lvlText w:val="(%1)"/>
      <w:numFmt w:val="decimal"/>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1)"/>
      <w:numFmt w:val="decimal"/>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
      <w:numFmt w:val="bullet"/>
      <w:start w:val="1"/>
    </w:lvl>
  </w:abstractNum>
  <w:abstractNum w:abstractNumId="39">
    <w:nsid w:val="4C04A8AF"/>
    <w:multiLevelType w:val="hybridMultilevel"/>
    <w:lvl w:ilvl="0">
      <w:lvlJc w:val="left"/>
      <w:lvlText w:val="•"/>
      <w:numFmt w:val="bullet"/>
      <w:start w:val="1"/>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
      <w:numFmt w:val="bullet"/>
      <w:start w:val="1"/>
    </w:lvl>
  </w:abstractNum>
  <w:abstractNum w:abstractNumId="43">
    <w:nsid w:val="74DE0EE3"/>
    <w:multiLevelType w:val="hybridMultilevel"/>
    <w:lvl w:ilvl="0">
      <w:lvlJc w:val="left"/>
      <w:lvlText w:val="•"/>
      <w:numFmt w:val="bullet"/>
      <w:start w:val="1"/>
    </w:lvl>
  </w:abstractNum>
  <w:abstractNum w:abstractNumId="44">
    <w:nsid w:val="68EBC550"/>
    <w:multiLevelType w:val="hybridMultilevel"/>
    <w:lvl w:ilvl="0">
      <w:lvlJc w:val="left"/>
      <w:lvlText w:val="•"/>
      <w:numFmt w:val="bullet"/>
      <w:start w:val="1"/>
    </w:lvl>
  </w:abstractNum>
  <w:abstractNum w:abstractNumId="45">
    <w:nsid w:val="2DF6D648"/>
    <w:multiLevelType w:val="hybridMultilevel"/>
    <w:lvl w:ilvl="0">
      <w:lvlJc w:val="left"/>
      <w:lvlText w:val="•"/>
      <w:numFmt w:val="bullet"/>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
      <w:numFmt w:val="bullet"/>
      <w:start w:val="1"/>
    </w:lvl>
  </w:abstractNum>
  <w:abstractNum w:abstractNumId="48">
    <w:nsid w:val="39EE015C"/>
    <w:multiLevelType w:val="hybridMultilevel"/>
    <w:lvl w:ilvl="0">
      <w:lvlJc w:val="left"/>
      <w:lvlText w:val="•"/>
      <w:numFmt w:val="bullet"/>
      <w:start w:val="1"/>
    </w:lvl>
  </w:abstractNum>
  <w:abstractNum w:abstractNumId="49">
    <w:nsid w:val="57FC4FBB"/>
    <w:multiLevelType w:val="hybridMultilevel"/>
    <w:lvl w:ilvl="0">
      <w:lvlJc w:val="left"/>
      <w:lvlText w:val="•"/>
      <w:numFmt w:val="bullet"/>
      <w:start w:val="1"/>
    </w:lvl>
  </w:abstractNum>
  <w:abstractNum w:abstractNumId="50">
    <w:nsid w:val="CC1016F"/>
    <w:multiLevelType w:val="hybridMultilevel"/>
    <w:lvl w:ilvl="0">
      <w:lvlJc w:val="left"/>
      <w:lvlText w:val="•"/>
      <w:numFmt w:val="bullet"/>
      <w:start w:val="1"/>
    </w:lvl>
  </w:abstractNum>
  <w:abstractNum w:abstractNumId="51">
    <w:nsid w:val="43F18422"/>
    <w:multiLevelType w:val="hybridMultilevel"/>
    <w:lvl w:ilvl="0">
      <w:lvlJc w:val="left"/>
      <w:lvlText w:val="•"/>
      <w:numFmt w:val="bullet"/>
      <w:start w:val="1"/>
    </w:lvl>
  </w:abstractNum>
  <w:abstractNum w:abstractNumId="52">
    <w:nsid w:val="60EF0119"/>
    <w:multiLevelType w:val="hybridMultilevel"/>
    <w:lvl w:ilvl="0">
      <w:lvlJc w:val="left"/>
      <w:lvlText w:val="•"/>
      <w:numFmt w:val="bullet"/>
      <w:start w:val="1"/>
    </w:lvl>
  </w:abstractNum>
  <w:abstractNum w:abstractNumId="53">
    <w:nsid w:val="26F324BA"/>
    <w:multiLevelType w:val="hybridMultilevel"/>
    <w:lvl w:ilvl="0">
      <w:lvlJc w:val="left"/>
      <w:lvlText w:val="•"/>
      <w:numFmt w:val="bullet"/>
      <w:start w:val="1"/>
    </w:lvl>
  </w:abstractNum>
  <w:abstractNum w:abstractNumId="54">
    <w:nsid w:val="7F01579B"/>
    <w:multiLevelType w:val="hybridMultilevel"/>
    <w:lvl w:ilvl="0">
      <w:lvlJc w:val="left"/>
      <w:lvlText w:val="•"/>
      <w:numFmt w:val="bullet"/>
      <w:start w:val="1"/>
    </w:lvl>
  </w:abstractNum>
  <w:abstractNum w:abstractNumId="55">
    <w:nsid w:val="49DA307D"/>
    <w:multiLevelType w:val="hybridMultilevel"/>
    <w:lvl w:ilvl="0">
      <w:lvlJc w:val="left"/>
      <w:lvlText w:val="•"/>
      <w:numFmt w:val="bullet"/>
      <w:start w:val="1"/>
    </w:lvl>
  </w:abstractNum>
  <w:abstractNum w:abstractNumId="56">
    <w:nsid w:val="7055A5F5"/>
    <w:multiLevelType w:val="hybridMultilevel"/>
    <w:lvl w:ilvl="0">
      <w:lvlJc w:val="left"/>
      <w:lvlText w:val="•"/>
      <w:numFmt w:val="bullet"/>
      <w:start w:val="1"/>
    </w:lvl>
  </w:abstractNum>
  <w:abstractNum w:abstractNumId="57">
    <w:nsid w:val="5FB8370B"/>
    <w:multiLevelType w:val="hybridMultilevel"/>
    <w:lvl w:ilvl="0">
      <w:lvlJc w:val="left"/>
      <w:lvlText w:val="•"/>
      <w:numFmt w:val="bullet"/>
      <w:start w:val="1"/>
    </w:lvl>
  </w:abstractNum>
  <w:abstractNum w:abstractNumId="58">
    <w:nsid w:val="50801EE1"/>
    <w:multiLevelType w:val="hybridMultilevel"/>
    <w:lvl w:ilvl="0">
      <w:lvlJc w:val="left"/>
      <w:lvlText w:val="•"/>
      <w:numFmt w:val="bullet"/>
      <w:start w:val="1"/>
    </w:lvl>
  </w:abstractNum>
  <w:abstractNum w:abstractNumId="59">
    <w:nsid w:val="488AC1A"/>
    <w:multiLevelType w:val="hybridMultilevel"/>
    <w:lvl w:ilvl="0">
      <w:lvlJc w:val="left"/>
      <w:lvlText w:val="•"/>
      <w:numFmt w:val="bullet"/>
      <w:start w:val="1"/>
    </w:lvl>
  </w:abstractNum>
  <w:abstractNum w:abstractNumId="60">
    <w:nsid w:val="5FB8011C"/>
    <w:multiLevelType w:val="hybridMultilevel"/>
    <w:lvl w:ilvl="0">
      <w:lvlJc w:val="left"/>
      <w:lvlText w:val="(%1)"/>
      <w:numFmt w:val="decimal"/>
      <w:start w:val="1"/>
    </w:lvl>
  </w:abstractNum>
  <w:abstractNum w:abstractNumId="61">
    <w:nsid w:val="6AA78F7F"/>
    <w:multiLevelType w:val="hybridMultilevel"/>
    <w:lvl w:ilvl="0">
      <w:lvlJc w:val="left"/>
      <w:lvlText w:val="(%1)"/>
      <w:numFmt w:val="decimal"/>
      <w:start w:val="1"/>
    </w:lvl>
  </w:abstractNum>
  <w:abstractNum w:abstractNumId="62">
    <w:nsid w:val="7672BD23"/>
    <w:multiLevelType w:val="hybridMultilevel"/>
    <w:lvl w:ilvl="0">
      <w:lvlJc w:val="left"/>
      <w:lvlText w:val="•"/>
      <w:numFmt w:val="bullet"/>
      <w:start w:val="1"/>
    </w:lvl>
  </w:abstractNum>
  <w:abstractNum w:abstractNumId="63">
    <w:nsid w:val="6FC75AF8"/>
    <w:multiLevelType w:val="hybridMultilevel"/>
    <w:lvl w:ilvl="0">
      <w:lvlJc w:val="left"/>
      <w:lvlText w:val="(%1)"/>
      <w:numFmt w:val="decimal"/>
      <w:start w:val="1"/>
    </w:lvl>
  </w:abstractNum>
  <w:abstractNum w:abstractNumId="64">
    <w:nsid w:val="6A5F7029"/>
    <w:multiLevelType w:val="hybridMultilevel"/>
    <w:lvl w:ilvl="0">
      <w:lvlJc w:val="left"/>
      <w:lvlText w:val="(%1)"/>
      <w:numFmt w:val="decimal"/>
      <w:start w:val="1"/>
    </w:lvl>
  </w:abstractNum>
  <w:abstractNum w:abstractNumId="65">
    <w:nsid w:val="7D5E18F8"/>
    <w:multiLevelType w:val="hybridMultilevel"/>
    <w:lvl w:ilvl="0">
      <w:lvlJc w:val="left"/>
      <w:lvlText w:val="•"/>
      <w:numFmt w:val="bullet"/>
      <w:start w:val="1"/>
    </w:lvl>
  </w:abstractNum>
  <w:abstractNum w:abstractNumId="66">
    <w:nsid w:val="5F3534A4"/>
    <w:multiLevelType w:val="hybridMultilevel"/>
    <w:lvl w:ilvl="0">
      <w:lvlJc w:val="left"/>
      <w:lvlText w:val="•"/>
      <w:numFmt w:val="bullet"/>
      <w:start w:val="1"/>
    </w:lvl>
  </w:abstractNum>
  <w:abstractNum w:abstractNumId="67">
    <w:nsid w:val="73A1821B"/>
    <w:multiLevelType w:val="hybridMultilevel"/>
    <w:lvl w:ilvl="0">
      <w:lvlJc w:val="left"/>
      <w:lvlText w:val="(%1)"/>
      <w:numFmt w:val="decimal"/>
      <w:start w:val="1"/>
    </w:lvl>
  </w:abstractNum>
  <w:abstractNum w:abstractNumId="68">
    <w:nsid w:val="7DE67713"/>
    <w:multiLevelType w:val="hybridMultilevel"/>
    <w:lvl w:ilvl="0">
      <w:lvlJc w:val="left"/>
      <w:lvlText w:val="(%1)"/>
      <w:numFmt w:val="decimal"/>
      <w:start w:val="1"/>
    </w:lvl>
  </w:abstractNum>
  <w:abstractNum w:abstractNumId="69">
    <w:nsid w:val="555C55B5"/>
    <w:multiLevelType w:val="hybridMultilevel"/>
    <w:lvl w:ilvl="0">
      <w:lvlJc w:val="left"/>
      <w:lvlText w:val="•"/>
      <w:numFmt w:val="bullet"/>
      <w:start w:val="1"/>
    </w:lvl>
  </w:abstractNum>
  <w:abstractNum w:abstractNumId="70">
    <w:nsid w:val="3FA62ACA"/>
    <w:multiLevelType w:val="hybridMultilevel"/>
    <w:lvl w:ilvl="0">
      <w:lvlJc w:val="left"/>
      <w:lvlText w:val="(%1)"/>
      <w:numFmt w:val="decimal"/>
      <w:start w:val="1"/>
    </w:lvl>
  </w:abstractNum>
  <w:abstractNum w:abstractNumId="71">
    <w:nsid w:val="14FCE74E"/>
    <w:multiLevelType w:val="hybridMultilevel"/>
    <w:lvl w:ilvl="0">
      <w:lvlJc w:val="left"/>
      <w:lvlText w:val="(%1)"/>
      <w:numFmt w:val="decimal"/>
      <w:start w:val="1"/>
    </w:lvl>
  </w:abstractNum>
  <w:abstractNum w:abstractNumId="72">
    <w:nsid w:val="6A3DD3E8"/>
    <w:multiLevelType w:val="hybridMultilevel"/>
    <w:lvl w:ilvl="0">
      <w:lvlJc w:val="left"/>
      <w:lvlText w:val="•"/>
      <w:numFmt w:val="bullet"/>
      <w:start w:val="1"/>
    </w:lvl>
  </w:abstractNum>
  <w:abstractNum w:abstractNumId="73">
    <w:nsid w:val="71C91298"/>
    <w:multiLevelType w:val="hybridMultilevel"/>
    <w:lvl w:ilvl="0">
      <w:lvlJc w:val="left"/>
      <w:lvlText w:val="•"/>
      <w:numFmt w:val="bullet"/>
      <w:start w:val="1"/>
    </w:lvl>
  </w:abstractNum>
  <w:abstractNum w:abstractNumId="74">
    <w:nsid w:val="9DAF632"/>
    <w:multiLevelType w:val="hybridMultilevel"/>
    <w:lvl w:ilvl="0">
      <w:lvlJc w:val="left"/>
      <w:lvlText w:val="(%1)"/>
      <w:numFmt w:val="decimal"/>
      <w:start w:val="1"/>
    </w:lvl>
  </w:abstractNum>
  <w:abstractNum w:abstractNumId="75">
    <w:nsid w:val="53299938"/>
    <w:multiLevelType w:val="hybridMultilevel"/>
    <w:lvl w:ilvl="0">
      <w:lvlJc w:val="left"/>
      <w:lvlText w:val="•"/>
      <w:numFmt w:val="bullet"/>
      <w:start w:val="1"/>
    </w:lvl>
  </w:abstractNum>
  <w:abstractNum w:abstractNumId="76">
    <w:nsid w:val="1FBFE8E0"/>
    <w:multiLevelType w:val="hybridMultilevel"/>
    <w:lvl w:ilvl="0">
      <w:lvlJc w:val="left"/>
      <w:lvlText w:val="•"/>
      <w:numFmt w:val="bullet"/>
      <w:start w:val="1"/>
    </w:lvl>
  </w:abstractNum>
  <w:abstractNum w:abstractNumId="77">
    <w:nsid w:val="5092CA79"/>
    <w:multiLevelType w:val="hybridMultilevel"/>
    <w:lvl w:ilvl="0">
      <w:lvlJc w:val="left"/>
      <w:lvlText w:val="•"/>
      <w:numFmt w:val="bullet"/>
      <w:start w:val="1"/>
    </w:lvl>
  </w:abstractNum>
  <w:abstractNum w:abstractNumId="78">
    <w:nsid w:val="1D545C4D"/>
    <w:multiLevelType w:val="hybridMultilevel"/>
    <w:lvl w:ilvl="0">
      <w:lvlJc w:val="left"/>
      <w:lvlText w:val="•"/>
      <w:numFmt w:val="bullet"/>
      <w:start w:val="1"/>
    </w:lvl>
  </w:abstractNum>
  <w:abstractNum w:abstractNumId="79">
    <w:nsid w:val="59ADEA3D"/>
    <w:multiLevelType w:val="hybridMultilevel"/>
    <w:lvl w:ilvl="0">
      <w:lvlJc w:val="left"/>
      <w:lvlText w:val="•"/>
      <w:numFmt w:val="bullet"/>
      <w:start w:val="1"/>
    </w:lvl>
  </w:abstractNum>
  <w:abstractNum w:abstractNumId="80">
    <w:nsid w:val="288F1A34"/>
    <w:multiLevelType w:val="hybridMultilevel"/>
    <w:lvl w:ilvl="0">
      <w:lvlJc w:val="left"/>
      <w:lvlText w:val="•"/>
      <w:numFmt w:val="bullet"/>
      <w:start w:val="1"/>
    </w:lvl>
  </w:abstractNum>
  <w:abstractNum w:abstractNumId="81">
    <w:nsid w:val="2A155DBC"/>
    <w:multiLevelType w:val="hybridMultilevel"/>
    <w:lvl w:ilvl="0">
      <w:lvlJc w:val="left"/>
      <w:lvlText w:val="(%1)"/>
      <w:numFmt w:val="decimal"/>
      <w:start w:val="1"/>
    </w:lvl>
  </w:abstractNum>
  <w:abstractNum w:abstractNumId="82">
    <w:nsid w:val="1D9F6E5F"/>
    <w:multiLevelType w:val="hybridMultilevel"/>
    <w:lvl w:ilvl="0">
      <w:lvlJc w:val="left"/>
      <w:lvlText w:val="(%1)"/>
      <w:numFmt w:val="decimal"/>
      <w:start w:val="3"/>
    </w:lvl>
  </w:abstractNum>
  <w:abstractNum w:abstractNumId="83">
    <w:nsid w:val="97E1B4E"/>
    <w:multiLevelType w:val="hybridMultilevel"/>
    <w:lvl w:ilvl="0">
      <w:lvlJc w:val="left"/>
      <w:lvlText w:val="(%1)"/>
      <w:numFmt w:val="lowerLetter"/>
      <w:start w:val="1"/>
    </w:lvl>
  </w:abstractNum>
  <w:abstractNum w:abstractNumId="84">
    <w:nsid w:val="51088277"/>
    <w:multiLevelType w:val="hybridMultilevel"/>
    <w:lvl w:ilvl="0">
      <w:lvlJc w:val="left"/>
      <w:lvlText w:val="(%1)"/>
      <w:numFmt w:val="decimal"/>
      <w:start w:val="1"/>
    </w:lvl>
  </w:abstractNum>
  <w:abstractNum w:abstractNumId="85">
    <w:nsid w:val="1CA0C5FA"/>
    <w:multiLevelType w:val="hybridMultilevel"/>
    <w:lvl w:ilvl="0">
      <w:lvlJc w:val="left"/>
      <w:lvlText w:val="(%1)"/>
      <w:numFmt w:val="decimal"/>
      <w:start w:val="2"/>
    </w:lvl>
  </w:abstractNum>
  <w:abstractNum w:abstractNumId="86">
    <w:nsid w:val="53584BCB"/>
    <w:multiLevelType w:val="hybridMultilevel"/>
    <w:lvl w:ilvl="0">
      <w:lvlJc w:val="left"/>
      <w:lvlText w:val="(%1)"/>
      <w:numFmt w:val="decimal"/>
      <w:start w:val="1"/>
    </w:lvl>
    <w:lvl w:ilvl="1">
      <w:lvlJc w:val="left"/>
      <w:lvlText w:val="•"/>
      <w:numFmt w:val="bullet"/>
      <w:start w:val="1"/>
    </w:lvl>
  </w:abstractNum>
  <w:abstractNum w:abstractNumId="87">
    <w:nsid w:val="415E286C"/>
    <w:multiLevelType w:val="hybridMultilevel"/>
    <w:lvl w:ilvl="0">
      <w:lvlJc w:val="left"/>
      <w:lvlText w:val="(%1)"/>
      <w:numFmt w:val="decimal"/>
      <w:start w:val="1"/>
    </w:lvl>
    <w:lvl w:ilvl="1">
      <w:lvlJc w:val="left"/>
      <w:lvlText w:val="•"/>
      <w:numFmt w:val="bullet"/>
      <w:start w:val="1"/>
    </w:lvl>
  </w:abstractNum>
  <w:abstractNum w:abstractNumId="88">
    <w:nsid w:val="7C58FD05"/>
    <w:multiLevelType w:val="hybridMultilevel"/>
    <w:lvl w:ilvl="0">
      <w:lvlJc w:val="left"/>
      <w:lvlText w:val="(%1)"/>
      <w:numFmt w:val="decimal"/>
      <w:start w:val="1"/>
    </w:lvl>
  </w:abstractNum>
  <w:abstractNum w:abstractNumId="89">
    <w:nsid w:val="23D86AAC"/>
    <w:multiLevelType w:val="hybridMultilevel"/>
    <w:lvl w:ilvl="0">
      <w:lvlJc w:val="left"/>
      <w:lvlText w:val="(%1)"/>
      <w:numFmt w:val="decimal"/>
      <w:start w:val="2"/>
    </w:lvl>
  </w:abstractNum>
  <w:abstractNum w:abstractNumId="90">
    <w:nsid w:val="45E6D486"/>
    <w:multiLevelType w:val="hybridMultilevel"/>
    <w:lvl w:ilvl="0">
      <w:lvlJc w:val="left"/>
      <w:lvlText w:val="•"/>
      <w:numFmt w:val="bullet"/>
      <w:start w:val="1"/>
    </w:lvl>
  </w:abstractNum>
  <w:abstractNum w:abstractNumId="91">
    <w:nsid w:val="5C10FE21"/>
    <w:multiLevelType w:val="hybridMultilevel"/>
    <w:lvl w:ilvl="0">
      <w:lvlJc w:val="left"/>
      <w:lvlText w:val="%1)"/>
      <w:numFmt w:val="lowerLetter"/>
      <w:start w:val="1"/>
    </w:lvl>
  </w:abstractNum>
  <w:abstractNum w:abstractNumId="92">
    <w:nsid w:val="E7FFA2B"/>
    <w:multiLevelType w:val="hybridMultilevel"/>
    <w:lvl w:ilvl="0">
      <w:lvlJc w:val="left"/>
      <w:lvlText w:val="(%1)"/>
      <w:numFmt w:val="decimal"/>
      <w:start w:val="1"/>
    </w:lvl>
  </w:abstractNum>
  <w:abstractNum w:abstractNumId="93">
    <w:nsid w:val="3C5991AA"/>
    <w:multiLevelType w:val="hybridMultilevel"/>
    <w:lvl w:ilvl="0">
      <w:lvlJc w:val="left"/>
      <w:lvlText w:val="•"/>
      <w:numFmt w:val="bullet"/>
      <w:start w:val="1"/>
    </w:lvl>
  </w:abstractNum>
  <w:abstractNum w:abstractNumId="94">
    <w:nsid w:val="4BD8591A"/>
    <w:multiLevelType w:val="hybridMultilevel"/>
    <w:lvl w:ilvl="0">
      <w:lvlJc w:val="left"/>
      <w:lvlText w:val="(%1)"/>
      <w:numFmt w:val="decimal"/>
      <w:start w:val="1"/>
    </w:lvl>
  </w:abstractNum>
  <w:abstractNum w:abstractNumId="95">
    <w:nsid w:val="78DF6A55"/>
    <w:multiLevelType w:val="hybridMultilevel"/>
    <w:lvl w:ilvl="0">
      <w:lvlJc w:val="left"/>
      <w:lvlText w:val="(%1)"/>
      <w:numFmt w:val="decimal"/>
      <w:start w:val="1"/>
    </w:lvl>
  </w:abstractNum>
  <w:abstractNum w:abstractNumId="96">
    <w:nsid w:val="39B7AAA2"/>
    <w:multiLevelType w:val="hybridMultilevel"/>
    <w:lvl w:ilvl="0">
      <w:lvlJc w:val="left"/>
      <w:lvlText w:val="(%1)"/>
      <w:numFmt w:val="decimal"/>
      <w:start w:val="1"/>
    </w:lvl>
  </w:abstractNum>
  <w:abstractNum w:abstractNumId="97">
    <w:nsid w:val="2B0D8DBE"/>
    <w:multiLevelType w:val="hybridMultilevel"/>
    <w:lvl w:ilvl="0">
      <w:lvlJc w:val="left"/>
      <w:lvlText w:val="(%1)"/>
      <w:numFmt w:val="lowerLetter"/>
      <w:start w:val="1"/>
    </w:lvl>
  </w:abstractNum>
  <w:abstractNum w:abstractNumId="98">
    <w:nsid w:val="6C80EC70"/>
    <w:multiLevelType w:val="hybridMultilevel"/>
    <w:lvl w:ilvl="0">
      <w:lvlJc w:val="left"/>
      <w:lvlText w:val="(%1)"/>
      <w:numFmt w:val="decimal"/>
      <w:start w:val="3"/>
    </w:lvl>
  </w:abstractNum>
  <w:abstractNum w:abstractNumId="99">
    <w:nsid w:val="379E21B5"/>
    <w:multiLevelType w:val="hybridMultilevel"/>
    <w:lvl w:ilvl="0">
      <w:lvlJc w:val="left"/>
      <w:lvlText w:val="%1"/>
      <w:numFmt w:val="decimal"/>
      <w:start w:val="1"/>
    </w:lvl>
    <w:lvl w:ilvl="1">
      <w:lvlJc w:val="left"/>
      <w:lvlText w:val="(%2)"/>
      <w:numFmt w:val="lowerLetter"/>
      <w:start w:val="2"/>
    </w:lvl>
  </w:abstractNum>
  <w:abstractNum w:abstractNumId="100">
    <w:nsid w:val="69E373"/>
    <w:multiLevelType w:val="hybridMultilevel"/>
    <w:lvl w:ilvl="0">
      <w:lvlJc w:val="left"/>
      <w:lvlText w:val="(%1)"/>
      <w:numFmt w:val="decimal"/>
      <w:start w:val="5"/>
    </w:lvl>
    <w:lvl w:ilvl="1">
      <w:lvlJc w:val="left"/>
      <w:lvlText w:val="%2"/>
      <w:numFmt w:val="lowerLetter"/>
      <w:start w:val="1"/>
    </w:lvl>
  </w:abstractNum>
  <w:abstractNum w:abstractNumId="101">
    <w:nsid w:val="2C27173B"/>
    <w:multiLevelType w:val="hybridMultilevel"/>
    <w:lvl w:ilvl="0">
      <w:lvlJc w:val="left"/>
      <w:lvlText w:val="•"/>
      <w:numFmt w:val="bullet"/>
      <w:start w:val="1"/>
    </w:lvl>
  </w:abstractNum>
  <w:abstractNum w:abstractNumId="102">
    <w:nsid w:val="4C9B0904"/>
    <w:multiLevelType w:val="hybridMultilevel"/>
    <w:lvl w:ilvl="0">
      <w:lvlJc w:val="left"/>
      <w:lvlText w:val="*"/>
      <w:numFmt w:val="bullet"/>
      <w:start w:val="1"/>
    </w:lvl>
  </w:abstractNum>
  <w:abstractNum w:abstractNumId="103">
    <w:nsid w:val="6AA7B75C"/>
    <w:multiLevelType w:val="hybridMultilevel"/>
    <w:lvl w:ilvl="0">
      <w:lvlJc w:val="left"/>
      <w:lvlText w:val="(%1)"/>
      <w:numFmt w:val="decimal"/>
      <w:start w:val="1"/>
    </w:lvl>
  </w:abstractNum>
  <w:abstractNum w:abstractNumId="104">
    <w:nsid w:val="1DF029D3"/>
    <w:multiLevelType w:val="hybridMultilevel"/>
    <w:lvl w:ilvl="0">
      <w:lvlJc w:val="left"/>
      <w:lvlText w:val="(%1)"/>
      <w:numFmt w:val="decimal"/>
      <w:start w:val="1"/>
    </w:lvl>
  </w:abstractNum>
  <w:abstractNum w:abstractNumId="105">
    <w:nsid w:val="5675FF36"/>
    <w:multiLevelType w:val="hybridMultilevel"/>
    <w:lvl w:ilvl="0">
      <w:lvlJc w:val="left"/>
      <w:lvlText w:val="•"/>
      <w:numFmt w:val="bullet"/>
      <w:start w:val="1"/>
    </w:lvl>
  </w:abstractNum>
  <w:abstractNum w:abstractNumId="106">
    <w:nsid w:val="3DD15094"/>
    <w:multiLevelType w:val="hybridMultilevel"/>
    <w:lvl w:ilvl="0">
      <w:lvlJc w:val="left"/>
      <w:lvlText w:val="•"/>
      <w:numFmt w:val="bullet"/>
      <w:start w:val="1"/>
    </w:lvl>
  </w:abstractNum>
  <w:abstractNum w:abstractNumId="107">
    <w:nsid w:val="3DB012B3"/>
    <w:multiLevelType w:val="hybridMultilevel"/>
    <w:lvl w:ilvl="0">
      <w:lvlJc w:val="left"/>
      <w:lvlText w:val="•"/>
      <w:numFmt w:val="bullet"/>
      <w:start w:val="1"/>
    </w:lvl>
  </w:abstractNum>
  <w:abstractNum w:abstractNumId="108">
    <w:nsid w:val="2708C9AF"/>
    <w:multiLevelType w:val="hybridMultilevel"/>
    <w:lvl w:ilvl="0">
      <w:lvlJc w:val="left"/>
      <w:lvlText w:val="\emdash "/>
      <w:numFmt w:val="bullet"/>
      <w:start w:val="1"/>
    </w:lvl>
  </w:abstractNum>
  <w:abstractNum w:abstractNumId="109">
    <w:nsid w:val="5B25ACE2"/>
    <w:multiLevelType w:val="hybridMultilevel"/>
    <w:lvl w:ilvl="0">
      <w:lvlJc w:val="left"/>
      <w:lvlText w:val="•"/>
      <w:numFmt w:val="bullet"/>
      <w:start w:val="1"/>
    </w:lvl>
  </w:abstractNum>
  <w:abstractNum w:abstractNumId="110">
    <w:nsid w:val="175DFCF0"/>
    <w:multiLevelType w:val="hybridMultilevel"/>
    <w:lvl w:ilvl="0">
      <w:lvlJc w:val="left"/>
      <w:lvlText w:val="(%1)"/>
      <w:numFmt w:val="decimal"/>
      <w:start w:val="1"/>
    </w:lvl>
  </w:abstractNum>
  <w:abstractNum w:abstractNumId="111">
    <w:nsid w:val="4F97E3E4"/>
    <w:multiLevelType w:val="hybridMultilevel"/>
    <w:lvl w:ilvl="0">
      <w:lvlJc w:val="left"/>
      <w:lvlText w:val="1"/>
      <w:numFmt w:val="bullet"/>
      <w:start w:val="1"/>
    </w:lvl>
  </w:abstractNum>
  <w:abstractNum w:abstractNumId="112">
    <w:nsid w:val="53B0A9E"/>
    <w:multiLevelType w:val="hybridMultilevel"/>
    <w:lvl w:ilvl="0">
      <w:lvlJc w:val="left"/>
      <w:lvlText w:val="2"/>
      <w:numFmt w:val="bullet"/>
      <w:start w:val="1"/>
    </w:lvl>
  </w:abstractNum>
  <w:abstractNum w:abstractNumId="113">
    <w:nsid w:val="34FD6B4F"/>
    <w:multiLevelType w:val="hybridMultilevel"/>
    <w:lvl w:ilvl="0">
      <w:lvlJc w:val="left"/>
      <w:lvlText w:val="3"/>
      <w:numFmt w:val="bullet"/>
      <w:start w:val="1"/>
    </w:lvl>
  </w:abstractNum>
  <w:abstractNum w:abstractNumId="114">
    <w:nsid w:val="5915FF32"/>
    <w:multiLevelType w:val="hybridMultilevel"/>
    <w:lvl w:ilvl="0">
      <w:lvlJc w:val="left"/>
      <w:lvlText w:val="4"/>
      <w:numFmt w:val="bullet"/>
      <w:start w:val="1"/>
    </w:lvl>
  </w:abstractNum>
  <w:abstractNum w:abstractNumId="115">
    <w:nsid w:val="56438D15"/>
    <w:multiLevelType w:val="hybridMultilevel"/>
    <w:lvl w:ilvl="0">
      <w:lvlJc w:val="left"/>
      <w:lvlText w:val="5"/>
      <w:numFmt w:val="bullet"/>
      <w:start w:val="1"/>
    </w:lvl>
  </w:abstractNum>
  <w:abstractNum w:abstractNumId="116">
    <w:nsid w:val="519E3149"/>
    <w:multiLevelType w:val="hybridMultilevel"/>
    <w:lvl w:ilvl="0">
      <w:lvlJc w:val="left"/>
      <w:lvlText w:val="7"/>
      <w:numFmt w:val="bullet"/>
      <w:start w:val="1"/>
    </w:lvl>
  </w:abstractNum>
  <w:abstractNum w:abstractNumId="117">
    <w:nsid w:val="2C6E4AFD"/>
    <w:multiLevelType w:val="hybridMultilevel"/>
    <w:lvl w:ilvl="0">
      <w:lvlJc w:val="left"/>
      <w:lvlText w:val="8"/>
      <w:numFmt w:val="bullet"/>
      <w:start w:val="1"/>
    </w:lvl>
  </w:abstractNum>
  <w:abstractNum w:abstractNumId="118">
    <w:nsid w:val="17A1B582"/>
    <w:multiLevelType w:val="hybridMultilevel"/>
    <w:lvl w:ilvl="0">
      <w:lvlJc w:val="left"/>
      <w:lvlText w:val="9"/>
      <w:numFmt w:val="bullet"/>
      <w:start w:val="1"/>
    </w:lvl>
  </w:abstractNum>
  <w:abstractNum w:abstractNumId="119">
    <w:nsid w:val="4DF72E4E"/>
    <w:multiLevelType w:val="hybridMultilevel"/>
    <w:lvl w:ilvl="0">
      <w:lvlJc w:val="left"/>
      <w:lvlText w:val="%1"/>
      <w:numFmt w:val="decimal"/>
      <w:start w:val="10"/>
    </w:lvl>
  </w:abstractNum>
  <w:abstractNum w:abstractNumId="120">
    <w:nsid w:val="5046B5A9"/>
    <w:multiLevelType w:val="hybridMultilevel"/>
    <w:lvl w:ilvl="0">
      <w:lvlJc w:val="left"/>
      <w:lvlText w:val="•"/>
      <w:numFmt w:val="bullet"/>
      <w:start w:val="1"/>
    </w:lvl>
    <w:lvl w:ilvl="1">
      <w:lvlJc w:val="left"/>
      <w:lvlText w:val="\emdash "/>
      <w:numFmt w:val="bullet"/>
      <w:start w:val="1"/>
    </w:lvl>
  </w:abstractNum>
  <w:abstractNum w:abstractNumId="121">
    <w:nsid w:val="5D888A08"/>
    <w:multiLevelType w:val="hybridMultilevel"/>
    <w:lvl w:ilvl="0">
      <w:lvlJc w:val="left"/>
      <w:lvlText w:val="•"/>
      <w:numFmt w:val="bullet"/>
      <w:start w:val="1"/>
    </w:lvl>
  </w:abstractNum>
  <w:abstractNum w:abstractNumId="122">
    <w:nsid w:val="2A082C70"/>
    <w:multiLevelType w:val="hybridMultilevel"/>
    <w:lvl w:ilvl="0">
      <w:lvlJc w:val="left"/>
      <w:lvlText w:val="•"/>
      <w:numFmt w:val="bullet"/>
      <w:start w:val="1"/>
    </w:lvl>
  </w:abstractNum>
  <w:abstractNum w:abstractNumId="123">
    <w:nsid w:val="5EC6AFD4"/>
    <w:multiLevelType w:val="hybridMultilevel"/>
    <w:lvl w:ilvl="0">
      <w:lvlJc w:val="left"/>
      <w:lvlText w:val="•"/>
      <w:numFmt w:val="bullet"/>
      <w:start w:val="1"/>
    </w:lvl>
  </w:abstractNum>
  <w:abstractNum w:abstractNumId="124">
    <w:nsid w:val="19E21BB2"/>
    <w:multiLevelType w:val="hybridMultilevel"/>
    <w:lvl w:ilvl="0">
      <w:lvlJc w:val="left"/>
      <w:lvlText w:val="%1."/>
      <w:numFmt w:val="decimal"/>
      <w:start w:val="8"/>
    </w:lvl>
  </w:abstractNum>
  <w:abstractNum w:abstractNumId="125">
    <w:nsid w:val="75E0858A"/>
    <w:multiLevelType w:val="hybridMultilevel"/>
    <w:lvl w:ilvl="0">
      <w:lvlJc w:val="left"/>
      <w:lvlText w:val="%1."/>
      <w:numFmt w:val="decimal"/>
      <w:start w:val="10"/>
    </w:lvl>
  </w:abstractNum>
  <w:abstractNum w:abstractNumId="126">
    <w:nsid w:val="57A61A29"/>
    <w:multiLevelType w:val="hybridMultilevel"/>
    <w:lvl w:ilvl="0">
      <w:lvlJc w:val="left"/>
      <w:lvlText w:val="%1."/>
      <w:numFmt w:val="decimal"/>
      <w:start w:val="11"/>
    </w:lvl>
  </w:abstractNum>
  <w:abstractNum w:abstractNumId="127">
    <w:nsid w:val="5399C654"/>
    <w:multiLevelType w:val="hybridMultilevel"/>
    <w:lvl w:ilvl="0">
      <w:lvlJc w:val="left"/>
      <w:lvlText w:val="•"/>
      <w:numFmt w:val="bullet"/>
      <w:start w:val="1"/>
    </w:lvl>
  </w:abstractNum>
  <w:abstractNum w:abstractNumId="128">
    <w:nsid w:val="20EE1348"/>
    <w:multiLevelType w:val="hybridMultilevel"/>
    <w:lvl w:ilvl="0">
      <w:lvlJc w:val="left"/>
      <w:lvlText w:val="•"/>
      <w:numFmt w:val="bullet"/>
      <w:start w:val="1"/>
    </w:lvl>
  </w:abstractNum>
  <w:abstractNum w:abstractNumId="129">
    <w:nsid w:val="4427069A"/>
    <w:multiLevelType w:val="hybridMultilevel"/>
    <w:lvl w:ilvl="0">
      <w:lvlJc w:val="left"/>
      <w:lvlText w:val="•"/>
      <w:numFmt w:val="bullet"/>
      <w:start w:val="1"/>
    </w:lvl>
  </w:abstractNum>
  <w:abstractNum w:abstractNumId="130">
    <w:nsid w:val="B37E80A"/>
    <w:multiLevelType w:val="hybridMultilevel"/>
    <w:lvl w:ilvl="0">
      <w:lvlJc w:val="left"/>
      <w:lvlText w:val="(%1)"/>
      <w:numFmt w:val="decimal"/>
      <w:start w:val="1"/>
    </w:lvl>
  </w:abstractNum>
  <w:abstractNum w:abstractNumId="131">
    <w:nsid w:val="2157F6BC"/>
    <w:multiLevelType w:val="hybridMultilevel"/>
    <w:lvl w:ilvl="0">
      <w:lvlJc w:val="left"/>
      <w:lvlText w:val="(%1)"/>
      <w:numFmt w:val="decimal"/>
      <w:start w:val="13"/>
    </w:lvl>
  </w:abstractNum>
  <w:abstractNum w:abstractNumId="132">
    <w:nsid w:val="704E1DD5"/>
    <w:multiLevelType w:val="hybridMultilevel"/>
    <w:lvl w:ilvl="0">
      <w:lvlJc w:val="left"/>
      <w:lvlText w:val="(%1)"/>
      <w:numFmt w:val="decimal"/>
      <w:start w:val="1"/>
    </w:lvl>
  </w:abstractNum>
  <w:abstractNum w:abstractNumId="133">
    <w:nsid w:val="57D2F10E"/>
    <w:multiLevelType w:val="hybridMultilevel"/>
    <w:lvl w:ilvl="0">
      <w:lvlJc w:val="left"/>
      <w:lvlText w:val="(%1)"/>
      <w:numFmt w:val="decimal"/>
      <w:start w:val="1"/>
    </w:lvl>
  </w:abstractNum>
  <w:abstractNum w:abstractNumId="134">
    <w:nsid w:val="BFFAE18"/>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jpe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jpe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jpe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jpe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jpe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jpe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jpe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png"/><Relationship Id="rId630" Type="http://schemas.openxmlformats.org/officeDocument/2006/relationships/image" Target="media/image623.jpe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jpeg"/><Relationship Id="rId637" Type="http://schemas.openxmlformats.org/officeDocument/2006/relationships/image" Target="media/image630.jpe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jpeg"/><Relationship Id="rId641" Type="http://schemas.openxmlformats.org/officeDocument/2006/relationships/image" Target="media/image634.png"/><Relationship Id="rId642" Type="http://schemas.openxmlformats.org/officeDocument/2006/relationships/image" Target="media/image635.jpe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jpe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jpe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jpeg"/><Relationship Id="rId657" Type="http://schemas.openxmlformats.org/officeDocument/2006/relationships/image" Target="media/image650.png"/><Relationship Id="rId658" Type="http://schemas.openxmlformats.org/officeDocument/2006/relationships/image" Target="media/image651.jpe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jpeg"/><Relationship Id="rId663" Type="http://schemas.openxmlformats.org/officeDocument/2006/relationships/image" Target="media/image656.png"/><Relationship Id="rId664" Type="http://schemas.openxmlformats.org/officeDocument/2006/relationships/image" Target="media/image657.jpe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jpeg"/><Relationship Id="rId673" Type="http://schemas.openxmlformats.org/officeDocument/2006/relationships/image" Target="media/image666.png"/><Relationship Id="rId674" Type="http://schemas.openxmlformats.org/officeDocument/2006/relationships/image" Target="media/image667.jpe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jpe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jpeg"/><Relationship Id="rId684" Type="http://schemas.openxmlformats.org/officeDocument/2006/relationships/image" Target="media/image677.png"/><Relationship Id="rId685" Type="http://schemas.openxmlformats.org/officeDocument/2006/relationships/image" Target="media/image678.jpe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jpe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jpe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jpe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jpeg"/><Relationship Id="rId700" Type="http://schemas.openxmlformats.org/officeDocument/2006/relationships/image" Target="media/image693.jpeg"/><Relationship Id="rId701" Type="http://schemas.openxmlformats.org/officeDocument/2006/relationships/image" Target="media/image694.jpeg"/><Relationship Id="rId702" Type="http://schemas.openxmlformats.org/officeDocument/2006/relationships/image" Target="media/image695.png"/><Relationship Id="rId703" Type="http://schemas.openxmlformats.org/officeDocument/2006/relationships/image" Target="media/image696.jpeg"/><Relationship Id="rId704" Type="http://schemas.openxmlformats.org/officeDocument/2006/relationships/image" Target="media/image697.png"/><Relationship Id="rId705" Type="http://schemas.openxmlformats.org/officeDocument/2006/relationships/image" Target="media/image698.jpe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jpeg"/><Relationship Id="rId709" Type="http://schemas.openxmlformats.org/officeDocument/2006/relationships/image" Target="media/image702.pn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jpeg"/><Relationship Id="rId714" Type="http://schemas.openxmlformats.org/officeDocument/2006/relationships/image" Target="media/image707.png"/><Relationship Id="rId715" Type="http://schemas.openxmlformats.org/officeDocument/2006/relationships/image" Target="media/image708.jpe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jpeg"/><Relationship Id="rId720" Type="http://schemas.openxmlformats.org/officeDocument/2006/relationships/image" Target="media/image713.png"/><Relationship Id="rId721" Type="http://schemas.openxmlformats.org/officeDocument/2006/relationships/image" Target="media/image714.jpe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jpeg"/><Relationship Id="rId726" Type="http://schemas.openxmlformats.org/officeDocument/2006/relationships/image" Target="media/image719.png"/><Relationship Id="rId727" Type="http://schemas.openxmlformats.org/officeDocument/2006/relationships/image" Target="media/image720.jpeg"/><Relationship Id="rId728" Type="http://schemas.openxmlformats.org/officeDocument/2006/relationships/image" Target="media/image721.jpe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jpeg"/><Relationship Id="rId732" Type="http://schemas.openxmlformats.org/officeDocument/2006/relationships/image" Target="media/image725.png"/><Relationship Id="rId733" Type="http://schemas.openxmlformats.org/officeDocument/2006/relationships/image" Target="media/image726.jpe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jpeg"/><Relationship Id="rId738" Type="http://schemas.openxmlformats.org/officeDocument/2006/relationships/image" Target="media/image731.png"/><Relationship Id="rId739" Type="http://schemas.openxmlformats.org/officeDocument/2006/relationships/image" Target="media/image732.jpe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jpeg"/><Relationship Id="rId744" Type="http://schemas.openxmlformats.org/officeDocument/2006/relationships/image" Target="media/image737.png"/><Relationship Id="rId745" Type="http://schemas.openxmlformats.org/officeDocument/2006/relationships/image" Target="media/image738.jpeg"/><Relationship Id="rId746" Type="http://schemas.openxmlformats.org/officeDocument/2006/relationships/image" Target="media/image739.jpe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jpe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jpe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jpeg"/><Relationship Id="rId761" Type="http://schemas.openxmlformats.org/officeDocument/2006/relationships/image" Target="media/image754.png"/><Relationship Id="rId762" Type="http://schemas.openxmlformats.org/officeDocument/2006/relationships/image" Target="media/image755.jpeg"/><Relationship Id="rId763" Type="http://schemas.openxmlformats.org/officeDocument/2006/relationships/image" Target="media/image756.jpe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jpe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jpe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jpeg"/><Relationship Id="rId778" Type="http://schemas.openxmlformats.org/officeDocument/2006/relationships/image" Target="media/image771.png"/><Relationship Id="rId779" Type="http://schemas.openxmlformats.org/officeDocument/2006/relationships/image" Target="media/image772.jpeg"/><Relationship Id="rId780" Type="http://schemas.openxmlformats.org/officeDocument/2006/relationships/image" Target="media/image773.jpe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jpe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jpe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jpeg"/><Relationship Id="rId794" Type="http://schemas.openxmlformats.org/officeDocument/2006/relationships/image" Target="media/image787.png"/><Relationship Id="rId795" Type="http://schemas.openxmlformats.org/officeDocument/2006/relationships/image" Target="media/image788.jpe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jpeg"/><Relationship Id="rId799" Type="http://schemas.openxmlformats.org/officeDocument/2006/relationships/image" Target="media/image792.png"/><Relationship Id="rId800" Type="http://schemas.openxmlformats.org/officeDocument/2006/relationships/image" Target="media/image793.jpeg"/><Relationship Id="rId801" Type="http://schemas.openxmlformats.org/officeDocument/2006/relationships/image" Target="media/image794.jpeg"/><Relationship Id="rId802" Type="http://schemas.openxmlformats.org/officeDocument/2006/relationships/image" Target="media/image795.jpeg"/><Relationship Id="rId803" Type="http://schemas.openxmlformats.org/officeDocument/2006/relationships/image" Target="media/image796.jpe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jpeg"/><Relationship Id="rId807" Type="http://schemas.openxmlformats.org/officeDocument/2006/relationships/image" Target="media/image800.png"/><Relationship Id="rId808" Type="http://schemas.openxmlformats.org/officeDocument/2006/relationships/image" Target="media/image801.jpe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jpe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jpe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jpe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jpe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jpe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jpeg"/><Relationship Id="rId832" Type="http://schemas.openxmlformats.org/officeDocument/2006/relationships/image" Target="media/image825.png"/><Relationship Id="rId833" Type="http://schemas.openxmlformats.org/officeDocument/2006/relationships/image" Target="media/image826.jpeg"/><Relationship Id="rId834" Type="http://schemas.openxmlformats.org/officeDocument/2006/relationships/image" Target="media/image827.jpe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jpeg"/><Relationship Id="rId838" Type="http://schemas.openxmlformats.org/officeDocument/2006/relationships/image" Target="media/image831.png"/><Relationship Id="rId839" Type="http://schemas.openxmlformats.org/officeDocument/2006/relationships/image" Target="media/image832.jpe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jpeg"/><Relationship Id="rId843" Type="http://schemas.openxmlformats.org/officeDocument/2006/relationships/image" Target="media/image836.png"/><Relationship Id="rId844" Type="http://schemas.openxmlformats.org/officeDocument/2006/relationships/image" Target="media/image837.jpeg"/><Relationship Id="rId845" Type="http://schemas.openxmlformats.org/officeDocument/2006/relationships/image" Target="media/image838.jpeg"/><Relationship Id="rId846" Type="http://schemas.openxmlformats.org/officeDocument/2006/relationships/image" Target="media/image839.png"/><Relationship Id="rId847" Type="http://schemas.openxmlformats.org/officeDocument/2006/relationships/image" Target="media/image840.jpe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jpe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jpeg"/><Relationship Id="rId857" Type="http://schemas.openxmlformats.org/officeDocument/2006/relationships/image" Target="media/image850.png"/><Relationship Id="rId858" Type="http://schemas.openxmlformats.org/officeDocument/2006/relationships/image" Target="media/image851.jpe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jpe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jpe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jpe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jpe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2023-04-06T16:20:48Z</dcterms:created>
  <dcterms:modified xsi:type="dcterms:W3CDTF">2023-04-06T16:20:48Z</dcterms:modified>
</cp:coreProperties>
</file>