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6" w:lineRule="exact"/>
        <w:rPr>
          <w:sz w:val="24"/>
          <w:szCs w:val="24"/>
          <w:color w:val="auto"/>
        </w:rPr>
      </w:pPr>
    </w:p>
    <w:p>
      <w:pPr>
        <w:ind w:left="1560" w:right="1280" w:hanging="600"/>
        <w:spacing w:after="0" w:line="247" w:lineRule="auto"/>
        <w:tabs>
          <w:tab w:leader="none" w:pos="15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6" w:lineRule="exact"/>
        <w:rPr>
          <w:sz w:val="24"/>
          <w:szCs w:val="24"/>
          <w:color w:val="auto"/>
        </w:rPr>
      </w:pPr>
    </w:p>
    <w:p>
      <w:pPr>
        <w:ind w:left="1560" w:right="1280" w:hanging="594"/>
        <w:spacing w:after="0" w:line="214" w:lineRule="auto"/>
        <w:tabs>
          <w:tab w:leader="none" w:pos="156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69" w:lineRule="exact"/>
        <w:rPr>
          <w:sz w:val="24"/>
          <w:szCs w:val="24"/>
          <w:color w:val="auto"/>
        </w:rPr>
      </w:pPr>
    </w:p>
    <w:p>
      <w:pPr>
        <w:ind w:left="368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Mondelēz International,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 w:lineRule="exact"/>
        <w:rPr>
          <w:sz w:val="24"/>
          <w:szCs w:val="24"/>
          <w:color w:val="auto"/>
        </w:rPr>
      </w:pPr>
    </w:p>
    <w:tbl>
      <w:tblPr>
        <w:tblLayout w:type="fixed"/>
        <w:tblInd w:w="1440" w:type="dxa"/>
        <w:tblCellMar>
          <w:top w:w="0" w:type="dxa"/>
          <w:left w:w="0" w:type="dxa"/>
          <w:bottom w:w="0" w:type="dxa"/>
          <w:right w:w="0" w:type="dxa"/>
        </w:tblCellMar>
      </w:tblPr>
      <w:tr>
        <w:trPr>
          <w:trHeight w:val="216"/>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Virginia</w:t>
            </w:r>
          </w:p>
        </w:tc>
        <w:tc>
          <w:tcPr>
            <w:tcW w:w="306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52-2284372</w:t>
            </w:r>
          </w:p>
        </w:tc>
      </w:tr>
      <w:tr>
        <w:trPr>
          <w:trHeight w:val="163"/>
        </w:trPr>
        <w:tc>
          <w:tcPr>
            <w:tcW w:w="4560" w:type="dxa"/>
            <w:vAlign w:val="bottom"/>
          </w:tcPr>
          <w:p>
            <w:pPr>
              <w:jc w:val="center"/>
              <w:ind w:right="1719"/>
              <w:spacing w:after="0" w:line="163" w:lineRule="exact"/>
              <w:rPr>
                <w:sz w:val="20"/>
                <w:szCs w:val="20"/>
                <w:color w:val="auto"/>
              </w:rPr>
            </w:pPr>
            <w:r>
              <w:rPr>
                <w:rFonts w:ascii="Arial" w:cs="Arial" w:eastAsia="Arial" w:hAnsi="Arial"/>
                <w:sz w:val="16"/>
                <w:szCs w:val="16"/>
                <w:color w:val="auto"/>
              </w:rPr>
              <w:t>(State or other jurisdiction of</w:t>
            </w:r>
          </w:p>
        </w:tc>
        <w:tc>
          <w:tcPr>
            <w:tcW w:w="3060" w:type="dxa"/>
            <w:vAlign w:val="bottom"/>
          </w:tcPr>
          <w:p>
            <w:pPr>
              <w:jc w:val="center"/>
              <w:ind w:left="1719"/>
              <w:spacing w:after="0" w:line="163" w:lineRule="exact"/>
              <w:rPr>
                <w:sz w:val="20"/>
                <w:szCs w:val="20"/>
                <w:color w:val="auto"/>
              </w:rPr>
            </w:pPr>
            <w:r>
              <w:rPr>
                <w:rFonts w:ascii="Arial" w:cs="Arial" w:eastAsia="Arial" w:hAnsi="Arial"/>
                <w:sz w:val="16"/>
                <w:szCs w:val="16"/>
                <w:color w:val="auto"/>
              </w:rPr>
              <w:t>(I.R.S. Employer</w:t>
            </w:r>
          </w:p>
        </w:tc>
      </w:tr>
      <w:tr>
        <w:trPr>
          <w:trHeight w:val="215"/>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incorporation or organization)</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Identification No.)</w:t>
            </w:r>
          </w:p>
        </w:tc>
      </w:tr>
      <w:tr>
        <w:trPr>
          <w:trHeight w:val="271"/>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905 West Fulton Market, Suite 200</w:t>
            </w:r>
          </w:p>
        </w:tc>
        <w:tc>
          <w:tcPr>
            <w:tcW w:w="3060" w:type="dxa"/>
            <w:vAlign w:val="bottom"/>
          </w:tcPr>
          <w:p>
            <w:pPr>
              <w:spacing w:after="0"/>
              <w:rPr>
                <w:sz w:val="23"/>
                <w:szCs w:val="23"/>
                <w:color w:val="auto"/>
              </w:rPr>
            </w:pPr>
          </w:p>
        </w:tc>
      </w:tr>
      <w:tr>
        <w:trPr>
          <w:trHeight w:val="216"/>
        </w:trPr>
        <w:tc>
          <w:tcPr>
            <w:tcW w:w="4560" w:type="dxa"/>
            <w:vAlign w:val="bottom"/>
          </w:tcPr>
          <w:p>
            <w:pPr>
              <w:ind w:left="680"/>
              <w:spacing w:after="0"/>
              <w:rPr>
                <w:sz w:val="20"/>
                <w:szCs w:val="20"/>
                <w:color w:val="auto"/>
              </w:rPr>
            </w:pPr>
            <w:r>
              <w:rPr>
                <w:rFonts w:ascii="Arial" w:cs="Arial" w:eastAsia="Arial" w:hAnsi="Arial"/>
                <w:sz w:val="16"/>
                <w:szCs w:val="16"/>
                <w:b w:val="1"/>
                <w:bCs w:val="1"/>
                <w:color w:val="auto"/>
              </w:rPr>
              <w:t>Chicago, Illinois</w:t>
            </w:r>
          </w:p>
        </w:tc>
        <w:tc>
          <w:tcPr>
            <w:tcW w:w="3060" w:type="dxa"/>
            <w:vAlign w:val="bottom"/>
          </w:tcPr>
          <w:p>
            <w:pPr>
              <w:jc w:val="right"/>
              <w:ind w:right="319"/>
              <w:spacing w:after="0"/>
              <w:rPr>
                <w:sz w:val="20"/>
                <w:szCs w:val="20"/>
                <w:color w:val="auto"/>
              </w:rPr>
            </w:pPr>
            <w:r>
              <w:rPr>
                <w:rFonts w:ascii="Arial" w:cs="Arial" w:eastAsia="Arial" w:hAnsi="Arial"/>
                <w:sz w:val="16"/>
                <w:szCs w:val="16"/>
                <w:b w:val="1"/>
                <w:bCs w:val="1"/>
                <w:color w:val="auto"/>
              </w:rPr>
              <w:t>60607</w:t>
            </w:r>
          </w:p>
        </w:tc>
      </w:tr>
      <w:tr>
        <w:trPr>
          <w:trHeight w:val="215"/>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(Address of principal executive offices)</w:t>
            </w:r>
          </w:p>
        </w:tc>
        <w:tc>
          <w:tcPr>
            <w:tcW w:w="3060" w:type="dxa"/>
            <w:vAlign w:val="bottom"/>
          </w:tcPr>
          <w:p>
            <w:pPr>
              <w:jc w:val="center"/>
              <w:ind w:left="1699"/>
              <w:spacing w:after="0"/>
              <w:rPr>
                <w:sz w:val="20"/>
                <w:szCs w:val="20"/>
                <w:color w:val="auto"/>
              </w:rPr>
            </w:pPr>
            <w:r>
              <w:rPr>
                <w:rFonts w:ascii="Arial" w:cs="Arial" w:eastAsia="Arial" w:hAnsi="Arial"/>
                <w:sz w:val="16"/>
                <w:szCs w:val="16"/>
                <w:color w:val="auto"/>
              </w:rPr>
              <w:t>(Zip Code)</w:t>
            </w:r>
          </w:p>
        </w:tc>
      </w:tr>
    </w:tbl>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4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46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Tile of each class</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Trading</w:t>
            </w:r>
          </w:p>
        </w:tc>
        <w:tc>
          <w:tcPr>
            <w:tcW w:w="4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Symbol(s)</w:t>
            </w:r>
          </w:p>
        </w:tc>
        <w:tc>
          <w:tcPr>
            <w:tcW w:w="4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A Common Stock, no par value</w:t>
            </w:r>
          </w:p>
        </w:tc>
        <w:tc>
          <w:tcPr>
            <w:tcW w:w="100" w:type="dxa"/>
            <w:vAlign w:val="bottom"/>
          </w:tcPr>
          <w:p>
            <w:pPr>
              <w:spacing w:after="0"/>
              <w:rPr>
                <w:sz w:val="18"/>
                <w:szCs w:val="18"/>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MDLZ</w:t>
            </w:r>
          </w:p>
        </w:tc>
        <w:tc>
          <w:tcPr>
            <w:tcW w:w="100" w:type="dxa"/>
            <w:vAlign w:val="bottom"/>
          </w:tcPr>
          <w:p>
            <w:pPr>
              <w:spacing w:after="0"/>
              <w:rPr>
                <w:sz w:val="18"/>
                <w:szCs w:val="18"/>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1.625% Notes due 2027</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MDLZ27</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0.250% Notes due 2028</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MDLZ28</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0.750% Notes due 2033</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MDLZ33</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2.375%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4.500%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MDLZ35A</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1.375% Notes due 2041</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MDLZ41</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3.875% Notes due 2045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96" w:lineRule="exact"/>
        <w:rPr>
          <w:sz w:val="24"/>
          <w:szCs w:val="24"/>
          <w:color w:val="auto"/>
        </w:rPr>
      </w:pPr>
    </w:p>
    <w:p>
      <w:pPr>
        <w:jc w:val="both"/>
        <w:ind w:right="440"/>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46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39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840"/>
              <w:spacing w:after="0"/>
              <w:rPr>
                <w:sz w:val="20"/>
                <w:szCs w:val="20"/>
                <w:color w:val="auto"/>
              </w:rPr>
            </w:pPr>
            <w:r>
              <w:rPr>
                <w:rFonts w:ascii="Arial" w:cs="Arial" w:eastAsia="Arial" w:hAnsi="Arial"/>
                <w:sz w:val="14"/>
                <w:szCs w:val="14"/>
                <w:color w:val="auto"/>
              </w:rPr>
              <w:t>x</w:t>
            </w:r>
          </w:p>
        </w:tc>
        <w:tc>
          <w:tcPr>
            <w:tcW w:w="454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540" w:type="dxa"/>
            <w:vAlign w:val="bottom"/>
          </w:tcPr>
          <w:p>
            <w:pPr>
              <w:ind w:left="19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8" w:lineRule="exact"/>
        <w:rPr>
          <w:sz w:val="20"/>
          <w:szCs w:val="20"/>
          <w:color w:val="auto"/>
        </w:rPr>
      </w:pPr>
    </w:p>
    <w:p>
      <w:pPr>
        <w:ind w:right="12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0"/>
          <w:szCs w:val="20"/>
          <w:color w:val="auto"/>
        </w:rPr>
      </w:pPr>
    </w:p>
    <w:p>
      <w:pPr>
        <w:spacing w:after="0" w:line="184" w:lineRule="exact"/>
        <w:tabs>
          <w:tab w:leader="none" w:pos="8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r>
        <w:rPr>
          <w:rFonts w:ascii="Arial" w:cs="Arial" w:eastAsia="Arial" w:hAnsi="Arial"/>
          <w:sz w:val="14"/>
          <w:szCs w:val="14"/>
          <w:color w:val="auto"/>
        </w:rPr>
        <w:t>x</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At July 22, 2022, there were 1,370,566,113 shares of the registrant’s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 -</w:t>
            </w:r>
          </w:p>
        </w:tc>
        <w:tc>
          <w:tcPr>
            <w:tcW w:w="876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23"/>
        </w:trPr>
        <w:tc>
          <w:tcPr>
            <w:tcW w:w="1240" w:type="dxa"/>
            <w:vAlign w:val="bottom"/>
            <w:gridSpan w:val="2"/>
            <w:vMerge w:val="continue"/>
          </w:tcPr>
          <w:p>
            <w:pPr>
              <w:spacing w:after="0"/>
              <w:rPr>
                <w:sz w:val="19"/>
                <w:szCs w:val="19"/>
                <w:color w:val="auto"/>
              </w:rPr>
            </w:pPr>
          </w:p>
        </w:tc>
        <w:tc>
          <w:tcPr>
            <w:tcW w:w="8760" w:type="dxa"/>
            <w:vAlign w:val="bottom"/>
            <w:gridSpan w:val="19"/>
            <w:vMerge w:val="continue"/>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Condensed Consolidated Statements of Earnings</w:t>
            </w:r>
          </w:p>
        </w:tc>
        <w:tc>
          <w:tcPr>
            <w:tcW w:w="4820" w:type="dxa"/>
            <w:vAlign w:val="bottom"/>
            <w:gridSpan w:val="10"/>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00" w:type="dxa"/>
            <w:vAlign w:val="bottom"/>
            <w:tcBorders>
              <w:bottom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for the Three and Six Months Ended June 30, 2022 and 2021</w:t>
            </w:r>
          </w:p>
        </w:tc>
        <w:tc>
          <w:tcPr>
            <w:tcW w:w="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Earnings</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880" w:type="dxa"/>
            <w:vAlign w:val="bottom"/>
            <w:tcBorders>
              <w:top w:val="single" w:sz="8" w:color="0000FF"/>
              <w:bottom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for the Three and Six Months Ended June 30, 2022 and 2021</w:t>
            </w:r>
          </w:p>
        </w:tc>
        <w:tc>
          <w:tcPr>
            <w:tcW w:w="220" w:type="dxa"/>
            <w:vAlign w:val="bottom"/>
            <w:tcBorders>
              <w:top w:val="single" w:sz="8" w:color="0000FF"/>
            </w:tcBorders>
            <w:gridSpan w:val="2"/>
          </w:tcPr>
          <w:p>
            <w:pPr>
              <w:spacing w:after="0"/>
              <w:rPr>
                <w:sz w:val="13"/>
                <w:szCs w:val="13"/>
                <w:color w:val="auto"/>
              </w:rPr>
            </w:pPr>
          </w:p>
        </w:tc>
        <w:tc>
          <w:tcPr>
            <w:tcW w:w="1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6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20" w:type="dxa"/>
            <w:vAlign w:val="bottom"/>
            <w:gridSpan w:val="18"/>
          </w:tcPr>
          <w:p>
            <w:pPr>
              <w:spacing w:after="0" w:line="142" w:lineRule="exact"/>
              <w:rPr>
                <w:sz w:val="20"/>
                <w:szCs w:val="20"/>
                <w:color w:val="auto"/>
              </w:rPr>
            </w:pPr>
            <w:r>
              <w:rPr>
                <w:rFonts w:ascii="Arial" w:cs="Arial" w:eastAsia="Arial" w:hAnsi="Arial"/>
                <w:sz w:val="16"/>
                <w:szCs w:val="16"/>
                <w:color w:val="0000FF"/>
              </w:rPr>
              <w:t>at June 30, 2022 and December 31, 2021</w:t>
            </w: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7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Equity</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58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for the Three and Six Months Ended June 30,</w:t>
            </w:r>
          </w:p>
        </w:tc>
        <w:tc>
          <w:tcPr>
            <w:tcW w:w="5040" w:type="dxa"/>
            <w:vAlign w:val="bottom"/>
            <w:gridSpan w:val="11"/>
          </w:tcPr>
          <w:p>
            <w:pPr>
              <w:ind w:left="100"/>
              <w:spacing w:after="0" w:line="142" w:lineRule="exact"/>
              <w:rPr>
                <w:sz w:val="20"/>
                <w:szCs w:val="20"/>
                <w:color w:val="auto"/>
              </w:rPr>
            </w:pPr>
            <w:r>
              <w:rPr>
                <w:rFonts w:ascii="Arial" w:cs="Arial" w:eastAsia="Arial" w:hAnsi="Arial"/>
                <w:sz w:val="16"/>
                <w:szCs w:val="16"/>
                <w:color w:val="0000FF"/>
              </w:rPr>
              <w:t>2022 and 2021</w:t>
            </w:r>
          </w:p>
        </w:tc>
        <w:tc>
          <w:tcPr>
            <w:tcW w:w="1200" w:type="dxa"/>
            <w:vAlign w:val="bottom"/>
          </w:tcPr>
          <w:p>
            <w:pPr>
              <w:jc w:val="right"/>
              <w:spacing w:after="0" w:line="14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20" w:type="dxa"/>
            <w:vAlign w:val="bottom"/>
            <w:tcBorders>
              <w:top w:val="single" w:sz="8" w:color="0000FF"/>
              <w:bottom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for the Six Months Ended June 30, 2022 and 2021</w:t>
            </w:r>
          </w:p>
        </w:tc>
        <w:tc>
          <w:tcPr>
            <w:tcW w:w="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4"/>
          </w:tcPr>
          <w:p>
            <w:pPr>
              <w:spacing w:after="0"/>
              <w:rPr>
                <w:sz w:val="13"/>
                <w:szCs w:val="13"/>
                <w:color w:val="auto"/>
              </w:rPr>
            </w:pPr>
          </w:p>
        </w:tc>
        <w:tc>
          <w:tcPr>
            <w:tcW w:w="16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6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80" w:type="dxa"/>
            <w:vAlign w:val="bottom"/>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6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Controls and Procedures</w:t>
            </w:r>
          </w:p>
        </w:tc>
        <w:tc>
          <w:tcPr>
            <w:tcW w:w="4080" w:type="dxa"/>
            <w:vAlign w:val="bottom"/>
            <w:gridSpan w:val="6"/>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80" w:type="dxa"/>
            <w:vAlign w:val="bottom"/>
            <w:tcBorders>
              <w:top w:val="single" w:sz="8" w:color="0000FF"/>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6780" w:type="dxa"/>
            <w:vAlign w:val="bottom"/>
            <w:gridSpan w:val="14"/>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tcPr>
          <w:p>
            <w:pPr>
              <w:spacing w:after="0"/>
              <w:rPr>
                <w:sz w:val="22"/>
                <w:szCs w:val="22"/>
                <w:color w:val="auto"/>
              </w:rPr>
            </w:pPr>
          </w:p>
        </w:tc>
        <w:tc>
          <w:tcPr>
            <w:tcW w:w="7280" w:type="dxa"/>
            <w:vAlign w:val="bottom"/>
            <w:gridSpan w:val="15"/>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6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Exhibits</w:t>
            </w:r>
          </w:p>
        </w:tc>
        <w:tc>
          <w:tcPr>
            <w:tcW w:w="3920" w:type="dxa"/>
            <w:vAlign w:val="bottom"/>
            <w:gridSpan w:val="5"/>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4"/>
        </w:trPr>
        <w:tc>
          <w:tcPr>
            <w:tcW w:w="7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Signature</w:t>
            </w:r>
          </w:p>
        </w:tc>
        <w:tc>
          <w:tcPr>
            <w:tcW w:w="460" w:type="dxa"/>
            <w:vAlign w:val="bottom"/>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000" w:type="dxa"/>
            <w:vAlign w:val="bottom"/>
            <w:gridSpan w:val="6"/>
          </w:tcPr>
          <w:p>
            <w:pPr>
              <w:ind w:left="46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3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4,633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Gain on acquisition</w:t>
            </w:r>
          </w:p>
        </w:tc>
        <w:tc>
          <w:tcPr>
            <w:tcW w:w="8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536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income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(Loss)/gain on equity method investment transactions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55"/>
        </w:trPr>
        <w:tc>
          <w:tcPr>
            <w:tcW w:w="536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Net earnings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36"/>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Basic earnings per share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6"/>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60" w:type="dxa"/>
            <w:vAlign w:val="bottom"/>
            <w:vMerge w:val="continue"/>
          </w:tcPr>
          <w:p>
            <w:pPr>
              <w:spacing w:after="0"/>
              <w:rPr>
                <w:sz w:val="10"/>
                <w:szCs w:val="10"/>
                <w:color w:val="auto"/>
              </w:rPr>
            </w:pPr>
          </w:p>
        </w:tc>
        <w:tc>
          <w:tcPr>
            <w:tcW w:w="860" w:type="dxa"/>
            <w:vAlign w:val="bottom"/>
            <w:vMerge w:val="restart"/>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1"/>
        </w:trPr>
        <w:tc>
          <w:tcPr>
            <w:tcW w:w="5360" w:type="dxa"/>
            <w:vAlign w:val="bottom"/>
          </w:tcPr>
          <w:p>
            <w:pPr>
              <w:ind w:left="3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6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Pension and other benefit plans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cash flow hedges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earnings/(losses)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175"/>
        </w:trPr>
        <w:tc>
          <w:tcPr>
            <w:tcW w:w="5200" w:type="dxa"/>
            <w:vAlign w:val="bottom"/>
          </w:tcPr>
          <w:p>
            <w:pPr>
              <w:ind w:left="140"/>
              <w:spacing w:after="0" w:line="176" w:lineRule="exact"/>
              <w:rPr>
                <w:sz w:val="20"/>
                <w:szCs w:val="20"/>
                <w:color w:val="auto"/>
              </w:rPr>
            </w:pPr>
            <w:r>
              <w:rPr>
                <w:rFonts w:ascii="Arial" w:cs="Arial" w:eastAsia="Arial" w:hAnsi="Arial"/>
                <w:sz w:val="18"/>
                <w:szCs w:val="18"/>
                <w:color w:val="auto"/>
              </w:rPr>
              <w:t>less: Comprehensive earnings/(losses)</w:t>
            </w:r>
          </w:p>
        </w:tc>
        <w:tc>
          <w:tcPr>
            <w:tcW w:w="9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attributable to noncontrolling interests</w:t>
            </w: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2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Comprehensive earnings/(losses) attributable to</w:t>
            </w:r>
          </w:p>
        </w:tc>
        <w:tc>
          <w:tcPr>
            <w:tcW w:w="920" w:type="dxa"/>
            <w:vAlign w:val="bottom"/>
            <w:vMerge w:val="restart"/>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7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Trade receivables (net of allowances of $45 at June 30, 2022</w:t>
            </w: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$37 at December 31, 2021)</w:t>
            </w:r>
          </w:p>
        </w:tc>
        <w:tc>
          <w:tcPr>
            <w:tcW w:w="30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140"/>
              <w:spacing w:after="0" w:line="176" w:lineRule="exact"/>
              <w:rPr>
                <w:sz w:val="20"/>
                <w:szCs w:val="20"/>
                <w:color w:val="auto"/>
              </w:rPr>
            </w:pPr>
            <w:r>
              <w:rPr>
                <w:rFonts w:ascii="Arial" w:cs="Arial" w:eastAsia="Arial" w:hAnsi="Arial"/>
                <w:sz w:val="18"/>
                <w:szCs w:val="18"/>
                <w:color w:val="auto"/>
              </w:rPr>
              <w:t>Other receivables (net of allowances of $48 at June 30, 2022</w:t>
            </w:r>
          </w:p>
        </w:tc>
        <w:tc>
          <w:tcPr>
            <w:tcW w:w="3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43"/>
        </w:trPr>
        <w:tc>
          <w:tcPr>
            <w:tcW w:w="7980" w:type="dxa"/>
            <w:vAlign w:val="bottom"/>
          </w:tcPr>
          <w:p>
            <w:pPr>
              <w:ind w:left="300"/>
              <w:spacing w:after="0"/>
              <w:rPr>
                <w:sz w:val="20"/>
                <w:szCs w:val="20"/>
                <w:color w:val="auto"/>
              </w:rPr>
            </w:pPr>
            <w:r>
              <w:rPr>
                <w:rFonts w:ascii="Arial" w:cs="Arial" w:eastAsia="Arial" w:hAnsi="Arial"/>
                <w:sz w:val="18"/>
                <w:szCs w:val="18"/>
                <w:color w:val="auto"/>
              </w:rPr>
              <w:t>and $49 at December 31, 2021)</w:t>
            </w:r>
          </w:p>
        </w:tc>
        <w:tc>
          <w:tcPr>
            <w:tcW w:w="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8,658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 of use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Prepaid pension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14,008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38,769</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140"/>
              <w:spacing w:after="0" w:line="176" w:lineRule="exact"/>
              <w:rPr>
                <w:sz w:val="20"/>
                <w:szCs w:val="20"/>
                <w:color w:val="auto"/>
              </w:rPr>
            </w:pPr>
            <w:r>
              <w:rPr>
                <w:rFonts w:ascii="Arial" w:cs="Arial" w:eastAsia="Arial" w:hAnsi="Arial"/>
                <w:sz w:val="18"/>
                <w:szCs w:val="18"/>
                <w:color w:val="auto"/>
              </w:rPr>
              <w:t>Common Stock, no par value (5,000,000,000 shares authorized and</w:t>
            </w:r>
          </w:p>
        </w:tc>
        <w:tc>
          <w:tcPr>
            <w:tcW w:w="30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300"/>
              <w:spacing w:after="0"/>
              <w:rPr>
                <w:sz w:val="20"/>
                <w:szCs w:val="20"/>
                <w:color w:val="auto"/>
              </w:rPr>
            </w:pPr>
            <w:r>
              <w:rPr>
                <w:rFonts w:ascii="Arial" w:cs="Arial" w:eastAsia="Arial" w:hAnsi="Arial"/>
                <w:sz w:val="18"/>
                <w:szCs w:val="18"/>
                <w:color w:val="auto"/>
              </w:rPr>
              <w:t>1,996,537,778 shares issued at June 30, 2022 and December 31, 2021)</w:t>
            </w:r>
          </w:p>
        </w:tc>
        <w:tc>
          <w:tcPr>
            <w:tcW w:w="30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32,097</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31,431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30,806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175"/>
        </w:trPr>
        <w:tc>
          <w:tcPr>
            <w:tcW w:w="7980" w:type="dxa"/>
            <w:vAlign w:val="bottom"/>
          </w:tcPr>
          <w:p>
            <w:pPr>
              <w:ind w:left="140"/>
              <w:spacing w:after="0" w:line="176" w:lineRule="exact"/>
              <w:rPr>
                <w:sz w:val="20"/>
                <w:szCs w:val="20"/>
                <w:color w:val="auto"/>
              </w:rPr>
            </w:pPr>
            <w:r>
              <w:rPr>
                <w:rFonts w:ascii="Arial" w:cs="Arial" w:eastAsia="Arial" w:hAnsi="Arial"/>
                <w:sz w:val="18"/>
                <w:szCs w:val="18"/>
                <w:color w:val="auto"/>
              </w:rPr>
              <w:t>Treasury stock, at cost (624,240,103 shares at June 30, 2022 and</w:t>
            </w:r>
          </w:p>
        </w:tc>
        <w:tc>
          <w:tcPr>
            <w:tcW w:w="3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(25,368)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(24,010)</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604,907,239 shares at December 31, 2021)</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Mondelēz International Shareholders’ Equity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28,269</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28,323</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364"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rPr>
              <w:t>Mondelēz International Shareholders’ Equity</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2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1"/>
                <w:szCs w:val="11"/>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8"/>
              </w:rPr>
              <w:t>Treasury</w:t>
            </w: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1"/>
                <w:szCs w:val="11"/>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Earnings/</w:t>
            </w: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(Losses)</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rPr>
                <w:sz w:val="20"/>
                <w:szCs w:val="20"/>
                <w:color w:val="auto"/>
              </w:rPr>
            </w:pPr>
            <w:r>
              <w:rPr>
                <w:rFonts w:ascii="Arial" w:cs="Arial" w:eastAsia="Arial" w:hAnsi="Arial"/>
                <w:sz w:val="13"/>
                <w:szCs w:val="13"/>
                <w:b w:val="1"/>
                <w:bCs w:val="1"/>
                <w:color w:val="auto"/>
              </w:rPr>
              <w:t>Three Months Ended June 30, 2022</w:t>
            </w: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April 1, 2022</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28,216</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0" w:type="dxa"/>
            <w:vAlign w:val="bottom"/>
          </w:tcPr>
          <w:p>
            <w:pPr>
              <w:spacing w:after="0"/>
              <w:rPr>
                <w:sz w:val="1"/>
                <w:szCs w:val="1"/>
                <w:color w:val="auto"/>
              </w:rPr>
            </w:pPr>
          </w:p>
        </w:tc>
      </w:tr>
      <w:tr>
        <w:trPr>
          <w:trHeight w:val="121"/>
        </w:trPr>
        <w:tc>
          <w:tcPr>
            <w:tcW w:w="3200" w:type="dxa"/>
            <w:vAlign w:val="bottom"/>
          </w:tcPr>
          <w:p>
            <w:pPr>
              <w:ind w:left="140"/>
              <w:spacing w:after="0" w:line="122" w:lineRule="exact"/>
              <w:rPr>
                <w:sz w:val="20"/>
                <w:szCs w:val="20"/>
                <w:color w:val="auto"/>
              </w:rPr>
            </w:pPr>
            <w:r>
              <w:rPr>
                <w:rFonts w:ascii="Arial" w:cs="Arial" w:eastAsia="Arial" w:hAnsi="Arial"/>
                <w:sz w:val="13"/>
                <w:szCs w:val="13"/>
                <w:color w:val="auto"/>
              </w:rPr>
              <w:t>Other comprehensive earnings/(losses),</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28"/>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(770)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(770)</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($0.350 per share)</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June 30, 2022</w:t>
            </w:r>
          </w:p>
        </w:tc>
        <w:tc>
          <w:tcPr>
            <w:tcW w:w="78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(25,368)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27,553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Six Months Ended June 30, 2022</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2022</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32,097</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30,806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(10,624)</w:t>
            </w:r>
          </w:p>
        </w:tc>
        <w:tc>
          <w:tcPr>
            <w:tcW w:w="100" w:type="dxa"/>
            <w:vAlign w:val="bottom"/>
          </w:tcPr>
          <w:p>
            <w:pPr>
              <w:spacing w:after="0"/>
              <w:rPr>
                <w:sz w:val="15"/>
                <w:szCs w:val="15"/>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(24,010)</w:t>
            </w:r>
          </w:p>
        </w:tc>
        <w:tc>
          <w:tcPr>
            <w:tcW w:w="1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28,323</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1,609</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($0.700 per share)</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(969)</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June 30, 2022</w:t>
            </w:r>
          </w:p>
        </w:tc>
        <w:tc>
          <w:tcPr>
            <w:tcW w:w="7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32,086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31,431</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(10,638)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(25,368)</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27,553</w:t>
            </w:r>
          </w:p>
        </w:tc>
        <w:tc>
          <w:tcPr>
            <w:tcW w:w="0" w:type="dxa"/>
            <w:vAlign w:val="bottom"/>
          </w:tcPr>
          <w:p>
            <w:pPr>
              <w:spacing w:after="0"/>
              <w:rPr>
                <w:sz w:val="1"/>
                <w:szCs w:val="1"/>
                <w:color w:val="auto"/>
              </w:rPr>
            </w:pPr>
          </w:p>
        </w:tc>
      </w:tr>
      <w:tr>
        <w:trPr>
          <w:trHeight w:val="27"/>
        </w:trPr>
        <w:tc>
          <w:tcPr>
            <w:tcW w:w="3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 June 30, 2021</w:t>
            </w: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32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Balances at April 1, 2021</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32,009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28,903</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(10,746)</w:t>
            </w:r>
          </w:p>
        </w:tc>
        <w:tc>
          <w:tcPr>
            <w:tcW w:w="100" w:type="dxa"/>
            <w:vAlign w:val="bottom"/>
          </w:tcPr>
          <w:p>
            <w:pPr>
              <w:spacing w:after="0"/>
              <w:rPr>
                <w:sz w:val="15"/>
                <w:szCs w:val="15"/>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(23,091)</w:t>
            </w:r>
          </w:p>
        </w:tc>
        <w:tc>
          <w:tcPr>
            <w:tcW w:w="1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27,149</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1,079</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($0.315 per share)</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(444)</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June 30, 2021</w:t>
            </w:r>
          </w:p>
        </w:tc>
        <w:tc>
          <w:tcPr>
            <w:tcW w:w="7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32,042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29,538</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(10,572)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(23,465)</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27,620</w:t>
            </w:r>
          </w:p>
        </w:tc>
        <w:tc>
          <w:tcPr>
            <w:tcW w:w="0" w:type="dxa"/>
            <w:vAlign w:val="bottom"/>
          </w:tcPr>
          <w:p>
            <w:pPr>
              <w:spacing w:after="0"/>
              <w:rPr>
                <w:sz w:val="1"/>
                <w:szCs w:val="1"/>
                <w:color w:val="auto"/>
              </w:rPr>
            </w:pPr>
          </w:p>
        </w:tc>
      </w:tr>
      <w:tr>
        <w:trPr>
          <w:trHeight w:val="27"/>
        </w:trPr>
        <w:tc>
          <w:tcPr>
            <w:tcW w:w="3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Six Months Ended June 30, 2021</w:t>
            </w: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32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2021</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32,070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28,402</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(10,690)</w:t>
            </w:r>
          </w:p>
        </w:tc>
        <w:tc>
          <w:tcPr>
            <w:tcW w:w="100" w:type="dxa"/>
            <w:vAlign w:val="bottom"/>
          </w:tcPr>
          <w:p>
            <w:pPr>
              <w:spacing w:after="0"/>
              <w:rPr>
                <w:sz w:val="15"/>
                <w:szCs w:val="15"/>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(22,204)</w:t>
            </w:r>
          </w:p>
        </w:tc>
        <w:tc>
          <w:tcPr>
            <w:tcW w:w="1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27,654</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2,047</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($0.630 per share)</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(889)</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June 30, 2021</w:t>
            </w:r>
          </w:p>
        </w:tc>
        <w:tc>
          <w:tcPr>
            <w:tcW w:w="7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32,042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29,538</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(10,572)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(23,465)</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27,620</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64"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For the Six Months Ended</w:t>
      </w:r>
    </w:p>
    <w:p>
      <w:pPr>
        <w:jc w:val="center"/>
        <w:ind w:left="74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399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OPERATING ACTIVITIES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to operating cash flows: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Deferred income tax (benefit)/provision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impairments and accelerated depreciation</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Loss on early extinguishment of debt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acquisition</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Loss/(gain) on equity method investment transactions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method investment net earnings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Distributions from equity method investments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5"/>
        </w:trPr>
        <w:tc>
          <w:tcPr>
            <w:tcW w:w="7520" w:type="dxa"/>
            <w:vAlign w:val="bottom"/>
          </w:tcPr>
          <w:p>
            <w:pPr>
              <w:ind w:left="360"/>
              <w:spacing w:after="0" w:line="176" w:lineRule="exact"/>
              <w:rPr>
                <w:sz w:val="20"/>
                <w:szCs w:val="20"/>
                <w:color w:val="auto"/>
              </w:rPr>
            </w:pPr>
            <w:r>
              <w:rPr>
                <w:rFonts w:ascii="Arial" w:cs="Arial" w:eastAsia="Arial" w:hAnsi="Arial"/>
                <w:sz w:val="18"/>
                <w:szCs w:val="18"/>
                <w:color w:val="auto"/>
              </w:rPr>
              <w:t>Change in assets and liabilities,</w:t>
            </w: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520" w:type="dxa"/>
            <w:vAlign w:val="bottom"/>
          </w:tcPr>
          <w:p>
            <w:pPr>
              <w:ind w:left="500"/>
              <w:spacing w:after="0"/>
              <w:rPr>
                <w:sz w:val="20"/>
                <w:szCs w:val="20"/>
                <w:color w:val="auto"/>
              </w:rPr>
            </w:pPr>
            <w:r>
              <w:rPr>
                <w:rFonts w:ascii="Arial" w:cs="Arial" w:eastAsia="Arial" w:hAnsi="Arial"/>
                <w:sz w:val="18"/>
                <w:szCs w:val="18"/>
                <w:color w:val="auto"/>
              </w:rPr>
              <w:t>net of acquisitions and divestitures:</w:t>
            </w: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Receivables, net</w:t>
            </w: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520" w:type="dxa"/>
            <w:vAlign w:val="bottom"/>
          </w:tcPr>
          <w:p>
            <w:pPr>
              <w:ind w:left="560"/>
              <w:spacing w:after="0"/>
              <w:rPr>
                <w:sz w:val="20"/>
                <w:szCs w:val="20"/>
                <w:color w:val="auto"/>
              </w:rPr>
            </w:pPr>
            <w:r>
              <w:rPr>
                <w:rFonts w:ascii="Arial" w:cs="Arial" w:eastAsia="Arial" w:hAnsi="Arial"/>
                <w:sz w:val="18"/>
                <w:szCs w:val="18"/>
                <w:color w:val="auto"/>
              </w:rPr>
              <w:t>Inventories, net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7520" w:type="dxa"/>
            <w:vAlign w:val="bottom"/>
          </w:tcPr>
          <w:p>
            <w:pPr>
              <w:ind w:left="560"/>
              <w:spacing w:after="0"/>
              <w:rPr>
                <w:sz w:val="20"/>
                <w:szCs w:val="20"/>
                <w:color w:val="auto"/>
              </w:rPr>
            </w:pPr>
            <w:r>
              <w:rPr>
                <w:rFonts w:ascii="Arial" w:cs="Arial" w:eastAsia="Arial" w:hAnsi="Arial"/>
                <w:sz w:val="18"/>
                <w:szCs w:val="18"/>
                <w:color w:val="auto"/>
              </w:rPr>
              <w:t>Other current assets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current liabilities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pension and postretirement assets and liabilities, net</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8"/>
                <w:szCs w:val="18"/>
                <w:color w:val="auto"/>
              </w:rPr>
              <w:t>CASH PROVIDED BY/(USED IN) INVESTING ACTIVITIES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Acquisitions, net of cash received</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divestitures including equity method investments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sale of property, plant and equipment and 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8"/>
                <w:szCs w:val="18"/>
                <w:color w:val="auto"/>
              </w:rPr>
              <w:t>CASH PROVIDED BY/(USED IN) FINANCING ACTIVITIES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issuances/(repayments) of other short-term borrowings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Long-term debt proceeds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repayments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155"/>
        </w:trPr>
        <w:tc>
          <w:tcPr>
            <w:tcW w:w="7520" w:type="dxa"/>
            <w:vAlign w:val="bottom"/>
          </w:tcPr>
          <w:p>
            <w:pPr>
              <w:ind w:left="20"/>
              <w:spacing w:after="0" w:line="156" w:lineRule="exact"/>
              <w:rPr>
                <w:sz w:val="20"/>
                <w:szCs w:val="20"/>
                <w:color w:val="auto"/>
              </w:rPr>
            </w:pPr>
            <w:r>
              <w:rPr>
                <w:rFonts w:ascii="Arial" w:cs="Arial" w:eastAsia="Arial" w:hAnsi="Arial"/>
                <w:sz w:val="18"/>
                <w:szCs w:val="18"/>
                <w:color w:val="auto"/>
              </w:rPr>
              <w:t>Effect of exchange rate changes on cash, cash equivalents</w:t>
            </w:r>
          </w:p>
        </w:tc>
        <w:tc>
          <w:tcPr>
            <w:tcW w:w="1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restricted cash</w:t>
            </w:r>
          </w:p>
        </w:tc>
        <w:tc>
          <w:tcPr>
            <w:tcW w:w="1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(Decrease)/Increase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23"/>
        </w:trPr>
        <w:tc>
          <w:tcPr>
            <w:tcW w:w="75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as there are no readily determinable fair values for the equity interests, these investments are carried at cost with changes in the investment recognized to the extent cash is received.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 in Ukraine</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February 2022, Russia began a military invasion of Ukraine and we closed our operations and facilities in Ukraine. In March 2022, our two Ukrainian manufacturing facilities in Trostyanets and Vyshhorod were significantly damaged. During the first quarter of 2022, we evaluated and impaired these and other assets. We recorded $143 million of total expenses ($145 million after-tax) incurred as a direct result of the war, including $75 million recorded in asset impairment and exit costs</w:t>
      </w:r>
      <w:r>
        <w:rPr>
          <w:rFonts w:ascii="Arial" w:cs="Arial" w:eastAsia="Arial" w:hAnsi="Arial"/>
          <w:sz w:val="18"/>
          <w:szCs w:val="18"/>
          <w:i w:val="1"/>
          <w:iCs w:val="1"/>
          <w:color w:val="auto"/>
        </w:rPr>
        <w:t>,</w:t>
      </w:r>
      <w:r>
        <w:rPr>
          <w:rFonts w:ascii="Arial" w:cs="Arial" w:eastAsia="Arial" w:hAnsi="Arial"/>
          <w:sz w:val="18"/>
          <w:szCs w:val="18"/>
          <w:color w:val="auto"/>
        </w:rPr>
        <w:t xml:space="preserve"> $ 44 million in cost of sales and $24 million in selling, general and administrative expenses. We recorded $75 million of property, plant and equipment impairments, $33 million of estimated inventory write-offs, $19 million of increased estimated allowances for trade receivables and $ 16 million in accrued expenses. During the second quarter of 2022, we reversed approximately $15 million of previously recorded charges as a result of higher than expected collection of trade receivables and inventory recoveries. We continue to consolidate both our Ukrainian and Russian subsidiaries and continue to evaluate our ability to control our operating activities and businesses on an ongoing basis. In connection with these findings and impacts, we have made estimates and assumptions based on information available to us. We base our estimates on historical experience, expectations of future impacts and other assumptions that we believe are reasonable. Given the uncertainty of the ongoing effects of the war in Ukraine, and its impact on the global economic environment, our estimates could be significantly different than future performance.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currency transactions in earnings.</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Local currency monetary assets and liabilities are remeasured into U.S. dollars using exchange rates as of the latest balance sheet date, with remeasurement gains and losses recognized in net earnings.</w:t>
      </w:r>
    </w:p>
    <w:p>
      <w:pPr>
        <w:spacing w:after="0" w:line="175" w:lineRule="exact"/>
        <w:rPr>
          <w:sz w:val="20"/>
          <w:szCs w:val="20"/>
          <w:color w:val="auto"/>
        </w:rPr>
      </w:pPr>
    </w:p>
    <w:p>
      <w:pPr>
        <w:ind w:right="60"/>
        <w:spacing w:after="0" w:line="227" w:lineRule="exact"/>
        <w:rPr>
          <w:sz w:val="20"/>
          <w:szCs w:val="20"/>
          <w:color w:val="auto"/>
        </w:rPr>
      </w:pPr>
      <w:r>
        <w:rPr>
          <w:rFonts w:ascii="Arial" w:cs="Arial" w:eastAsia="Arial" w:hAnsi="Arial"/>
          <w:sz w:val="18"/>
          <w:szCs w:val="18"/>
          <w:i w:val="1"/>
          <w:iCs w:val="1"/>
          <w:color w:val="auto"/>
        </w:rPr>
        <w:t>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rkiye. </w:t>
      </w:r>
      <w:r>
        <w:rPr>
          <w:rFonts w:ascii="Arial" w:cs="Arial" w:eastAsia="Arial" w:hAnsi="Arial"/>
          <w:sz w:val="18"/>
          <w:szCs w:val="18"/>
          <w:color w:val="auto"/>
        </w:rPr>
        <w:t>During the first quarter of 2022, primarily based on data published by the T</w:t>
      </w:r>
      <w:r>
        <w:rPr>
          <w:rFonts w:ascii="MS PGothic" w:cs="MS PGothic" w:eastAsia="MS PGothic" w:hAnsi="MS PGothic"/>
          <w:sz w:val="18"/>
          <w:szCs w:val="18"/>
          <w:color w:val="auto"/>
        </w:rPr>
        <w:t>✔</w:t>
      </w:r>
      <w:r>
        <w:rPr>
          <w:rFonts w:ascii="Arial" w:cs="Arial" w:eastAsia="Arial" w:hAnsi="Arial"/>
          <w:sz w:val="18"/>
          <w:szCs w:val="18"/>
          <w:color w:val="auto"/>
        </w:rPr>
        <w:t>rkiye Statistical Institute that indicated that T</w:t>
      </w:r>
      <w:r>
        <w:rPr>
          <w:rFonts w:ascii="MS PGothic" w:cs="MS PGothic" w:eastAsia="MS PGothic" w:hAnsi="MS PGothic"/>
          <w:sz w:val="18"/>
          <w:szCs w:val="18"/>
          <w:color w:val="auto"/>
        </w:rPr>
        <w:t>✔</w:t>
      </w:r>
      <w:r>
        <w:rPr>
          <w:rFonts w:ascii="Arial" w:cs="Arial" w:eastAsia="Arial" w:hAnsi="Arial"/>
          <w:sz w:val="18"/>
          <w:szCs w:val="18"/>
          <w:color w:val="auto"/>
        </w:rPr>
        <w:t>rkiye's</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cumulative inflation rate exceeded 100%, we concluded that T</w:t>
      </w:r>
      <w:r>
        <w:rPr>
          <w:rFonts w:ascii="MS PGothic" w:cs="MS PGothic" w:eastAsia="MS PGothic" w:hAnsi="MS PGothic"/>
          <w:sz w:val="18"/>
          <w:szCs w:val="18"/>
          <w:color w:val="auto"/>
        </w:rPr>
        <w:t>✔</w:t>
      </w:r>
      <w:r>
        <w:rPr>
          <w:rFonts w:ascii="Arial" w:cs="Arial" w:eastAsia="Arial" w:hAnsi="Arial"/>
          <w:sz w:val="18"/>
          <w:szCs w:val="18"/>
          <w:color w:val="auto"/>
        </w:rPr>
        <w:t>rkiye became a highly inflationary economy for accounting purposes. As of April 1, 2022, we began to apply highly inflationary accounting for our subsidiaries operating in T</w:t>
      </w:r>
      <w:r>
        <w:rPr>
          <w:rFonts w:ascii="MS PGothic" w:cs="MS PGothic" w:eastAsia="MS PGothic" w:hAnsi="MS PGothic"/>
          <w:sz w:val="18"/>
          <w:szCs w:val="18"/>
          <w:color w:val="auto"/>
        </w:rPr>
        <w:t>✔</w:t>
      </w:r>
      <w:r>
        <w:rPr>
          <w:rFonts w:ascii="Arial" w:cs="Arial" w:eastAsia="Arial" w:hAnsi="Arial"/>
          <w:sz w:val="18"/>
          <w:szCs w:val="18"/>
          <w:color w:val="auto"/>
        </w:rPr>
        <w:t>rkiye and change their functional currency from the Turkish lira to the U.S. dollar. Our operations in T</w:t>
      </w:r>
      <w:r>
        <w:rPr>
          <w:rFonts w:ascii="MS PGothic" w:cs="MS PGothic" w:eastAsia="MS PGothic" w:hAnsi="MS PGothic"/>
          <w:sz w:val="18"/>
          <w:szCs w:val="18"/>
          <w:color w:val="auto"/>
        </w:rPr>
        <w:t>✔</w:t>
      </w:r>
      <w:r>
        <w:rPr>
          <w:rFonts w:ascii="Arial" w:cs="Arial" w:eastAsia="Arial" w:hAnsi="Arial"/>
          <w:sz w:val="18"/>
          <w:szCs w:val="18"/>
          <w:color w:val="auto"/>
        </w:rPr>
        <w:t>rkiye contributed $46 million or 0.6% of our condensed consolidated net revenues in the three months and $90 million or 0.6% of our condensed consolidated net revenues in the six months ended June 30, 2022. As of June 30, 2022, our operations in T</w:t>
      </w:r>
      <w:r>
        <w:rPr>
          <w:rFonts w:ascii="MS PGothic" w:cs="MS PGothic" w:eastAsia="MS PGothic" w:hAnsi="MS PGothic"/>
          <w:sz w:val="18"/>
          <w:szCs w:val="18"/>
          <w:color w:val="auto"/>
        </w:rPr>
        <w:t>✔</w:t>
      </w:r>
      <w:r>
        <w:rPr>
          <w:rFonts w:ascii="Arial" w:cs="Arial" w:eastAsia="Arial" w:hAnsi="Arial"/>
          <w:sz w:val="18"/>
          <w:szCs w:val="18"/>
          <w:color w:val="auto"/>
        </w:rPr>
        <w:t>rkiye had $11 million of Turkish lira denominated net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monetary liabilities. Within selling, general and administrative expenses, we recorded a remeasurement loss of less than $1 million during the three months ended June 30, 2022 related to the revaluation of the Turkish lira denominated net monetary position during the quarter.</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Argentinean subsidiaries and changed their functional currency from the Argentinean peso to the U.S. dollar. Our operations in Argentina contributed $138 million or 1.9% of consolidated net revenues in the three months and $268 million or 1.8% of our condensed consolidated net revenues in the six months ended June 30, 2022. As of June 30, 2022, our Argentinean operations had $28 million of Argentinean peso denominated net monetary assets. Within selling, general and administrative expenses, we recorded a remeasurement loss of $10 million during the three months and $15 million during the six months ended June 30, 2022 as well as a remeasurement loss of $3 million during the three months and $8 million during the six months ended June 30, 2021 related to the revaluation of the Argentinean peso denominated net monetary position over these periods.</w:t>
      </w:r>
    </w:p>
    <w:p>
      <w:pPr>
        <w:spacing w:after="0" w:line="208"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over 150 countries and have operations in approximately 80 countries, we monitor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currency-related risks and seek to take protective measures in response to potential exposures. We continue to monitor the developments in Ukraine and Russia as well as in the ongoing COVID-19 global pandemic and related impacts to our business operations, currencies and net monetary exposures. Since the global onset of COVID-19 in early 2020 and compounded by the ongoing war in Ukraine and the impact of general economic conditions, including inflation, most countries in which we do business experienced periods of significant economic uncertainty as well as exchange rate volatility. At this time, within our consolidated entities, Argentina and T</w:t>
      </w:r>
      <w:r>
        <w:rPr>
          <w:rFonts w:ascii="MS PGothic" w:cs="MS PGothic" w:eastAsia="MS PGothic" w:hAnsi="MS PGothic"/>
          <w:sz w:val="18"/>
          <w:szCs w:val="18"/>
          <w:color w:val="auto"/>
        </w:rPr>
        <w:t>✔</w:t>
      </w:r>
      <w:r>
        <w:rPr>
          <w:rFonts w:ascii="Arial" w:cs="Arial" w:eastAsia="Arial" w:hAnsi="Arial"/>
          <w:sz w:val="18"/>
          <w:szCs w:val="18"/>
          <w:color w:val="auto"/>
        </w:rPr>
        <w:t>rkiye are highly inflationary economies as noted above, and we continue to monitor currency volatility and associated risks, such as increased risk of highly inflationary economies and related accounting.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also have restricted cash that is recorded within other current assets of $ 11 million as of June 30, 2022 and $7 million as of December 31, 2021. Total cash, cash equivalents and restricted cash was $1,935 million as of June 30, 2022 and $3,553 million as of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 off receivables once it is determined that the receivables are no longer collectible and as allowed by local laws.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2"/>
                <w:szCs w:val="12"/>
                <w:color w:val="auto"/>
              </w:rPr>
            </w:pP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9"/>
        </w:trPr>
        <w:tc>
          <w:tcPr>
            <w:tcW w:w="6840" w:type="dxa"/>
            <w:vAlign w:val="bottom"/>
          </w:tcPr>
          <w:p>
            <w:pPr>
              <w:spacing w:after="0"/>
              <w:rPr>
                <w:sz w:val="16"/>
                <w:szCs w:val="16"/>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8"/>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Current period provision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$700 million as of June 30, 2022 and $761 million as of December 31, 2021.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5"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We recorded $125 million in operating lease and $76 million in finance lease right-of-use assets obtained in exchange for lease obligations during the six months ended June 30, 2022 and $115 million in operating lease and $44 million in finance lease right-of-use assets obtained in exchange for lease obligations during the six months ended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October 2021, the Financial Accounting Standards Board (“FASB”) issued an Accounting Standards Update (“ASU”) which requires companies to recognize and measure customer contract assets and contract liabilities acquired in a business combination as if the acquiring company originated the related revenue contracts. Prior to adopting this ASU, acquired contract assets and liabilities were measured at fair value. This ASU is effective for fiscal years beginning after December 15, 2022 and early adoption is permitted. We are evaluating the timing and effects of adopting this ASU and currently we do not expect this ASU to have a material impact on our consolidated financial statements.</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March 2020 and subsequently in January 2021, the FASB issued an ASU to provide optional accounting guidance for a limited period of time to ease the potential burden in accounting for reference rate reform. The guidance provides optional expedients and exceptions to existing accounting requirements for contract modifications and hedge accounting related to transitioning from discontinued reference rates, such as LIBOR, to alternative reference rates, if certain criteria are met. The new accounting requirements can be applied as of the beginning of the interim period including March 12, 2020, or any date thereafter, through December 31, 2022. We expect to adopt this standard in the fourth quarter of 2022. Based on our evaluation of our contracts to date, we do not expect this ASU to have a material impact on our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20, 2022, we announced an agreement to acquire Clif Bar &amp; Company (“Clif Bar”), a leading U.S. maker of nutritious energy bars with organic ingredients for a purchase price of approximately $2.9 billion, subject to closing purchase price adjustments. The acquisition of Clif Bar includes a contingent consideration arrangement that may require us to pay additional consideration to the sellers for achieving certain revenue and earnings targets in 2025 and 2026 that exceed our base financial projections for the business implied in the upfront purchase price. The possible payments range from zero to a maximum total of $ 2.4 billion, with higher payouts requiring the achievement of targets that generate rates of returns in excess of the base financial projections. In connection with this acquisition, we expect to generate a meaningful cash tax benefit over time from the amortization of acquisition-related intangibles. The transaction, which will be funded through a combination of debt and cash on hand, is subject to relevant antitrust approvals and closing conditions and is expected to close in the third quarter of 2022. During the second quarter of 2022, we incurred $4 million of acquisition-related costs.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24, 2022, we entered into an agreement with Grupo Bimbo to acquire Ricolino, its confectionery business located primarily in Mexico for a purchase price of approximately $1.3 billion, subject to closing purchase price adjustments. The transaction, which will be funded through a combination of debt and cash on hand, is subject to relevant antitrust approvals and closing conditions and is expected to close late in the third quarter or early in the fourth quarter of 2022. During the second quarter of 2022, we incurred $1 million of acquisition-related costs.</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January 3, 2022, we acquired Chipita Global S.A. (“Chipita”), a leading croissants and baked snacks company in the Central and Eastern European markets. The acquisition of Chipita offers a strategic complement to our existing portfolio and advances our strategy to become the global leader in broader snacking. The cash consideration paid for Chipita totaled €1.2 billion ($ 1.4 billion), net of cash received, plus the assumption of Chipita’s debt of €0.4 billion ($0.4 billion) for a total purchase price of €1.7 billion ($1.8 billion).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We are working to complete the valuation and have recorded a preliminary purchase price allocation of:</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37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Finance leases right of use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Definite life intangible assets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Indefinite life intangible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686</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r>
      <w:tr>
        <w:trPr>
          <w:trHeight w:val="215"/>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10"/>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acquired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2,210</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Finance lease liabilities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9400" w:type="dxa"/>
            <w:vAlign w:val="bottom"/>
          </w:tcPr>
          <w:p>
            <w:pPr>
              <w:ind w:left="20"/>
              <w:spacing w:after="0"/>
              <w:rPr>
                <w:sz w:val="20"/>
                <w:szCs w:val="20"/>
                <w:color w:val="auto"/>
              </w:rPr>
            </w:pPr>
            <w:r>
              <w:rPr>
                <w:rFonts w:ascii="Arial" w:cs="Arial" w:eastAsia="Arial" w:hAnsi="Arial"/>
                <w:sz w:val="16"/>
                <w:szCs w:val="16"/>
                <w:b w:val="1"/>
                <w:bCs w:val="1"/>
                <w:color w:val="auto"/>
              </w:rPr>
              <w:t>Total purchase price</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1,890</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long-term debt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15"/>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cash received</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0"/>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Paid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1,402</w:t>
            </w:r>
          </w:p>
        </w:tc>
      </w:tr>
    </w:tbl>
    <w:p>
      <w:pPr>
        <w:spacing w:after="0" w:line="3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Within identifiable intangible assets, we allocated $686 million to trade names, which have an indefinite-life. The fair value for the </w:t>
      </w:r>
      <w:r>
        <w:rPr>
          <w:rFonts w:ascii="Arial" w:cs="Arial" w:eastAsia="Arial" w:hAnsi="Arial"/>
          <w:sz w:val="18"/>
          <w:szCs w:val="18"/>
          <w:i w:val="1"/>
          <w:iCs w:val="1"/>
          <w:color w:val="auto"/>
        </w:rPr>
        <w:t>7 Days</w:t>
      </w:r>
      <w:r>
        <w:rPr>
          <w:rFonts w:ascii="Arial" w:cs="Arial" w:eastAsia="Arial" w:hAnsi="Arial"/>
          <w:sz w:val="18"/>
          <w:szCs w:val="18"/>
          <w:color w:val="auto"/>
        </w:rPr>
        <w:t xml:space="preserve"> trade name, which is the primary asset acquired, was determined using the multi-period excess earnings method under the income approach at the acquisition date. The fair value measurements of intangible assets are based on significant unobservable inputs, and thus represent Level 3 inputs. Significant assumptions used in assessing the fair values of intangible assets include forecasted future cash flows and discount rates.</w:t>
      </w:r>
    </w:p>
    <w:p>
      <w:pPr>
        <w:spacing w:after="0" w:line="206"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and arises principally as a result of expansion opportunities and synergies across both new and legacy product categories. None of the goodwill recognized is expected to be deductible for income tax purposes. All of the goodwill was assigned to the Europe segment.</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Chipita added incremental net revenues of $180 million during the three months and $332 million during the six months ended June 30, 2022, and operating income of $10 million during the three months and $14 million during the six months ended June 30, 2022. We incurred acquisition-related costs of $21 million during the six months ended June 30, 2022 and $6 million during the three months and six months ended June 30, 2021. We incurred integration costs of $36 million during the three months and $71 million during the six months ended June 30, 2022.</w:t>
      </w:r>
    </w:p>
    <w:p>
      <w:pPr>
        <w:spacing w:after="0" w:line="20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On November 1, 2021, we completed the sale of MaxFoods Pty Ltd, an Australian packaged seafood business that we had acquired as part of our acquisition of Gourmet Food Holdings Pty Ltd (“Gourmet Food”). The sales price was $57 million Australian dollars ($41 million), net of cash divested with the business, and we recorded an immaterial loss on the transaction.</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1, 2021, we acquired Gourmet Food, a leading Australian food company in the premium biscuit and cracker category, for closing cash consideration of approximately $450 million Australian dollars ($ 343 million), net of cash received. We have recorded a purchase price allocation of net tangible and intangible assets acquired and liabilities assumed of $41 million to indefinite-lived intangible assets, $80 million to definite-lived intangible assets, $164 million to goodwill, $19 million to property, plant and equipment, $18 million to inventory, $25 million to accounts receivable, $12 million to other assets, $5 million to operating right of use assets, $3 million to other current assets, $19 million to current liabilities and $ 5 million to long-term operating lease liabilities. Through the one-year anniversary of the acquisition, Gourmet Food added incremental net revenues of $14 million, and operating income of $1 million during the six months ended June 30, 2022. We incurred acquisition-related costs of $6 million during the three months and $7 million during the six months ended June 30, 2021.</w:t>
      </w:r>
    </w:p>
    <w:p>
      <w:pPr>
        <w:spacing w:after="0" w:line="21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March 25, 2021, we acquired a majority interest in Lion/Gemstone Topco Ltd ("Grenade"), a performance nutrition leader in the United Kingdom, for closing cash consideration of £188 million ($261 million), net of cash received. The acquisition of Grenade expands our position into the premium nutrition segment. We have recorded a</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purchase price allocation of net tangible and intangible assets acquired and liabilities assumed of $82 million to indefinite-lived intangible assets, $28 million to definite-lived intangible assets, $181 million to goodwill, $1 million to property, plant and equipment, $11 million to inventory, $18 million to accounts receivable, $25 million to current liabilities, $20 million to deferred tax liabilities and $15 million to long-term other liabilities. Through the one-year anniversary of the acquisition, Grenade added incremental net revenues of $21 million, and operating income of $2 million during the six months ended June 30, 2022. We incurred acquisition-related costs of $2 million during the six months ended June 30, 2021.</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January 4, 2021, we acquired the remaining 93% of equity of Hu Master Holdings ("Hu"), a category leader in premium chocolate in the United States, which provides a strategic complement to our snacking portfolio in North America through growth opportunities in chocolate and other categories in the well-being category. The initial cash consideration paid was $229 million, net of cash received, and the Company may be required to pay additional contingent consideration. The estimated fair value of the contingent consideration obligation at the acquisition date was $132 million and was determined using a Monte Carlo simulation based on forecasted future results. As a result of acquiring the remaining equity interest, we consolidated the operations prospectively from the date of acquisition and recorded a pre-tax gain of $9 million ($7 million after-tax) related to stepping up our previously-held $8 million (7%) investment to fair value. We have recorded a purchase price allocation of net tangible and intangible assets acquired and liabilities assumed of $123 million to indefinite-lived intangible assets, $51 million to definite-lived intangible assets, $202 million to goodwill, $1 million to property, plant and equipment, $ 2 million to inventory, $4 million to accounts receivable, $5 million to current liabilities and $132 million to long-term other liabilities. We incurred acquisition-related costs of $5 million during the three months and $9 million during the six months ended June 30,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As of June 30,</w:t>
            </w:r>
          </w:p>
        </w:tc>
        <w:tc>
          <w:tcPr>
            <w:tcW w:w="1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left="876"/>
              <w:spacing w:after="0"/>
              <w:rPr>
                <w:sz w:val="20"/>
                <w:szCs w:val="20"/>
                <w:color w:val="auto"/>
              </w:rPr>
            </w:pPr>
            <w:r>
              <w:rPr>
                <w:rFonts w:ascii="Arial" w:cs="Arial" w:eastAsia="Arial" w:hAnsi="Arial"/>
                <w:sz w:val="18"/>
                <w:szCs w:val="18"/>
                <w:color w:val="auto"/>
              </w:rPr>
              <w:t>1,028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876"/>
              <w:spacing w:after="0"/>
              <w:rPr>
                <w:sz w:val="20"/>
                <w:szCs w:val="20"/>
                <w:color w:val="auto"/>
              </w:rPr>
            </w:pPr>
            <w:r>
              <w:rPr>
                <w:rFonts w:ascii="Arial" w:cs="Arial" w:eastAsia="Arial" w:hAnsi="Arial"/>
                <w:sz w:val="18"/>
                <w:szCs w:val="18"/>
                <w:color w:val="auto"/>
              </w:rPr>
              <w:t>2,156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876"/>
              <w:spacing w:after="0"/>
              <w:rPr>
                <w:sz w:val="20"/>
                <w:szCs w:val="20"/>
                <w:color w:val="auto"/>
              </w:rPr>
            </w:pPr>
            <w:r>
              <w:rPr>
                <w:rFonts w:ascii="Arial" w:cs="Arial" w:eastAsia="Arial" w:hAnsi="Arial"/>
                <w:sz w:val="18"/>
                <w:szCs w:val="18"/>
                <w:color w:val="auto"/>
              </w:rPr>
              <w:t>3,184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Inventory reserves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center"/>
              <w:ind w:left="876"/>
              <w:spacing w:after="0"/>
              <w:rPr>
                <w:sz w:val="20"/>
                <w:szCs w:val="20"/>
                <w:color w:val="auto"/>
              </w:rPr>
            </w:pPr>
            <w:r>
              <w:rPr>
                <w:rFonts w:ascii="Arial" w:cs="Arial" w:eastAsia="Arial" w:hAnsi="Arial"/>
                <w:sz w:val="18"/>
                <w:szCs w:val="18"/>
                <w:color w:val="auto"/>
              </w:rPr>
              <w:t>3,038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4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As of June 30,</w:t>
            </w:r>
          </w:p>
        </w:tc>
        <w:tc>
          <w:tcPr>
            <w:tcW w:w="1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center"/>
              <w:ind w:right="21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836"/>
              <w:spacing w:after="0"/>
              <w:rPr>
                <w:sz w:val="20"/>
                <w:szCs w:val="20"/>
                <w:color w:val="auto"/>
              </w:rPr>
            </w:pPr>
            <w:r>
              <w:rPr>
                <w:rFonts w:ascii="Arial" w:cs="Arial" w:eastAsia="Arial" w:hAnsi="Arial"/>
                <w:sz w:val="18"/>
                <w:szCs w:val="18"/>
                <w:color w:val="auto"/>
              </w:rPr>
              <w:t>(7,337)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six months ended June 30, 2022, capital expenditures of $385 million excluded $239 million of accrued capital expenditures remaining unpaid at June 30, 2022 and included payment for $249 million of capital expenditures that were accrued and unpaid at December 31, 2021. For the six months ended June 30, 2021, capital expenditures of $410 million excluded $236 million of accrued capital expenditures remaining unpaid at June 30, 2021 and included payment for $275 million of capital expenditures that were accrued and unpaid at December 31, 2020.</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ind w:right="520"/>
        <w:spacing w:after="0" w:line="268"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and losses/(gains) on disposal in the condensed consolidated statements of earnings within asset impairment and exit costs and within the segment results as follows (refer to Note 7,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6"/>
          </w:tcPr>
          <w:p>
            <w:pPr>
              <w:jc w:val="right"/>
              <w:ind w:right="51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00" w:type="dxa"/>
            <w:vAlign w:val="bottom"/>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AMEA</w:t>
            </w:r>
          </w:p>
        </w:tc>
        <w:tc>
          <w:tcPr>
            <w:tcW w:w="10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Goodwill and Intangible Assets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5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200" w:type="dxa"/>
            <w:vAlign w:val="bottom"/>
          </w:tcPr>
          <w:p>
            <w:pPr>
              <w:spacing w:after="0"/>
              <w:rPr>
                <w:sz w:val="20"/>
                <w:szCs w:val="20"/>
                <w:color w:val="auto"/>
              </w:rPr>
            </w:pPr>
            <w:r>
              <w:rPr>
                <w:rFonts w:ascii="Arial" w:cs="Arial" w:eastAsia="Arial" w:hAnsi="Arial"/>
                <w:sz w:val="18"/>
                <w:szCs w:val="18"/>
                <w:color w:val="auto"/>
              </w:rPr>
              <w:t>Goodwill by segment was:</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As of June 30,</w:t>
            </w:r>
          </w:p>
        </w:tc>
        <w:tc>
          <w:tcPr>
            <w:tcW w:w="100" w:type="dxa"/>
            <w:vAlign w:val="bottom"/>
          </w:tcPr>
          <w:p>
            <w:pPr>
              <w:spacing w:after="0"/>
              <w:rPr>
                <w:sz w:val="23"/>
                <w:szCs w:val="23"/>
                <w:color w:val="auto"/>
              </w:rPr>
            </w:pPr>
          </w:p>
        </w:tc>
        <w:tc>
          <w:tcPr>
            <w:tcW w:w="18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4"/>
          </w:tcPr>
          <w:p>
            <w:pPr>
              <w:ind w:left="3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AMEA</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10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5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As of June 30,</w:t>
            </w:r>
          </w:p>
        </w:tc>
        <w:tc>
          <w:tcPr>
            <w:tcW w:w="100" w:type="dxa"/>
            <w:vAlign w:val="bottom"/>
          </w:tcPr>
          <w:p>
            <w:pPr>
              <w:spacing w:after="0"/>
              <w:rPr>
                <w:sz w:val="22"/>
                <w:szCs w:val="22"/>
                <w:color w:val="auto"/>
              </w:rPr>
            </w:pPr>
          </w:p>
        </w:tc>
        <w:tc>
          <w:tcPr>
            <w:tcW w:w="18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4"/>
          </w:tcPr>
          <w:p>
            <w:pPr>
              <w:ind w:left="3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1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Definite-life intangible assets</w:t>
            </w:r>
          </w:p>
        </w:tc>
        <w:tc>
          <w:tcPr>
            <w:tcW w:w="10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0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Definite-life intangible assets consist primarily of brands, customer-related intangibles, process technology, licenses and non-compete agreements.</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Amortization expense for intangible assets was $32 million for the three months and $64 million for the six months ended June 30, 2022 and $32 million for the three months and $70 million for the six months ended June 30, 2021. For the next five years, we currently estimate annual amortization expense of approximately $125 million in 2022-2024, approximately $105 million in 2025 and approximately $65 million in 2026 (reflecting June 30, 2022 exchange rates).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Goodwill</w:t>
            </w:r>
          </w:p>
        </w:tc>
        <w:tc>
          <w:tcPr>
            <w:tcW w:w="380" w:type="dxa"/>
            <w:vAlign w:val="bottom"/>
          </w:tcPr>
          <w:p>
            <w:pPr>
              <w:spacing w:after="0"/>
              <w:rPr>
                <w:sz w:val="14"/>
                <w:szCs w:val="14"/>
                <w:color w:val="auto"/>
              </w:rPr>
            </w:pPr>
          </w:p>
        </w:tc>
        <w:tc>
          <w:tcPr>
            <w:tcW w:w="1420" w:type="dxa"/>
            <w:vAlign w:val="bottom"/>
          </w:tcPr>
          <w:p>
            <w:pPr>
              <w:jc w:val="right"/>
              <w:ind w:right="475"/>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89"/>
        </w:trPr>
        <w:tc>
          <w:tcPr>
            <w:tcW w:w="7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Assets, at cost</w:t>
            </w:r>
          </w:p>
        </w:tc>
        <w:tc>
          <w:tcPr>
            <w:tcW w:w="0" w:type="dxa"/>
            <w:vAlign w:val="bottom"/>
          </w:tcPr>
          <w:p>
            <w:pPr>
              <w:spacing w:after="0"/>
              <w:rPr>
                <w:sz w:val="1"/>
                <w:szCs w:val="1"/>
                <w:color w:val="auto"/>
              </w:rPr>
            </w:pPr>
          </w:p>
        </w:tc>
      </w:tr>
      <w:tr>
        <w:trPr>
          <w:trHeight w:val="195"/>
        </w:trPr>
        <w:tc>
          <w:tcPr>
            <w:tcW w:w="7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Currency</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27" w:lineRule="exact"/>
        <w:rPr>
          <w:sz w:val="20"/>
          <w:szCs w:val="20"/>
          <w:color w:val="auto"/>
        </w:rPr>
      </w:pPr>
    </w:p>
    <w:p>
      <w:pPr>
        <w:ind w:left="660" w:right="3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connection with our acquisition of Chipita, we recorded a preliminary purchase price allocation of $791 million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goodwill and $734 million to intangible assets.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information.</w:t>
      </w:r>
    </w:p>
    <w:p>
      <w:pPr>
        <w:ind w:left="660" w:hanging="328"/>
        <w:spacing w:after="0" w:line="29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Asset impairment </w:t>
      </w:r>
      <w:r>
        <w:rPr>
          <w:rFonts w:ascii="Arial" w:cs="Arial" w:eastAsia="Arial" w:hAnsi="Arial"/>
          <w:sz w:val="17"/>
          <w:szCs w:val="17"/>
          <w:color w:val="auto"/>
        </w:rPr>
        <w:t>- As further described below, during the first quarter of 2022, we recorded a $78 million intangible asset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in AMEA due to lower than expected growth and profitability of a local biscuit brand sold in select markets in AMEA and Europe.</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second quarter of 2022, we evaluated our goodwill and intangible asset impairment risk through an assessment of potential triggering events, including qualitative and quantitative of the overall global economic environment and impacts from the war in Ukraine. Based on the results of our assessment, we concluded there were no impairment indicators for goodwill and intangible assets. During the first quarter of 2022, we recorded a $78 million impairment charge within asset impairment and exit costs based on the excess carrying value over the estimated fair value of a biscuit brand. During the second quarter of 2021, we recorded $ 32 million of intangible asset impairments resulting primarily from lower than expected sales growth for one brand across our North America segment. We use several accepted valuation methods in our indefinite-life impairment testing, including relief of royalty, excess earnings and excess margin, that utilize estimates of future sales, earnings growth rates, royalty rates and discount rates in determining a brand's global fair value.</w:t>
      </w:r>
    </w:p>
    <w:p>
      <w:pPr>
        <w:spacing w:after="0" w:line="21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our 2021 annual indefinite-life intangible asset testing in the third quarter of 2021, we identified eight brands, including the one brand impaired during the first quarter of 2022, that each had a fair value in excess of book value of 10% or less. The aggregate book value of the eight brands was $987 million as of June 30, 2022. We continue to monitor our brand performance, particularly in light of the significant global economic uncertainties and related impacts to our business. If a brand's earnings expectations, including the timing of the expected recovery from the war and the pandemic, are not met or specific valuation factors outside of our control, such as discount rates, change significantly, then a brand or brands could become impaired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carrying values of our equity method investments are also impacted by our proportionate share of items impacting the investee's accumulated other comprehensive income or losses and other items, such as our share of investee dividends.</w:t>
      </w:r>
    </w:p>
    <w:p>
      <w:pPr>
        <w:spacing w:after="0" w:line="20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Keurig Dr Pepper Inc. (Nasdaq: "KDP"), Dong Suh Foods Corporation and Dong Suh Oil &amp; Fats Co. Ltd. Our ownership interests may change over time due to investee stock-based compensation arrangements, share issuances or other equity-related transactions. As of June 30, 2022, we owned 19.8%, 5.3%, 50.0% and 49.0%, respectively, of these companies' outstanding shares.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investments accounted for under the equity method of accounting totaled $4.7 billion as of June 30, 2022 and $5.3 billion as of December 31, 2021. We recorded equity earnings of $98 million and cash dividends of $14 million in the second quarter of 2022 and equity earnings of $107 million and cash dividends of $20 million in the second quarter of 2021. We recorded equity earnings of $215 million and cash dividends of $121 million in the first six months of 2022 and equity earnings of $185 million and cash dividends of $94 million in the first six months of 2021.</w:t>
      </w:r>
    </w:p>
    <w:p>
      <w:pPr>
        <w:spacing w:after="0" w:line="20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Based on the quoted closing prices as of June 30, 2022, the combined fair value of our publicly-traded investments in JDEP and KDP was $5.4 billion, and for each investment, its fair value exceeded its carrying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Transactions:</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May 8, 2022, we sold approximately 18.6 million of our JDE Peet’s shares back to JDE Peet’s, which reduced our ownership interest by approximately 3%. We received €500 million ($529 million) of proceeds and recorded a loss of €8 million ($8 million) on this sale during the second quarter of 2022. As we will continue to have significant influence, we will continue to account for our investment in JDE Peet's under the equity method, resulting in recognizing our share of their earnings within our earnings and our share of their dividends within our cash flows. We will continue to have board representation with two directors on the JDE Peet's Board of Directors and we retained certain additional governance rights.</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On September 20, 2021, we issued €300 million exchangeable bonds, which are redeemable at maturity in September 2024 at their principal amount in cash or, at our option, through the delivery of an equivalent number of JDE Peet’s ordinary shares based on an initial exchange price of €35.40 and, as the case may be, an additional amount in cash. If all bonds were redeemed in exchange for JDE Peet's shares, this would represent approximately 8.5 million shares or approximately 9% of our equity interest in JDE Peet's as of June 30, 2022.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further details on this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June 7, 2021, we participated in a secondary offering of KDP shares and sold approximately 28 million shares, which reduced our ownership interest by 2% of the total outstanding shares. We received $997 million of proceeds and recorded a pre-tax gain of $520 million (or $392 million after-tax) during the second quarter of 2021. As we will continue to have significant influence, we will continue to account for our investment in KDP under the equity method, resulting in recognizing our share of their earnings within our earnings and our share of their dividends within our cash flows. We will continue to have board representation with one director on the KDP Board of Directors and we retained certain additional governance rights.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Program</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On October 21, 2021, our Board of Directors approved an extension of the restructuring program through 2023. The total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spacing w:after="0" w:line="20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$5.1 billion related to the Simplify to Grow Program. We expect to incur the remainder of the program charges by year-end 2023.</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six months ended June 30, 2022 was: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00" w:type="dxa"/>
            <w:vAlign w:val="bottom"/>
          </w:tcPr>
          <w:p>
            <w:pPr>
              <w:jc w:val="center"/>
              <w:ind w:left="321"/>
              <w:spacing w:after="0"/>
              <w:rPr>
                <w:sz w:val="20"/>
                <w:szCs w:val="20"/>
                <w:color w:val="auto"/>
              </w:rPr>
            </w:pPr>
            <w:r>
              <w:rPr>
                <w:rFonts w:ascii="Arial" w:cs="Arial" w:eastAsia="Arial" w:hAnsi="Arial"/>
                <w:sz w:val="14"/>
                <w:szCs w:val="14"/>
                <w:b w:val="1"/>
                <w:bCs w:val="1"/>
                <w:color w:val="auto"/>
              </w:rPr>
              <w:t>Severance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Asset</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260" w:type="dxa"/>
            <w:vAlign w:val="bottom"/>
          </w:tcPr>
          <w:p>
            <w:pPr>
              <w:spacing w:after="0"/>
              <w:rPr>
                <w:sz w:val="12"/>
                <w:szCs w:val="12"/>
                <w:color w:val="auto"/>
              </w:rPr>
            </w:pPr>
          </w:p>
        </w:tc>
        <w:tc>
          <w:tcPr>
            <w:tcW w:w="1200" w:type="dxa"/>
            <w:vAlign w:val="bottom"/>
          </w:tcPr>
          <w:p>
            <w:pPr>
              <w:jc w:val="center"/>
              <w:ind w:left="321"/>
              <w:spacing w:after="0" w:line="145" w:lineRule="exact"/>
              <w:rPr>
                <w:sz w:val="20"/>
                <w:szCs w:val="20"/>
                <w:color w:val="auto"/>
              </w:rPr>
            </w:pPr>
            <w:r>
              <w:rPr>
                <w:rFonts w:ascii="Arial" w:cs="Arial" w:eastAsia="Arial" w:hAnsi="Arial"/>
                <w:sz w:val="14"/>
                <w:szCs w:val="14"/>
                <w:b w:val="1"/>
                <w:bCs w:val="1"/>
                <w:color w:val="auto"/>
              </w:rPr>
              <w:t>and related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0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8"/>
              </w:rPr>
              <w:t>costs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Write-downs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2022</w:t>
            </w: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Charges</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spent</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Non-cash settlements/adjustments</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Liability balance, June 30, 2022</w:t>
            </w:r>
          </w:p>
        </w:tc>
        <w:tc>
          <w:tcPr>
            <w:tcW w:w="1200" w:type="dxa"/>
            <w:vAlign w:val="bottom"/>
            <w:tcBorders>
              <w:top w:val="single" w:sz="8" w:color="auto"/>
              <w:bottom w:val="single" w:sz="8" w:color="auto"/>
            </w:tcBorders>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right="240" w:hanging="332"/>
        <w:spacing w:after="0" w:line="25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restructuring charges of $4 million in the second quarter of 2022 and $100 million in the second quarter of 2021 and $15 million in the first six months of 2022 and $188 million in the first six months of 2021 within asset impairment and exit costs and benefit plan non-service income.</w:t>
      </w:r>
    </w:p>
    <w:p>
      <w:pPr>
        <w:spacing w:after="0" w:line="1" w:lineRule="exact"/>
        <w:rPr>
          <w:rFonts w:ascii="Arial" w:cs="Arial" w:eastAsia="Arial" w:hAnsi="Arial"/>
          <w:sz w:val="18"/>
          <w:szCs w:val="18"/>
          <w:color w:val="auto"/>
        </w:rPr>
      </w:pPr>
    </w:p>
    <w:p>
      <w:pPr>
        <w:ind w:left="340" w:right="20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spent $16 million in the second quarter of 2022 and $30 million in the second quarter of 2021 and $33 million in the first six months of 2022 and $64 million in the first six months of 2021 in cash severance and related costs.</w:t>
      </w:r>
    </w:p>
    <w:p>
      <w:pPr>
        <w:ind w:left="340" w:right="10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recognized non-cash asset write-downs (including accelerated depreciation and asset impairments), and other adjustments, including any gains on sale of restructuring program assets, which totaled $7 million in the second quarter of 2022 and $76 million in the second quarter of 2021 and $9 million in the first six months of 2022 and $116 million in the first six months of 2021.</w:t>
      </w:r>
    </w:p>
    <w:p>
      <w:pPr>
        <w:spacing w:after="0" w:line="1" w:lineRule="exact"/>
        <w:rPr>
          <w:rFonts w:ascii="Arial" w:cs="Arial" w:eastAsia="Arial" w:hAnsi="Arial"/>
          <w:sz w:val="18"/>
          <w:szCs w:val="18"/>
          <w:color w:val="auto"/>
        </w:rPr>
      </w:pPr>
    </w:p>
    <w:p>
      <w:pPr>
        <w:ind w:left="340" w:right="220" w:hanging="332"/>
        <w:spacing w:after="0" w:line="266"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June 30, 2022, $119 million of our net restructuring liability was recorded within other current liabilities and $55 million was recorded within other long-term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$ 19 million in the second quarter of 2022 and $33 million in the second quarter of 2021 and $39 million in the first six months of 2022 and $ 67 million in the first six months of 2021. We recorded these costs within cost of sales and general corporate expense within selling, general and administrative expenses.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During the three and six months ended June 30, 2022 and June 30, 2021, and since inception of the Simplify to Grow Program, we recorded the following restructuring and implementation costs within segment operating income and earnings before income taxes: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AMEA</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Europe</w:t>
            </w:r>
          </w:p>
        </w:tc>
        <w:tc>
          <w:tcPr>
            <w:tcW w:w="1320" w:type="dxa"/>
            <w:vAlign w:val="bottom"/>
            <w:gridSpan w:val="4"/>
          </w:tcPr>
          <w:p>
            <w:pPr>
              <w:ind w:left="400"/>
              <w:spacing w:after="0"/>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20" w:type="dxa"/>
            <w:vAlign w:val="bottom"/>
            <w:gridSpan w:val="4"/>
          </w:tcPr>
          <w:p>
            <w:pPr>
              <w:ind w:left="300"/>
              <w:spacing w:after="0"/>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For the Three Months Ended June 30,</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Three Months Ended June 30,</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56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Six Months Ended June 30,</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Six Months Ended June 30,</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56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14"/>
                <w:szCs w:val="14"/>
                <w:b w:val="1"/>
                <w:bCs w:val="1"/>
                <w:color w:val="auto"/>
              </w:rPr>
              <w:t>(Inception to Date)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56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4600" w:type="dxa"/>
            <w:vAlign w:val="bottom"/>
            <w:gridSpan w:val="5"/>
          </w:tcPr>
          <w:p>
            <w:pPr>
              <w:spacing w:after="0"/>
              <w:rPr>
                <w:sz w:val="20"/>
                <w:szCs w:val="20"/>
                <w:color w:val="auto"/>
              </w:rPr>
            </w:pPr>
            <w:r>
              <w:rPr>
                <w:rFonts w:ascii="Arial" w:cs="Arial" w:eastAsia="Arial" w:hAnsi="Arial"/>
                <w:sz w:val="18"/>
                <w:szCs w:val="18"/>
                <w:b w:val="1"/>
                <w:bCs w:val="1"/>
                <w:color w:val="auto"/>
              </w:rPr>
              <w:t>Note 8. Debt and Borrowing Arrangements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3260" w:type="dxa"/>
            <w:vAlign w:val="bottom"/>
          </w:tcPr>
          <w:p>
            <w:pPr>
              <w:spacing w:after="0"/>
              <w:rPr>
                <w:sz w:val="20"/>
                <w:szCs w:val="20"/>
                <w:color w:val="auto"/>
              </w:rPr>
            </w:pPr>
            <w:r>
              <w:rPr>
                <w:rFonts w:ascii="Arial" w:cs="Arial" w:eastAsia="Arial" w:hAnsi="Arial"/>
                <w:sz w:val="18"/>
                <w:szCs w:val="18"/>
                <w:i w:val="1"/>
                <w:iCs w:val="1"/>
                <w:color w:val="auto"/>
              </w:rPr>
              <w:t>Short-Term Borrowings: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80" w:type="dxa"/>
            <w:vAlign w:val="bottom"/>
            <w:gridSpan w:val="13"/>
          </w:tcPr>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ind w:left="680"/>
              <w:spacing w:after="0"/>
              <w:rPr>
                <w:sz w:val="20"/>
                <w:szCs w:val="20"/>
                <w:color w:val="auto"/>
              </w:rPr>
            </w:pPr>
            <w:r>
              <w:rPr>
                <w:rFonts w:ascii="Arial" w:cs="Arial" w:eastAsia="Arial" w:hAnsi="Arial"/>
                <w:sz w:val="14"/>
                <w:szCs w:val="14"/>
                <w:b w:val="1"/>
                <w:bCs w:val="1"/>
                <w:color w:val="auto"/>
              </w:rPr>
              <w:t>As of June 30, 2022</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left="315"/>
              <w:spacing w:after="0" w:line="147" w:lineRule="exact"/>
              <w:rPr>
                <w:sz w:val="20"/>
                <w:szCs w:val="20"/>
                <w:color w:val="auto"/>
              </w:rPr>
            </w:pPr>
            <w:r>
              <w:rPr>
                <w:rFonts w:ascii="Arial" w:cs="Arial" w:eastAsia="Arial" w:hAnsi="Arial"/>
                <w:sz w:val="14"/>
                <w:szCs w:val="14"/>
                <w:b w:val="1"/>
                <w:bCs w:val="1"/>
                <w:color w:val="auto"/>
              </w:rPr>
              <w:t>Weighted-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jc w:val="center"/>
              <w:ind w:right="420"/>
              <w:spacing w:after="0" w:line="147"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280" w:type="dxa"/>
            <w:vAlign w:val="bottom"/>
            <w:gridSpan w:val="3"/>
          </w:tcPr>
          <w:p>
            <w:pPr>
              <w:jc w:val="right"/>
              <w:ind w:right="500"/>
              <w:spacing w:after="0" w:line="147"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Outstanding</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Average Rate</w:t>
            </w:r>
          </w:p>
        </w:tc>
        <w:tc>
          <w:tcPr>
            <w:tcW w:w="19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Outstanding</w:t>
            </w:r>
          </w:p>
        </w:tc>
        <w:tc>
          <w:tcPr>
            <w:tcW w:w="14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Average Rate</w:t>
            </w: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80" w:type="dxa"/>
            <w:vAlign w:val="bottom"/>
            <w:gridSpan w:val="10"/>
          </w:tcPr>
          <w:p>
            <w:pPr>
              <w:jc w:val="right"/>
              <w:ind w:right="90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70</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w:t>
            </w:r>
          </w:p>
        </w:tc>
        <w:tc>
          <w:tcPr>
            <w:tcW w:w="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credit lines and committed credit lines available as of June 30, 2022 and December 31, 2021 include: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875"/>
              <w:spacing w:after="0"/>
              <w:rPr>
                <w:sz w:val="20"/>
                <w:szCs w:val="20"/>
                <w:color w:val="auto"/>
              </w:rPr>
            </w:pPr>
            <w:r>
              <w:rPr>
                <w:rFonts w:ascii="Arial" w:cs="Arial" w:eastAsia="Arial" w:hAnsi="Arial"/>
                <w:sz w:val="14"/>
                <w:szCs w:val="14"/>
                <w:b w:val="1"/>
                <w:bCs w:val="1"/>
                <w:color w:val="auto"/>
              </w:rPr>
              <w:t>As of June 30, 2022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As of December 31, 2021</w:t>
            </w:r>
          </w:p>
        </w:tc>
      </w:tr>
      <w:tr>
        <w:trPr>
          <w:trHeight w:val="196"/>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Borrowed Amount</w:t>
            </w:r>
          </w:p>
        </w:tc>
      </w:tr>
      <w:tr>
        <w:trPr>
          <w:trHeight w:val="196"/>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4"/>
          </w:tcPr>
          <w:p>
            <w:pPr>
              <w:jc w:val="right"/>
              <w:ind w:right="1175"/>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facility expiry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November 30, 2022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February 23, 2022</w:t>
            </w:r>
          </w:p>
        </w:tc>
        <w:tc>
          <w:tcPr>
            <w:tcW w:w="18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22, 2023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February 27, 2024</w:t>
            </w:r>
          </w:p>
        </w:tc>
        <w:tc>
          <w:tcPr>
            <w:tcW w:w="18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23, 2027</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42" w:lineRule="exact"/>
        <w:rPr>
          <w:sz w:val="20"/>
          <w:szCs w:val="20"/>
          <w:color w:val="auto"/>
        </w:rPr>
      </w:pPr>
    </w:p>
    <w:p>
      <w:pPr>
        <w:ind w:left="340" w:hanging="332"/>
        <w:spacing w:after="0" w:line="261" w:lineRule="auto"/>
        <w:tabs>
          <w:tab w:leader="none" w:pos="552"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maintain a multi-year senior unsecured revolving credit facility for general corporate purposes, including working capital needs, and to support our commercial paper program. The revolving credit agreement includes a covenant that we maintain a minimum shareholders' equity of at least $25.0 billion, excluding accumulated other comprehensive earnings/(losses), the cumulative effects of any changes in accounting principles and earnings/(losses) recognized in connection with the ongoing application of any mark-to-market accounting for pensions and other retirement plans. At June 30, 2022, we complied with this covenant as our shareholders' equity, as defined by the covenant, was $38.1 billion. The revolving credit facility also contains customary representations, covenants and events of default. There are no credit rating triggers, provisions or other financial covenants that could require us to post collateral as security.</w:t>
      </w:r>
    </w:p>
    <w:p>
      <w:pPr>
        <w:spacing w:after="0" w:line="3" w:lineRule="exact"/>
        <w:rPr>
          <w:rFonts w:ascii="Arial" w:cs="Arial" w:eastAsia="Arial" w:hAnsi="Arial"/>
          <w:sz w:val="14"/>
          <w:szCs w:val="14"/>
          <w:color w:val="auto"/>
        </w:rPr>
      </w:pPr>
    </w:p>
    <w:p>
      <w:pPr>
        <w:ind w:left="340" w:right="400" w:hanging="332"/>
        <w:spacing w:after="0" w:line="262" w:lineRule="auto"/>
        <w:tabs>
          <w:tab w:leader="none" w:pos="552"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March 31, 2022, we entered into a supplemental term loan credit facility that can be utilized for general corporate purposes, including acquisitions. Under this agreement we may draw up to a total of $2.0 billion in term loans from the facility. The maturity dates of any loans drawn under this facility will be three years after the funding date of the applicable loan(s).</w:t>
      </w:r>
    </w:p>
    <w:p>
      <w:pPr>
        <w:spacing w:after="0" w:line="20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July 11, 2022, we entered into a supplemental term loan credit facility that can be utilized for general corporate purposes, including acquisitions. Under this agreement we may draw up to a total of $2.0 billion in term loans from the facility. The maturity dates of any loans drawn under this facility will be eighteen months after the funding date of the applicable loan(s).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Offers:</w:t>
      </w:r>
    </w:p>
    <w:p>
      <w:pPr>
        <w:spacing w:after="0" w:line="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On March 18, 2022, we completed a tender offer in cash and redeemed long term U.S. dollar denominated notes for the following amounts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Interest Rate</w:t>
            </w:r>
          </w:p>
        </w:tc>
        <w:tc>
          <w:tcPr>
            <w:tcW w:w="2300" w:type="dxa"/>
            <w:vAlign w:val="bottom"/>
          </w:tcPr>
          <w:p>
            <w:pPr>
              <w:jc w:val="center"/>
              <w:ind w:left="32"/>
              <w:spacing w:after="0"/>
              <w:rPr>
                <w:sz w:val="20"/>
                <w:szCs w:val="20"/>
                <w:color w:val="auto"/>
              </w:rPr>
            </w:pPr>
            <w:r>
              <w:rPr>
                <w:rFonts w:ascii="Arial" w:cs="Arial" w:eastAsia="Arial" w:hAnsi="Arial"/>
                <w:sz w:val="14"/>
                <w:szCs w:val="14"/>
                <w:b w:val="1"/>
                <w:bCs w:val="1"/>
                <w:color w:val="auto"/>
              </w:rPr>
              <w:t>Redemption Date</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Maturity Date</w:t>
            </w:r>
          </w:p>
        </w:tc>
        <w:tc>
          <w:tcPr>
            <w:tcW w:w="2360" w:type="dxa"/>
            <w:vAlign w:val="bottom"/>
          </w:tcPr>
          <w:p>
            <w:pPr>
              <w:ind w:left="500"/>
              <w:spacing w:after="0"/>
              <w:rPr>
                <w:sz w:val="20"/>
                <w:szCs w:val="20"/>
                <w:color w:val="auto"/>
              </w:rPr>
            </w:pPr>
            <w:r>
              <w:rPr>
                <w:rFonts w:ascii="Arial" w:cs="Arial" w:eastAsia="Arial" w:hAnsi="Arial"/>
                <w:sz w:val="14"/>
                <w:szCs w:val="14"/>
                <w:b w:val="1"/>
                <w:bCs w:val="1"/>
                <w:color w:val="auto"/>
              </w:rPr>
              <w:t>Amount Redeemed</w:t>
            </w:r>
          </w:p>
        </w:tc>
        <w:tc>
          <w:tcPr>
            <w:tcW w:w="2160" w:type="dxa"/>
            <w:vAlign w:val="bottom"/>
          </w:tcPr>
          <w:p>
            <w:pPr>
              <w:ind w:left="540"/>
              <w:spacing w:after="0"/>
              <w:rPr>
                <w:sz w:val="20"/>
                <w:szCs w:val="20"/>
                <w:color w:val="auto"/>
              </w:rPr>
            </w:pPr>
            <w:r>
              <w:rPr>
                <w:rFonts w:ascii="Arial" w:cs="Arial" w:eastAsia="Arial" w:hAnsi="Arial"/>
                <w:sz w:val="14"/>
                <w:szCs w:val="14"/>
                <w:b w:val="1"/>
                <w:bCs w:val="1"/>
                <w:color w:val="auto"/>
              </w:rPr>
              <w:t>USD Equivalent</w:t>
            </w:r>
          </w:p>
        </w:tc>
      </w:tr>
      <w:tr>
        <w:trPr>
          <w:trHeight w:val="230"/>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3.625%</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February 2026</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$130</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8"/>
              </w:rPr>
              <w:t>4.125%</w:t>
            </w:r>
          </w:p>
        </w:tc>
        <w:tc>
          <w:tcPr>
            <w:tcW w:w="2300" w:type="dxa"/>
            <w:vAlign w:val="bottom"/>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tcPr>
          <w:p>
            <w:pPr>
              <w:jc w:val="center"/>
              <w:spacing w:after="0"/>
              <w:rPr>
                <w:sz w:val="20"/>
                <w:szCs w:val="20"/>
                <w:color w:val="auto"/>
              </w:rPr>
            </w:pPr>
            <w:r>
              <w:rPr>
                <w:rFonts w:ascii="Arial" w:cs="Arial" w:eastAsia="Arial" w:hAnsi="Arial"/>
                <w:sz w:val="18"/>
                <w:szCs w:val="18"/>
                <w:color w:val="auto"/>
              </w:rPr>
              <w:t>May 2028</w:t>
            </w:r>
          </w:p>
        </w:tc>
        <w:tc>
          <w:tcPr>
            <w:tcW w:w="2360" w:type="dxa"/>
            <w:vAlign w:val="bottom"/>
          </w:tcPr>
          <w:p>
            <w:pPr>
              <w:jc w:val="center"/>
              <w:spacing w:after="0"/>
              <w:rPr>
                <w:sz w:val="20"/>
                <w:szCs w:val="20"/>
                <w:color w:val="auto"/>
              </w:rPr>
            </w:pPr>
            <w:r>
              <w:rPr>
                <w:rFonts w:ascii="Arial" w:cs="Arial" w:eastAsia="Arial" w:hAnsi="Arial"/>
                <w:sz w:val="18"/>
                <w:szCs w:val="18"/>
                <w:color w:val="auto"/>
                <w:w w:val="94"/>
              </w:rPr>
              <w:t>$211</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$211</w:t>
            </w:r>
          </w:p>
        </w:tc>
      </w:tr>
      <w:tr>
        <w:trPr>
          <w:trHeight w:val="230"/>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2.750%</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2030</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8"/>
              </w:rPr>
              <w:t>6.500%</w:t>
            </w:r>
          </w:p>
        </w:tc>
        <w:tc>
          <w:tcPr>
            <w:tcW w:w="2300" w:type="dxa"/>
            <w:vAlign w:val="bottom"/>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November 2031</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$17</w:t>
            </w:r>
          </w:p>
        </w:tc>
      </w:tr>
      <w:tr>
        <w:trPr>
          <w:trHeight w:val="230"/>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7.000%</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August 2037</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8"/>
              </w:rPr>
              <w:t>6.875%</w:t>
            </w:r>
          </w:p>
        </w:tc>
        <w:tc>
          <w:tcPr>
            <w:tcW w:w="2300" w:type="dxa"/>
            <w:vAlign w:val="bottom"/>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February 2038</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$21</w:t>
            </w:r>
          </w:p>
        </w:tc>
      </w:tr>
      <w:tr>
        <w:trPr>
          <w:trHeight w:val="230"/>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6.875%</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January 2039</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8"/>
              </w:rPr>
              <w:t>6.500%</w:t>
            </w:r>
          </w:p>
        </w:tc>
        <w:tc>
          <w:tcPr>
            <w:tcW w:w="2300" w:type="dxa"/>
            <w:vAlign w:val="bottom"/>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February 2040</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30"/>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4.625%</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May 2048</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r>
    </w:tbl>
    <w:p>
      <w:pPr>
        <w:spacing w:after="0" w:line="3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recorded a $129 million loss on debt extinguishment and related expenses within interest and other expense, net, consisting of $38 million paid in excess of carrying value of the debt and from recognizing unamortized discounts and deferred financing costs in earnings and $91 million from recognizing unamortized forward starting swap losses in earnings at the time of the debt extinguishment. The cash payments related to the debt extinguishment were classified as cash outflows from financing activities in the consolidated statement of cash flows.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On March 18, 2022, we completed a redemption of long term U.S. dollar denominated notes for the following amounts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Interest Rate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Redemption Date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Maturity Date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Amount Redeemed</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30"/>
        </w:trPr>
        <w:tc>
          <w:tcPr>
            <w:tcW w:w="21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0.625%</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March 2022</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July 2022</w:t>
            </w:r>
          </w:p>
        </w:tc>
        <w:tc>
          <w:tcPr>
            <w:tcW w:w="24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$1,000</w:t>
            </w:r>
          </w:p>
        </w:tc>
        <w:tc>
          <w:tcPr>
            <w:tcW w:w="21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$1,000</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On January 3, 2022, we closed on our acquisition of Chipita and assumed and entirely paid down €0.4 billion ($0.4 billion) of Chipita's debt during the six months ended June 30,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 we issued the following notes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Issuance Date</w:t>
            </w: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Interest Rate</w:t>
            </w:r>
          </w:p>
        </w:tc>
        <w:tc>
          <w:tcPr>
            <w:tcW w:w="22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Maturity Date</w:t>
            </w:r>
          </w:p>
        </w:tc>
        <w:tc>
          <w:tcPr>
            <w:tcW w:w="2300" w:type="dxa"/>
            <w:vAlign w:val="bottom"/>
            <w:vMerge w:val="restart"/>
          </w:tcPr>
          <w:p>
            <w:pPr>
              <w:jc w:val="center"/>
              <w:ind w:left="55"/>
              <w:spacing w:after="0"/>
              <w:rPr>
                <w:sz w:val="20"/>
                <w:szCs w:val="20"/>
                <w:color w:val="auto"/>
              </w:rPr>
            </w:pPr>
            <w:r>
              <w:rPr>
                <w:rFonts w:ascii="Arial" w:cs="Arial" w:eastAsia="Arial" w:hAnsi="Arial"/>
                <w:sz w:val="14"/>
                <w:szCs w:val="14"/>
                <w:b w:val="1"/>
                <w:bCs w:val="1"/>
                <w:color w:val="auto"/>
                <w:w w:val="98"/>
              </w:rPr>
              <w:t xml:space="preserve">Gross Proceeds </w:t>
            </w:r>
            <w:r>
              <w:rPr>
                <w:rFonts w:ascii="Arial" w:cs="Arial" w:eastAsia="Arial" w:hAnsi="Arial"/>
                <w:sz w:val="18"/>
                <w:szCs w:val="18"/>
                <w:b w:val="1"/>
                <w:bCs w:val="1"/>
                <w:color w:val="auto"/>
                <w:w w:val="98"/>
                <w:vertAlign w:val="superscript"/>
              </w:rPr>
              <w:t>(1)</w:t>
            </w:r>
          </w:p>
        </w:tc>
        <w:tc>
          <w:tcPr>
            <w:tcW w:w="2280" w:type="dxa"/>
            <w:vAlign w:val="bottom"/>
          </w:tcPr>
          <w:p>
            <w:pPr>
              <w:jc w:val="center"/>
              <w:ind w:left="17"/>
              <w:spacing w:after="0"/>
              <w:rPr>
                <w:sz w:val="20"/>
                <w:szCs w:val="20"/>
                <w:color w:val="auto"/>
              </w:rPr>
            </w:pPr>
            <w:r>
              <w:rPr>
                <w:rFonts w:ascii="Arial" w:cs="Arial" w:eastAsia="Arial" w:hAnsi="Arial"/>
                <w:sz w:val="14"/>
                <w:szCs w:val="14"/>
                <w:b w:val="1"/>
                <w:bCs w:val="1"/>
                <w:color w:val="auto"/>
              </w:rPr>
              <w:t>Gross Proceeds USD</w:t>
            </w:r>
          </w:p>
        </w:tc>
        <w:tc>
          <w:tcPr>
            <w:tcW w:w="0" w:type="dxa"/>
            <w:vAlign w:val="bottom"/>
          </w:tcPr>
          <w:p>
            <w:pPr>
              <w:spacing w:after="0"/>
              <w:rPr>
                <w:sz w:val="1"/>
                <w:szCs w:val="1"/>
                <w:color w:val="auto"/>
              </w:rPr>
            </w:pPr>
          </w:p>
        </w:tc>
      </w:tr>
      <w:tr>
        <w:trPr>
          <w:trHeight w:val="189"/>
        </w:trPr>
        <w:tc>
          <w:tcPr>
            <w:tcW w:w="224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2200" w:type="dxa"/>
            <w:vAlign w:val="bottom"/>
            <w:vMerge w:val="continue"/>
          </w:tcPr>
          <w:p>
            <w:pPr>
              <w:spacing w:after="0"/>
              <w:rPr>
                <w:sz w:val="16"/>
                <w:szCs w:val="16"/>
                <w:color w:val="auto"/>
              </w:rPr>
            </w:pPr>
          </w:p>
        </w:tc>
        <w:tc>
          <w:tcPr>
            <w:tcW w:w="2300" w:type="dxa"/>
            <w:vAlign w:val="bottom"/>
            <w:vMerge w:val="continue"/>
          </w:tcPr>
          <w:p>
            <w:pPr>
              <w:spacing w:after="0"/>
              <w:rPr>
                <w:sz w:val="16"/>
                <w:szCs w:val="16"/>
                <w:color w:val="auto"/>
              </w:rPr>
            </w:pPr>
          </w:p>
        </w:tc>
        <w:tc>
          <w:tcPr>
            <w:tcW w:w="2280" w:type="dxa"/>
            <w:vAlign w:val="bottom"/>
          </w:tcPr>
          <w:p>
            <w:pPr>
              <w:jc w:val="center"/>
              <w:ind w:left="17"/>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March 2022</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2.125%</w:t>
            </w:r>
          </w:p>
        </w:tc>
        <w:tc>
          <w:tcPr>
            <w:tcW w:w="2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March 2024</w:t>
            </w:r>
          </w:p>
        </w:tc>
        <w:tc>
          <w:tcPr>
            <w:tcW w:w="230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99"/>
              </w:rPr>
              <w:t>$500</w:t>
            </w:r>
          </w:p>
        </w:tc>
        <w:tc>
          <w:tcPr>
            <w:tcW w:w="228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30"/>
        </w:trPr>
        <w:tc>
          <w:tcPr>
            <w:tcW w:w="2240" w:type="dxa"/>
            <w:vAlign w:val="bottom"/>
          </w:tcPr>
          <w:p>
            <w:pPr>
              <w:ind w:left="600"/>
              <w:spacing w:after="0"/>
              <w:rPr>
                <w:sz w:val="20"/>
                <w:szCs w:val="20"/>
                <w:color w:val="auto"/>
              </w:rPr>
            </w:pPr>
            <w:r>
              <w:rPr>
                <w:rFonts w:ascii="Arial" w:cs="Arial" w:eastAsia="Arial" w:hAnsi="Arial"/>
                <w:sz w:val="18"/>
                <w:szCs w:val="18"/>
                <w:color w:val="auto"/>
              </w:rPr>
              <w:t>March 2022</w:t>
            </w:r>
          </w:p>
        </w:tc>
        <w:tc>
          <w:tcPr>
            <w:tcW w:w="2220" w:type="dxa"/>
            <w:vAlign w:val="bottom"/>
          </w:tcPr>
          <w:p>
            <w:pPr>
              <w:jc w:val="center"/>
              <w:spacing w:after="0"/>
              <w:rPr>
                <w:sz w:val="20"/>
                <w:szCs w:val="20"/>
                <w:color w:val="auto"/>
              </w:rPr>
            </w:pPr>
            <w:r>
              <w:rPr>
                <w:rFonts w:ascii="Arial" w:cs="Arial" w:eastAsia="Arial" w:hAnsi="Arial"/>
                <w:sz w:val="18"/>
                <w:szCs w:val="18"/>
                <w:color w:val="auto"/>
                <w:w w:val="98"/>
              </w:rPr>
              <w:t>2.625%</w:t>
            </w:r>
          </w:p>
        </w:tc>
        <w:tc>
          <w:tcPr>
            <w:tcW w:w="2200" w:type="dxa"/>
            <w:vAlign w:val="bottom"/>
          </w:tcPr>
          <w:p>
            <w:pPr>
              <w:ind w:left="660"/>
              <w:spacing w:after="0"/>
              <w:rPr>
                <w:sz w:val="20"/>
                <w:szCs w:val="20"/>
                <w:color w:val="auto"/>
              </w:rPr>
            </w:pPr>
            <w:r>
              <w:rPr>
                <w:rFonts w:ascii="Arial" w:cs="Arial" w:eastAsia="Arial" w:hAnsi="Arial"/>
                <w:sz w:val="18"/>
                <w:szCs w:val="18"/>
                <w:color w:val="auto"/>
              </w:rPr>
              <w:t>March 2027</w:t>
            </w:r>
          </w:p>
        </w:tc>
        <w:tc>
          <w:tcPr>
            <w:tcW w:w="2300" w:type="dxa"/>
            <w:vAlign w:val="bottom"/>
          </w:tcPr>
          <w:p>
            <w:pPr>
              <w:jc w:val="center"/>
              <w:ind w:left="55"/>
              <w:spacing w:after="0"/>
              <w:rPr>
                <w:sz w:val="20"/>
                <w:szCs w:val="20"/>
                <w:color w:val="auto"/>
              </w:rPr>
            </w:pPr>
            <w:r>
              <w:rPr>
                <w:rFonts w:ascii="Arial" w:cs="Arial" w:eastAsia="Arial" w:hAnsi="Arial"/>
                <w:sz w:val="18"/>
                <w:szCs w:val="18"/>
                <w:color w:val="auto"/>
                <w:w w:val="99"/>
              </w:rPr>
              <w:t>$750</w:t>
            </w:r>
          </w:p>
        </w:tc>
        <w:tc>
          <w:tcPr>
            <w:tcW w:w="2280" w:type="dxa"/>
            <w:vAlign w:val="bottom"/>
          </w:tcPr>
          <w:p>
            <w:pPr>
              <w:jc w:val="center"/>
              <w:ind w:left="37"/>
              <w:spacing w:after="0"/>
              <w:rPr>
                <w:sz w:val="20"/>
                <w:szCs w:val="20"/>
                <w:color w:val="auto"/>
              </w:rPr>
            </w:pPr>
            <w:r>
              <w:rPr>
                <w:rFonts w:ascii="Arial" w:cs="Arial" w:eastAsia="Arial" w:hAnsi="Arial"/>
                <w:sz w:val="18"/>
                <w:szCs w:val="18"/>
                <w:color w:val="auto"/>
                <w:w w:val="99"/>
              </w:rPr>
              <w:t>$750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March 2022</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3.000%</w:t>
            </w:r>
          </w:p>
        </w:tc>
        <w:tc>
          <w:tcPr>
            <w:tcW w:w="2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March 2032</w:t>
            </w:r>
          </w:p>
        </w:tc>
        <w:tc>
          <w:tcPr>
            <w:tcW w:w="230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99"/>
              </w:rPr>
              <w:t>$750</w:t>
            </w:r>
          </w:p>
        </w:tc>
        <w:tc>
          <w:tcPr>
            <w:tcW w:w="228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$750</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gross proceeds from the issuance of notes excluding debt issuance costs, discounts and premiums.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5"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The fair value of our short-term borrowings at June 30, 2022 and December 31, 2021 reflects current market interest rates and approximates the amounts we have recorded on our consolidated balance sheets. The fair value of our long-term debt was determined using quoted prices in active markets (Level 1 valuation data) for the publicly traded debt obligations.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2022</w:t>
            </w: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6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17,018</w:t>
            </w:r>
          </w:p>
        </w:tc>
        <w:tc>
          <w:tcPr>
            <w:tcW w:w="72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20,249</w:t>
            </w:r>
          </w:p>
        </w:tc>
        <w:tc>
          <w:tcPr>
            <w:tcW w:w="0" w:type="dxa"/>
            <w:vAlign w:val="bottom"/>
          </w:tcPr>
          <w:p>
            <w:pPr>
              <w:spacing w:after="0"/>
              <w:rPr>
                <w:sz w:val="1"/>
                <w:szCs w:val="1"/>
                <w:color w:val="auto"/>
              </w:rPr>
            </w:pPr>
          </w:p>
        </w:tc>
      </w:tr>
      <w:tr>
        <w:trPr>
          <w:trHeight w:val="239"/>
        </w:trPr>
        <w:tc>
          <w:tcPr>
            <w:tcW w:w="462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gridSpan w:val="4"/>
          </w:tcPr>
          <w:p>
            <w:pPr>
              <w:jc w:val="right"/>
              <w:ind w:right="10"/>
              <w:spacing w:after="0"/>
              <w:rPr>
                <w:sz w:val="20"/>
                <w:szCs w:val="20"/>
                <w:color w:val="auto"/>
              </w:rPr>
            </w:pPr>
            <w:r>
              <w:rPr>
                <w:rFonts w:ascii="Arial" w:cs="Arial" w:eastAsia="Arial" w:hAnsi="Arial"/>
                <w:sz w:val="18"/>
                <w:szCs w:val="18"/>
                <w:color w:val="auto"/>
              </w:rPr>
              <w:t>19,212</w:t>
            </w:r>
          </w:p>
        </w:tc>
        <w:tc>
          <w:tcPr>
            <w:tcW w:w="72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19,512</w:t>
            </w:r>
          </w:p>
        </w:tc>
        <w:tc>
          <w:tcPr>
            <w:tcW w:w="0" w:type="dxa"/>
            <w:vAlign w:val="bottom"/>
          </w:tcPr>
          <w:p>
            <w:pPr>
              <w:spacing w:after="0"/>
              <w:rPr>
                <w:sz w:val="1"/>
                <w:szCs w:val="1"/>
                <w:color w:val="auto"/>
              </w:rPr>
            </w:pPr>
          </w:p>
        </w:tc>
      </w:tr>
      <w:tr>
        <w:trPr>
          <w:trHeight w:val="525"/>
        </w:trPr>
        <w:tc>
          <w:tcPr>
            <w:tcW w:w="4620" w:type="dxa"/>
            <w:vAlign w:val="bottom"/>
          </w:tcPr>
          <w:p>
            <w:pPr>
              <w:spacing w:after="0"/>
              <w:rPr>
                <w:sz w:val="20"/>
                <w:szCs w:val="20"/>
                <w:color w:val="auto"/>
              </w:rPr>
            </w:pPr>
            <w:r>
              <w:rPr>
                <w:rFonts w:ascii="Arial" w:cs="Arial" w:eastAsia="Arial" w:hAnsi="Arial"/>
                <w:sz w:val="18"/>
                <w:szCs w:val="18"/>
                <w:i w:val="1"/>
                <w:iCs w:val="1"/>
                <w:color w:val="auto"/>
              </w:rPr>
              <w:t>Interest and Other Expense, net:</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r>
              <w:rPr>
                <w:rFonts w:ascii="Arial" w:cs="Arial" w:eastAsia="Arial" w:hAnsi="Arial"/>
                <w:sz w:val="18"/>
                <w:szCs w:val="18"/>
                <w:color w:val="auto"/>
              </w:rPr>
              <w:t>Interest and other expense, net consisted of:</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0" w:type="dxa"/>
            <w:vAlign w:val="bottom"/>
            <w:gridSpan w:val="4"/>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2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For the Six Months Ended</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10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debt</w:t>
            </w: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84"/>
        </w:trPr>
        <w:tc>
          <w:tcPr>
            <w:tcW w:w="4620" w:type="dxa"/>
            <w:vAlign w:val="bottom"/>
          </w:tcPr>
          <w:p>
            <w:pPr>
              <w:ind w:left="20"/>
              <w:spacing w:after="0" w:line="183" w:lineRule="exact"/>
              <w:rPr>
                <w:sz w:val="20"/>
                <w:szCs w:val="20"/>
                <w:color w:val="auto"/>
              </w:rPr>
            </w:pPr>
            <w:r>
              <w:rPr>
                <w:rFonts w:ascii="Arial" w:cs="Arial" w:eastAsia="Arial" w:hAnsi="Arial"/>
                <w:sz w:val="18"/>
                <w:szCs w:val="18"/>
                <w:color w:val="auto"/>
              </w:rPr>
              <w:t>Loss on debt extinguishment and</w:t>
            </w: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5"/>
        </w:trPr>
        <w:tc>
          <w:tcPr>
            <w:tcW w:w="4620" w:type="dxa"/>
            <w:vAlign w:val="bottom"/>
          </w:tcPr>
          <w:p>
            <w:pPr>
              <w:ind w:left="180"/>
              <w:spacing w:after="0"/>
              <w:rPr>
                <w:sz w:val="20"/>
                <w:szCs w:val="20"/>
                <w:color w:val="auto"/>
              </w:rPr>
            </w:pPr>
            <w:r>
              <w:rPr>
                <w:rFonts w:ascii="Arial" w:cs="Arial" w:eastAsia="Arial" w:hAnsi="Arial"/>
                <w:sz w:val="18"/>
                <w:szCs w:val="18"/>
                <w:color w:val="auto"/>
              </w:rPr>
              <w:t>related expenses</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expense/(income), net</w:t>
            </w: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 xml:space="preserve">Other income includes amounts excluded from hedge effectiveness related to our net investment hedge derivative contracts </w:t>
      </w:r>
      <w:r>
        <w:rPr>
          <w:rFonts w:ascii="Calibri" w:cs="Calibri" w:eastAsia="Calibri" w:hAnsi="Calibri"/>
          <w:sz w:val="19"/>
          <w:szCs w:val="19"/>
          <w:color w:val="auto"/>
        </w:rPr>
        <w:t>and early</w:t>
      </w:r>
      <w:r>
        <w:rPr>
          <w:rFonts w:ascii="Arial" w:cs="Arial" w:eastAsia="Arial" w:hAnsi="Arial"/>
          <w:sz w:val="18"/>
          <w:szCs w:val="18"/>
          <w:color w:val="auto"/>
        </w:rPr>
        <w:t xml:space="preserve"> </w:t>
      </w:r>
      <w:r>
        <w:rPr>
          <w:rFonts w:ascii="Calibri" w:cs="Calibri" w:eastAsia="Calibri" w:hAnsi="Calibri"/>
          <w:sz w:val="19"/>
          <w:szCs w:val="19"/>
          <w:color w:val="auto"/>
        </w:rPr>
        <w:t xml:space="preserve">setlement of forecasted currency derivatve transactons due to changes in related future cash fows. </w:t>
      </w:r>
      <w:r>
        <w:rPr>
          <w:rFonts w:ascii="Arial" w:cs="Arial" w:eastAsia="Arial" w:hAnsi="Arial"/>
          <w:sz w:val="17"/>
          <w:szCs w:val="17"/>
          <w:color w:val="auto"/>
        </w:rPr>
        <w:t>Refer to Note 9,</w:t>
      </w:r>
      <w:r>
        <w:rPr>
          <w:rFonts w:ascii="Calibri" w:cs="Calibri" w:eastAsia="Calibri" w:hAnsi="Calibri"/>
          <w:sz w:val="19"/>
          <w:szCs w:val="19"/>
          <w:color w:val="auto"/>
        </w:rPr>
        <w:t xml:space="preserve"> </w:t>
      </w:r>
      <w:r>
        <w:rPr>
          <w:rFonts w:ascii="Arial" w:cs="Arial" w:eastAsia="Arial" w:hAnsi="Arial"/>
          <w:sz w:val="17"/>
          <w:szCs w:val="17"/>
          <w:i w:val="1"/>
          <w:iCs w:val="1"/>
          <w:color w:val="auto"/>
        </w:rPr>
        <w:t>Financial</w:t>
      </w:r>
      <w:r>
        <w:rPr>
          <w:rFonts w:ascii="Calibri" w:cs="Calibri" w:eastAsia="Calibri" w:hAnsi="Calibri"/>
          <w:sz w:val="19"/>
          <w:szCs w:val="19"/>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As of June 30, 2022</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As of December 31, 2021</w:t>
            </w:r>
          </w:p>
        </w:tc>
      </w:tr>
      <w:tr>
        <w:trPr>
          <w:trHeight w:val="143"/>
        </w:trPr>
        <w:tc>
          <w:tcPr>
            <w:tcW w:w="4540" w:type="dxa"/>
            <w:vAlign w:val="bottom"/>
          </w:tcPr>
          <w:p>
            <w:pPr>
              <w:spacing w:after="0"/>
              <w:rPr>
                <w:sz w:val="12"/>
                <w:szCs w:val="12"/>
                <w:color w:val="auto"/>
              </w:rPr>
            </w:pPr>
          </w:p>
        </w:tc>
        <w:tc>
          <w:tcPr>
            <w:tcW w:w="1040" w:type="dxa"/>
            <w:vAlign w:val="bottom"/>
          </w:tcPr>
          <w:p>
            <w:pPr>
              <w:jc w:val="center"/>
              <w:ind w:left="477"/>
              <w:spacing w:after="0" w:line="143" w:lineRule="exact"/>
              <w:rPr>
                <w:sz w:val="20"/>
                <w:szCs w:val="20"/>
                <w:color w:val="auto"/>
              </w:rPr>
            </w:pPr>
            <w:r>
              <w:rPr>
                <w:rFonts w:ascii="Arial" w:cs="Arial" w:eastAsia="Arial" w:hAnsi="Arial"/>
                <w:sz w:val="14"/>
                <w:szCs w:val="14"/>
                <w:b w:val="1"/>
                <w:bCs w:val="1"/>
                <w:color w:val="auto"/>
              </w:rPr>
              <w:t>Asset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35"/>
              <w:spacing w:after="0" w:line="143" w:lineRule="exact"/>
              <w:rPr>
                <w:sz w:val="20"/>
                <w:szCs w:val="20"/>
                <w:color w:val="auto"/>
              </w:rPr>
            </w:pPr>
            <w:r>
              <w:rPr>
                <w:rFonts w:ascii="Arial" w:cs="Arial" w:eastAsia="Arial" w:hAnsi="Arial"/>
                <w:sz w:val="14"/>
                <w:szCs w:val="14"/>
                <w:b w:val="1"/>
                <w:bCs w:val="1"/>
                <w:color w:val="auto"/>
              </w:rPr>
              <w:t>Liability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2"/>
                <w:szCs w:val="12"/>
                <w:color w:val="auto"/>
              </w:rPr>
            </w:pPr>
          </w:p>
        </w:tc>
        <w:tc>
          <w:tcPr>
            <w:tcW w:w="1320" w:type="dxa"/>
            <w:vAlign w:val="bottom"/>
          </w:tcPr>
          <w:p>
            <w:pPr>
              <w:jc w:val="right"/>
              <w:ind w:right="433"/>
              <w:spacing w:after="0" w:line="143" w:lineRule="exact"/>
              <w:rPr>
                <w:sz w:val="20"/>
                <w:szCs w:val="20"/>
                <w:color w:val="auto"/>
              </w:rPr>
            </w:pPr>
            <w:r>
              <w:rPr>
                <w:rFonts w:ascii="Arial" w:cs="Arial" w:eastAsia="Arial" w:hAnsi="Arial"/>
                <w:sz w:val="14"/>
                <w:szCs w:val="14"/>
                <w:b w:val="1"/>
                <w:bCs w:val="1"/>
                <w:color w:val="auto"/>
              </w:rPr>
              <w:t>Liability</w:t>
            </w:r>
          </w:p>
        </w:tc>
      </w:tr>
      <w:tr>
        <w:trPr>
          <w:trHeight w:val="189"/>
        </w:trPr>
        <w:tc>
          <w:tcPr>
            <w:tcW w:w="454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Derivatives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Derivatives</w:t>
            </w:r>
          </w:p>
        </w:tc>
      </w:tr>
      <w:tr>
        <w:trPr>
          <w:trHeight w:val="195"/>
        </w:trPr>
        <w:tc>
          <w:tcPr>
            <w:tcW w:w="4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7"/>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0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Currency exchange contracts</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5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45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156"/>
        </w:trPr>
        <w:tc>
          <w:tcPr>
            <w:tcW w:w="45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4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Equity method investment contracts </w:t>
            </w:r>
            <w:r>
              <w:rPr>
                <w:rFonts w:ascii="Arial" w:cs="Arial" w:eastAsia="Arial" w:hAnsi="Arial"/>
                <w:sz w:val="23"/>
                <w:szCs w:val="23"/>
                <w:color w:val="auto"/>
                <w:vertAlign w:val="superscript"/>
              </w:rPr>
              <w:t>(2)</w:t>
            </w: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5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298</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right="220" w:hanging="332"/>
        <w:spacing w:after="0" w:line="266"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Both net investment hedge derivative contracts and non-U.S. dollar denominated debt acting as net investment hedges are also disclosed in 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2" w:lineRule="exact"/>
        <w:rPr>
          <w:rFonts w:ascii="Arial" w:cs="Arial" w:eastAsia="Arial" w:hAnsi="Arial"/>
          <w:sz w:val="14"/>
          <w:szCs w:val="14"/>
          <w:color w:val="auto"/>
        </w:rPr>
      </w:pPr>
    </w:p>
    <w:p>
      <w:pPr>
        <w:ind w:left="340" w:right="340" w:hanging="332"/>
        <w:spacing w:after="0" w:line="264"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Equity method investment contracts consist of the bifurcated embedded derivative option that was a component of the September 20, 2021 €300 million exchangeable bonds issuance. Refer to Note 6, Equity Method Investments</w:t>
      </w:r>
      <w:r>
        <w:rPr>
          <w:rFonts w:ascii="Arial" w:cs="Arial" w:eastAsia="Arial" w:hAnsi="Arial"/>
          <w:sz w:val="14"/>
          <w:szCs w:val="14"/>
          <w:i w:val="1"/>
          <w:iCs w:val="1"/>
          <w:color w:val="auto"/>
        </w:rPr>
        <w:t>.</w:t>
      </w:r>
    </w:p>
    <w:p>
      <w:pPr>
        <w:spacing w:after="0" w:line="20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Derivatives designated as accounting hedges include cash flow and net investment hedge derivative contracts. Our currency exchange, commodity derivative and equity method investment contracts are economic hedges that are not designated as accounting hedges. We record derivative assets and liabilities on a gross basis on our condensed consolidated balance sheets. The fair value of our asset derivatives is recorded within other current assets and other assets and the fair value of our liability derivatives is recorded within other current liabilities and other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As of June 30, 2022</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4"/>
        </w:trPr>
        <w:tc>
          <w:tcPr>
            <w:tcW w:w="45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5"/>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95"/>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1"/>
                <w:szCs w:val="11"/>
                <w:color w:val="auto"/>
              </w:rPr>
            </w:pPr>
          </w:p>
        </w:tc>
        <w:tc>
          <w:tcPr>
            <w:tcW w:w="16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Fair Value of Net</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bifurcated exchange options are valued, as derivative instrument liabilities, using the Black-Scholes option pricing model. This model requires assumptions related to the market price of the underlying note and associated credit spread combined with the share of price, expected dividend yield, and expected volatility of the JDE Peet’s shares over the life of the option.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values of our hedging instruments were: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199"/>
              <w:spacing w:after="0"/>
              <w:rPr>
                <w:sz w:val="20"/>
                <w:szCs w:val="20"/>
                <w:color w:val="auto"/>
              </w:rPr>
            </w:pPr>
            <w:r>
              <w:rPr>
                <w:rFonts w:ascii="Arial" w:cs="Arial" w:eastAsia="Arial" w:hAnsi="Arial"/>
                <w:sz w:val="14"/>
                <w:szCs w:val="14"/>
                <w:b w:val="1"/>
                <w:bCs w:val="1"/>
                <w:color w:val="auto"/>
              </w:rPr>
              <w:t>Notional Amount</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As of June 30,</w:t>
            </w:r>
          </w:p>
        </w:tc>
        <w:tc>
          <w:tcPr>
            <w:tcW w:w="1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34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3440" w:type="dxa"/>
            <w:vAlign w:val="bottom"/>
            <w:gridSpan w:val="2"/>
          </w:tcPr>
          <w:p>
            <w:pPr>
              <w:jc w:val="right"/>
              <w:ind w:right="100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2,270</w:t>
            </w:r>
          </w:p>
        </w:tc>
        <w:tc>
          <w:tcPr>
            <w:tcW w:w="960" w:type="dxa"/>
            <w:vAlign w:val="bottom"/>
          </w:tcPr>
          <w:p>
            <w:pPr>
              <w:jc w:val="right"/>
              <w:ind w:right="67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2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6,245</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11,131</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9,694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1,850</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hedge derivative contracts</w:t>
            </w:r>
          </w:p>
        </w:tc>
        <w:tc>
          <w:tcPr>
            <w:tcW w:w="2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7,090</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Non-U.S. dollar debt designated as net investment hedges</w:t>
            </w: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notes</w:t>
            </w:r>
          </w:p>
        </w:tc>
        <w:tc>
          <w:tcPr>
            <w:tcW w:w="2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3,339</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29"/>
        </w:trPr>
        <w:tc>
          <w:tcPr>
            <w:tcW w:w="5200" w:type="dxa"/>
            <w:vAlign w:val="bottom"/>
          </w:tcPr>
          <w:p>
            <w:pPr>
              <w:ind w:left="440"/>
              <w:spacing w:after="0"/>
              <w:rPr>
                <w:sz w:val="20"/>
                <w:szCs w:val="20"/>
                <w:color w:val="auto"/>
              </w:rPr>
            </w:pPr>
            <w:r>
              <w:rPr>
                <w:rFonts w:ascii="Arial" w:cs="Arial" w:eastAsia="Arial" w:hAnsi="Arial"/>
                <w:sz w:val="18"/>
                <w:szCs w:val="18"/>
                <w:color w:val="auto"/>
              </w:rPr>
              <w:t>British pound sterling notes</w:t>
            </w: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321</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Swiss franc notes</w:t>
            </w:r>
          </w:p>
        </w:tc>
        <w:tc>
          <w:tcPr>
            <w:tcW w:w="2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775</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9"/>
        </w:trPr>
        <w:tc>
          <w:tcPr>
            <w:tcW w:w="5200" w:type="dxa"/>
            <w:vAlign w:val="bottom"/>
          </w:tcPr>
          <w:p>
            <w:pPr>
              <w:ind w:left="440"/>
              <w:spacing w:after="0"/>
              <w:rPr>
                <w:sz w:val="20"/>
                <w:szCs w:val="20"/>
                <w:color w:val="auto"/>
              </w:rPr>
            </w:pPr>
            <w:r>
              <w:rPr>
                <w:rFonts w:ascii="Arial" w:cs="Arial" w:eastAsia="Arial" w:hAnsi="Arial"/>
                <w:sz w:val="18"/>
                <w:szCs w:val="18"/>
                <w:color w:val="auto"/>
              </w:rPr>
              <w:t>Canadian dollar notes</w:t>
            </w:r>
          </w:p>
        </w:tc>
        <w:tc>
          <w:tcPr>
            <w:tcW w:w="2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466</w:t>
            </w:r>
          </w:p>
        </w:tc>
        <w:tc>
          <w:tcPr>
            <w:tcW w:w="9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859"/>
        </w:trPr>
        <w:tc>
          <w:tcPr>
            <w:tcW w:w="5200" w:type="dxa"/>
            <w:vAlign w:val="bottom"/>
          </w:tcPr>
          <w:p>
            <w:pPr>
              <w:spacing w:after="0"/>
              <w:rPr>
                <w:sz w:val="24"/>
                <w:szCs w:val="24"/>
                <w:color w:val="auto"/>
              </w:rPr>
            </w:pPr>
          </w:p>
        </w:tc>
        <w:tc>
          <w:tcPr>
            <w:tcW w:w="2240" w:type="dxa"/>
            <w:vAlign w:val="bottom"/>
          </w:tcPr>
          <w:p>
            <w:pPr>
              <w:jc w:val="right"/>
              <w:ind w:right="1636"/>
              <w:spacing w:after="0"/>
              <w:rPr>
                <w:sz w:val="20"/>
                <w:szCs w:val="20"/>
                <w:color w:val="auto"/>
              </w:rPr>
            </w:pPr>
            <w:r>
              <w:rPr>
                <w:rFonts w:ascii="Arial" w:cs="Arial" w:eastAsia="Arial" w:hAnsi="Arial"/>
                <w:sz w:val="18"/>
                <w:szCs w:val="18"/>
                <w:color w:val="auto"/>
              </w:rPr>
              <w:t>19</w:t>
            </w: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2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(loss)/gain at beginning of period</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76"/>
        </w:trPr>
        <w:tc>
          <w:tcPr>
            <w:tcW w:w="5200" w:type="dxa"/>
            <w:vAlign w:val="bottom"/>
          </w:tcPr>
          <w:p>
            <w:pPr>
              <w:ind w:left="140"/>
              <w:spacing w:after="0" w:line="176" w:lineRule="exact"/>
              <w:rPr>
                <w:sz w:val="20"/>
                <w:szCs w:val="20"/>
                <w:color w:val="auto"/>
              </w:rPr>
            </w:pPr>
            <w:r>
              <w:rPr>
                <w:rFonts w:ascii="Arial" w:cs="Arial" w:eastAsia="Arial" w:hAnsi="Arial"/>
                <w:sz w:val="18"/>
                <w:szCs w:val="18"/>
                <w:color w:val="auto"/>
              </w:rPr>
              <w:t>Transfer of realized losses/(gains) in fair value</w:t>
            </w:r>
          </w:p>
        </w:tc>
        <w:tc>
          <w:tcPr>
            <w:tcW w:w="9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200" w:type="dxa"/>
            <w:vAlign w:val="bottom"/>
          </w:tcPr>
          <w:p>
            <w:pPr>
              <w:ind w:left="300"/>
              <w:spacing w:after="0"/>
              <w:rPr>
                <w:sz w:val="20"/>
                <w:szCs w:val="20"/>
                <w:color w:val="auto"/>
              </w:rPr>
            </w:pPr>
            <w:r>
              <w:rPr>
                <w:rFonts w:ascii="Arial" w:cs="Arial" w:eastAsia="Arial" w:hAnsi="Arial"/>
                <w:sz w:val="18"/>
                <w:szCs w:val="18"/>
                <w:color w:val="auto"/>
              </w:rPr>
              <w:t>to earnings</w:t>
            </w:r>
          </w:p>
        </w:tc>
        <w:tc>
          <w:tcPr>
            <w:tcW w:w="96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(loss)/gain in fair value</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Accumulated (loss)/gain at end of period</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to net earnings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Currency exchange contracts –</w:t>
            </w:r>
          </w:p>
        </w:tc>
        <w:tc>
          <w:tcPr>
            <w:tcW w:w="1000" w:type="dxa"/>
            <w:vAlign w:val="bottom"/>
            <w:vMerge w:val="restart"/>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100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520" w:type="dxa"/>
            <w:vAlign w:val="bottom"/>
            <w:gridSpan w:val="2"/>
            <w:vMerge w:val="continue"/>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20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Currency exchange contracts –</w:t>
            </w:r>
          </w:p>
        </w:tc>
        <w:tc>
          <w:tcPr>
            <w:tcW w:w="960" w:type="dxa"/>
            <w:vAlign w:val="bottom"/>
            <w:vMerge w:val="restart"/>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5"/>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960" w:type="dxa"/>
            <w:vAlign w:val="bottom"/>
            <w:vMerge w:val="continue"/>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5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 interest and other expense, net for interest rate contracts.</w:t>
      </w:r>
    </w:p>
    <w:p>
      <w:pPr>
        <w:spacing w:after="0" w:line="19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Based on current market conditions, we would expect to transfer losses of $10 million (net of taxes) for interest rate cash flow hedges to earnings during the next 12 months.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5"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As of June 30, 2022, our longest dated cash flow hedges were interest rate swaps that hedge forecasted interest rate payments over the next 4 years, 2 months.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5"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We enter into cross-currency interest rate swaps, forwards and options to hedge certain investments in our non-U.S. operations against movements in exchange rates. The aggregate notional value as of June 30, 2022 was $7.1 billion.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hedge derivative contract impacts on other comprehensive earnings and net earnings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3"/>
          </w:tcPr>
          <w:p>
            <w:pPr>
              <w:jc w:val="center"/>
              <w:ind w:right="379"/>
              <w:spacing w:after="0"/>
              <w:rPr>
                <w:sz w:val="20"/>
                <w:szCs w:val="20"/>
                <w:color w:val="auto"/>
              </w:rPr>
            </w:pPr>
            <w:r>
              <w:rPr>
                <w:rFonts w:ascii="Arial" w:cs="Arial" w:eastAsia="Arial" w:hAnsi="Arial"/>
                <w:sz w:val="14"/>
                <w:szCs w:val="14"/>
                <w:b w:val="1"/>
                <w:bCs w:val="1"/>
                <w:color w:val="auto"/>
              </w:rPr>
              <w:t>For the Six Months Ended</w:t>
            </w:r>
          </w:p>
        </w:tc>
      </w:tr>
      <w:tr>
        <w:trPr>
          <w:trHeight w:val="189"/>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left="644"/>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95"/>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r>
      <w:tr>
        <w:trPr>
          <w:trHeight w:val="196"/>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gridSpan w:val="3"/>
          </w:tcPr>
          <w:p>
            <w:pPr>
              <w:ind w:left="70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1"/>
        </w:trPr>
        <w:tc>
          <w:tcPr>
            <w:tcW w:w="516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307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348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315" w:lineRule="exact"/>
        <w:rPr>
          <w:sz w:val="20"/>
          <w:szCs w:val="20"/>
          <w:color w:val="auto"/>
        </w:rPr>
      </w:pPr>
    </w:p>
    <w:p>
      <w:pPr>
        <w:ind w:left="340" w:right="120" w:hanging="332"/>
        <w:spacing w:after="0" w:line="305"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jc w:val="center"/>
              <w:ind w:right="379"/>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519"/>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excluded from the assessment of</w:t>
            </w:r>
          </w:p>
        </w:tc>
        <w:tc>
          <w:tcPr>
            <w:tcW w:w="1000" w:type="dxa"/>
            <w:vAlign w:val="bottom"/>
            <w:vMerge w:val="restart"/>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30</w:t>
            </w:r>
          </w:p>
        </w:tc>
        <w:tc>
          <w:tcPr>
            <w:tcW w:w="1100" w:type="dxa"/>
            <w:vAlign w:val="bottom"/>
            <w:vMerge w:val="restart"/>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24"/>
              <w:spacing w:after="0"/>
              <w:rPr>
                <w:sz w:val="20"/>
                <w:szCs w:val="20"/>
                <w:color w:val="auto"/>
              </w:rPr>
            </w:pPr>
            <w:r>
              <w:rPr>
                <w:rFonts w:ascii="Arial" w:cs="Arial" w:eastAsia="Arial" w:hAnsi="Arial"/>
                <w:sz w:val="18"/>
                <w:szCs w:val="18"/>
                <w:color w:val="auto"/>
              </w:rPr>
              <w:t>52</w:t>
            </w:r>
          </w:p>
        </w:tc>
        <w:tc>
          <w:tcPr>
            <w:tcW w:w="4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hedge effectiveness</w:t>
            </w:r>
            <w:r>
              <w:rPr>
                <w:rFonts w:ascii="Arial" w:cs="Arial" w:eastAsia="Arial" w:hAnsi="Arial"/>
                <w:sz w:val="23"/>
                <w:szCs w:val="23"/>
                <w:color w:val="auto"/>
                <w:vertAlign w:val="superscript"/>
              </w:rPr>
              <w:t>(1)</w:t>
            </w:r>
          </w:p>
        </w:tc>
        <w:tc>
          <w:tcPr>
            <w:tcW w:w="1000" w:type="dxa"/>
            <w:vAlign w:val="bottom"/>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We elected to record changes in the fair value of amounts excluded from the assessment of effectiveness in net earnings within interest and other expense,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jc w:val="center"/>
              <w:ind w:right="374"/>
              <w:spacing w:after="0"/>
              <w:rPr>
                <w:sz w:val="20"/>
                <w:szCs w:val="20"/>
                <w:color w:val="auto"/>
              </w:rPr>
            </w:pPr>
            <w:r>
              <w:rPr>
                <w:rFonts w:ascii="Arial" w:cs="Arial" w:eastAsia="Arial" w:hAnsi="Arial"/>
                <w:sz w:val="14"/>
                <w:szCs w:val="14"/>
                <w:b w:val="1"/>
                <w:bCs w:val="1"/>
                <w:color w:val="auto"/>
              </w:rPr>
              <w:t>For the Six Months Ended</w:t>
            </w:r>
          </w:p>
        </w:tc>
      </w:tr>
      <w:tr>
        <w:trPr>
          <w:trHeight w:val="189"/>
        </w:trPr>
        <w:tc>
          <w:tcPr>
            <w:tcW w:w="52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479"/>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49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196"/>
        </w:trPr>
        <w:tc>
          <w:tcPr>
            <w:tcW w:w="5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1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216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British pound sterling notes</w:t>
            </w:r>
          </w:p>
        </w:tc>
        <w:tc>
          <w:tcPr>
            <w:tcW w:w="960" w:type="dxa"/>
            <w:vAlign w:val="bottom"/>
          </w:tcPr>
          <w:p>
            <w:pPr>
              <w:spacing w:after="0"/>
              <w:rPr>
                <w:sz w:val="19"/>
                <w:szCs w:val="19"/>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Swiss franc notes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9"/>
        </w:trPr>
        <w:tc>
          <w:tcPr>
            <w:tcW w:w="5200" w:type="dxa"/>
            <w:vAlign w:val="bottom"/>
          </w:tcPr>
          <w:p>
            <w:pPr>
              <w:ind w:left="20"/>
              <w:spacing w:after="0"/>
              <w:rPr>
                <w:sz w:val="20"/>
                <w:szCs w:val="20"/>
                <w:color w:val="auto"/>
              </w:rPr>
            </w:pPr>
            <w:r>
              <w:rPr>
                <w:rFonts w:ascii="Arial" w:cs="Arial" w:eastAsia="Arial" w:hAnsi="Arial"/>
                <w:sz w:val="18"/>
                <w:szCs w:val="18"/>
                <w:color w:val="auto"/>
              </w:rPr>
              <w:t>Canadian notes</w:t>
            </w:r>
          </w:p>
        </w:tc>
        <w:tc>
          <w:tcPr>
            <w:tcW w:w="960" w:type="dxa"/>
            <w:vAlign w:val="bottom"/>
          </w:tcPr>
          <w:p>
            <w:pPr>
              <w:spacing w:after="0"/>
              <w:rPr>
                <w:sz w:val="20"/>
                <w:szCs w:val="20"/>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For the Six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Location of Gain/(Loss)</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Recognized in Earnings</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20"/>
              <w:spacing w:after="0"/>
              <w:rPr>
                <w:sz w:val="20"/>
                <w:szCs w:val="20"/>
                <w:color w:val="auto"/>
              </w:rPr>
            </w:pPr>
            <w:r>
              <w:rPr>
                <w:rFonts w:ascii="Arial" w:cs="Arial" w:eastAsia="Arial" w:hAnsi="Arial"/>
                <w:sz w:val="18"/>
                <w:szCs w:val="18"/>
                <w:color w:val="auto"/>
              </w:rPr>
              <w:t>Intercompany loans and forecasted</w:t>
            </w:r>
          </w:p>
        </w:tc>
        <w:tc>
          <w:tcPr>
            <w:tcW w:w="960" w:type="dxa"/>
            <w:vAlign w:val="bottom"/>
            <w:vMerge w:val="restart"/>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0" w:type="dxa"/>
            <w:vAlign w:val="bottom"/>
            <w:vMerge w:val="restart"/>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80" w:type="dxa"/>
            <w:vAlign w:val="bottom"/>
            <w:vMerge w:val="restart"/>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89"/>
        </w:trPr>
        <w:tc>
          <w:tcPr>
            <w:tcW w:w="3120" w:type="dxa"/>
            <w:vAlign w:val="bottom"/>
          </w:tcPr>
          <w:p>
            <w:pPr>
              <w:ind w:left="220"/>
              <w:spacing w:after="0" w:line="189" w:lineRule="exact"/>
              <w:rPr>
                <w:sz w:val="20"/>
                <w:szCs w:val="20"/>
                <w:color w:val="auto"/>
              </w:rPr>
            </w:pPr>
            <w:r>
              <w:rPr>
                <w:rFonts w:ascii="Arial" w:cs="Arial" w:eastAsia="Arial" w:hAnsi="Arial"/>
                <w:sz w:val="18"/>
                <w:szCs w:val="18"/>
                <w:color w:val="auto"/>
              </w:rPr>
              <w:t>interest payments</w:t>
            </w:r>
          </w:p>
        </w:tc>
        <w:tc>
          <w:tcPr>
            <w:tcW w:w="96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53"/>
        </w:trPr>
        <w:tc>
          <w:tcPr>
            <w:tcW w:w="3120" w:type="dxa"/>
            <w:vAlign w:val="bottom"/>
            <w:vMerge w:val="restart"/>
          </w:tcPr>
          <w:p>
            <w:pPr>
              <w:ind w:left="220"/>
              <w:spacing w:after="0"/>
              <w:rPr>
                <w:sz w:val="20"/>
                <w:szCs w:val="20"/>
                <w:color w:val="auto"/>
              </w:rPr>
            </w:pPr>
            <w:r>
              <w:rPr>
                <w:rFonts w:ascii="Arial" w:cs="Arial" w:eastAsia="Arial" w:hAnsi="Arial"/>
                <w:sz w:val="18"/>
                <w:szCs w:val="18"/>
                <w:color w:val="auto"/>
              </w:rPr>
              <w:t>Forecasted transactions</w:t>
            </w:r>
          </w:p>
        </w:tc>
        <w:tc>
          <w:tcPr>
            <w:tcW w:w="96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3"/>
                <w:szCs w:val="13"/>
                <w:color w:val="auto"/>
              </w:rPr>
            </w:pPr>
          </w:p>
        </w:tc>
        <w:tc>
          <w:tcPr>
            <w:tcW w:w="2020" w:type="dxa"/>
            <w:vAlign w:val="bottom"/>
          </w:tcPr>
          <w:p>
            <w:pPr>
              <w:jc w:val="center"/>
              <w:spacing w:after="0" w:line="153" w:lineRule="exact"/>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85"/>
        </w:trPr>
        <w:tc>
          <w:tcPr>
            <w:tcW w:w="31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53"/>
        </w:trPr>
        <w:tc>
          <w:tcPr>
            <w:tcW w:w="31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96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3"/>
                <w:szCs w:val="13"/>
                <w:color w:val="auto"/>
              </w:rPr>
            </w:pPr>
          </w:p>
        </w:tc>
        <w:tc>
          <w:tcPr>
            <w:tcW w:w="202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85"/>
        </w:trPr>
        <w:tc>
          <w:tcPr>
            <w:tcW w:w="3120" w:type="dxa"/>
            <w:vAlign w:val="bottom"/>
            <w:vMerge w:val="continue"/>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w:t>
            </w:r>
          </w:p>
        </w:tc>
        <w:tc>
          <w:tcPr>
            <w:tcW w:w="960" w:type="dxa"/>
            <w:vAlign w:val="bottom"/>
            <w:shd w:val="clear" w:color="auto" w:fill="CCEEFF"/>
          </w:tcPr>
          <w:p>
            <w:pPr>
              <w:spacing w:after="0"/>
              <w:rPr>
                <w:sz w:val="19"/>
                <w:szCs w:val="19"/>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Gain on equity method</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contracts</w:t>
            </w:r>
          </w:p>
        </w:tc>
        <w:tc>
          <w:tcPr>
            <w:tcW w:w="96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investment transactions</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the first quarter of 2022, we had early settlements of forecasted currency exchange contracts comprised of $74 million in cost of sales, $5 million in selling, general and administrative expenses and $20 million in interest and other expense, net.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cost/(benefit)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456"/>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4"/>
                <w:szCs w:val="14"/>
                <w:b w:val="1"/>
                <w:bCs w:val="1"/>
                <w:color w:val="auto"/>
              </w:rPr>
              <w:t>Non-U.S. Plans</w:t>
            </w:r>
          </w:p>
        </w:tc>
        <w:tc>
          <w:tcPr>
            <w:tcW w:w="480" w:type="dxa"/>
            <w:vAlign w:val="bottom"/>
            <w:tcBorders>
              <w:bottom w:val="single" w:sz="8" w:color="auto"/>
            </w:tcBorders>
          </w:tcPr>
          <w:p>
            <w:pPr>
              <w:spacing w:after="0"/>
              <w:rPr>
                <w:sz w:val="17"/>
                <w:szCs w:val="17"/>
                <w:color w:val="auto"/>
              </w:rPr>
            </w:pPr>
          </w:p>
        </w:tc>
      </w:tr>
      <w:tr>
        <w:trPr>
          <w:trHeight w:val="143"/>
        </w:trPr>
        <w:tc>
          <w:tcPr>
            <w:tcW w:w="5220" w:type="dxa"/>
            <w:vAlign w:val="bottom"/>
          </w:tcPr>
          <w:p>
            <w:pPr>
              <w:spacing w:after="0"/>
              <w:rPr>
                <w:sz w:val="12"/>
                <w:szCs w:val="12"/>
                <w:color w:val="auto"/>
              </w:rPr>
            </w:pPr>
          </w:p>
        </w:tc>
        <w:tc>
          <w:tcPr>
            <w:tcW w:w="2520" w:type="dxa"/>
            <w:vAlign w:val="bottom"/>
            <w:gridSpan w:val="4"/>
          </w:tcPr>
          <w:p>
            <w:pPr>
              <w:jc w:val="center"/>
              <w:ind w:left="33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4"/>
          </w:tcPr>
          <w:p>
            <w:pPr>
              <w:jc w:val="center"/>
              <w:ind w:left="41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2"/>
                <w:szCs w:val="12"/>
                <w:color w:val="auto"/>
              </w:rPr>
            </w:pPr>
          </w:p>
        </w:tc>
      </w:tr>
      <w:tr>
        <w:trPr>
          <w:trHeight w:val="189"/>
        </w:trPr>
        <w:tc>
          <w:tcPr>
            <w:tcW w:w="5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45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r>
      <w:tr>
        <w:trPr>
          <w:trHeight w:val="195"/>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196"/>
        </w:trPr>
        <w:tc>
          <w:tcPr>
            <w:tcW w:w="5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from experience differences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Prior service cost/(benefit)</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Curtailment credit </w:t>
            </w:r>
            <w:r>
              <w:rPr>
                <w:rFonts w:ascii="Arial" w:cs="Arial" w:eastAsia="Arial" w:hAnsi="Arial"/>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Settlement losses and other expenses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cost/(benefit)</w:t>
            </w:r>
          </w:p>
        </w:tc>
        <w:tc>
          <w:tcPr>
            <w:tcW w:w="96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364"/>
        </w:trPr>
        <w:tc>
          <w:tcPr>
            <w:tcW w:w="5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456"/>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4"/>
                <w:szCs w:val="14"/>
                <w:b w:val="1"/>
                <w:bCs w:val="1"/>
                <w:color w:val="auto"/>
              </w:rPr>
              <w:t>Non-U.S. Plans</w:t>
            </w:r>
          </w:p>
        </w:tc>
        <w:tc>
          <w:tcPr>
            <w:tcW w:w="480" w:type="dxa"/>
            <w:vAlign w:val="bottom"/>
            <w:tcBorders>
              <w:bottom w:val="single" w:sz="8" w:color="auto"/>
            </w:tcBorders>
          </w:tcPr>
          <w:p>
            <w:pPr>
              <w:spacing w:after="0"/>
              <w:rPr>
                <w:sz w:val="24"/>
                <w:szCs w:val="24"/>
                <w:color w:val="auto"/>
              </w:rPr>
            </w:pPr>
          </w:p>
        </w:tc>
      </w:tr>
      <w:tr>
        <w:trPr>
          <w:trHeight w:val="143"/>
        </w:trPr>
        <w:tc>
          <w:tcPr>
            <w:tcW w:w="5220" w:type="dxa"/>
            <w:vAlign w:val="bottom"/>
          </w:tcPr>
          <w:p>
            <w:pPr>
              <w:spacing w:after="0"/>
              <w:rPr>
                <w:sz w:val="12"/>
                <w:szCs w:val="12"/>
                <w:color w:val="auto"/>
              </w:rPr>
            </w:pPr>
          </w:p>
        </w:tc>
        <w:tc>
          <w:tcPr>
            <w:tcW w:w="2520" w:type="dxa"/>
            <w:vAlign w:val="bottom"/>
            <w:gridSpan w:val="4"/>
          </w:tcPr>
          <w:p>
            <w:pPr>
              <w:jc w:val="center"/>
              <w:ind w:left="339"/>
              <w:spacing w:after="0" w:line="143" w:lineRule="exact"/>
              <w:rPr>
                <w:sz w:val="20"/>
                <w:szCs w:val="20"/>
                <w:color w:val="auto"/>
              </w:rPr>
            </w:pPr>
            <w:r>
              <w:rPr>
                <w:rFonts w:ascii="Arial" w:cs="Arial" w:eastAsia="Arial" w:hAnsi="Arial"/>
                <w:sz w:val="14"/>
                <w:szCs w:val="14"/>
                <w:b w:val="1"/>
                <w:bCs w:val="1"/>
                <w:color w:val="auto"/>
              </w:rPr>
              <w:t>For the Six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4"/>
          </w:tcPr>
          <w:p>
            <w:pPr>
              <w:jc w:val="center"/>
              <w:ind w:left="399"/>
              <w:spacing w:after="0" w:line="143" w:lineRule="exact"/>
              <w:rPr>
                <w:sz w:val="20"/>
                <w:szCs w:val="20"/>
                <w:color w:val="auto"/>
              </w:rPr>
            </w:pPr>
            <w:r>
              <w:rPr>
                <w:rFonts w:ascii="Arial" w:cs="Arial" w:eastAsia="Arial" w:hAnsi="Arial"/>
                <w:sz w:val="14"/>
                <w:szCs w:val="14"/>
                <w:b w:val="1"/>
                <w:bCs w:val="1"/>
                <w:color w:val="auto"/>
              </w:rPr>
              <w:t>For the Six Months Ended</w:t>
            </w:r>
          </w:p>
        </w:tc>
        <w:tc>
          <w:tcPr>
            <w:tcW w:w="480" w:type="dxa"/>
            <w:vAlign w:val="bottom"/>
          </w:tcPr>
          <w:p>
            <w:pPr>
              <w:spacing w:after="0"/>
              <w:rPr>
                <w:sz w:val="12"/>
                <w:szCs w:val="12"/>
                <w:color w:val="auto"/>
              </w:rPr>
            </w:pPr>
          </w:p>
        </w:tc>
      </w:tr>
      <w:tr>
        <w:trPr>
          <w:trHeight w:val="189"/>
        </w:trPr>
        <w:tc>
          <w:tcPr>
            <w:tcW w:w="5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45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r>
      <w:tr>
        <w:trPr>
          <w:trHeight w:val="195"/>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192"/>
        </w:trPr>
        <w:tc>
          <w:tcPr>
            <w:tcW w:w="5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5"/>
        </w:trPr>
        <w:tc>
          <w:tcPr>
            <w:tcW w:w="52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9"/>
              </w:rPr>
              <w:t>(36)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Net loss from experience differences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cost/(benefit)</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Curtailment credit </w:t>
            </w:r>
            <w:r>
              <w:rPr>
                <w:rFonts w:ascii="Arial" w:cs="Arial" w:eastAsia="Arial" w:hAnsi="Arial"/>
                <w:sz w:val="23"/>
                <w:szCs w:val="23"/>
                <w:color w:val="auto"/>
                <w:vertAlign w:val="superscript"/>
              </w:rPr>
              <w:t>(1)</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losses and other expenses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Net periodic pension cost/(benefit)</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right="80" w:hanging="332"/>
        <w:spacing w:after="0" w:line="276"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the second quarter of 2021, we made a decision to freeze our Defined Benefit Pension Scheme in the United Kingdom. As a result, we recognized a curtailment credit of $(14 million) for the three and six months ended June 30, 2021 recorded within benefit plan non-service income. We also incurred incentive payment charges and other expenses related to this decision of $44 million for the three months ended June 30, 2021 and $45 million for the six months ended June 30, 2021 included in operating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six months ended June 30, 2022, we contributed $1 million to our U.S. pension plans and $102 million to our non-U.S. pension plans, including $41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June 30, 2022, over the remainder of 2022, we plan to make further contributions of approximately $2 million to our U.S. plans and approximately $83 million to our non-U.S. plans. Our actual contributions may be different due to many factors, including changes in tax and other benefit laws, significant differences between expected and actual pension asset performance or interest rates.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July 11, 2019, we received an undiscounted withdrawal liability assessment related to our complete withdrawal from the Bakery and Confectionery Union and Industry International Pension Fund totaling $526 million requiring pro-rata monthly payments over 20 years. We began making monthly payments during the third quarter of 2019. In connection with the discounted long-term liability, we recorded accreted interest of $2 million and $5 million in the three and six months ended June 30, 2022 and $3 million and $6 million in the three months and six months ended June 30, 2021 within interest and other expense, net. As of June 30, 2022, the remaining discounted withdrawal liability was $352 million, with $15 million recorded in other current liabilities and $337 million recorded in long-term other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cost/(benefit)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gridSpan w:val="7"/>
          </w:tcPr>
          <w:p>
            <w:pPr>
              <w:jc w:val="center"/>
              <w:ind w:left="242"/>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gridSpan w:val="6"/>
          </w:tcPr>
          <w:p>
            <w:pPr>
              <w:jc w:val="center"/>
              <w:spacing w:after="0"/>
              <w:rPr>
                <w:sz w:val="20"/>
                <w:szCs w:val="20"/>
                <w:color w:val="auto"/>
              </w:rPr>
            </w:pPr>
            <w:r>
              <w:rPr>
                <w:rFonts w:ascii="Arial" w:cs="Arial" w:eastAsia="Arial" w:hAnsi="Arial"/>
                <w:sz w:val="14"/>
                <w:szCs w:val="14"/>
                <w:b w:val="1"/>
                <w:bCs w:val="1"/>
                <w:color w:val="auto"/>
              </w:rPr>
              <w:t>For the Six Months Ended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498"/>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9"/>
              </w:rPr>
              <w:t>(in millions)</w:t>
            </w:r>
          </w:p>
        </w:tc>
        <w:tc>
          <w:tcPr>
            <w:tcW w:w="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60" w:type="dxa"/>
            <w:vAlign w:val="bottom"/>
            <w:gridSpan w:val="3"/>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3"/>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Net loss from experience differences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Prior service credit</w:t>
            </w:r>
          </w:p>
        </w:tc>
        <w:tc>
          <w:tcPr>
            <w:tcW w:w="3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Net periodic postretirement health care cost/(benefit)</w:t>
            </w:r>
          </w:p>
        </w:tc>
        <w:tc>
          <w:tcPr>
            <w:tcW w:w="34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72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Postemployment Benefit Plans</w:t>
            </w: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48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860" w:type="dxa"/>
            <w:vAlign w:val="bottom"/>
            <w:gridSpan w:val="2"/>
          </w:tcPr>
          <w:p>
            <w:pPr>
              <w:spacing w:after="0"/>
              <w:rPr>
                <w:sz w:val="20"/>
                <w:szCs w:val="20"/>
                <w:color w:val="auto"/>
              </w:rPr>
            </w:pPr>
            <w:r>
              <w:rPr>
                <w:rFonts w:ascii="Arial" w:cs="Arial" w:eastAsia="Arial" w:hAnsi="Arial"/>
                <w:sz w:val="18"/>
                <w:szCs w:val="18"/>
                <w:color w:val="auto"/>
              </w:rPr>
              <w:t>Net periodic postemployment cost consisted of the following:</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0" w:type="dxa"/>
            <w:vAlign w:val="bottom"/>
            <w:gridSpan w:val="7"/>
          </w:tcPr>
          <w:p>
            <w:pPr>
              <w:jc w:val="center"/>
              <w:ind w:left="242"/>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60" w:type="dxa"/>
            <w:vAlign w:val="bottom"/>
            <w:gridSpan w:val="6"/>
          </w:tcPr>
          <w:p>
            <w:pPr>
              <w:jc w:val="center"/>
              <w:spacing w:after="0"/>
              <w:rPr>
                <w:sz w:val="20"/>
                <w:szCs w:val="20"/>
                <w:color w:val="auto"/>
              </w:rPr>
            </w:pPr>
            <w:r>
              <w:rPr>
                <w:rFonts w:ascii="Arial" w:cs="Arial" w:eastAsia="Arial" w:hAnsi="Arial"/>
                <w:sz w:val="14"/>
                <w:szCs w:val="14"/>
                <w:b w:val="1"/>
                <w:bCs w:val="1"/>
                <w:color w:val="auto"/>
              </w:rPr>
              <w:t>For the Six Months Ended</w:t>
            </w: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ind w:right="68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498"/>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9"/>
              </w:rPr>
              <w:t>(in millions)</w:t>
            </w:r>
          </w:p>
        </w:tc>
        <w:tc>
          <w:tcPr>
            <w:tcW w:w="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60" w:type="dxa"/>
            <w:vAlign w:val="bottom"/>
            <w:gridSpan w:val="3"/>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gridSpan w:val="3"/>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net gains</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Net periodic postemployment cost</w:t>
            </w:r>
          </w:p>
        </w:tc>
        <w:tc>
          <w:tcPr>
            <w:tcW w:w="360" w:type="dxa"/>
            <w:vAlign w:val="bottom"/>
            <w:gridSpan w:val="2"/>
          </w:tcPr>
          <w:p>
            <w:pPr>
              <w:spacing w:after="0"/>
              <w:rPr>
                <w:sz w:val="19"/>
                <w:szCs w:val="19"/>
                <w:color w:val="auto"/>
              </w:rPr>
            </w:pP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Stock Plans</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48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spacing w:after="0"/>
              <w:rPr>
                <w:sz w:val="20"/>
                <w:szCs w:val="20"/>
                <w:color w:val="auto"/>
              </w:rPr>
            </w:pPr>
            <w:r>
              <w:rPr>
                <w:rFonts w:ascii="Arial" w:cs="Arial" w:eastAsia="Arial" w:hAnsi="Arial"/>
                <w:sz w:val="18"/>
                <w:szCs w:val="18"/>
                <w:color w:val="auto"/>
              </w:rPr>
              <w:t>Stock option activity is reflected below:</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center"/>
              <w:ind w:right="520"/>
              <w:spacing w:after="0" w:line="145"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Aggregate</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restart"/>
          </w:tcPr>
          <w:p>
            <w:pPr>
              <w:jc w:val="right"/>
              <w:ind w:right="102"/>
              <w:spacing w:after="0"/>
              <w:rPr>
                <w:sz w:val="20"/>
                <w:szCs w:val="20"/>
                <w:color w:val="auto"/>
              </w:rPr>
            </w:pPr>
            <w:r>
              <w:rPr>
                <w:rFonts w:ascii="Arial" w:cs="Arial" w:eastAsia="Arial" w:hAnsi="Arial"/>
                <w:sz w:val="14"/>
                <w:szCs w:val="14"/>
                <w:b w:val="1"/>
                <w:bCs w:val="1"/>
                <w:color w:val="auto"/>
              </w:rPr>
              <w:t>Shares Subject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rPr>
              <w:t>Exercise or</w:t>
            </w:r>
          </w:p>
        </w:tc>
        <w:tc>
          <w:tcPr>
            <w:tcW w:w="280" w:type="dxa"/>
            <w:vAlign w:val="bottom"/>
          </w:tcPr>
          <w:p>
            <w:pPr>
              <w:spacing w:after="0"/>
              <w:rPr>
                <w:sz w:val="12"/>
                <w:szCs w:val="12"/>
                <w:color w:val="auto"/>
              </w:rPr>
            </w:pPr>
          </w:p>
        </w:tc>
        <w:tc>
          <w:tcPr>
            <w:tcW w:w="1320" w:type="dxa"/>
            <w:vAlign w:val="bottom"/>
            <w:gridSpan w:val="6"/>
          </w:tcPr>
          <w:p>
            <w:pPr>
              <w:jc w:val="center"/>
              <w:ind w:right="520"/>
              <w:spacing w:after="0" w:line="149" w:lineRule="exact"/>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4"/>
          </w:tcPr>
          <w:p>
            <w:pPr>
              <w:jc w:val="center"/>
              <w:ind w:right="440"/>
              <w:spacing w:after="0" w:line="135" w:lineRule="exact"/>
              <w:rPr>
                <w:sz w:val="20"/>
                <w:szCs w:val="20"/>
                <w:color w:val="auto"/>
              </w:rPr>
            </w:pPr>
            <w:r>
              <w:rPr>
                <w:rFonts w:ascii="Arial" w:cs="Arial" w:eastAsia="Arial" w:hAnsi="Arial"/>
                <w:sz w:val="14"/>
                <w:szCs w:val="14"/>
                <w:b w:val="1"/>
                <w:bCs w:val="1"/>
                <w:color w:val="auto"/>
              </w:rPr>
              <w:t>Grant Price</w:t>
            </w:r>
          </w:p>
        </w:tc>
        <w:tc>
          <w:tcPr>
            <w:tcW w:w="280" w:type="dxa"/>
            <w:vAlign w:val="bottom"/>
          </w:tcPr>
          <w:p>
            <w:pPr>
              <w:spacing w:after="0"/>
              <w:rPr>
                <w:sz w:val="11"/>
                <w:szCs w:val="11"/>
                <w:color w:val="auto"/>
              </w:rPr>
            </w:pPr>
          </w:p>
        </w:tc>
        <w:tc>
          <w:tcPr>
            <w:tcW w:w="1320" w:type="dxa"/>
            <w:vAlign w:val="bottom"/>
            <w:gridSpan w:val="6"/>
          </w:tcPr>
          <w:p>
            <w:pPr>
              <w:jc w:val="center"/>
              <w:ind w:right="520"/>
              <w:spacing w:after="0" w:line="135" w:lineRule="exact"/>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Intrinsic</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to Option</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90"/>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5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rPr>
              <w:t>23,503,759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center"/>
              <w:ind w:right="230"/>
              <w:spacing w:after="0"/>
              <w:rPr>
                <w:sz w:val="20"/>
                <w:szCs w:val="20"/>
                <w:color w:val="auto"/>
              </w:rPr>
            </w:pPr>
            <w:r>
              <w:rPr>
                <w:rFonts w:ascii="Arial" w:cs="Arial" w:eastAsia="Arial" w:hAnsi="Arial"/>
                <w:sz w:val="18"/>
                <w:szCs w:val="18"/>
                <w:color w:val="auto"/>
                <w:w w:val="98"/>
              </w:rPr>
              <w:t>$42.65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5 years</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556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million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Annual grant to eligible employees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Arial" w:cs="Arial" w:eastAsia="Arial" w:hAnsi="Arial"/>
                <w:sz w:val="18"/>
                <w:szCs w:val="18"/>
                <w:color w:val="auto"/>
              </w:rPr>
              <w:t>64.65</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2"/>
              <w:spacing w:after="0" w:line="203" w:lineRule="exact"/>
              <w:rPr>
                <w:sz w:val="20"/>
                <w:szCs w:val="20"/>
                <w:color w:val="auto"/>
              </w:rPr>
            </w:pPr>
            <w:r>
              <w:rPr>
                <w:rFonts w:ascii="Arial" w:cs="Arial" w:eastAsia="Arial" w:hAnsi="Arial"/>
                <w:sz w:val="18"/>
                <w:szCs w:val="18"/>
                <w:color w:val="auto"/>
              </w:rPr>
              <w:t>2,180,540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options issued</w:t>
            </w:r>
          </w:p>
        </w:tc>
        <w:tc>
          <w:tcPr>
            <w:tcW w:w="126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33,250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66.99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480"/>
              <w:spacing w:after="0"/>
              <w:rPr>
                <w:sz w:val="20"/>
                <w:szCs w:val="20"/>
                <w:color w:val="auto"/>
              </w:rPr>
            </w:pPr>
            <w:r>
              <w:rPr>
                <w:rFonts w:ascii="Arial" w:cs="Arial" w:eastAsia="Arial" w:hAnsi="Arial"/>
                <w:sz w:val="18"/>
                <w:szCs w:val="18"/>
                <w:color w:val="auto"/>
              </w:rPr>
              <w:t>Total options granted</w:t>
            </w: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8"/>
                <w:szCs w:val="18"/>
                <w:color w:val="auto"/>
              </w:rPr>
              <w:t>2,213,790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ind w:left="180"/>
              <w:spacing w:after="0"/>
              <w:rPr>
                <w:sz w:val="20"/>
                <w:szCs w:val="20"/>
                <w:color w:val="auto"/>
              </w:rPr>
            </w:pPr>
            <w:r>
              <w:rPr>
                <w:rFonts w:ascii="Arial" w:cs="Arial" w:eastAsia="Arial" w:hAnsi="Arial"/>
                <w:sz w:val="18"/>
                <w:szCs w:val="18"/>
                <w:color w:val="auto"/>
              </w:rPr>
              <w:t>64.69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(3,097,734)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35.75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million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Options canceled</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(279,021)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ind w:left="180"/>
              <w:spacing w:after="0"/>
              <w:rPr>
                <w:sz w:val="20"/>
                <w:szCs w:val="20"/>
                <w:color w:val="auto"/>
              </w:rPr>
            </w:pPr>
            <w:r>
              <w:rPr>
                <w:rFonts w:ascii="Arial" w:cs="Arial" w:eastAsia="Arial" w:hAnsi="Arial"/>
                <w:sz w:val="18"/>
                <w:szCs w:val="18"/>
                <w:color w:val="auto"/>
              </w:rPr>
              <w:t>55.03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rPr>
              <w:t>22,340,794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45.63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5 years</w:t>
            </w:r>
          </w:p>
        </w:tc>
        <w:tc>
          <w:tcPr>
            <w:tcW w:w="6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373</w:t>
            </w:r>
          </w:p>
        </w:tc>
        <w:tc>
          <w:tcPr>
            <w:tcW w:w="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million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340" w:right="220" w:hanging="332"/>
        <w:spacing w:after="0" w:line="283"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Cash received from options exercised was $31 million in the three months and $101 million in the six months ended June 30, 2022. The actual tax benefit realized and recorded in the provision for income taxes for the tax deductions from the option exercises totaled $4 million in the three months and $14 million in the six months ended June 30, 2022.</w:t>
      </w:r>
    </w:p>
    <w:p>
      <w:pPr>
        <w:sectPr>
          <w:pgSz w:w="11900" w:h="16838" w:orient="portrait"/>
          <w:cols w:equalWidth="0" w:num="1">
            <w:col w:w="11240"/>
          </w:cols>
          <w:pgMar w:left="320" w:top="364" w:right="3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Weighted-Average</w:t>
            </w:r>
          </w:p>
        </w:tc>
        <w:tc>
          <w:tcPr>
            <w:tcW w:w="16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Grant Date</w:t>
            </w:r>
          </w:p>
        </w:tc>
        <w:tc>
          <w:tcPr>
            <w:tcW w:w="1700" w:type="dxa"/>
            <w:vAlign w:val="bottom"/>
            <w:gridSpan w:val="4"/>
          </w:tcPr>
          <w:p>
            <w:pPr>
              <w:jc w:val="right"/>
              <w:ind w:right="680"/>
              <w:spacing w:after="0" w:line="149" w:lineRule="exact"/>
              <w:rPr>
                <w:sz w:val="20"/>
                <w:szCs w:val="20"/>
                <w:color w:val="auto"/>
              </w:rPr>
            </w:pPr>
            <w:r>
              <w:rPr>
                <w:rFonts w:ascii="Arial" w:cs="Arial" w:eastAsia="Arial" w:hAnsi="Arial"/>
                <w:sz w:val="14"/>
                <w:szCs w:val="14"/>
                <w:b w:val="1"/>
                <w:bCs w:val="1"/>
                <w:color w:val="auto"/>
              </w:rPr>
              <w:t>Fair Value</w:t>
            </w:r>
          </w:p>
        </w:tc>
        <w:tc>
          <w:tcPr>
            <w:tcW w:w="116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rPr>
              <w:t>Aggregate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Per Share</w:t>
            </w:r>
          </w:p>
        </w:tc>
        <w:tc>
          <w:tcPr>
            <w:tcW w:w="400" w:type="dxa"/>
            <w:vAlign w:val="bottom"/>
          </w:tcPr>
          <w:p>
            <w:pPr>
              <w:jc w:val="right"/>
              <w:ind w:right="182"/>
              <w:spacing w:after="0"/>
              <w:rPr>
                <w:sz w:val="20"/>
                <w:szCs w:val="20"/>
                <w:color w:val="auto"/>
              </w:rPr>
            </w:pPr>
            <w:r>
              <w:rPr>
                <w:rFonts w:ascii="Arial" w:cs="Arial" w:eastAsia="Arial" w:hAnsi="Arial"/>
                <w:sz w:val="11"/>
                <w:szCs w:val="11"/>
                <w:b w:val="1"/>
                <w:bCs w:val="1"/>
                <w:color w:val="auto"/>
                <w:w w:val="88"/>
              </w:rPr>
              <w:t>(3)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left="221"/>
              <w:spacing w:after="0" w:line="189" w:lineRule="exact"/>
              <w:rPr>
                <w:sz w:val="20"/>
                <w:szCs w:val="20"/>
                <w:color w:val="auto"/>
              </w:rPr>
            </w:pPr>
            <w:r>
              <w:rPr>
                <w:rFonts w:ascii="Arial" w:cs="Arial" w:eastAsia="Arial" w:hAnsi="Arial"/>
                <w:sz w:val="14"/>
                <w:szCs w:val="14"/>
                <w:b w:val="1"/>
                <w:bCs w:val="1"/>
                <w:color w:val="auto"/>
                <w:w w:val="97"/>
              </w:rPr>
              <w:t xml:space="preserve">Fair Value </w:t>
            </w:r>
            <w:r>
              <w:rPr>
                <w:rFonts w:ascii="Arial" w:cs="Arial" w:eastAsia="Arial" w:hAnsi="Arial"/>
                <w:sz w:val="21"/>
                <w:szCs w:val="21"/>
                <w:b w:val="1"/>
                <w:bCs w:val="1"/>
                <w:color w:val="auto"/>
                <w:w w:val="97"/>
                <w:vertAlign w:val="superscript"/>
              </w:rPr>
              <w:t>(3)</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rPr>
              <w:t>$57.04</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8"/>
                <w:szCs w:val="18"/>
                <w:color w:val="auto"/>
                <w:w w:val="99"/>
              </w:rPr>
              <w:t>Feb 24, 2022</w:t>
            </w: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4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Performance share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806,590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7"/>
              </w:rPr>
              <w:t>61.87</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480"/>
              <w:spacing w:after="0"/>
              <w:rPr>
                <w:sz w:val="20"/>
                <w:szCs w:val="20"/>
                <w:color w:val="auto"/>
              </w:rPr>
            </w:pPr>
            <w:r>
              <w:rPr>
                <w:rFonts w:ascii="Arial" w:cs="Arial" w:eastAsia="Arial" w:hAnsi="Arial"/>
                <w:sz w:val="18"/>
                <w:szCs w:val="18"/>
                <w:color w:val="auto"/>
              </w:rPr>
              <w:t>Deferred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505,090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left="315"/>
              <w:spacing w:after="0"/>
              <w:rPr>
                <w:sz w:val="20"/>
                <w:szCs w:val="20"/>
                <w:color w:val="auto"/>
              </w:rPr>
            </w:pPr>
            <w:r>
              <w:rPr>
                <w:rFonts w:ascii="Arial" w:cs="Arial" w:eastAsia="Arial" w:hAnsi="Arial"/>
                <w:sz w:val="18"/>
                <w:szCs w:val="18"/>
                <w:color w:val="auto"/>
                <w:w w:val="97"/>
              </w:rPr>
              <w:t>64.65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702,037</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9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7"/>
              </w:rPr>
              <w:t>60.28</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shares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2,013,717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left="315"/>
              <w:spacing w:after="0"/>
              <w:rPr>
                <w:sz w:val="20"/>
                <w:szCs w:val="20"/>
                <w:color w:val="auto"/>
              </w:rPr>
            </w:pPr>
            <w:r>
              <w:rPr>
                <w:rFonts w:ascii="Arial" w:cs="Arial" w:eastAsia="Arial" w:hAnsi="Arial"/>
                <w:sz w:val="18"/>
                <w:szCs w:val="18"/>
                <w:color w:val="auto"/>
                <w:w w:val="97"/>
              </w:rPr>
              <w:t>62.01</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125</w:t>
            </w:r>
          </w:p>
        </w:tc>
        <w:tc>
          <w:tcPr>
            <w:tcW w:w="520" w:type="dxa"/>
            <w:vAlign w:val="bottom"/>
          </w:tcPr>
          <w:p>
            <w:pPr>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(1,710,015)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7"/>
              </w:rPr>
              <w:t>55.31</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95</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(273,663)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center"/>
              <w:ind w:left="315"/>
              <w:spacing w:after="0"/>
              <w:rPr>
                <w:sz w:val="20"/>
                <w:szCs w:val="20"/>
                <w:color w:val="auto"/>
              </w:rPr>
            </w:pPr>
            <w:r>
              <w:rPr>
                <w:rFonts w:ascii="Arial" w:cs="Arial" w:eastAsia="Arial" w:hAnsi="Arial"/>
                <w:sz w:val="18"/>
                <w:szCs w:val="18"/>
                <w:color w:val="auto"/>
                <w:w w:val="97"/>
              </w:rPr>
              <w:t>61.01</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4,698,085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97"/>
              </w:rPr>
              <w:t>59.57</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28" w:lineRule="exact"/>
        <w:rPr>
          <w:rFonts w:ascii="Arial" w:cs="Arial" w:eastAsia="Arial" w:hAnsi="Arial"/>
          <w:sz w:val="14"/>
          <w:szCs w:val="14"/>
          <w:color w:val="auto"/>
        </w:rPr>
      </w:pPr>
    </w:p>
    <w:p>
      <w:pPr>
        <w:ind w:left="340" w:right="420" w:hanging="332"/>
        <w:spacing w:after="0" w:line="26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actual tax benefit/(expense) realized and recorded in the provision for income taxes for the tax deductions from the shares vested totaled $(1) million in the three months and $4 million in the six months ended June 30, 2022.</w:t>
      </w:r>
    </w:p>
    <w:p>
      <w:pPr>
        <w:ind w:left="340" w:right="20" w:hanging="332"/>
        <w:spacing w:after="0" w:line="262"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On December 2, 2020, our Board of Directors approved an increase of $4.0 billion in the share repurchase program, raising the authorization to $23.7 billion of Common Stock repurchases, and extended the program through December 31, 2023. Repurchases under the program are determined by management and are wholly discretionary. Prior to January 1, 2022, we had repurchased approximately $20.0 billion of Common Stock pursuant to this authorization. During the six months ended June 30, 2022, we repurchased approximately 23 million shares of Common Stock at an average cost of $64.39 per share, or an aggregate cost of approximately $1.5 billion, all of which was paid during the period except for approximately $15 million settled in July 2022. All share repurchases were funded through available cash and commercial paper issuances. As of June 30, 2022, we have approximately $2.2 billion in remaining share repurchase capacity.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routinely are involved in legal proceedings, claims, disputes, regulatory matters and governmental inspections or investigations arising in the ordinary course of or incidental to our business, including those noted below in this section. We record provisions in the consolidated financial statements for pending litigation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 trading of December 2011 wheat futures contracts that occurred prior to the spin-off of Kraft Foods Group. The complaint alleged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sought civil monetary penalties of either triple the monetary gain for each violation of the Commodity Exchange Act (the “Act”) or $1 million for each violation of Section 6(c)(1), 6(c)(3) or 9(a)</w:t>
      </w:r>
    </w:p>
    <w:p>
      <w:pPr>
        <w:spacing w:after="0" w:line="3" w:lineRule="exact"/>
        <w:rPr>
          <w:sz w:val="20"/>
          <w:szCs w:val="20"/>
          <w:color w:val="auto"/>
        </w:rPr>
      </w:pPr>
    </w:p>
    <w:p>
      <w:pPr>
        <w:ind w:right="20" w:firstLine="8"/>
        <w:spacing w:after="0" w:line="251"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of the Act and $140,000 for each additional violation of the Act, plus post-judgment interest; an order of permanent injunction prohibiting Kraft Foods Group and Mondelēz Global from violating specified provisions of the Act; disgorgement of profits; and costs and fees.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monetary damages, interest and unjust enrichment; costs and fees; and injunctive, declaratory and other unspecified relief. In June 2015, these suits were consolidated in the United States District Court for the Northern District of Illinois as case number 15-cv-2937, </w:t>
      </w:r>
      <w:r>
        <w:rPr>
          <w:rFonts w:ascii="Arial" w:cs="Arial" w:eastAsia="Arial" w:hAnsi="Arial"/>
          <w:sz w:val="18"/>
          <w:szCs w:val="18"/>
          <w:i w:val="1"/>
          <w:iCs w:val="1"/>
          <w:color w:val="auto"/>
        </w:rPr>
        <w:t>Harry Ploss et al. v. Kraft Foods Group, Inc. and</w:t>
      </w:r>
      <w:r>
        <w:rPr>
          <w:rFonts w:ascii="Arial" w:cs="Arial" w:eastAsia="Arial" w:hAnsi="Arial"/>
          <w:sz w:val="18"/>
          <w:szCs w:val="18"/>
          <w:color w:val="auto"/>
        </w:rPr>
        <w:t xml:space="preserve"> </w:t>
      </w:r>
      <w:r>
        <w:rPr>
          <w:rFonts w:ascii="Arial" w:cs="Arial" w:eastAsia="Arial" w:hAnsi="Arial"/>
          <w:sz w:val="18"/>
          <w:szCs w:val="18"/>
          <w:i w:val="1"/>
          <w:iCs w:val="1"/>
          <w:color w:val="auto"/>
        </w:rPr>
        <w:t>Mondelēz Global LLC</w:t>
      </w:r>
      <w:r>
        <w:rPr>
          <w:rFonts w:ascii="Arial" w:cs="Arial" w:eastAsia="Arial" w:hAnsi="Arial"/>
          <w:sz w:val="18"/>
          <w:szCs w:val="18"/>
          <w:color w:val="auto"/>
        </w:rPr>
        <w:t>. On January 3, 2020, the District Court granted plaintiffs' request to certify a class. It is not possible to predict the</w:t>
      </w:r>
      <w:r>
        <w:rPr>
          <w:rFonts w:ascii="Arial" w:cs="Arial" w:eastAsia="Arial" w:hAnsi="Arial"/>
          <w:sz w:val="18"/>
          <w:szCs w:val="18"/>
          <w:i w:val="1"/>
          <w:iCs w:val="1"/>
          <w:color w:val="auto"/>
        </w:rPr>
        <w:t xml:space="preserve"> </w:t>
      </w:r>
      <w:r>
        <w:rPr>
          <w:rFonts w:ascii="Arial" w:cs="Arial" w:eastAsia="Arial" w:hAnsi="Arial"/>
          <w:sz w:val="18"/>
          <w:szCs w:val="18"/>
          <w:color w:val="auto"/>
        </w:rPr>
        <w:t>outcome of these matters; however, based on our Separation and Distribution Agreement with Kraft Foods Group dated as of September 27, 2012, we expect to bear any monetary penalties or other payments in connection with the class action. Although the CFTC action and the class action complaints involve the same alleged conduct, the resolution of the CFTC matter may not be dispositive as to the outcome of the class action.</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2019, the European Commission informed us that it initiated an investigation into our alleged infringement of European Union competition law through certain practices restricting cross-border trade within the European Economic Area. On January 28, 2021, the European Commission announced it took the next procedural step in its investigation and opened formal proceedings. We are cooperating with the investigation and are engaging with the European Commission as its investigation proceeds. It is not possible to predict how long the investigation will take or the ultimate outcome of this matter.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5"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June 30, 2022, we had no material third-party guarantees recorded on our condensed consolidated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257"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w:t>
      </w:r>
    </w:p>
    <w:p>
      <w:pPr>
        <w:ind w:right="180"/>
        <w:spacing w:after="0" w:line="297" w:lineRule="auto"/>
        <w:rPr>
          <w:sz w:val="20"/>
          <w:szCs w:val="20"/>
          <w:color w:val="auto"/>
        </w:rPr>
      </w:pPr>
      <w:r>
        <w:rPr>
          <w:rFonts w:ascii="Arial" w:cs="Arial" w:eastAsia="Arial" w:hAnsi="Arial"/>
          <w:sz w:val="16"/>
          <w:szCs w:val="16"/>
          <w:color w:val="auto"/>
        </w:rPr>
        <w:t xml:space="preserve">losses of $(82) million in the second quarter of 2022 and $25 million in the second quarter of 2021 and $(40) million in the first </w:t>
      </w:r>
      <w:r>
        <w:rPr>
          <w:rFonts w:ascii="Arial" w:cs="Arial" w:eastAsia="Arial" w:hAnsi="Arial"/>
          <w:sz w:val="17"/>
          <w:szCs w:val="17"/>
          <w:color w:val="auto"/>
        </w:rPr>
        <w:t>six</w:t>
      </w:r>
      <w:r>
        <w:rPr>
          <w:rFonts w:ascii="Arial" w:cs="Arial" w:eastAsia="Arial" w:hAnsi="Arial"/>
          <w:sz w:val="16"/>
          <w:szCs w:val="16"/>
          <w:color w:val="auto"/>
        </w:rPr>
        <w:t xml:space="preserve"> months of 2022 and $59 million in the first </w:t>
      </w:r>
      <w:r>
        <w:rPr>
          <w:rFonts w:ascii="Arial" w:cs="Arial" w:eastAsia="Arial" w:hAnsi="Arial"/>
          <w:sz w:val="17"/>
          <w:szCs w:val="17"/>
          <w:color w:val="auto"/>
        </w:rPr>
        <w:t>six</w:t>
      </w:r>
      <w:r>
        <w:rPr>
          <w:rFonts w:ascii="Arial" w:cs="Arial" w:eastAsia="Arial" w:hAnsi="Arial"/>
          <w:sz w:val="16"/>
          <w:szCs w:val="16"/>
          <w:color w:val="auto"/>
        </w:rPr>
        <w:t xml:space="preserve"> months of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254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3"/>
          </w:tcPr>
          <w:p>
            <w:pPr>
              <w:jc w:val="right"/>
              <w:ind w:right="48"/>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Currency Translation Adjustments: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(9,043)</w:t>
            </w:r>
          </w:p>
        </w:tc>
        <w:tc>
          <w:tcPr>
            <w:tcW w:w="12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(8,782)</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(9,097)</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(8,655)</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translation adjustments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 (expense)/benefit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line="153" w:lineRule="exact"/>
              <w:rPr>
                <w:sz w:val="20"/>
                <w:szCs w:val="20"/>
                <w:color w:val="auto"/>
              </w:rPr>
            </w:pPr>
            <w:r>
              <w:rPr>
                <w:rFonts w:ascii="Arial" w:cs="Arial" w:eastAsia="Arial" w:hAnsi="Arial"/>
                <w:sz w:val="14"/>
                <w:szCs w:val="14"/>
                <w:color w:val="auto"/>
              </w:rPr>
              <w:t>Less: other comprehensive (earnings)/loss attributable to noncontrolling</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5"/>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(8,627)</w:t>
            </w:r>
          </w:p>
        </w:tc>
        <w:tc>
          <w:tcPr>
            <w:tcW w:w="0" w:type="dxa"/>
            <w:vAlign w:val="bottom"/>
          </w:tcPr>
          <w:p>
            <w:pPr>
              <w:spacing w:after="0"/>
              <w:rPr>
                <w:sz w:val="1"/>
                <w:szCs w:val="1"/>
                <w:color w:val="auto"/>
              </w:rPr>
            </w:pPr>
          </w:p>
        </w:tc>
      </w:tr>
      <w:tr>
        <w:trPr>
          <w:trHeight w:val="182"/>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Pension and Other Benefit Plans: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Net actuarial gain/(loss) arising during period</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(expense)/benefit on net actuarial gain/(loss)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Amortization of experience losses and prior service costs </w:t>
            </w:r>
            <w:r>
              <w:rPr>
                <w:rFonts w:ascii="Arial" w:cs="Arial" w:eastAsia="Arial" w:hAnsi="Arial"/>
                <w:sz w:val="9"/>
                <w:szCs w:val="9"/>
                <w:color w:val="auto"/>
              </w:rPr>
              <w:t>(2)</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 xml:space="preserve">Settlement losses and other expenses </w:t>
            </w:r>
            <w:r>
              <w:rPr>
                <w:rFonts w:ascii="Arial" w:cs="Arial" w:eastAsia="Arial" w:hAnsi="Arial"/>
                <w:sz w:val="9"/>
                <w:szCs w:val="9"/>
                <w:color w:val="auto"/>
              </w:rPr>
              <w:t>(2)</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Curtailment credit </w:t>
            </w:r>
            <w:r>
              <w:rPr>
                <w:rFonts w:ascii="Arial" w:cs="Arial" w:eastAsia="Arial" w:hAnsi="Arial"/>
                <w:sz w:val="9"/>
                <w:szCs w:val="9"/>
                <w:color w:val="auto"/>
              </w:rPr>
              <w:t>(2)</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9"/>
                <w:szCs w:val="9"/>
                <w:color w:val="auto"/>
              </w:rPr>
              <w:t>(3)</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182"/>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Derivative Cash Flow Hedges: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Net derivative gains/(losses)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(expense)/benefit on net derivative gain/(loss)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Currency exchange contracts</w:t>
            </w:r>
            <w:r>
              <w:rPr>
                <w:rFonts w:ascii="Arial" w:cs="Arial" w:eastAsia="Arial" w:hAnsi="Arial"/>
                <w:sz w:val="9"/>
                <w:szCs w:val="9"/>
                <w:color w:val="auto"/>
              </w:rPr>
              <w:t>(4)</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 xml:space="preserve">Interest rate contracts </w:t>
            </w:r>
            <w:r>
              <w:rPr>
                <w:rFonts w:ascii="Arial" w:cs="Arial" w:eastAsia="Arial" w:hAnsi="Arial"/>
                <w:sz w:val="9"/>
                <w:szCs w:val="9"/>
                <w:color w:val="auto"/>
              </w:rPr>
              <w:t>(2)(4)</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9"/>
                <w:szCs w:val="9"/>
                <w:color w:val="auto"/>
              </w:rPr>
              <w:t>(3)</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37"/>
        </w:trPr>
        <w:tc>
          <w:tcPr>
            <w:tcW w:w="52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Accumulated other comprehensive income</w:t>
            </w: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attributable to Mondelēz International:</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(10,425)</w:t>
            </w:r>
          </w:p>
        </w:tc>
        <w:tc>
          <w:tcPr>
            <w:tcW w:w="12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(10,746)</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(10,624)</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(10,690)</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other comprehensive earnings/(losses)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line="153" w:lineRule="exact"/>
              <w:rPr>
                <w:sz w:val="20"/>
                <w:szCs w:val="20"/>
                <w:color w:val="auto"/>
              </w:rPr>
            </w:pPr>
            <w:r>
              <w:rPr>
                <w:rFonts w:ascii="Arial" w:cs="Arial" w:eastAsia="Arial" w:hAnsi="Arial"/>
                <w:sz w:val="14"/>
                <w:szCs w:val="14"/>
                <w:color w:val="auto"/>
              </w:rPr>
              <w:t>Less: other comprehensive (earnings)/loss attributable to noncontrolling</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5"/>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 attributable to Mondelēz International</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0"/>
        </w:trPr>
        <w:tc>
          <w:tcPr>
            <w:tcW w:w="5200" w:type="dxa"/>
            <w:vAlign w:val="bottom"/>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net periodic benefit costs disclosed in Note 10,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amounts include equity method investment transactions recorded within gain on equity method investment transactions.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the second quarter of 2022, our estimated annual effective tax rate, which excludes discrete tax impacts, was 24.4%.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The estimated annual effective tax rate also considers the impact of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establishment of a valuation allowance related to a deferred tax asset arising from the anticipated 2022 Ukraine</w:t>
      </w:r>
    </w:p>
    <w:p>
      <w:pPr>
        <w:spacing w:after="0" w:line="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loss. Our 2022 second quarter effective tax rate of 23.4% was favorably impacted by discrete net tax benefits of $2 million. The discrete net tax benefit primarily consisted of a net benefit from the release of liabilities for uncertain tax positions due to expirations of statutes of limitations and audit settlements in several jurisdictions and an expense from tax law changes in various jurisdictions. Our effective tax rate for the six months ended June 30, 2022 of 22.6% was favorably impacted by discrete net tax benefits of $64 million primarily driven by the Chipita acquisition.</w:t>
      </w:r>
    </w:p>
    <w:p>
      <w:pPr>
        <w:spacing w:after="0" w:line="2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the second quarter of 2021, our estimated annual effective tax rate, which excluded discrete tax impacts, was 23.7%.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2021 second quarter effective tax rate of 45.9% was unusually high due to a $128 million tax expense incurred in connection with the KDP share sale that occurred during the second quarter (the related gain is reported separately in our statement of earnings and thus not included in earnings before income taxes). Excluding this impact, our second quarter effective tax rate was 31.1%, reflecting a discrete net tax expense of $ 81 million. The discrete net tax expense primarily consisted of a $95 million net tax expense from the increase of our deferred tax liabilities resulting from tax legislation enacted during the second quarter (mainly in the United Kingdom), partially offset by a $11 million net benefit from the release of liabilities for uncertain tax positions due to expirations of statutes of limitations and audit settlements in several jurisdictions. Our effective tax rate for the six months ended June 30, 2021 of 30.9% was also unusually high due to the $128 million net tax expense incurred in connection with the KDP share sale. Excluding this impact, our effective tax rate for the six months ended June 30, 2021 was 24.5%, which was unfavorably impacted by discrete net tax expense of $15 million, primarily driven by $99 million net tax expense from the increase of our deferred tax liabilities resulting from enacted tax legislation (mainly in the United Kingdom) partially offset by a $43 million net benefit from the release of liabilities for uncertain tax positions due to expirations of statutes of limitations and audit settlements in several jurisdictions and a $27 million benefit from a U.S. amended tax return filed to reflect new guidance from the U.S. Treasury Department.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000" w:type="dxa"/>
            <w:vAlign w:val="bottom"/>
            <w:gridSpan w:val="6"/>
          </w:tcPr>
          <w:p>
            <w:pPr>
              <w:ind w:left="48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9"/>
        </w:trPr>
        <w:tc>
          <w:tcPr>
            <w:tcW w:w="53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5"/>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 attributable to Mondelēz International</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1,382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1,407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1,385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176"/>
        </w:trPr>
        <w:tc>
          <w:tcPr>
            <w:tcW w:w="5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Plus incremental shares from assumed conversions</w:t>
            </w:r>
          </w:p>
        </w:tc>
        <w:tc>
          <w:tcPr>
            <w:tcW w:w="8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8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1,389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Basic earnings per share attributable to</w:t>
            </w:r>
          </w:p>
        </w:tc>
        <w:tc>
          <w:tcPr>
            <w:tcW w:w="860" w:type="dxa"/>
            <w:vAlign w:val="bottom"/>
            <w:vMerge w:val="restart"/>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6"/>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40" w:type="dxa"/>
            <w:vAlign w:val="bottom"/>
            <w:vMerge w:val="continue"/>
          </w:tcPr>
          <w:p>
            <w:pPr>
              <w:spacing w:after="0"/>
              <w:rPr>
                <w:sz w:val="10"/>
                <w:szCs w:val="10"/>
                <w:color w:val="auto"/>
              </w:rPr>
            </w:pPr>
          </w:p>
        </w:tc>
        <w:tc>
          <w:tcPr>
            <w:tcW w:w="860" w:type="dxa"/>
            <w:vAlign w:val="bottom"/>
            <w:vMerge w:val="restart"/>
          </w:tcPr>
          <w:p>
            <w:pPr>
              <w:jc w:val="right"/>
              <w:ind w:right="655"/>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0"/>
                <w:szCs w:val="10"/>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10"/>
                <w:szCs w:val="1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1"/>
        </w:trPr>
        <w:tc>
          <w:tcPr>
            <w:tcW w:w="534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5340" w:type="dxa"/>
            <w:vAlign w:val="bottom"/>
          </w:tcPr>
          <w:p>
            <w:pPr>
              <w:spacing w:after="0"/>
              <w:rPr>
                <w:sz w:val="24"/>
                <w:szCs w:val="24"/>
                <w:color w:val="auto"/>
              </w:rPr>
            </w:pPr>
          </w:p>
        </w:tc>
        <w:tc>
          <w:tcPr>
            <w:tcW w:w="860" w:type="dxa"/>
            <w:vAlign w:val="bottom"/>
          </w:tcPr>
          <w:p>
            <w:pPr>
              <w:jc w:val="right"/>
              <w:ind w:right="395"/>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and performance share units of 3.4 million in the second quarter of 2022 and 3.4 million in the second quarter of 2021 and 2.7 million in the first six months of 2022 and 3.6 million in the first six months of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5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We manufacture and market primarily snack food products, including biscuits, chocolate, gum &amp; candy and various cheese &amp; grocery products, as well as powdered beverage products.</w:t>
      </w:r>
    </w:p>
    <w:p>
      <w:pPr>
        <w:spacing w:after="0" w:line="18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3"/>
          </w:tcPr>
          <w:p>
            <w:pPr>
              <w:ind w:left="70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Europe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2,626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2,237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7,274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AMEA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(losses)/gains on hedging activities</w:t>
            </w:r>
          </w:p>
        </w:tc>
        <w:tc>
          <w:tcPr>
            <w:tcW w:w="8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88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w w:val="99"/>
              </w:rPr>
              <w:t>(78)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9"/>
              </w:rPr>
              <w:t>(32)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Gain on acquisition</w:t>
            </w:r>
          </w:p>
        </w:tc>
        <w:tc>
          <w:tcPr>
            <w:tcW w:w="8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9"/>
              </w:rPr>
              <w:t>(17)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(58)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Note 3, </w:t>
      </w:r>
      <w:r>
        <w:rPr>
          <w:rFonts w:ascii="Arial" w:cs="Arial" w:eastAsia="Arial" w:hAnsi="Arial"/>
          <w:sz w:val="18"/>
          <w:szCs w:val="18"/>
          <w:i w:val="1"/>
          <w:iCs w:val="1"/>
          <w:color w:val="auto"/>
        </w:rPr>
        <w:t>Inventories</w:t>
      </w:r>
      <w:r>
        <w:rPr>
          <w:rFonts w:ascii="Arial" w:cs="Arial" w:eastAsia="Arial" w:hAnsi="Arial"/>
          <w:sz w:val="18"/>
          <w:szCs w:val="18"/>
          <w:color w:val="auto"/>
        </w:rPr>
        <w:t>, Note 4,</w:t>
      </w:r>
      <w:r>
        <w:rPr>
          <w:rFonts w:ascii="Arial" w:cs="Arial" w:eastAsia="Arial" w:hAnsi="Arial"/>
          <w:sz w:val="18"/>
          <w:szCs w:val="18"/>
          <w:i w:val="1"/>
          <w:iCs w:val="1"/>
          <w:color w:val="auto"/>
        </w:rPr>
        <w:t xml:space="preserve"> 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Also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more information on our interest and other expense, net for each period.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June 30, 2022</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0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400" w:type="dxa"/>
            <w:vAlign w:val="bottom"/>
          </w:tcPr>
          <w:p>
            <w:pPr>
              <w:spacing w:after="0"/>
              <w:rPr>
                <w:sz w:val="12"/>
                <w:szCs w:val="12"/>
                <w:color w:val="auto"/>
              </w:rPr>
            </w:pPr>
          </w:p>
        </w:tc>
        <w:tc>
          <w:tcPr>
            <w:tcW w:w="114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9"/>
              </w:rPr>
              <w:t xml:space="preserve">Three Months Ended June 30, 2021 </w:t>
            </w:r>
            <w:r>
              <w:rPr>
                <w:rFonts w:ascii="Arial" w:cs="Arial" w:eastAsia="Arial" w:hAnsi="Arial"/>
                <w:sz w:val="18"/>
                <w:szCs w:val="18"/>
                <w:b w:val="1"/>
                <w:bCs w:val="1"/>
                <w:color w:val="auto"/>
                <w:w w:val="99"/>
                <w:vertAlign w:val="superscript"/>
              </w:rPr>
              <w:t>(1)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0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400" w:type="dxa"/>
            <w:vAlign w:val="bottom"/>
          </w:tcPr>
          <w:p>
            <w:pPr>
              <w:spacing w:after="0"/>
              <w:rPr>
                <w:sz w:val="12"/>
                <w:szCs w:val="12"/>
                <w:color w:val="auto"/>
              </w:rPr>
            </w:pPr>
          </w:p>
        </w:tc>
        <w:tc>
          <w:tcPr>
            <w:tcW w:w="114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6,642</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Six Months Ended June 30, 2022</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0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400" w:type="dxa"/>
            <w:vAlign w:val="bottom"/>
          </w:tcPr>
          <w:p>
            <w:pPr>
              <w:spacing w:after="0"/>
              <w:rPr>
                <w:sz w:val="12"/>
                <w:szCs w:val="12"/>
                <w:color w:val="auto"/>
              </w:rPr>
            </w:pPr>
          </w:p>
        </w:tc>
        <w:tc>
          <w:tcPr>
            <w:tcW w:w="114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15,038</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655"/>
              <w:spacing w:after="0"/>
              <w:rPr>
                <w:sz w:val="20"/>
                <w:szCs w:val="20"/>
                <w:color w:val="auto"/>
              </w:rPr>
            </w:pPr>
            <w:r>
              <w:rPr>
                <w:rFonts w:ascii="Arial" w:cs="Arial" w:eastAsia="Arial" w:hAnsi="Arial"/>
                <w:sz w:val="14"/>
                <w:szCs w:val="14"/>
                <w:b w:val="1"/>
                <w:bCs w:val="1"/>
                <w:color w:val="auto"/>
              </w:rPr>
              <w:t xml:space="preserve">Six Months Ended June 30, 2021 </w:t>
            </w:r>
            <w:r>
              <w:rPr>
                <w:rFonts w:ascii="Arial" w:cs="Arial" w:eastAsia="Arial" w:hAnsi="Arial"/>
                <w:sz w:val="18"/>
                <w:szCs w:val="18"/>
                <w:b w:val="1"/>
                <w:bCs w:val="1"/>
                <w:color w:val="auto"/>
                <w:vertAlign w:val="superscript"/>
              </w:rPr>
              <w:t>(1)</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0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400" w:type="dxa"/>
            <w:vAlign w:val="bottom"/>
          </w:tcPr>
          <w:p>
            <w:pPr>
              <w:spacing w:after="0"/>
              <w:rPr>
                <w:sz w:val="12"/>
                <w:szCs w:val="12"/>
                <w:color w:val="auto"/>
              </w:rPr>
            </w:pPr>
          </w:p>
        </w:tc>
        <w:tc>
          <w:tcPr>
            <w:tcW w:w="114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5,321</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right="140" w:hanging="332"/>
        <w:spacing w:after="0" w:line="285" w:lineRule="auto"/>
        <w:tabs>
          <w:tab w:leader="none" w:pos="392"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snack product categories include biscuits, chocolate and gum &amp; candy. During the first quarter of 2022, we realigned some of our products between our biscuits and chocolate categories; as such, we reclassified the product category net revenues on a basis consistent with the 2022 presentation.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make and sell primarily snacks, including biscuits, chocolate, gum &amp; candy as well as various cheese &amp; grocery and powdered beverage products around the world.</w:t>
      </w:r>
    </w:p>
    <w:p>
      <w:pPr>
        <w:spacing w:after="0" w:line="18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aim to be the global leader in snacking. In May 2022, we announced the evolution of our strategy to drive long-term growth by focusing on four strategic pillars and priorities: accelerating consumer-centric growth, driving operational excellence, creating a winning growth culture and scaling sustainable snacking. We also announced our plans to reshape our portfolio, with a focus on extending our leadership positions in chocolate and biscuits as well as baked snacks. We seek to further enable our growth by investing in our strong and inclusive talent, brand portfolio and digital technologies and skills, as well as our sales and marketing capabilities. We believe the successful implementation of our strategic priorities and leveraging of our strong foundation of iconic global and local brands, an attractive global footprint, our market leadership in developed and emerging markets, our deep innovation, marketing and distribution capabilities, and our efficiency and sustainability efforts, will drive top- and bottom-line growth, enabling us to continue to create long-term value for our shareholders.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 in Ukraine</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February 2022, Russia began a military invasion of Ukraine. For the safety of our employees, we stopped production and closed our facilities in Ukraine. We are providing all of our employees with compensation and with help in securing shelter in neighboring countries. We have also made cash and in-kind donations to several humanitarian aid organizations in the region.</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March 2022, our two Ukrainian manufacturing facilities in Trostyanets and Vyshhorod were significantly damaged. In connection with the damage to these plants and impairment of other assets, primarily inventory, other plant, property and equipment, as well as increased allowances on our receivables, during the first quarter of 2022, we recorded $143 million of charges directly incurred as a result of the war in Ukraine, including an accrual for continued compensation for our employees in Ukraine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to the condensed consolidated financial statements, and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for additional information.) We have increased operations and continue to provide resources in other primarily European manufacturing and distribution facilities to seek to continue supplying our Ukraine business's customers and consumers across Europe.</w:t>
      </w:r>
    </w:p>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second quarter of 2022, the war continued through parts of Ukraine. Our Trostyanets plant continues to be significantly damaged. In our Vyshhorod plant, we made and continue to make targeted repairs. We relaunched our systems and implemented additional safety and security measures. In late June, we decided to partially reopen the Vyshhorod plant and restart limited potato chip production. During the second quarter of 2022, we reversed approximately $15 million of previously recorded charges as a result of higher than expected collection of trade receivables and inventory recoveries.</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food company, we continue to work to support the continuity of food supply and provide packaged foods to consumers. We have discontinued new capital investments and suspended our advertising spending in Russia, but as a food company with more than 2,500 employees in Russia, we have not ceased operations given we believe we play a role in the continuity of the food supply. We are required to comply with applicable international sanctions and other measures that have been or may be imposed on Russian entities. We continue to evaluate the situation in Ukraine and Russia and our ability to control our operating activities and businesses on an ongoing basis, and we continue to consolidate both our Ukrainian and Russian subsidiaries. Prior to the onset of the war, Ukraine generated 0.5% and Russia generated 2.9% of 2021 consolidated net revenues. The war has not had a material impact on our Russian entities during the first six months of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provide more information on risks related to the war in Ukraine in our </w:t>
      </w:r>
      <w:r>
        <w:rPr>
          <w:rFonts w:ascii="Arial" w:cs="Arial" w:eastAsia="Arial" w:hAnsi="Arial"/>
          <w:sz w:val="18"/>
          <w:szCs w:val="18"/>
          <w:i w:val="1"/>
          <w:iCs w:val="1"/>
          <w:color w:val="auto"/>
        </w:rPr>
        <w:t>Financial Outlook</w:t>
      </w:r>
      <w:r>
        <w:rPr>
          <w:rFonts w:ascii="Arial" w:cs="Arial" w:eastAsia="Arial" w:hAnsi="Arial"/>
          <w:sz w:val="18"/>
          <w:szCs w:val="18"/>
          <w:color w:val="auto"/>
        </w:rPr>
        <w:t xml:space="preserve"> and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section, Item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and under Item 1A,</w:t>
      </w:r>
      <w:r>
        <w:rPr>
          <w:rFonts w:ascii="Arial" w:cs="Arial" w:eastAsia="Arial" w:hAnsi="Arial"/>
          <w:sz w:val="18"/>
          <w:szCs w:val="18"/>
          <w:i w:val="1"/>
          <w:iCs w:val="1"/>
          <w:color w:val="auto"/>
        </w:rPr>
        <w:t xml:space="preserve"> Risk Factors</w:t>
      </w:r>
      <w:r>
        <w:rPr>
          <w:rFonts w:ascii="Arial" w:cs="Arial" w:eastAsia="Arial" w:hAnsi="Arial"/>
          <w:sz w:val="18"/>
          <w:szCs w:val="18"/>
          <w:color w:val="auto"/>
        </w:rPr>
        <w: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third year of the COVID-19 global pandemic, our main priority remains the safety of our employees as well as continuing to help maintain the global food supply. During the pandemic, we experienced an overall increase in demand and revenue growth as consumers increased their food purchases for in-home consumption in many markets, while parts of our business were negatively affected by related lockdowns and restrictions. In late 2021, global supply chain, transportation and labor issues escalated and we experienced significantly higher operating costs, including higher overall raw material, transportation, labor and energy costs that have continued to rise in 2022 as the pandemic continues to affect global markets and operations.</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During the first six months of 2022, our net revenues continued to increase with growth of 8.3% and Organic Net Revenue growth of 10.7%, compared to the first six months of 2021. In the first half of 2022, we continued to see increased demand primarily for our snack category products and revenue growth in both our emerging and developed markets relative to the first half of 2021. We continued to also experience significantly higher operating costs. See additional details on our results in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During the pandemic, we continued to closely monitor our cash position and cash flows and worked to increase our access to financing. As of June 30, 2022, our liquidity remains strong. During the first quarter of 2022, we funded our acquisition of Chipita (see additional information below) and issued $2 billion of long-term debt, refinancing approximately $2 billion of tendered and redeemed debt (refer to Note 8,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Borrowing Arrangements </w:t>
      </w:r>
      <w:r>
        <w:rPr>
          <w:rFonts w:ascii="Arial" w:cs="Arial" w:eastAsia="Arial" w:hAnsi="Arial"/>
          <w:sz w:val="18"/>
          <w:szCs w:val="18"/>
          <w:color w:val="auto"/>
        </w:rPr>
        <w:t>for details) ahead of a 2022 rising interest rate environment. We generated $2.0 billion of cash from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ending the quarter with cash and cash equivalents of $1.9 billion as of June 30, 2022. We also had $9 billion of unused credit facilities available as of June 30, 2022 as well as ongoing access to additional financing as evidenced by the incremental term loan facility we entered into and announced on July 11, 2022. Our JDE Peet's and KDP equity method investments also give us additional financial flexibility.</w:t>
      </w:r>
    </w:p>
    <w:p>
      <w:pPr>
        <w:spacing w:after="0" w:line="2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will continue to proactively manage our business in response to the evolving global economic environment and related uncertainty and business risks as well as prioritize and support our employees and customers. We continue to take steps to mitigate impacts to our supply chain, operations, technology and assets. We intend to continue to execute on our new strategic and operating plans as the situation evolves. We seek to further our strategic priorities and position the Company to withstand the current uncertainties and emerge stronger.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w:t>
      </w:r>
    </w:p>
    <w:p>
      <w:pPr>
        <w:spacing w:after="0" w:line="25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During the second quarter of 2022, we announced the planned acquisitions of Clif Bar &amp; Company ("Clif Bar") and Ricolino. Refer to </w:t>
      </w:r>
      <w:r>
        <w:rPr>
          <w:rFonts w:ascii="Arial" w:cs="Arial" w:eastAsia="Arial" w:hAnsi="Arial"/>
          <w:sz w:val="18"/>
          <w:szCs w:val="18"/>
          <w:i w:val="1"/>
          <w:iCs w:val="1"/>
          <w:color w:val="auto"/>
        </w:rPr>
        <w:t xml:space="preserve">Financial Outlook </w:t>
      </w:r>
      <w:r>
        <w:rPr>
          <w:rFonts w:ascii="Arial" w:cs="Arial" w:eastAsia="Arial" w:hAnsi="Arial"/>
          <w:sz w:val="18"/>
          <w:szCs w:val="18"/>
          <w:color w:val="auto"/>
        </w:rPr>
        <w:t>below and Note 2,</w:t>
      </w:r>
      <w:r>
        <w:rPr>
          <w:rFonts w:ascii="Arial" w:cs="Arial" w:eastAsia="Arial" w:hAnsi="Arial"/>
          <w:sz w:val="18"/>
          <w:szCs w:val="18"/>
          <w:i w:val="1"/>
          <w:iCs w:val="1"/>
          <w:color w:val="auto"/>
        </w:rPr>
        <w:t xml:space="preserve"> Acquisitions and Divestitures</w:t>
      </w:r>
      <w:r>
        <w:rPr>
          <w:rFonts w:ascii="Arial" w:cs="Arial" w:eastAsia="Arial" w:hAnsi="Arial"/>
          <w:sz w:val="18"/>
          <w:szCs w:val="18"/>
          <w:color w:val="auto"/>
        </w:rPr>
        <w:t>, for additional details. In the second quarter, we also announced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intention to divest our developed market gum and global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businesses.</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On January 3, 2022, we closed on our acquisition of Chipita Global S.A. ("Chipita"), which is a strategic complement to our existing snacks portfolio and advances our strategy to become the global leader in broader snacking. We paid cash consideration of €1.2 billion ($1.4 billion), net of cash received, and we assumed and paid down €0.4 billion ($ 0.4 billion) of Chipita's debt in January for a total purchase price of approximately €1.7 billion ($1.8 billion).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for more information on the impact of the acquisition on our results and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details on the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JDE Peet's and KDP Equity Method Investment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w:t>
      </w:r>
    </w:p>
    <w:p>
      <w:pPr>
        <w:spacing w:after="0" w:line="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On May 8, 2022, we sold approximately 18.6 million JDE Peet's shares directly back to JDE Peet's, which reduced our ownership interest to 19.8%. We received €500 million ($529 million) of proceeds and recorded a loss of €8 million ($8 million) on this sale during the second quarter of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KDP</w:t>
      </w:r>
    </w:p>
    <w:p>
      <w:pPr>
        <w:spacing w:after="0" w:line="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On June 7, 2021, we participated in a secondary offering of KDP shares and sold approximately 28 million shares, which reduced our ownership interest to 6.4% of the total outstanding shares. We received $997 million of proceeds and recorded a pre-tax gain of $520 million (or $392 million after-tax) during the second quarter of 2021. The cash taxes associated with the KDP share sales were paid in late 2021.</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52" w:lineRule="exact"/>
        <w:rPr>
          <w:sz w:val="20"/>
          <w:szCs w:val="20"/>
          <w:color w:val="auto"/>
        </w:rPr>
      </w:pPr>
    </w:p>
    <w:p>
      <w:pPr>
        <w:ind w:left="660" w:right="60" w:hanging="328"/>
        <w:spacing w:after="0" w:line="254" w:lineRule="auto"/>
        <w:tabs>
          <w:tab w:leader="none" w:pos="653" w:val="left"/>
        </w:tabs>
        <w:numPr>
          <w:ilvl w:val="0"/>
          <w:numId w:val="16"/>
        </w:numPr>
        <w:rPr>
          <w:rFonts w:ascii="Calibri" w:cs="Calibri" w:eastAsia="Calibri" w:hAnsi="Calibri"/>
          <w:sz w:val="20"/>
          <w:szCs w:val="20"/>
          <w:color w:val="auto"/>
        </w:rPr>
      </w:pPr>
      <w:r>
        <w:rPr>
          <w:rFonts w:ascii="Arial" w:cs="Arial" w:eastAsia="Arial" w:hAnsi="Arial"/>
          <w:sz w:val="18"/>
          <w:szCs w:val="18"/>
          <w:color w:val="auto"/>
        </w:rPr>
        <w:t>Net revenues increased 9.5% to $7.3 billion in the second quarter of 2022 and increased 8.3% to $15.0 billion in the first six months of 2022 as compared to the same period in the prior year. In the second quarter and first six months of 2022, our net revenue growth continued to reflect increased demand for most of our snack category products in both our emerging and developed markets relative to 2021. Overall, our net revenue growth in the second quarter and first six months of 2022 was driven by higher net pricing, favorable volume/mix and incremental net revenues from acquisitions, partially offset by unfavorable currency translation and the impact of a prior-year divestiture.</w:t>
      </w:r>
    </w:p>
    <w:p>
      <w:pPr>
        <w:spacing w:after="0" w:line="212" w:lineRule="exact"/>
        <w:rPr>
          <w:rFonts w:ascii="Calibri" w:cs="Calibri" w:eastAsia="Calibri" w:hAnsi="Calibri"/>
          <w:sz w:val="20"/>
          <w:szCs w:val="20"/>
          <w:color w:val="auto"/>
        </w:rPr>
      </w:pPr>
    </w:p>
    <w:p>
      <w:pPr>
        <w:ind w:left="660" w:right="60" w:hanging="328"/>
        <w:spacing w:after="0" w:line="251" w:lineRule="auto"/>
        <w:tabs>
          <w:tab w:leader="none" w:pos="653" w:val="left"/>
        </w:tabs>
        <w:numPr>
          <w:ilvl w:val="0"/>
          <w:numId w:val="16"/>
        </w:numPr>
        <w:rPr>
          <w:rFonts w:ascii="Calibri" w:cs="Calibri" w:eastAsia="Calibri" w:hAnsi="Calibri"/>
          <w:sz w:val="20"/>
          <w:szCs w:val="20"/>
          <w:color w:val="auto"/>
        </w:rPr>
      </w:pPr>
      <w:r>
        <w:rPr>
          <w:rFonts w:ascii="Arial" w:cs="Arial" w:eastAsia="Arial" w:hAnsi="Arial"/>
          <w:sz w:val="18"/>
          <w:szCs w:val="18"/>
          <w:color w:val="auto"/>
        </w:rPr>
        <w:t xml:space="preserve">Organic Net Revenue, a non-GAAP financial measure, increased 13.1% to $7.5 billion in the second quarter of 2022 and increased 10.7% to $15.4 billion in the first six months of 2022 as compared to same period in the prior year. During the second quarter and first six months of 2022, Organic Net Revenue grew due to higher net pricing and favorable volume/mix. Refer to our </w:t>
      </w:r>
      <w:r>
        <w:rPr>
          <w:rFonts w:ascii="Arial" w:cs="Arial" w:eastAsia="Arial" w:hAnsi="Arial"/>
          <w:sz w:val="18"/>
          <w:szCs w:val="18"/>
          <w:i w:val="1"/>
          <w:iCs w:val="1"/>
          <w:color w:val="auto"/>
        </w:rPr>
        <w:t>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Historical Results </w:t>
      </w:r>
      <w:r>
        <w:rPr>
          <w:rFonts w:ascii="Arial" w:cs="Arial" w:eastAsia="Arial" w:hAnsi="Arial"/>
          <w:sz w:val="18"/>
          <w:szCs w:val="18"/>
          <w:color w:val="auto"/>
        </w:rPr>
        <w:t>below for additional information. Organic Net Revenue is on a constant currency basis and excludes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 xml:space="preserve">Non-GAAP Financial Measures </w:t>
      </w:r>
      <w:r>
        <w:rPr>
          <w:rFonts w:ascii="Arial" w:cs="Arial" w:eastAsia="Arial" w:hAnsi="Arial"/>
          <w:sz w:val="18"/>
          <w:szCs w:val="18"/>
          <w:color w:val="auto"/>
        </w:rPr>
        <w:t>appearing later in this section).</w:t>
      </w:r>
    </w:p>
    <w:p>
      <w:pPr>
        <w:spacing w:after="0" w:line="214" w:lineRule="exact"/>
        <w:rPr>
          <w:rFonts w:ascii="Calibri" w:cs="Calibri" w:eastAsia="Calibri" w:hAnsi="Calibri"/>
          <w:sz w:val="20"/>
          <w:szCs w:val="20"/>
          <w:color w:val="auto"/>
        </w:rPr>
      </w:pPr>
    </w:p>
    <w:p>
      <w:pPr>
        <w:ind w:left="660" w:right="60" w:hanging="328"/>
        <w:spacing w:after="0" w:line="253" w:lineRule="auto"/>
        <w:tabs>
          <w:tab w:leader="none" w:pos="653" w:val="left"/>
        </w:tabs>
        <w:numPr>
          <w:ilvl w:val="0"/>
          <w:numId w:val="16"/>
        </w:numPr>
        <w:rPr>
          <w:rFonts w:ascii="Calibri" w:cs="Calibri" w:eastAsia="Calibri" w:hAnsi="Calibri"/>
          <w:sz w:val="20"/>
          <w:szCs w:val="20"/>
          <w:color w:val="auto"/>
        </w:rPr>
      </w:pPr>
      <w:r>
        <w:rPr>
          <w:rFonts w:ascii="Arial" w:cs="Arial" w:eastAsia="Arial" w:hAnsi="Arial"/>
          <w:sz w:val="18"/>
          <w:szCs w:val="18"/>
          <w:color w:val="auto"/>
        </w:rPr>
        <w:t>Diluted EPS attributable to Mondelēz International decreased 28.9% to $0.54 in the second quarter of 2022 and decreased 20.1% to $1.15 in the first six months of 2022 as compared to the same period in the prior year.</w:t>
      </w:r>
    </w:p>
    <w:p>
      <w:pPr>
        <w:spacing w:after="0" w:line="1" w:lineRule="exact"/>
        <w:rPr>
          <w:rFonts w:ascii="Calibri" w:cs="Calibri" w:eastAsia="Calibri" w:hAnsi="Calibri"/>
          <w:sz w:val="20"/>
          <w:szCs w:val="20"/>
          <w:color w:val="auto"/>
        </w:rPr>
      </w:pPr>
    </w:p>
    <w:p>
      <w:pPr>
        <w:ind w:left="1300" w:hanging="324"/>
        <w:spacing w:after="0" w:line="250" w:lineRule="auto"/>
        <w:rPr>
          <w:rFonts w:ascii="Calibri" w:cs="Calibri" w:eastAsia="Calibri" w:hAnsi="Calibri"/>
          <w:sz w:val="20"/>
          <w:szCs w:val="20"/>
          <w:color w:val="auto"/>
        </w:rPr>
      </w:pPr>
      <w:r>
        <w:rPr>
          <w:rFonts w:ascii="Arial" w:cs="Arial" w:eastAsia="Arial" w:hAnsi="Arial"/>
          <w:sz w:val="18"/>
          <w:szCs w:val="18"/>
          <w:color w:val="auto"/>
        </w:rPr>
        <w:t>– Diluted EPS decreased in the second quarter of 2022, primarily driven by lapping a prior-year net gain on equity method transactions, an unfavorable year-over-year change in mark-to-market impacts from currency and commodity derivatives and higher acquisition integration costs, partially offset by lower Simplify to Grow program costs, lower negative impacts from enacted tax law changes, lapping a prior-year intangible asset impairment charge, lapping a prior-year unfavorable impact of pension participation changes and an increase in Adjusted EPS.</w:t>
      </w:r>
    </w:p>
    <w:p>
      <w:pPr>
        <w:spacing w:after="0" w:line="1" w:lineRule="exact"/>
        <w:rPr>
          <w:rFonts w:ascii="Calibri" w:cs="Calibri" w:eastAsia="Calibri" w:hAnsi="Calibri"/>
          <w:sz w:val="20"/>
          <w:szCs w:val="20"/>
          <w:color w:val="auto"/>
        </w:rPr>
      </w:pPr>
    </w:p>
    <w:p>
      <w:pPr>
        <w:ind w:left="1300" w:right="20" w:hanging="324"/>
        <w:spacing w:after="0" w:line="253" w:lineRule="auto"/>
        <w:rPr>
          <w:rFonts w:ascii="Calibri" w:cs="Calibri" w:eastAsia="Calibri" w:hAnsi="Calibri"/>
          <w:sz w:val="20"/>
          <w:szCs w:val="20"/>
          <w:color w:val="auto"/>
        </w:rPr>
      </w:pPr>
      <w:r>
        <w:rPr>
          <w:rFonts w:ascii="Arial" w:cs="Arial" w:eastAsia="Arial" w:hAnsi="Arial"/>
          <w:sz w:val="18"/>
          <w:szCs w:val="18"/>
          <w:color w:val="auto"/>
        </w:rPr>
        <w:t>– Diluted EPS decreased during the first six months of 2022, primarily driven by lapping prior-year net gain on equity method transactions, unfavorable year-over-year mark-to-market impacts from currency and commodity derivatives, incremental costs incurred due to the war in Ukraine, higher intangible asset impairment charges, higher acquisition integration costs and contingent consideration adjustments and higher acquisition-related costs, partially offset by lower Simplify to Grow program costs, lower negative impacts from enacted tax law changes, lower equity method investee items and an increase in Adjusted EPS.</w:t>
      </w:r>
    </w:p>
    <w:p>
      <w:pPr>
        <w:spacing w:after="0" w:line="211" w:lineRule="exact"/>
        <w:rPr>
          <w:rFonts w:ascii="Calibri" w:cs="Calibri" w:eastAsia="Calibri" w:hAnsi="Calibri"/>
          <w:sz w:val="20"/>
          <w:szCs w:val="20"/>
          <w:color w:val="auto"/>
        </w:rPr>
      </w:pPr>
    </w:p>
    <w:p>
      <w:pPr>
        <w:ind w:left="660" w:right="140" w:hanging="328"/>
        <w:spacing w:after="0" w:line="25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EPS, a non-GAAP financial measure, increased 1.5% to $0.67 in the second quarter of 2022 and increased 3.4% to $1.50 in the first six months of 2022 as compared to the same period in the prior year. On a constant currency basis, Adjusted EPS increased 9.1% to $0.72 in the second quarter of 2022 and up 11.7% to $1.62 in the first six months of 2022 as compared to the same periods in the prior year.</w:t>
      </w:r>
    </w:p>
    <w:p>
      <w:pPr>
        <w:spacing w:after="0" w:line="2" w:lineRule="exact"/>
        <w:rPr>
          <w:rFonts w:ascii="Arial" w:cs="Arial" w:eastAsia="Arial" w:hAnsi="Arial"/>
          <w:sz w:val="18"/>
          <w:szCs w:val="18"/>
          <w:color w:val="auto"/>
        </w:rPr>
      </w:pPr>
    </w:p>
    <w:p>
      <w:pPr>
        <w:ind w:left="1300" w:right="140" w:hanging="324"/>
        <w:spacing w:after="0" w:line="250" w:lineRule="auto"/>
        <w:rPr>
          <w:rFonts w:ascii="Arial" w:cs="Arial" w:eastAsia="Arial" w:hAnsi="Arial"/>
          <w:sz w:val="18"/>
          <w:szCs w:val="18"/>
          <w:color w:val="auto"/>
        </w:rPr>
      </w:pPr>
      <w:r>
        <w:rPr>
          <w:rFonts w:ascii="Arial" w:cs="Arial" w:eastAsia="Arial" w:hAnsi="Arial"/>
          <w:sz w:val="18"/>
          <w:szCs w:val="18"/>
          <w:color w:val="auto"/>
        </w:rPr>
        <w:t>– Adjusted EPS increased in the second quarter of 2022, primarily driven by operating gains, lower taxes and fewer shares outstanding, mostly offset by unfavorable currency translation, higher interest expense and lower equity method investment earnings.</w:t>
      </w:r>
    </w:p>
    <w:p>
      <w:pPr>
        <w:spacing w:after="0" w:line="1" w:lineRule="exact"/>
        <w:rPr>
          <w:rFonts w:ascii="Arial" w:cs="Arial" w:eastAsia="Arial" w:hAnsi="Arial"/>
          <w:sz w:val="18"/>
          <w:szCs w:val="18"/>
          <w:color w:val="auto"/>
        </w:rPr>
      </w:pPr>
    </w:p>
    <w:p>
      <w:pPr>
        <w:jc w:val="both"/>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 Adjusted EPS increased during the first six months of 2022, primarily driven by operating gains, fewer shares outstanding and lower interest expense, partially offset by unfavorable currency translation, lower benefit plan non-service income, higher taxes primarily due to lower net benefits from non-recurring discrete tax items and lower equity method investment earnings.</w:t>
      </w:r>
    </w:p>
    <w:p>
      <w:pPr>
        <w:spacing w:after="0" w:line="1" w:lineRule="exact"/>
        <w:rPr>
          <w:sz w:val="20"/>
          <w:szCs w:val="20"/>
          <w:color w:val="auto"/>
        </w:rPr>
      </w:pPr>
    </w:p>
    <w:p>
      <w:pPr>
        <w:ind w:left="660" w:right="180"/>
        <w:spacing w:after="0" w:line="258" w:lineRule="auto"/>
        <w:rPr>
          <w:sz w:val="20"/>
          <w:szCs w:val="20"/>
          <w:color w:val="auto"/>
        </w:rPr>
      </w:pPr>
      <w:r>
        <w:rPr>
          <w:rFonts w:ascii="Arial" w:cs="Arial" w:eastAsia="Arial" w:hAnsi="Arial"/>
          <w:sz w:val="18"/>
          <w:szCs w:val="18"/>
          <w:color w:val="auto"/>
        </w:rPr>
        <w:t xml:space="preserve">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which appears later in this section.</w:t>
      </w:r>
    </w:p>
    <w:p>
      <w:pPr>
        <w:spacing w:after="0" w:line="20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2021 and discussed in the footnotes to our financial statements.</w:t>
      </w:r>
    </w:p>
    <w:p>
      <w:pPr>
        <w:spacing w:after="0" w:line="198" w:lineRule="exact"/>
        <w:rPr>
          <w:sz w:val="20"/>
          <w:szCs w:val="20"/>
          <w:color w:val="auto"/>
        </w:rPr>
      </w:pPr>
    </w:p>
    <w:p>
      <w:pPr>
        <w:ind w:left="660" w:hanging="328"/>
        <w:spacing w:after="0" w:line="25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Market conditions. </w:t>
      </w:r>
      <w:r>
        <w:rPr>
          <w:rFonts w:ascii="Arial" w:cs="Arial" w:eastAsia="Arial" w:hAnsi="Arial"/>
          <w:sz w:val="18"/>
          <w:szCs w:val="18"/>
          <w:color w:val="auto"/>
        </w:rPr>
        <w:t>Snack categories continued to grow in the first six months of 2022. This is consistent with the latest findings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third annual </w:t>
      </w:r>
      <w:r>
        <w:rPr>
          <w:rFonts w:ascii="Arial" w:cs="Arial" w:eastAsia="Arial" w:hAnsi="Arial"/>
          <w:sz w:val="18"/>
          <w:szCs w:val="18"/>
          <w:i w:val="1"/>
          <w:iCs w:val="1"/>
          <w:color w:val="auto"/>
        </w:rPr>
        <w:t>State of Snacking</w:t>
      </w:r>
      <w:r>
        <w:rPr>
          <w:rFonts w:ascii="Arial" w:cs="Arial" w:eastAsia="Arial" w:hAnsi="Arial"/>
          <w:sz w:val="18"/>
          <w:szCs w:val="18"/>
          <w:color w:val="auto"/>
        </w:rPr>
        <w:t xml:space="preserve"> report, commissioned by Mondelēz International and issued in January 2022. The research report was conducted in conjunction with consumer poll specialist The Harris Poll and summarizes the findings from interviews with thousands of consumers across 12 countries. The report underscores the growth of snacking worldwide and how behavior, sentiment and routines surrounding food are being reshaped by factors such as the COVID-19 pandemic. Snacking, which was already increasing among consumers, continues to grow as we noted in our latest Annual Report on Form 10-K. Our outlook for future snacks revenue growth remains strong, but we anticipate some volatility in revenues while current events and conditions continue. As the COVID-19 pandemic, war in Ukraine and related impacts continue, we could see shifts in consumer demand and in our sales and product mix that could have a negative impact on our results. We continue to monitor volatility across markets, including global consumer, energy and other commodity, transportation, labor, currency and capital markets. We expect greater inflation, including input cost volatility and a higher aggregate cost environment to continue in 2022, as the war in Ukraine, the pandemic, supply chain disruptions (affecting the availability of raw materials, packaging, transportation and other costs), rising energy costs, labor shortages, adverse weather events and conditions and other factors are expected to continue. Refer also to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and Item 3, </w:t>
      </w:r>
      <w:r>
        <w:rPr>
          <w:rFonts w:ascii="Arial" w:cs="Arial" w:eastAsia="Arial" w:hAnsi="Arial"/>
          <w:sz w:val="18"/>
          <w:szCs w:val="18"/>
          <w:i w:val="1"/>
          <w:iCs w:val="1"/>
          <w:color w:val="auto"/>
        </w:rPr>
        <w:t>Quantitative</w:t>
      </w:r>
      <w:r>
        <w:rPr>
          <w:rFonts w:ascii="Arial" w:cs="Arial" w:eastAsia="Arial" w:hAnsi="Arial"/>
          <w:sz w:val="18"/>
          <w:szCs w:val="18"/>
          <w:color w:val="auto"/>
        </w:rPr>
        <w:t xml:space="preserve"> </w:t>
      </w:r>
      <w:r>
        <w:rPr>
          <w:rFonts w:ascii="Arial" w:cs="Arial" w:eastAsia="Arial" w:hAnsi="Arial"/>
          <w:sz w:val="18"/>
          <w:szCs w:val="18"/>
          <w:i w:val="1"/>
          <w:iCs w:val="1"/>
          <w:color w:val="auto"/>
        </w:rPr>
        <w:t>and Qualitative Disclosures about Market Risk.</w:t>
      </w:r>
    </w:p>
    <w:p>
      <w:pPr>
        <w:spacing w:after="0" w:line="1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War in Ukraine</w:t>
      </w:r>
      <w:r>
        <w:rPr>
          <w:rFonts w:ascii="Arial" w:cs="Arial" w:eastAsia="Arial" w:hAnsi="Arial"/>
          <w:sz w:val="18"/>
          <w:szCs w:val="18"/>
          <w:color w:val="auto"/>
        </w:rPr>
        <w:t>. We expect to experience heightened volatility and higher costs in international supply chains and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energy and other commodities, currencies and capital markets) in connection with the war in Ukraine with related negative impacts to our operating results that we cannot fully predict with certainty. We also expect increased inflationary pressures that will adversely impact our operating costs, particularly as the war continues. Demand for our products may also be negatively impacted, particularly in those markets closest to Ukraine or other markets that are more vulnerable to consumer price increases. We have expanded operations in other European facilities and are adapting to continue supplying the majority of our Ukraine business's customers and consumers across Europe. We continue to take action and evaluate additional ways to mitigate risks, including executing business continuity plans to cover products produced in Ukraine and taking actions to adjust product offerings, package sizes and pricing to help address rising costs. In addition, we may experience negative impacts to our business in Russia due to the war in Ukraine, including challenges to supply products as a result of sanctions or other supply chain challenges, reductions in consumer demand or local government actions that negatively impact our business. Our continued operating presence in Russia may result in negative publicity or consumer actions against our brands, which may have negative impacts on our business. We may also experience increased cyber attacks from state sponsored threat actors with ransomware or other type of malware attacks due to a heightened level of malicious cyber activity as a result of the War in Ukraine. While we are working to mitigate negative effects on our business, we may not be able to fully predict or respond to all of the direct or indirect impacts on our business on a timely basis to prevent adverse impacts to our results. We also continue to monitor the situation in Russia and any risks to our employees, operations or assets. Any ongoing or new developments in the war could have a material negative effect on our business and results in the future.</w:t>
      </w:r>
    </w:p>
    <w:p>
      <w:pPr>
        <w:spacing w:after="0" w:line="7" w:lineRule="exact"/>
        <w:rPr>
          <w:rFonts w:ascii="Arial" w:cs="Arial" w:eastAsia="Arial" w:hAnsi="Arial"/>
          <w:sz w:val="18"/>
          <w:szCs w:val="18"/>
          <w:color w:val="auto"/>
        </w:rPr>
      </w:pPr>
    </w:p>
    <w:p>
      <w:pPr>
        <w:ind w:left="660" w:right="180" w:hanging="328"/>
        <w:spacing w:after="0" w:line="258"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COVID-19</w:t>
      </w:r>
      <w:r>
        <w:rPr>
          <w:rFonts w:ascii="Arial" w:cs="Arial" w:eastAsia="Arial" w:hAnsi="Arial"/>
          <w:sz w:val="18"/>
          <w:szCs w:val="18"/>
          <w:color w:val="auto"/>
        </w:rPr>
        <w:t>. As described above, we continue to monitor and respond to the COVID-19 pandemic. Since its inception, it has had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negative effect on the global and local economies and could have a material negative effect on our business and results in the future, particularly if there are significant adverse changes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left="660" w:right="20"/>
        <w:spacing w:after="0" w:line="251" w:lineRule="auto"/>
        <w:rPr>
          <w:sz w:val="20"/>
          <w:szCs w:val="20"/>
          <w:color w:val="auto"/>
        </w:rPr>
      </w:pPr>
      <w:r>
        <w:rPr>
          <w:rFonts w:ascii="Arial" w:cs="Arial" w:eastAsia="Arial" w:hAnsi="Arial"/>
          <w:sz w:val="18"/>
          <w:szCs w:val="18"/>
          <w:color w:val="auto"/>
        </w:rPr>
        <w:t>to consumer demand, product mix or operating costs; significant disruptions to the supply, production or distribution of our products; or deterioration of the credit or financial stability of our customers and other business partners. Disruptions or our failure to effectively respond to them could further increase product or distribution costs and prices and negatively affect operations and results. Although we hedge to mitigate exposures to commodity and other input cost increases, we cannot fully hedge against all cost increases and changes in costs, and our hedging strategies may not protect us from increases in specific raw materials or other costs. We also may not be able to adjust pricing timely or fully, and this may negatively affect our revenue, margins or earnings. If a significant economic or credit deterioration occurs, it could impair credit availability and our ability to raise capital when needed. A significant disruption in the financial markets may also have a negative effect on our derivative counterparties and could impair our banking or other business partners, on whom we rely for access to capital and as counterparties for a number of our derivative contracts. As we continue to manage operations during the pandemic, we will continue to prioritize the safety of our employees and consumers and we may continue to incur increased labor, customer service, commodity, transportation and other costs. We are working to mitigate negative impacts to our business from the COVID-19 pandemic, but we may not be able to fully predict or respond to all impacts on a timely basis to prevent adverse impacts to our results. Any of these and other developments could materially harm our business, results of operations and financial condition.</w:t>
      </w:r>
    </w:p>
    <w:p>
      <w:pPr>
        <w:spacing w:after="0" w:line="11" w:lineRule="exact"/>
        <w:rPr>
          <w:sz w:val="20"/>
          <w:szCs w:val="20"/>
          <w:color w:val="auto"/>
        </w:rPr>
      </w:pPr>
    </w:p>
    <w:p>
      <w:pPr>
        <w:ind w:left="660" w:hanging="328"/>
        <w:spacing w:after="0" w:line="250"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Clif Bar acquisition</w:t>
      </w:r>
      <w:r>
        <w:rPr>
          <w:rFonts w:ascii="Arial" w:cs="Arial" w:eastAsia="Arial" w:hAnsi="Arial"/>
          <w:sz w:val="18"/>
          <w:szCs w:val="18"/>
          <w:color w:val="auto"/>
        </w:rPr>
        <w:t>. On June 20, 2022, we announced an agreement to acquire Clif Bar for approximately $2.9 billion.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Clif Bar includes a contingent consideration arrangement that may require us to pay additional consideration to the sellers for achieving certain revenue and earnings targets in 2025 and 2026 that exceed our base financial projections for the business implied in the upfront purchase price. The possible payments range from zero to a maximum total of $2.4 billion, with higher payouts requiring the achievement of targets that generate rates of returns in excess of the base financial projections. In connection with this acquisition, we expect to generate a meaningful cash tax benefit over time from the amortization of acquisition-related intangibles. The acquisition is subject to customary closing conditions and regulatory reviews and is expected to close in the third quarter of 2022.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and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details.</w:t>
      </w:r>
    </w:p>
    <w:p>
      <w:pPr>
        <w:spacing w:after="0" w:line="3" w:lineRule="exact"/>
        <w:rPr>
          <w:rFonts w:ascii="Arial" w:cs="Arial" w:eastAsia="Arial" w:hAnsi="Arial"/>
          <w:sz w:val="18"/>
          <w:szCs w:val="18"/>
          <w:i w:val="1"/>
          <w:iCs w:val="1"/>
          <w:color w:val="auto"/>
        </w:rPr>
      </w:pPr>
    </w:p>
    <w:p>
      <w:pPr>
        <w:ind w:left="660" w:hanging="328"/>
        <w:spacing w:after="0" w:line="250"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Ricolino acquisition. </w:t>
      </w:r>
      <w:r>
        <w:rPr>
          <w:rFonts w:ascii="Arial" w:cs="Arial" w:eastAsia="Arial" w:hAnsi="Arial"/>
          <w:sz w:val="18"/>
          <w:szCs w:val="18"/>
          <w:color w:val="auto"/>
        </w:rPr>
        <w:t>On April 24, 2022, we entered into an agreement with Grupo Bimbo to acquire Ricolino, its confectionery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business located primarily in Mexico for a purchase price of approximately $1.3 billion, subject to closing purchase price adjustments. The transaction is subject to relevant antitrust approvals and closing conditions and is expected to close in the second half of 2022.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and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details.</w:t>
      </w:r>
    </w:p>
    <w:p>
      <w:pPr>
        <w:spacing w:after="0" w:line="1" w:lineRule="exact"/>
        <w:rPr>
          <w:rFonts w:ascii="Arial" w:cs="Arial" w:eastAsia="Arial" w:hAnsi="Arial"/>
          <w:sz w:val="18"/>
          <w:szCs w:val="18"/>
          <w:i w:val="1"/>
          <w:iCs w:val="1"/>
          <w:color w:val="auto"/>
        </w:rPr>
      </w:pPr>
    </w:p>
    <w:p>
      <w:pPr>
        <w:ind w:left="660" w:right="2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Planned Divestiture of our developed market gum and global Halls candy businesses. </w:t>
      </w:r>
      <w:r>
        <w:rPr>
          <w:rFonts w:ascii="Arial" w:cs="Arial" w:eastAsia="Arial" w:hAnsi="Arial"/>
          <w:sz w:val="18"/>
          <w:szCs w:val="18"/>
          <w:color w:val="auto"/>
        </w:rPr>
        <w:t>In May 2022, we announced our intention to</w:t>
      </w:r>
      <w:r>
        <w:rPr>
          <w:rFonts w:ascii="Arial" w:cs="Arial" w:eastAsia="Arial" w:hAnsi="Arial"/>
          <w:sz w:val="18"/>
          <w:szCs w:val="18"/>
          <w:i w:val="1"/>
          <w:iCs w:val="1"/>
          <w:color w:val="auto"/>
        </w:rPr>
        <w:t xml:space="preserve"> </w:t>
      </w:r>
      <w:r>
        <w:rPr>
          <w:rFonts w:ascii="Arial" w:cs="Arial" w:eastAsia="Arial" w:hAnsi="Arial"/>
          <w:sz w:val="18"/>
          <w:szCs w:val="18"/>
          <w:color w:val="auto"/>
        </w:rPr>
        <w:t>divest these businesses. In the third quarter of 2022, we will formally begin to seek potential buyers for these businesses.</w:t>
      </w:r>
    </w:p>
    <w:p>
      <w:pPr>
        <w:ind w:left="660" w:right="140" w:hanging="328"/>
        <w:spacing w:after="0" w:line="250"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We continue to monitor existing and potential future tax reform around the world. In March 2022, President Biden sent a</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2023 budget to Congress and in November 2021, the U.S. House of Representatives passed a bill that has not yet been acted on by the Senate; both proposals contain significant changes to currently enacted U.S. tax rules. In addition, the Organization of Economic Cooperation and Development (OECD) continues to work toward agreement regarding model rules for a global minimum tax. These proposed U.S. and global legislative changes could have a material effect on us if enacted.</w:t>
      </w:r>
    </w:p>
    <w:p>
      <w:pPr>
        <w:spacing w:after="0" w:line="1" w:lineRule="exact"/>
        <w:rPr>
          <w:rFonts w:ascii="Arial" w:cs="Arial" w:eastAsia="Arial" w:hAnsi="Arial"/>
          <w:sz w:val="18"/>
          <w:szCs w:val="18"/>
          <w:i w:val="1"/>
          <w:iCs w:val="1"/>
          <w:color w:val="auto"/>
        </w:rPr>
      </w:pPr>
    </w:p>
    <w:p>
      <w:pPr>
        <w:ind w:left="660" w:right="100" w:hanging="328"/>
        <w:spacing w:after="0" w:line="218" w:lineRule="exact"/>
        <w:tabs>
          <w:tab w:leader="none" w:pos="655"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T</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rkiye, Argentina and currency volatility</w:t>
      </w:r>
      <w:r>
        <w:rPr>
          <w:rFonts w:ascii="Arial" w:cs="Arial" w:eastAsia="Arial" w:hAnsi="Arial"/>
          <w:sz w:val="17"/>
          <w:szCs w:val="17"/>
          <w:color w:val="auto"/>
        </w:rPr>
        <w:t>. During the first quarter of 2022, currency exchange rate volatility increased. We discuss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currency impacts on our results in our </w:t>
      </w:r>
      <w:r>
        <w:rPr>
          <w:rFonts w:ascii="Arial" w:cs="Arial" w:eastAsia="Arial" w:hAnsi="Arial"/>
          <w:sz w:val="17"/>
          <w:szCs w:val="17"/>
          <w:i w:val="1"/>
          <w:iCs w:val="1"/>
          <w:color w:val="auto"/>
        </w:rPr>
        <w:t>Discussion and Analysis of Historical Results</w:t>
      </w:r>
      <w:r>
        <w:rPr>
          <w:rFonts w:ascii="Arial" w:cs="Arial" w:eastAsia="Arial" w:hAnsi="Arial"/>
          <w:sz w:val="17"/>
          <w:szCs w:val="17"/>
          <w:color w:val="auto"/>
        </w:rPr>
        <w:t xml:space="preserve">. As further discussed in Note 1, </w:t>
      </w:r>
      <w:r>
        <w:rPr>
          <w:rFonts w:ascii="Arial" w:cs="Arial" w:eastAsia="Arial" w:hAnsi="Arial"/>
          <w:sz w:val="17"/>
          <w:szCs w:val="17"/>
          <w:i w:val="1"/>
          <w:iCs w:val="1"/>
          <w:color w:val="auto"/>
        </w:rPr>
        <w:t>Basis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Presentation – Currency Translation and Highly Inflationary Accounting, </w:t>
      </w:r>
      <w:r>
        <w:rPr>
          <w:rFonts w:ascii="Arial" w:cs="Arial" w:eastAsia="Arial" w:hAnsi="Arial"/>
          <w:sz w:val="17"/>
          <w:szCs w:val="17"/>
          <w:color w:val="auto"/>
        </w:rPr>
        <w:t>during the first quarter of 2022, we concluded that T</w:t>
      </w:r>
      <w:r>
        <w:rPr>
          <w:rFonts w:ascii="MS PGothic" w:cs="MS PGothic" w:eastAsia="MS PGothic" w:hAnsi="MS PGothic"/>
          <w:sz w:val="17"/>
          <w:szCs w:val="17"/>
          <w:color w:val="auto"/>
        </w:rPr>
        <w:t>✔</w:t>
      </w:r>
      <w:r>
        <w:rPr>
          <w:rFonts w:ascii="Arial" w:cs="Arial" w:eastAsia="Arial" w:hAnsi="Arial"/>
          <w:sz w:val="17"/>
          <w:szCs w:val="17"/>
          <w:color w:val="auto"/>
        </w:rPr>
        <w:t>rkiye</w:t>
      </w:r>
      <w:r>
        <w:rPr>
          <w:rFonts w:ascii="Arial" w:cs="Arial" w:eastAsia="Arial" w:hAnsi="Arial"/>
          <w:sz w:val="17"/>
          <w:szCs w:val="17"/>
          <w:i w:val="1"/>
          <w:iCs w:val="1"/>
          <w:color w:val="auto"/>
        </w:rPr>
        <w:t xml:space="preserve"> </w:t>
      </w:r>
      <w:r>
        <w:rPr>
          <w:rFonts w:ascii="Arial" w:cs="Arial" w:eastAsia="Arial" w:hAnsi="Arial"/>
          <w:sz w:val="17"/>
          <w:szCs w:val="17"/>
          <w:color w:val="auto"/>
        </w:rPr>
        <w:t>became a highly inflationary economy for accounting purposes. As of April 1, 2022, we apply highly inflationary accounting for our subsidiaries operating in T</w:t>
      </w:r>
      <w:r>
        <w:rPr>
          <w:rFonts w:ascii="MS PGothic" w:cs="MS PGothic" w:eastAsia="MS PGothic" w:hAnsi="MS PGothic"/>
          <w:sz w:val="17"/>
          <w:szCs w:val="17"/>
          <w:color w:val="auto"/>
        </w:rPr>
        <w:t>✔</w:t>
      </w:r>
      <w:r>
        <w:rPr>
          <w:rFonts w:ascii="Arial" w:cs="Arial" w:eastAsia="Arial" w:hAnsi="Arial"/>
          <w:sz w:val="17"/>
          <w:szCs w:val="17"/>
          <w:color w:val="auto"/>
        </w:rPr>
        <w:t>rkiye and changed their functional currency from the Turkish lira to the U.S. dollar. Our operations in T</w:t>
      </w:r>
      <w:r>
        <w:rPr>
          <w:rFonts w:ascii="MS PGothic" w:cs="MS PGothic" w:eastAsia="MS PGothic" w:hAnsi="MS PGothic"/>
          <w:sz w:val="17"/>
          <w:szCs w:val="17"/>
          <w:color w:val="auto"/>
        </w:rPr>
        <w:t>✔</w:t>
      </w:r>
      <w:r>
        <w:rPr>
          <w:rFonts w:ascii="Arial" w:cs="Arial" w:eastAsia="Arial" w:hAnsi="Arial"/>
          <w:sz w:val="17"/>
          <w:szCs w:val="17"/>
          <w:color w:val="auto"/>
        </w:rPr>
        <w:t>rkiye contributed $90 million or 0.6% of our condensed consolidated net revenues in the six months ended June 30, 2022. Within selling, general and administrative expenses, we recorded a remeasurement loss of less than $1 million during the three months ended June 30, 2022 related to the revaluation of the Turkish lira denominated net monetary position during the quarter. We also continue to apply highly inflationary accounting for our Argentinean subsidiaries. We recorded a remeasurement loss of $10 million during the three months and $15 million during the six months ended June 30, 2022 within selling, general and administrative expenses related to the revaluation of our Argentinean peso denominated net monetary position. The mix of monetary assets and liabilities and the exchange rate to convert Turkish lira and Argentinean pesos to U.S. dollars could change over time, so it is difficult to predict the overall impact of T</w:t>
      </w:r>
      <w:r>
        <w:rPr>
          <w:rFonts w:ascii="MS PGothic" w:cs="MS PGothic" w:eastAsia="MS PGothic" w:hAnsi="MS PGothic"/>
          <w:sz w:val="17"/>
          <w:szCs w:val="17"/>
          <w:color w:val="auto"/>
        </w:rPr>
        <w:t>✔</w:t>
      </w:r>
      <w:r>
        <w:rPr>
          <w:rFonts w:ascii="Arial" w:cs="Arial" w:eastAsia="Arial" w:hAnsi="Arial"/>
          <w:sz w:val="17"/>
          <w:szCs w:val="17"/>
          <w:color w:val="auto"/>
        </w:rPr>
        <w:t>rkiye and Argentina highly inflationary accounting on future net earnings.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left="660" w:hanging="328"/>
        <w:spacing w:after="0" w:line="25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U.K. advertising and promotion ban. </w:t>
      </w:r>
      <w:r>
        <w:rPr>
          <w:rFonts w:ascii="Arial" w:cs="Arial" w:eastAsia="Arial" w:hAnsi="Arial"/>
          <w:sz w:val="18"/>
          <w:szCs w:val="18"/>
          <w:color w:val="auto"/>
        </w:rPr>
        <w:t>In the United Kingdom, a ban on specific types of TV and online advertising of food 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fat, sugar or salt above specified thresholds is expected to go into effect in 2023, and new measures restricting certain promotions and in-store placement of some of those products are expected to go into effect in October 2022. Although we are unable to estimate precisely the impact of the restrictions, they could significantly negatively affect our U.K. results of operations in 2022 and thereafter. In the six months ended June 30, 2022, we generated 8.1% of our consolidated net revenues in the U.K.</w:t>
      </w:r>
    </w:p>
    <w:p>
      <w:pPr>
        <w:spacing w:after="0" w:line="2" w:lineRule="exact"/>
        <w:rPr>
          <w:rFonts w:ascii="Arial" w:cs="Arial" w:eastAsia="Arial" w:hAnsi="Arial"/>
          <w:sz w:val="18"/>
          <w:szCs w:val="18"/>
          <w:color w:val="auto"/>
        </w:rPr>
      </w:pPr>
    </w:p>
    <w:p>
      <w:pPr>
        <w:ind w:left="660" w:right="2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Cybersecurity Risks. </w:t>
      </w:r>
      <w:r>
        <w:rPr>
          <w:rFonts w:ascii="Arial" w:cs="Arial" w:eastAsia="Arial" w:hAnsi="Arial"/>
          <w:sz w:val="18"/>
          <w:szCs w:val="18"/>
          <w:color w:val="auto"/>
        </w:rPr>
        <w:t>Global cybersecurity risks continue to increase and we continue to be on heightened alert and dedicate focused</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to network security, backup and disaster recovery and to provide ongoing workforce training and employ security measures to protect our systems and data. We also continue to monitor threats in our environment, including but not limited to the manufacturing environment and operational technologies, as well as adjusting information security controls based on updated threats. While we have taken security measures to protect our systems and data, security measures cannot provide absolute certainty or guarantee that we will be successful in preventing or responding to every breach or disruption on a timely basis.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5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4"/>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24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10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58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See Note</w:t>
            </w: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160" w:type="dxa"/>
            <w:vAlign w:val="bottom"/>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920" w:type="dxa"/>
            <w:vAlign w:val="bottom"/>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(in millions, except percentages)</w:t>
            </w: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Simplify to Grow Program</w:t>
            </w:r>
          </w:p>
        </w:tc>
        <w:tc>
          <w:tcPr>
            <w:tcW w:w="126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rPr>
              <w:t>Note 7</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Restructuring charges</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Implementation charges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Intangible asset impairment charges</w:t>
            </w:r>
          </w:p>
        </w:tc>
        <w:tc>
          <w:tcPr>
            <w:tcW w:w="1260" w:type="dxa"/>
            <w:vAlign w:val="bottom"/>
            <w:gridSpan w:val="3"/>
          </w:tcPr>
          <w:p>
            <w:pPr>
              <w:jc w:val="center"/>
              <w:ind w:right="340"/>
              <w:spacing w:after="0"/>
              <w:rPr>
                <w:sz w:val="20"/>
                <w:szCs w:val="20"/>
                <w:color w:val="auto"/>
              </w:rPr>
            </w:pPr>
            <w:r>
              <w:rPr>
                <w:rFonts w:ascii="Arial" w:cs="Arial" w:eastAsia="Arial" w:hAnsi="Arial"/>
                <w:sz w:val="16"/>
                <w:szCs w:val="16"/>
                <w:color w:val="auto"/>
              </w:rPr>
              <w:t>Note 5</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(78)</w:t>
            </w:r>
          </w:p>
        </w:tc>
        <w:tc>
          <w:tcPr>
            <w:tcW w:w="420" w:type="dxa"/>
            <w:vAlign w:val="bottom"/>
          </w:tcPr>
          <w:p>
            <w:pPr>
              <w:spacing w:after="0"/>
              <w:rPr>
                <w:sz w:val="18"/>
                <w:szCs w:val="18"/>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Mark-to-market (losses)/gains from derivatives </w:t>
            </w:r>
            <w:r>
              <w:rPr>
                <w:rFonts w:ascii="Arial" w:cs="Arial" w:eastAsia="Arial" w:hAnsi="Arial"/>
                <w:sz w:val="21"/>
                <w:szCs w:val="21"/>
                <w:b w:val="1"/>
                <w:bCs w:val="1"/>
                <w:color w:val="auto"/>
                <w:vertAlign w:val="superscript"/>
              </w:rPr>
              <w:t>(1)</w:t>
            </w:r>
          </w:p>
        </w:tc>
        <w:tc>
          <w:tcPr>
            <w:tcW w:w="126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rPr>
              <w:t>Note 9</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(128)</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Acquisitions and divestiture-related costs:</w:t>
            </w:r>
          </w:p>
        </w:tc>
        <w:tc>
          <w:tcPr>
            <w:tcW w:w="1260" w:type="dxa"/>
            <w:vAlign w:val="bottom"/>
            <w:gridSpan w:val="3"/>
          </w:tcPr>
          <w:p>
            <w:pPr>
              <w:jc w:val="center"/>
              <w:ind w:right="340"/>
              <w:spacing w:after="0"/>
              <w:rPr>
                <w:sz w:val="20"/>
                <w:szCs w:val="20"/>
                <w:color w:val="auto"/>
              </w:rPr>
            </w:pPr>
            <w:r>
              <w:rPr>
                <w:rFonts w:ascii="Arial" w:cs="Arial" w:eastAsia="Arial" w:hAnsi="Arial"/>
                <w:sz w:val="16"/>
                <w:szCs w:val="16"/>
                <w:color w:val="auto"/>
              </w:rPr>
              <w:t>Note 2</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Acquisition integration costs and</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(37)</w:t>
            </w: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(72)</w:t>
            </w:r>
          </w:p>
        </w:tc>
        <w:tc>
          <w:tcPr>
            <w:tcW w:w="4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80"/>
              <w:spacing w:after="0" w:line="216" w:lineRule="exact"/>
              <w:rPr>
                <w:sz w:val="20"/>
                <w:szCs w:val="20"/>
                <w:color w:val="auto"/>
              </w:rPr>
            </w:pPr>
            <w:r>
              <w:rPr>
                <w:rFonts w:ascii="Arial" w:cs="Arial" w:eastAsia="Arial" w:hAnsi="Arial"/>
                <w:sz w:val="16"/>
                <w:szCs w:val="16"/>
                <w:color w:val="auto"/>
              </w:rPr>
              <w:t xml:space="preserve">contingent consideration adjustments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Acquisition-related costs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420" w:type="dxa"/>
            <w:vAlign w:val="bottom"/>
          </w:tcPr>
          <w:p>
            <w:pPr>
              <w:spacing w:after="0"/>
              <w:rPr>
                <w:sz w:val="18"/>
                <w:szCs w:val="18"/>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acquisition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Divestiture-related costs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b w:val="1"/>
                <w:bCs w:val="1"/>
                <w:color w:val="auto"/>
              </w:rPr>
              <w:t xml:space="preserve">Incremental costs due to war in Ukraine </w:t>
            </w:r>
            <w:r>
              <w:rPr>
                <w:rFonts w:ascii="Arial" w:cs="Arial" w:eastAsia="Arial" w:hAnsi="Arial"/>
                <w:sz w:val="21"/>
                <w:szCs w:val="21"/>
                <w:b w:val="1"/>
                <w:bCs w:val="1"/>
                <w:color w:val="auto"/>
                <w:vertAlign w:val="superscript"/>
              </w:rPr>
              <w:t>(2)</w:t>
            </w:r>
          </w:p>
        </w:tc>
        <w:tc>
          <w:tcPr>
            <w:tcW w:w="126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rPr>
              <w:t>Note 1</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(128)</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Remeasurement of net monetary position</w:t>
            </w:r>
          </w:p>
        </w:tc>
        <w:tc>
          <w:tcPr>
            <w:tcW w:w="1260" w:type="dxa"/>
            <w:vAlign w:val="bottom"/>
            <w:gridSpan w:val="3"/>
          </w:tcPr>
          <w:p>
            <w:pPr>
              <w:jc w:val="center"/>
              <w:ind w:right="340"/>
              <w:spacing w:after="0"/>
              <w:rPr>
                <w:sz w:val="20"/>
                <w:szCs w:val="20"/>
                <w:color w:val="auto"/>
              </w:rPr>
            </w:pPr>
            <w:r>
              <w:rPr>
                <w:rFonts w:ascii="Arial" w:cs="Arial" w:eastAsia="Arial" w:hAnsi="Arial"/>
                <w:sz w:val="16"/>
                <w:szCs w:val="16"/>
                <w:color w:val="auto"/>
              </w:rPr>
              <w:t>Note 1</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(15)</w:t>
            </w:r>
          </w:p>
        </w:tc>
        <w:tc>
          <w:tcPr>
            <w:tcW w:w="420" w:type="dxa"/>
            <w:vAlign w:val="bottom"/>
          </w:tcPr>
          <w:p>
            <w:pPr>
              <w:spacing w:after="0"/>
              <w:rPr>
                <w:sz w:val="18"/>
                <w:szCs w:val="18"/>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Impact from pension participation changes </w:t>
            </w:r>
            <w:r>
              <w:rPr>
                <w:rFonts w:ascii="Arial" w:cs="Arial" w:eastAsia="Arial" w:hAnsi="Arial"/>
                <w:sz w:val="21"/>
                <w:szCs w:val="21"/>
                <w:b w:val="1"/>
                <w:bCs w:val="1"/>
                <w:color w:val="auto"/>
                <w:vertAlign w:val="superscript"/>
              </w:rPr>
              <w:t>(1)</w:t>
            </w:r>
          </w:p>
        </w:tc>
        <w:tc>
          <w:tcPr>
            <w:tcW w:w="1260" w:type="dxa"/>
            <w:vAlign w:val="bottom"/>
            <w:gridSpan w:val="3"/>
            <w:shd w:val="clear" w:color="auto" w:fill="CCEEFF"/>
          </w:tcPr>
          <w:p>
            <w:pPr>
              <w:jc w:val="center"/>
              <w:ind w:right="360"/>
              <w:spacing w:after="0"/>
              <w:rPr>
                <w:sz w:val="20"/>
                <w:szCs w:val="20"/>
                <w:color w:val="auto"/>
              </w:rPr>
            </w:pPr>
            <w:r>
              <w:rPr>
                <w:rFonts w:ascii="Arial" w:cs="Arial" w:eastAsia="Arial" w:hAnsi="Arial"/>
                <w:sz w:val="16"/>
                <w:szCs w:val="16"/>
                <w:color w:val="auto"/>
              </w:rPr>
              <w:t>Note 10</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Impact from resolution of tax matters </w:t>
            </w:r>
            <w:r>
              <w:rPr>
                <w:rFonts w:ascii="Arial" w:cs="Arial" w:eastAsia="Arial" w:hAnsi="Arial"/>
                <w:sz w:val="21"/>
                <w:szCs w:val="21"/>
                <w:b w:val="1"/>
                <w:bCs w:val="1"/>
                <w:color w:val="auto"/>
                <w:vertAlign w:val="superscript"/>
              </w:rPr>
              <w:t>(1)</w:t>
            </w: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color w:val="auto"/>
              </w:rPr>
              <w:t>Note 12</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on debt extinguishment and related expenses</w:t>
            </w:r>
          </w:p>
        </w:tc>
        <w:tc>
          <w:tcPr>
            <w:tcW w:w="126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rPr>
              <w:t>Note 8</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Initial impacts from enacted tax law changes</w:t>
            </w: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color w:val="auto"/>
              </w:rPr>
              <w:t>Note 14</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(9)</w:t>
            </w:r>
          </w:p>
        </w:tc>
        <w:tc>
          <w:tcPr>
            <w:tcW w:w="420" w:type="dxa"/>
            <w:vAlign w:val="bottom"/>
          </w:tcPr>
          <w:p>
            <w:pPr>
              <w:spacing w:after="0"/>
              <w:rPr>
                <w:sz w:val="18"/>
                <w:szCs w:val="18"/>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62"/>
        </w:trPr>
        <w:tc>
          <w:tcPr>
            <w:tcW w:w="47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(Loss)/gain on equity method investment</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4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b w:val="1"/>
                <w:bCs w:val="1"/>
                <w:color w:val="auto"/>
              </w:rPr>
              <w:t xml:space="preserve">transactions </w:t>
            </w:r>
            <w:r>
              <w:rPr>
                <w:rFonts w:ascii="Arial" w:cs="Arial" w:eastAsia="Arial" w:hAnsi="Arial"/>
                <w:sz w:val="21"/>
                <w:szCs w:val="21"/>
                <w:b w:val="1"/>
                <w:bCs w:val="1"/>
                <w:color w:val="auto"/>
                <w:vertAlign w:val="superscript"/>
              </w:rPr>
              <w:t>(3)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Equity method investee items </w:t>
            </w:r>
            <w:r>
              <w:rPr>
                <w:rFonts w:ascii="Arial" w:cs="Arial" w:eastAsia="Arial" w:hAnsi="Arial"/>
                <w:sz w:val="21"/>
                <w:szCs w:val="21"/>
                <w:b w:val="1"/>
                <w:bCs w:val="1"/>
                <w:color w:val="auto"/>
                <w:vertAlign w:val="superscript"/>
              </w:rPr>
              <w:t>(4)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13</w:t>
            </w:r>
          </w:p>
        </w:tc>
        <w:tc>
          <w:tcPr>
            <w:tcW w:w="420" w:type="dxa"/>
            <w:vAlign w:val="bottom"/>
          </w:tcPr>
          <w:p>
            <w:pPr>
              <w:spacing w:after="0"/>
              <w:rPr>
                <w:sz w:val="18"/>
                <w:szCs w:val="18"/>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Effective tax rate</w:t>
            </w:r>
          </w:p>
        </w:tc>
        <w:tc>
          <w:tcPr>
            <w:tcW w:w="1260" w:type="dxa"/>
            <w:vAlign w:val="bottom"/>
            <w:gridSpan w:val="3"/>
            <w:shd w:val="clear" w:color="auto" w:fill="CCEEFF"/>
          </w:tcPr>
          <w:p>
            <w:pPr>
              <w:jc w:val="center"/>
              <w:ind w:right="360"/>
              <w:spacing w:after="0"/>
              <w:rPr>
                <w:sz w:val="20"/>
                <w:szCs w:val="20"/>
                <w:color w:val="auto"/>
              </w:rPr>
            </w:pPr>
            <w:r>
              <w:rPr>
                <w:rFonts w:ascii="Arial" w:cs="Arial" w:eastAsia="Arial" w:hAnsi="Arial"/>
                <w:sz w:val="16"/>
                <w:szCs w:val="16"/>
                <w:color w:val="auto"/>
              </w:rPr>
              <w:t>Note 14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23.4 %</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30.9 %</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40" w:right="20" w:hanging="332"/>
        <w:spacing w:after="0" w:line="268"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Includes impacts recorded in operating income and interest expense and other, net. Mark-to-market gains/(losses) above also include our equity method investment-related derivative contract mark-to-market gains/(losses) (refer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that are recorded in the gain on equity method investment transactions on our condensed consolidated statement of earnings.</w:t>
      </w:r>
    </w:p>
    <w:p>
      <w:pPr>
        <w:spacing w:after="0" w:line="1" w:lineRule="exact"/>
        <w:rPr>
          <w:rFonts w:ascii="Arial" w:cs="Arial" w:eastAsia="Arial" w:hAnsi="Arial"/>
          <w:sz w:val="14"/>
          <w:szCs w:val="14"/>
          <w:color w:val="auto"/>
        </w:rPr>
      </w:pPr>
    </w:p>
    <w:p>
      <w:pPr>
        <w:ind w:left="340" w:right="380" w:hanging="332"/>
        <w:spacing w:after="0" w:line="254"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Incremental costs due to the war in Ukraine include direct charges such as asset impairments due to damaged facilities and inventory, higher expected allowances for uncollectible accounts receivable and committed compensation. 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and Note 1, </w:t>
      </w:r>
      <w:r>
        <w:rPr>
          <w:rFonts w:ascii="Arial" w:cs="Arial" w:eastAsia="Arial" w:hAnsi="Arial"/>
          <w:sz w:val="14"/>
          <w:szCs w:val="14"/>
          <w:i w:val="1"/>
          <w:iCs w:val="1"/>
          <w:color w:val="auto"/>
        </w:rPr>
        <w:t>Basis of</w:t>
      </w:r>
      <w:r>
        <w:rPr>
          <w:rFonts w:ascii="Arial" w:cs="Arial" w:eastAsia="Arial" w:hAnsi="Arial"/>
          <w:sz w:val="14"/>
          <w:szCs w:val="14"/>
          <w:color w:val="auto"/>
        </w:rPr>
        <w:t xml:space="preserve"> </w:t>
      </w:r>
      <w:r>
        <w:rPr>
          <w:rFonts w:ascii="Arial" w:cs="Arial" w:eastAsia="Arial" w:hAnsi="Arial"/>
          <w:sz w:val="14"/>
          <w:szCs w:val="14"/>
          <w:i w:val="1"/>
          <w:iCs w:val="1"/>
          <w:color w:val="auto"/>
        </w:rPr>
        <w:t>Presentation – War in Ukraine</w:t>
      </w:r>
      <w:r>
        <w:rPr>
          <w:rFonts w:ascii="Arial" w:cs="Arial" w:eastAsia="Arial" w:hAnsi="Arial"/>
          <w:sz w:val="14"/>
          <w:szCs w:val="14"/>
          <w:color w:val="auto"/>
        </w:rPr>
        <w:t>, for additional information.</w:t>
      </w:r>
    </w:p>
    <w:p>
      <w:pPr>
        <w:spacing w:after="0" w:line="1" w:lineRule="exact"/>
        <w:rPr>
          <w:rFonts w:ascii="Arial" w:cs="Arial" w:eastAsia="Arial" w:hAnsi="Arial"/>
          <w:sz w:val="14"/>
          <w:szCs w:val="14"/>
          <w:color w:val="auto"/>
        </w:rPr>
      </w:pPr>
    </w:p>
    <w:p>
      <w:pPr>
        <w:jc w:val="both"/>
        <w:ind w:left="340" w:right="100" w:hanging="332"/>
        <w:spacing w:after="0" w:line="261"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(Loss)/gain on equity method investment transactions is recorded outside pre-tax operating results on the condensed consolidated statement of earnings. See footnote (1) as mark-to-market gains/(losses) on our equity method-investment-related derivative contracts are presented in the table above within mark-to-market gains/(losses) from derivatives.</w:t>
      </w:r>
    </w:p>
    <w:p>
      <w:pPr>
        <w:spacing w:after="0" w:line="1" w:lineRule="exact"/>
        <w:rPr>
          <w:rFonts w:ascii="Arial" w:cs="Arial" w:eastAsia="Arial" w:hAnsi="Arial"/>
          <w:sz w:val="14"/>
          <w:szCs w:val="14"/>
          <w:color w:val="auto"/>
        </w:rPr>
      </w:pPr>
    </w:p>
    <w:p>
      <w:pPr>
        <w:ind w:left="340" w:right="120" w:hanging="332"/>
        <w:spacing w:after="0" w:line="264"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including acquisition and divestiture-related costs and restructuring program costs.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7,274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927</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872</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880" w:type="dxa"/>
            <w:vAlign w:val="bottom"/>
            <w:vMerge w:val="restart"/>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747</w:t>
            </w:r>
          </w:p>
        </w:tc>
        <w:tc>
          <w:tcPr>
            <w:tcW w:w="4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4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vMerge w:val="continue"/>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vMerge w:val="restart"/>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ind w:right="14"/>
              <w:spacing w:after="0"/>
              <w:rPr>
                <w:sz w:val="20"/>
                <w:szCs w:val="20"/>
                <w:color w:val="auto"/>
              </w:rPr>
            </w:pPr>
            <w:r>
              <w:rPr>
                <w:rFonts w:ascii="Arial" w:cs="Arial" w:eastAsia="Arial" w:hAnsi="Arial"/>
                <w:sz w:val="18"/>
                <w:szCs w:val="18"/>
                <w:color w:val="auto"/>
              </w:rPr>
              <w:t>0.54</w:t>
            </w:r>
          </w:p>
        </w:tc>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0.76</w:t>
            </w: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7"/>
        </w:trPr>
        <w:tc>
          <w:tcPr>
            <w:tcW w:w="5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$632 million (9.5%) to $7,274 million in the second quarter of 2022, and Organic Net Revenue</w:t>
      </w:r>
    </w:p>
    <w:p>
      <w:pPr>
        <w:spacing w:after="0" w:line="27" w:lineRule="exact"/>
        <w:rPr>
          <w:sz w:val="20"/>
          <w:szCs w:val="20"/>
          <w:color w:val="auto"/>
        </w:rPr>
      </w:pPr>
    </w:p>
    <w:p>
      <w:pPr>
        <w:ind w:right="240" w:firstLine="8"/>
        <w:spacing w:after="0" w:line="250" w:lineRule="auto"/>
        <w:tabs>
          <w:tab w:leader="none" w:pos="178" w:val="left"/>
        </w:tabs>
        <w:numPr>
          <w:ilvl w:val="0"/>
          <w:numId w:val="21"/>
        </w:numPr>
        <w:rPr>
          <w:rFonts w:ascii="Arial" w:cs="Arial" w:eastAsia="Arial" w:hAnsi="Arial"/>
          <w:sz w:val="11"/>
          <w:szCs w:val="11"/>
          <w:color w:val="auto"/>
        </w:rPr>
      </w:pPr>
      <w:r>
        <w:rPr>
          <w:rFonts w:ascii="Arial" w:cs="Arial" w:eastAsia="Arial" w:hAnsi="Arial"/>
          <w:sz w:val="18"/>
          <w:szCs w:val="18"/>
          <w:color w:val="auto"/>
        </w:rPr>
        <w:t xml:space="preserve">increased $866 million (13.1%) to $7,494 million. Developed markets net revenues increased 2.7% and developed markets Organic Net Revenue increased 8.1% </w:t>
      </w:r>
      <w:r>
        <w:rPr>
          <w:rFonts w:ascii="Arial" w:cs="Arial" w:eastAsia="Arial" w:hAnsi="Arial"/>
          <w:sz w:val="10"/>
          <w:szCs w:val="10"/>
          <w:color w:val="auto"/>
        </w:rPr>
        <w:t>(1)</w:t>
      </w:r>
      <w:r>
        <w:rPr>
          <w:rFonts w:ascii="Arial" w:cs="Arial" w:eastAsia="Arial" w:hAnsi="Arial"/>
          <w:sz w:val="18"/>
          <w:szCs w:val="18"/>
          <w:color w:val="auto"/>
        </w:rPr>
        <w:t>. Emerging markets net revenues increased 22.4% and emerging markets Organic Net Revenue increased</w:t>
      </w:r>
    </w:p>
    <w:p>
      <w:pPr>
        <w:spacing w:after="0"/>
        <w:rPr>
          <w:rFonts w:ascii="Arial" w:cs="Arial" w:eastAsia="Arial" w:hAnsi="Arial"/>
          <w:sz w:val="11"/>
          <w:szCs w:val="11"/>
          <w:color w:val="auto"/>
        </w:rPr>
      </w:pPr>
      <w:r>
        <w:rPr>
          <w:rFonts w:ascii="Arial" w:cs="Arial" w:eastAsia="Arial" w:hAnsi="Arial"/>
          <w:sz w:val="18"/>
          <w:szCs w:val="18"/>
          <w:color w:val="auto"/>
        </w:rPr>
        <w:t xml:space="preserve">22.5% </w:t>
      </w:r>
      <w:r>
        <w:rPr>
          <w:rFonts w:ascii="Arial" w:cs="Arial" w:eastAsia="Arial" w:hAnsi="Arial"/>
          <w:sz w:val="10"/>
          <w:szCs w:val="10"/>
          <w:color w:val="auto"/>
        </w:rPr>
        <w:t>(1)</w:t>
      </w:r>
      <w:r>
        <w:rPr>
          <w:rFonts w:ascii="Arial" w:cs="Arial" w:eastAsia="Arial" w:hAnsi="Arial"/>
          <w:sz w:val="18"/>
          <w:szCs w:val="18"/>
          <w:color w:val="auto"/>
        </w:rPr>
        <w:t>. The underlying changes in net revenues and Organic Net Revenue are detailed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r>
      <w:tr>
        <w:trPr>
          <w:trHeight w:val="210"/>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shd w:val="clear" w:color="auto" w:fill="CCEEFF"/>
          </w:tcPr>
          <w:p>
            <w:pPr>
              <w:spacing w:after="0"/>
              <w:rPr>
                <w:sz w:val="18"/>
                <w:szCs w:val="18"/>
                <w:color w:val="auto"/>
              </w:rPr>
            </w:pPr>
          </w:p>
        </w:tc>
      </w:tr>
      <w:tr>
        <w:trPr>
          <w:trHeight w:val="230"/>
        </w:trPr>
        <w:tc>
          <w:tcPr>
            <w:tcW w:w="9600" w:type="dxa"/>
            <w:vAlign w:val="bottom"/>
          </w:tcPr>
          <w:p>
            <w:pPr>
              <w:ind w:left="56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9.5 %</w:t>
            </w:r>
          </w:p>
        </w:tc>
      </w:tr>
      <w:tr>
        <w:trPr>
          <w:trHeight w:val="22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Remove the following items affecting comparability:</w:t>
            </w:r>
          </w:p>
        </w:tc>
        <w:tc>
          <w:tcPr>
            <w:tcW w:w="1620" w:type="dxa"/>
            <w:vAlign w:val="bottom"/>
            <w:shd w:val="clear" w:color="auto" w:fill="CCEEFF"/>
          </w:tcPr>
          <w:p>
            <w:pPr>
              <w:spacing w:after="0"/>
              <w:rPr>
                <w:sz w:val="19"/>
                <w:szCs w:val="19"/>
                <w:color w:val="auto"/>
              </w:rPr>
            </w:pP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Unfavorable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6.4 pp</w:t>
            </w:r>
          </w:p>
        </w:tc>
      </w:tr>
      <w:tr>
        <w:trPr>
          <w:trHeight w:val="229"/>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Impact of divestiture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pp</w:t>
            </w:r>
          </w:p>
        </w:tc>
      </w:tr>
      <w:tr>
        <w:trPr>
          <w:trHeight w:val="230"/>
        </w:trPr>
        <w:tc>
          <w:tcPr>
            <w:tcW w:w="9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Impact of acquisition</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(3.0)pp</w:t>
            </w:r>
          </w:p>
        </w:tc>
      </w:tr>
      <w:tr>
        <w:trPr>
          <w:trHeight w:val="223"/>
        </w:trPr>
        <w:tc>
          <w:tcPr>
            <w:tcW w:w="9600" w:type="dxa"/>
            <w:vAlign w:val="bottom"/>
            <w:shd w:val="clear" w:color="auto" w:fill="CCEEFF"/>
          </w:tcPr>
          <w:p>
            <w:pPr>
              <w:ind w:left="56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13.1 %</w:t>
            </w: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Higher net pricing</w:t>
            </w:r>
          </w:p>
        </w:tc>
        <w:tc>
          <w:tcPr>
            <w:tcW w:w="1620" w:type="dxa"/>
            <w:vAlign w:val="bottom"/>
          </w:tcPr>
          <w:p>
            <w:pPr>
              <w:jc w:val="right"/>
              <w:spacing w:after="0"/>
              <w:rPr>
                <w:sz w:val="20"/>
                <w:szCs w:val="20"/>
                <w:color w:val="auto"/>
              </w:rPr>
            </w:pPr>
            <w:r>
              <w:rPr>
                <w:rFonts w:ascii="Arial" w:cs="Arial" w:eastAsia="Arial" w:hAnsi="Arial"/>
                <w:sz w:val="18"/>
                <w:szCs w:val="18"/>
                <w:color w:val="auto"/>
              </w:rPr>
              <w:t>8.0 pp</w:t>
            </w:r>
          </w:p>
        </w:tc>
      </w:tr>
      <w:tr>
        <w:trPr>
          <w:trHeight w:val="229"/>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Favorable volume/mix</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pp</w:t>
            </w: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Net revenue increase of 9.5% was driven by our underlying Organic Net Revenue growth of 13.1% and the impact of an acquisition, partially offset by unfavorable currency translation and the impact of a prior-year divestiture. Overall, we continued to see increased demand for our snack category products. Organic Net Revenue growth was driven by higher net pricing and favorable volume/mix. Higher net pricing in all regions was due to the benefit of carryover pricing from 2021 as well as the effects of input cost-driven pricing actions taken during the first six months of 2022. Favorable volume/mix was driven primarily by strong volume gains across our snack category products. The January 3, 2022 acquisition of Chipita added incremental net revenues of $198 million (constant currency basis). Unfavorable currency impacts decreased net revenues by $418 million, due primarily to the strength of the U.S. dollar relative to most currencies, including the euro, British pound sterling, Turkish lira, Argentinean peso, Australian dollar, Polish zloty, Indian rupee and Swedish krona, partially offset by the strength of a few currencies relative to the U.S. dollar, including the Russian ruble and Brazilian real. The impact of the November 1, 2021 divestiture of the packaged seafood business, which was part of our April 1, 2021 acquisition of Gourmet Food, resulted in a year-over-year decline in net revenues of $14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$55 million (6.3%) to $927 million in the second quarter of 2022.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$25 million (2.3%) to $1,100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$91 million (8.5%) to $1,166 million due to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2"/>
              <w:spacing w:after="0"/>
              <w:rPr>
                <w:sz w:val="20"/>
                <w:szCs w:val="20"/>
                <w:color w:val="auto"/>
              </w:rPr>
            </w:pPr>
            <w:r>
              <w:rPr>
                <w:rFonts w:ascii="Arial" w:cs="Arial" w:eastAsia="Arial" w:hAnsi="Arial"/>
                <w:sz w:val="14"/>
                <w:szCs w:val="14"/>
                <w:b w:val="1"/>
                <w:bCs w:val="1"/>
                <w:color w:val="auto"/>
                <w:w w:val="99"/>
              </w:rPr>
              <w:t>Operating</w:t>
            </w:r>
          </w:p>
        </w:tc>
        <w:tc>
          <w:tcPr>
            <w:tcW w:w="120" w:type="dxa"/>
            <w:vAlign w:val="bottom"/>
          </w:tcPr>
          <w:p>
            <w:pPr>
              <w:spacing w:after="0"/>
              <w:rPr>
                <w:sz w:val="14"/>
                <w:szCs w:val="14"/>
                <w:color w:val="auto"/>
              </w:rPr>
            </w:pPr>
          </w:p>
        </w:tc>
        <w:tc>
          <w:tcPr>
            <w:tcW w:w="15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8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June 30,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(7)</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820"/>
              <w:spacing w:after="0" w:line="230" w:lineRule="exact"/>
              <w:rPr>
                <w:sz w:val="20"/>
                <w:szCs w:val="20"/>
                <w:color w:val="auto"/>
              </w:rPr>
            </w:pPr>
            <w:r>
              <w:rPr>
                <w:rFonts w:ascii="Arial" w:cs="Arial" w:eastAsia="Arial" w:hAnsi="Arial"/>
                <w:sz w:val="18"/>
                <w:szCs w:val="18"/>
                <w:color w:val="auto"/>
              </w:rPr>
              <w:t xml:space="preserve">Impact from resolution of a tax matter </w:t>
            </w:r>
            <w:r>
              <w:rPr>
                <w:rFonts w:ascii="Arial" w:cs="Arial" w:eastAsia="Arial" w:hAnsi="Arial"/>
                <w:sz w:val="23"/>
                <w:szCs w:val="23"/>
                <w:color w:val="auto"/>
                <w:vertAlign w:val="superscript"/>
              </w:rPr>
              <w:t>(8)</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100" w:type="dxa"/>
            <w:vAlign w:val="bottom"/>
            <w:shd w:val="clear" w:color="auto" w:fill="CCEEFF"/>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1,075</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Three Months Ended June 30, 2021</w:t>
            </w:r>
          </w:p>
        </w:tc>
        <w:tc>
          <w:tcPr>
            <w:tcW w:w="20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rPr>
                <w:sz w:val="20"/>
                <w:szCs w:val="20"/>
                <w:color w:val="auto"/>
              </w:rPr>
            </w:pPr>
            <w:r>
              <w:rPr>
                <w:rFonts w:ascii="Arial" w:cs="Arial" w:eastAsia="Arial" w:hAnsi="Arial"/>
                <w:sz w:val="18"/>
                <w:szCs w:val="18"/>
                <w:color w:val="auto"/>
              </w:rPr>
              <w:t>Higher net pricing</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Higher input costs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40"/>
              <w:spacing w:after="0"/>
              <w:rPr>
                <w:sz w:val="20"/>
                <w:szCs w:val="20"/>
                <w:color w:val="auto"/>
              </w:rPr>
            </w:pPr>
            <w:r>
              <w:rPr>
                <w:rFonts w:ascii="Arial" w:cs="Arial" w:eastAsia="Arial" w:hAnsi="Arial"/>
                <w:sz w:val="18"/>
                <w:szCs w:val="18"/>
                <w:color w:val="auto"/>
              </w:rPr>
              <w:t>Favorable volume/mix</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Higher selling, general and administrative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color w:val="auto"/>
              </w:rPr>
              <w:t>Lower amortization of intangible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3"/>
                <w:szCs w:val="23"/>
                <w:color w:val="auto"/>
                <w:vertAlign w:val="superscript"/>
              </w:rPr>
              <w:t>(5)</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8.5 %</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Unfavorable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2.3 %</w:t>
            </w:r>
          </w:p>
        </w:tc>
        <w:tc>
          <w:tcPr>
            <w:tcW w:w="0" w:type="dxa"/>
            <w:vAlign w:val="bottom"/>
          </w:tcPr>
          <w:p>
            <w:pPr>
              <w:spacing w:after="0"/>
              <w:rPr>
                <w:sz w:val="1"/>
                <w:szCs w:val="1"/>
                <w:color w:val="auto"/>
              </w:rPr>
            </w:pPr>
          </w:p>
        </w:tc>
      </w:tr>
      <w:tr>
        <w:trPr>
          <w:trHeight w:val="155"/>
        </w:trPr>
        <w:tc>
          <w:tcPr>
            <w:tcW w:w="8100" w:type="dxa"/>
            <w:vAlign w:val="bottom"/>
            <w:shd w:val="clear" w:color="auto" w:fill="CCEEFF"/>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1,100</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Three Months Ended June 30, 2022</w:t>
            </w:r>
          </w:p>
        </w:tc>
        <w:tc>
          <w:tcPr>
            <w:tcW w:w="20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 (9)</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4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June 30,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6.3 %</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40" w:right="460" w:hanging="332"/>
        <w:spacing w:after="0" w:line="251"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jc w:val="both"/>
        <w:ind w:left="340" w:right="300" w:hanging="332"/>
        <w:spacing w:after="0" w:line="261"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January 3, 2022 acquisition of Chipita, the November 1, 2021 sale of MaxFoods Pty Ltd, the April 1, 2021 acquisition of Gourmet Food Holdings Pty Ltd, the March 25, 2021 acquisition of a majority interest in Grenade and the January 4, 2021 acquisition of the remaining 93% of equity in Hu Master Holdings.</w:t>
      </w:r>
    </w:p>
    <w:p>
      <w:pPr>
        <w:spacing w:after="0" w:line="1" w:lineRule="exact"/>
        <w:rPr>
          <w:rFonts w:ascii="Arial" w:cs="Arial" w:eastAsia="Arial" w:hAnsi="Arial"/>
          <w:sz w:val="14"/>
          <w:szCs w:val="14"/>
          <w:color w:val="auto"/>
        </w:rPr>
      </w:pPr>
    </w:p>
    <w:p>
      <w:pPr>
        <w:ind w:left="340" w:right="440" w:hanging="332"/>
        <w:spacing w:after="0" w:line="169" w:lineRule="exact"/>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information on our accounting for the war in Ukraine and our application of highly inflationary accounting for Argentina and T</w:t>
      </w:r>
      <w:r>
        <w:rPr>
          <w:rFonts w:ascii="MS PGothic" w:cs="MS PGothic" w:eastAsia="MS PGothic" w:hAnsi="MS PGothic"/>
          <w:sz w:val="14"/>
          <w:szCs w:val="14"/>
          <w:color w:val="auto"/>
        </w:rPr>
        <w:t>✔</w:t>
      </w:r>
      <w:r>
        <w:rPr>
          <w:rFonts w:ascii="Arial" w:cs="Arial" w:eastAsia="Arial" w:hAnsi="Arial"/>
          <w:sz w:val="14"/>
          <w:szCs w:val="14"/>
          <w:color w:val="auto"/>
        </w:rPr>
        <w:t>rkiye.</w:t>
      </w: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Divestiture-related costs includes costs incurred associated with our publicly-announced processes to divest our Developed Markets gum and Global Halls businesses.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the second quarter of 2022, we realized higher net pricing and favorable volume/mix, which was partially offset by increased input costs. Higher net pricing, which included the carryover impact of pricing actions taken in 2021 as well as the effects of input cost-driven pricing actions taken during the first six months of 2022, was reflected across all regions. Favorable volume/mix was driven by Europe, AMEA and Latin America, partially offset by unfavorable volume/mix in North America. Overall volume/mix benefited from strong volume growth due to continued increased demand for our snack category products. The increase in input costs was driven by higher raw material costs as well as increased manufacturing costs. Higher raw material costs were in part due to higher packaging, dairy, edible oils, energy, sugar, nuts and other ingredient costs as well as unfavorable year-over-year currency exchange transaction costs on imported materials, partially offset by lower cocoa and grain costs.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selling, general and administrative expenses increased $83 million from the second quarter of 2021, due to a number of factors noted in the table above, including in part, the impact of acquisitions, higher acquisition integration costs, higher remeasurement of net monetary position, lapping the prior-year favorable impact from the resolution of a tax matter and divestiture-related costs incurred in 2022, which were offset by a favorable currency impact related to expenses, lapping the prior-year unfavorable impact from pension participation changes, lower acquisition-related costs, a decrease of allowance and inventory reserves associated with incremental costs due to the war in Ukraine and lower implementation costs incurred for the Simplify to Grow Program. Excluding these factors, selling, general and administrative expenses increased $127 million from the second quarter of 2021. The increase was driven primarily by higher advertising and consumer promotion costs and higher overhead costs in part due to increased investments in route-to-market capabilities.</w:t>
      </w:r>
    </w:p>
    <w:p>
      <w:pPr>
        <w:spacing w:after="0" w:line="212"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Unfavorable currency changes decreased operating income by $ 66 million due primarily to the strength of the U.S. dollar relative to most currencies, including the euro, British pound sterling and Turkish lira, partially offset by the strength of a few currencies relative to the U.S. dollar, including the Russian ruble and Brazilian real.</w:t>
      </w:r>
    </w:p>
    <w:p>
      <w:pPr>
        <w:spacing w:after="0" w:line="19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Operating income margin decreased from 13.1% in the second quarter of 2021 to 12.7% in the second quarter of 2022. The decrease was driven primarily by unfavorable year-over-year change in mark-to-market gains/(losses) from currency and commodity hedging activities, lower Adjusted Operating Income margin, higher acquisition integration costs and higher remeasurement of net monetary position, partially offset by lower Simplify to Grow program costs, lapping of prior-year unfavorable impact of pension participation changes, lapping a prior-year intangible asset impairment charge and lower acquisition-related costs. Adjusted Operating Income margin decreased from 16.2% for the second quarter of 2021 to 15.1% for the second quarter of 2022. The decrease was driven primarily by higher raw material costs and unfavorable product mix, partially offset by higher net pricing and overhead cost leverage.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line="230"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$747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$331 million (30.7%) in the second quarter of 2022. Diluted EPS attributable to Mondelēz International was $0.54 in the second quarter of 2022, down $0.22 (28.9%) from the second quarter of 2021.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$0.67 in the second quarter of 2022, up $0.01 (1.5%) from the second quarter of 2021.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$0.72 in the second quarter of 2022, up $0.06 (9.1%) from the second quarter of 2021.</w:t>
      </w:r>
    </w:p>
    <w:p>
      <w:pPr>
        <w:spacing w:after="0" w:line="123" w:lineRule="exact"/>
        <w:rPr>
          <w:sz w:val="20"/>
          <w:szCs w:val="20"/>
          <w:color w:val="auto"/>
        </w:rPr>
      </w:pPr>
    </w:p>
    <w:p>
      <w:pPr>
        <w:ind w:left="1008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23495</wp:posOffset>
            </wp:positionV>
            <wp:extent cx="9175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p>
      <w:pPr>
        <w:spacing w:after="0" w:line="8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b w:val="1"/>
          <w:bCs w:val="1"/>
          <w:color w:val="auto"/>
        </w:rPr>
        <w:t>Three Months Ended June 30, 2021</w:t>
      </w:r>
    </w:p>
    <w:p>
      <w:pPr>
        <w:ind w:left="800"/>
        <w:spacing w:after="0" w:line="230"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Intangible asset impairment charge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p>
      <w:pPr>
        <w:ind w:left="800"/>
        <w:spacing w:after="0" w:line="214" w:lineRule="auto"/>
        <w:rPr>
          <w:sz w:val="20"/>
          <w:szCs w:val="20"/>
          <w:color w:val="auto"/>
        </w:rPr>
      </w:pPr>
      <w:r>
        <w:rPr>
          <w:rFonts w:ascii="Arial" w:cs="Arial" w:eastAsia="Arial" w:hAnsi="Arial"/>
          <w:sz w:val="16"/>
          <w:szCs w:val="16"/>
          <w:color w:val="auto"/>
        </w:rPr>
        <w:t xml:space="preserve">Initial impacts from enacted tax law changes </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Gain on equity method investment transactions </w:t>
      </w:r>
      <w:r>
        <w:rPr>
          <w:rFonts w:ascii="Arial" w:cs="Arial" w:eastAsia="Arial" w:hAnsi="Arial"/>
          <w:sz w:val="21"/>
          <w:szCs w:val="21"/>
          <w:color w:val="auto"/>
          <w:vertAlign w:val="superscript"/>
        </w:rPr>
        <w:t>(4)</w:t>
      </w: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1517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Increase in operations</w:t>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Decrease in equity method investment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1517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 xml:space="preserve">Impact from acquisition </w:t>
      </w:r>
      <w:r>
        <w:rPr>
          <w:rFonts w:ascii="Arial" w:cs="Arial" w:eastAsia="Arial" w:hAnsi="Arial"/>
          <w:sz w:val="21"/>
          <w:szCs w:val="21"/>
          <w:color w:val="auto"/>
          <w:vertAlign w:val="superscript"/>
        </w:rPr>
        <w:t>(2)</w:t>
      </w:r>
    </w:p>
    <w:p>
      <w:pPr>
        <w:ind w:left="800"/>
        <w:spacing w:after="0" w:line="214" w:lineRule="auto"/>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(3)</w:t>
      </w:r>
    </w:p>
    <w:p>
      <w:pPr>
        <w:ind w:left="800"/>
        <w:spacing w:after="0" w:line="215" w:lineRule="auto"/>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Unfavorable currency translation</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June 30, 2022</w:t>
      </w:r>
    </w:p>
    <w:p>
      <w:pPr>
        <w:ind w:left="800"/>
        <w:spacing w:after="0" w:line="214"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Mark-to-market losses from derivatives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Acquisition integration costs and contingent consideration adjustments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Remeasurement of net monetary position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Incremental costs due to war in Ukraine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Initial impacts from enacted tax law changes </w:t>
      </w:r>
      <w:r>
        <w:rPr>
          <w:rFonts w:ascii="Arial" w:cs="Arial" w:eastAsia="Arial" w:hAnsi="Arial"/>
          <w:sz w:val="21"/>
          <w:szCs w:val="21"/>
          <w:color w:val="auto"/>
          <w:vertAlign w:val="superscript"/>
        </w:rPr>
        <w:t>(3)</w:t>
      </w:r>
    </w:p>
    <w:p>
      <w:pPr>
        <w:ind w:left="800"/>
        <w:spacing w:after="0" w:line="214" w:lineRule="auto"/>
        <w:rPr>
          <w:sz w:val="20"/>
          <w:szCs w:val="20"/>
          <w:color w:val="auto"/>
        </w:rPr>
      </w:pPr>
      <w:r>
        <w:rPr>
          <w:rFonts w:ascii="Arial" w:cs="Arial" w:eastAsia="Arial" w:hAnsi="Arial"/>
          <w:sz w:val="16"/>
          <w:szCs w:val="16"/>
          <w:color w:val="auto"/>
        </w:rPr>
        <w:t xml:space="preserve">Loss on equity method investment transactions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31"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680"/>
        <w:spacing w:after="0" w:line="211" w:lineRule="auto"/>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Three Months Ended June 30, 2022</w:t>
      </w:r>
    </w:p>
    <w:p>
      <w:pPr>
        <w:spacing w:after="0" w:line="115"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gain/loss on equity method investment transactions.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040" w:hanging="1034"/>
        <w:spacing w:after="0"/>
        <w:tabs>
          <w:tab w:leader="none" w:pos="104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0.76</w:t>
      </w:r>
    </w:p>
    <w:p>
      <w:pPr>
        <w:spacing w:after="0" w:line="38"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25"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(0.02)</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0.02</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0.07</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(0.27)</w:t>
      </w:r>
    </w:p>
    <w:p>
      <w:pPr>
        <w:spacing w:after="0" w:line="46" w:lineRule="exact"/>
        <w:rPr>
          <w:sz w:val="20"/>
          <w:szCs w:val="20"/>
          <w:color w:val="auto"/>
        </w:rPr>
      </w:pPr>
    </w:p>
    <w:p>
      <w:pPr>
        <w:ind w:left="1040" w:hanging="1034"/>
        <w:spacing w:after="0"/>
        <w:tabs>
          <w:tab w:leader="none" w:pos="104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0.66</w:t>
      </w:r>
    </w:p>
    <w:p>
      <w:pPr>
        <w:spacing w:after="0" w:line="38"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661DE8"/>
        </w:rPr>
        <w:t>0.04</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0.02</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917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6" w:lineRule="exact"/>
        <w:rPr>
          <w:sz w:val="20"/>
          <w:szCs w:val="20"/>
          <w:color w:val="auto"/>
        </w:rPr>
      </w:pPr>
    </w:p>
    <w:p>
      <w:pPr>
        <w:ind w:left="1040" w:hanging="1034"/>
        <w:spacing w:after="0"/>
        <w:tabs>
          <w:tab w:leader="none" w:pos="104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0.72</w:t>
      </w:r>
    </w:p>
    <w:p>
      <w:pPr>
        <w:spacing w:after="0" w:line="38"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9175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9" w:lineRule="exact"/>
        <w:rPr>
          <w:sz w:val="20"/>
          <w:szCs w:val="20"/>
          <w:color w:val="auto"/>
        </w:rPr>
      </w:pPr>
    </w:p>
    <w:p>
      <w:pPr>
        <w:ind w:left="1040" w:hanging="1034"/>
        <w:spacing w:after="0"/>
        <w:tabs>
          <w:tab w:leader="none" w:pos="104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0.67</w:t>
      </w:r>
    </w:p>
    <w:p>
      <w:pPr>
        <w:spacing w:after="0" w:line="38"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25"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(0.08)</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167" w:lineRule="exact"/>
        <w:rPr>
          <w:sz w:val="20"/>
          <w:szCs w:val="20"/>
          <w:color w:val="auto"/>
        </w:rPr>
      </w:pPr>
    </w:p>
    <w:p>
      <w:pPr>
        <w:ind w:left="1040" w:hanging="1034"/>
        <w:spacing w:after="0"/>
        <w:tabs>
          <w:tab w:leader="none" w:pos="104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9175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874" w:lineRule="exact"/>
        <w:rPr>
          <w:sz w:val="20"/>
          <w:szCs w:val="20"/>
          <w:color w:val="auto"/>
        </w:rPr>
      </w:pPr>
    </w:p>
    <w:p>
      <w:pPr>
        <w:sectPr>
          <w:pgSz w:w="11900" w:h="16838" w:orient="portrait"/>
          <w:cols w:equalWidth="0" w:num="2">
            <w:col w:w="9060" w:space="720"/>
            <w:col w:w="1400"/>
          </w:cols>
          <w:pgMar w:left="320" w:top="364" w:right="399" w:bottom="1440" w:gutter="0" w:footer="0" w:header="0"/>
          <w:type w:val="continuous"/>
        </w:sect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non-U.S. dollar-denominated debt, which is included in currency translation.</w:t>
      </w:r>
    </w:p>
    <w:p>
      <w:pPr>
        <w:spacing w:after="0" w:line="1" w:lineRule="exact"/>
        <w:rPr>
          <w:rFonts w:ascii="Arial" w:cs="Arial" w:eastAsia="Arial" w:hAnsi="Arial"/>
          <w:sz w:val="14"/>
          <w:szCs w:val="14"/>
          <w:color w:val="auto"/>
        </w:rPr>
      </w:pPr>
    </w:p>
    <w:p>
      <w:pPr>
        <w:ind w:left="340" w:right="160" w:hanging="332"/>
        <w:spacing w:after="0" w:line="261"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right="140" w:hanging="332"/>
        <w:spacing w:after="0" w:line="284"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300"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For the Six Months Ended</w:t>
      </w:r>
    </w:p>
    <w:p>
      <w:pPr>
        <w:spacing w:after="0" w:line="2"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1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15,038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9"/>
        </w:trPr>
        <w:tc>
          <w:tcPr>
            <w:tcW w:w="510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2,155</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1,602</w:t>
            </w:r>
          </w:p>
        </w:tc>
        <w:tc>
          <w:tcPr>
            <w:tcW w:w="4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5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6"/>
              <w:spacing w:after="0"/>
              <w:rPr>
                <w:sz w:val="20"/>
                <w:szCs w:val="20"/>
                <w:color w:val="auto"/>
              </w:rPr>
            </w:pPr>
            <w:r>
              <w:rPr>
                <w:rFonts w:ascii="Arial" w:cs="Arial" w:eastAsia="Arial" w:hAnsi="Arial"/>
                <w:sz w:val="18"/>
                <w:szCs w:val="18"/>
                <w:color w:val="auto"/>
              </w:rPr>
              <w:t>1.15</w:t>
            </w:r>
          </w:p>
        </w:tc>
        <w:tc>
          <w:tcPr>
            <w:tcW w:w="4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7"/>
        </w:trPr>
        <w:tc>
          <w:tcPr>
            <w:tcW w:w="510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5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$1,158 million (8.3%) to $15,038 million in the first six months of 2022, and Organic Net Revenue</w:t>
      </w:r>
      <w:r>
        <w:rPr>
          <w:rFonts w:ascii="Arial" w:cs="Arial" w:eastAsia="Arial" w:hAnsi="Arial"/>
          <w:sz w:val="18"/>
          <w:szCs w:val="18"/>
          <w:i w:val="1"/>
          <w:iCs w:val="1"/>
          <w:color w:val="auto"/>
        </w:rPr>
        <w:t xml:space="preserve"> </w:t>
      </w:r>
      <w:r>
        <w:rPr>
          <w:rFonts w:ascii="Arial" w:cs="Arial" w:eastAsia="Arial" w:hAnsi="Arial"/>
          <w:sz w:val="23"/>
          <w:szCs w:val="23"/>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increased $1,485 million (10.7%) to $15,351 million. Developed markets net revenues increased (2.7%) and developed markets Organic Net Revenue increased (6.0%)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Emerging markets net revenues increased (18.8%) and emerging markets Organic Net Revenue increased (19.4%) </w:t>
      </w:r>
      <w:r>
        <w:rPr>
          <w:rFonts w:ascii="Arial" w:cs="Arial" w:eastAsia="Arial" w:hAnsi="Arial"/>
          <w:sz w:val="23"/>
          <w:szCs w:val="23"/>
          <w:color w:val="auto"/>
          <w:vertAlign w:val="superscript"/>
        </w:rPr>
        <w:t>(1)</w:t>
      </w:r>
      <w:r>
        <w:rPr>
          <w:rFonts w:ascii="Arial" w:cs="Arial" w:eastAsia="Arial" w:hAnsi="Arial"/>
          <w:sz w:val="18"/>
          <w:szCs w:val="18"/>
          <w:color w:val="auto"/>
        </w:rPr>
        <w:t>. The underlying changes in net revenues and Organic Net Revenue are detailed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r>
      <w:tr>
        <w:trPr>
          <w:trHeight w:val="211"/>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shd w:val="clear" w:color="auto" w:fill="CCEEFF"/>
          </w:tcPr>
          <w:p>
            <w:pPr>
              <w:spacing w:after="0"/>
              <w:rPr>
                <w:sz w:val="18"/>
                <w:szCs w:val="18"/>
                <w:color w:val="auto"/>
              </w:rPr>
            </w:pPr>
          </w:p>
        </w:tc>
      </w:tr>
      <w:tr>
        <w:trPr>
          <w:trHeight w:val="230"/>
        </w:trPr>
        <w:tc>
          <w:tcPr>
            <w:tcW w:w="9600" w:type="dxa"/>
            <w:vAlign w:val="bottom"/>
          </w:tcPr>
          <w:p>
            <w:pPr>
              <w:ind w:left="56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Add back the following items affecting comparability:</w:t>
            </w:r>
          </w:p>
        </w:tc>
        <w:tc>
          <w:tcPr>
            <w:tcW w:w="1620" w:type="dxa"/>
            <w:vAlign w:val="bottom"/>
            <w:shd w:val="clear" w:color="auto" w:fill="CCEEFF"/>
          </w:tcPr>
          <w:p>
            <w:pPr>
              <w:spacing w:after="0"/>
              <w:rPr>
                <w:sz w:val="19"/>
                <w:szCs w:val="19"/>
                <w:color w:val="auto"/>
              </w:rPr>
            </w:pP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Unfavorable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5.1 pp</w:t>
            </w:r>
          </w:p>
        </w:tc>
      </w:tr>
      <w:tr>
        <w:trPr>
          <w:trHeight w:val="229"/>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Impact of divestiture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pp</w:t>
            </w:r>
          </w:p>
        </w:tc>
      </w:tr>
      <w:tr>
        <w:trPr>
          <w:trHeight w:val="229"/>
        </w:trPr>
        <w:tc>
          <w:tcPr>
            <w:tcW w:w="9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Impact of acquisitions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(2.9)pp</w:t>
            </w:r>
          </w:p>
        </w:tc>
      </w:tr>
      <w:tr>
        <w:trPr>
          <w:trHeight w:val="223"/>
        </w:trPr>
        <w:tc>
          <w:tcPr>
            <w:tcW w:w="9600" w:type="dxa"/>
            <w:vAlign w:val="bottom"/>
            <w:shd w:val="clear" w:color="auto" w:fill="CCEEFF"/>
          </w:tcPr>
          <w:p>
            <w:pPr>
              <w:ind w:left="56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10.7 %</w:t>
            </w: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Higher net pricing</w:t>
            </w:r>
          </w:p>
        </w:tc>
        <w:tc>
          <w:tcPr>
            <w:tcW w:w="1620" w:type="dxa"/>
            <w:vAlign w:val="bottom"/>
          </w:tcPr>
          <w:p>
            <w:pPr>
              <w:jc w:val="right"/>
              <w:spacing w:after="0"/>
              <w:rPr>
                <w:sz w:val="20"/>
                <w:szCs w:val="20"/>
                <w:color w:val="auto"/>
              </w:rPr>
            </w:pPr>
            <w:r>
              <w:rPr>
                <w:rFonts w:ascii="Arial" w:cs="Arial" w:eastAsia="Arial" w:hAnsi="Arial"/>
                <w:sz w:val="18"/>
                <w:szCs w:val="18"/>
                <w:color w:val="auto"/>
              </w:rPr>
              <w:t>6.4 pp</w:t>
            </w:r>
          </w:p>
        </w:tc>
      </w:tr>
      <w:tr>
        <w:trPr>
          <w:trHeight w:val="229"/>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Favorable volume/mix</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pp</w:t>
            </w: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Net revenue increase of 8.3% was driven by our underlying Organic Net Revenue growth of 10.7% and the impact of acquisitions, partially offset by unfavorable currency translation and the impact of a prior-year divestiture. Overall, we continued to see increased demand for our snack category products. Organic Net Revenue growth was driven by higher net pricing and favorable volume/mix. Higher net pricing in all regions was due to the benefit of carryover pricing from 2021 as well as the effects of input cost-driven pricing actions taken during the first six months of 2022. Favorable volume/mix was driven primarily by strong volume gains primarily across our snack category products. The January 3, 2022 acquisition of Chipita added incremental net revenues of $367 million (constant currency basis), the April 1, 2021 acquisition of Gourmet Food added incremental net revenues of $15 million (constant currency basis) and the March 25, 2021 acquisition of Grenade added incremental net revenues of $22 million (constant currency basis). Unfavorable currency impacts decreased net revenues by $717 million, due primarily to the strength of the U.S. dollar relative to most currencies, including the euro, British pound sterling, Turkish lira, Argentinean peso, Australian dollar, Polish zloty, Indian rupee and Swedish krona, partially offset by the strength of a few currencies relative to the U.S. dollar, including the Brazilian real. The impact of the November 1, 2021 divestiture of the packaged seafood business, which was part of our April 1, 2021 acquisition of Gourmet Food, resulted in a year-over-year decline in net revenues of $14 million. Refer to Note 2, </w:t>
      </w: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for additional information.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$134 million (6.2%) to $2,021 million in the first six months of 2022.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$111 million (4.7%) to $2,478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$266 million (11.2%) to $2,633 million due to the following:</w:t>
      </w:r>
    </w:p>
    <w:tbl>
      <w:tblPr>
        <w:tblLayout w:type="fixed"/>
        <w:tblInd w:w="0" w:type="dxa"/>
        <w:tblCellMar>
          <w:top w:w="0" w:type="dxa"/>
          <w:left w:w="0" w:type="dxa"/>
          <w:bottom w:w="0" w:type="dxa"/>
          <w:right w:w="0" w:type="dxa"/>
        </w:tblCellMar>
      </w:tblPr>
      <w:tr>
        <w:trPr>
          <w:trHeight w:val="153"/>
        </w:trPr>
        <w:tc>
          <w:tcPr>
            <w:tcW w:w="8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9"/>
              </w:rPr>
              <w:t>Operating</w:t>
            </w:r>
          </w:p>
        </w:tc>
        <w:tc>
          <w:tcPr>
            <w:tcW w:w="15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8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Six Months Ended June 30,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2,155</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Gain from acquisition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(7)</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100" w:type="dxa"/>
            <w:vAlign w:val="bottom"/>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2,367</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780"/>
              <w:spacing w:after="0"/>
              <w:rPr>
                <w:sz w:val="20"/>
                <w:szCs w:val="20"/>
                <w:color w:val="auto"/>
              </w:rPr>
            </w:pPr>
            <w:r>
              <w:rPr>
                <w:rFonts w:ascii="Arial" w:cs="Arial" w:eastAsia="Arial" w:hAnsi="Arial"/>
                <w:sz w:val="18"/>
                <w:szCs w:val="18"/>
                <w:b w:val="1"/>
                <w:bCs w:val="1"/>
                <w:color w:val="auto"/>
              </w:rPr>
              <w:t>Six Months Ended June 30, 2021</w:t>
            </w: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Higher net pricing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color w:val="auto"/>
              </w:rPr>
              <w:t>Higher input costs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Favorable volume/mix</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rPr>
                <w:sz w:val="20"/>
                <w:szCs w:val="20"/>
                <w:color w:val="auto"/>
              </w:rPr>
            </w:pPr>
            <w:r>
              <w:rPr>
                <w:rFonts w:ascii="Arial" w:cs="Arial" w:eastAsia="Arial" w:hAnsi="Arial"/>
                <w:sz w:val="18"/>
                <w:szCs w:val="18"/>
                <w:color w:val="auto"/>
              </w:rPr>
              <w:t>Higher selling, general and administrative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Lower amortization of intangible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82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(5)</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11.2 %</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Unfavorable currency translation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4.7 %</w:t>
            </w:r>
          </w:p>
        </w:tc>
        <w:tc>
          <w:tcPr>
            <w:tcW w:w="0" w:type="dxa"/>
            <w:vAlign w:val="bottom"/>
          </w:tcPr>
          <w:p>
            <w:pPr>
              <w:spacing w:after="0"/>
              <w:rPr>
                <w:sz w:val="1"/>
                <w:szCs w:val="1"/>
                <w:color w:val="auto"/>
              </w:rPr>
            </w:pPr>
          </w:p>
        </w:tc>
      </w:tr>
      <w:tr>
        <w:trPr>
          <w:trHeight w:val="155"/>
        </w:trPr>
        <w:tc>
          <w:tcPr>
            <w:tcW w:w="8100" w:type="dxa"/>
            <w:vAlign w:val="bottom"/>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2,478</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b w:val="1"/>
                <w:bCs w:val="1"/>
                <w:color w:val="auto"/>
              </w:rPr>
              <w:t>Six Months Ended June 30, 2022</w:t>
            </w:r>
          </w:p>
        </w:tc>
        <w:tc>
          <w:tcPr>
            <w:tcW w:w="2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23"/>
                <w:szCs w:val="23"/>
                <w:color w:val="auto"/>
                <w:vertAlign w:val="superscript"/>
              </w:rPr>
              <w:t>(3)</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 (9)</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82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Six Months Ended June 30,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40" w:right="540" w:hanging="332"/>
        <w:spacing w:after="0" w:line="26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jc w:val="both"/>
        <w:ind w:left="340" w:right="300" w:hanging="332"/>
        <w:spacing w:after="0" w:line="254"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January 3, 2022 acquisition of Chipita, the November 1, 2021 sale of MaxFoods Pty Ltd, the April 1, 2021 acquisition of Gourmet Food Holdings Pty Ltd, the March 25, 2021 acquisition of a majority interest in Grenade and the January 4, 2021 acquisition of the remaining 93% of equity in Hu Master Holdings.</w:t>
      </w:r>
    </w:p>
    <w:p>
      <w:pPr>
        <w:spacing w:after="0" w:line="1" w:lineRule="exact"/>
        <w:rPr>
          <w:rFonts w:ascii="Arial" w:cs="Arial" w:eastAsia="Arial" w:hAnsi="Arial"/>
          <w:sz w:val="14"/>
          <w:szCs w:val="14"/>
          <w:color w:val="auto"/>
        </w:rPr>
      </w:pPr>
    </w:p>
    <w:p>
      <w:pPr>
        <w:ind w:left="340" w:right="440" w:hanging="332"/>
        <w:spacing w:after="0" w:line="176" w:lineRule="exact"/>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information on our accounting for the war in Ukraine and our application of highly inflationary accounting for Argentina and T</w:t>
      </w:r>
      <w:r>
        <w:rPr>
          <w:rFonts w:ascii="MS PGothic" w:cs="MS PGothic" w:eastAsia="MS PGothic" w:hAnsi="MS PGothic"/>
          <w:sz w:val="14"/>
          <w:szCs w:val="14"/>
          <w:color w:val="auto"/>
        </w:rPr>
        <w:t>✔</w:t>
      </w:r>
      <w:r>
        <w:rPr>
          <w:rFonts w:ascii="Arial" w:cs="Arial" w:eastAsia="Arial" w:hAnsi="Arial"/>
          <w:sz w:val="14"/>
          <w:szCs w:val="14"/>
          <w:color w:val="auto"/>
        </w:rPr>
        <w:t>rkiye.</w:t>
      </w: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Divestiture-related costs includes costs incurred associated with our publicly-announced processes to divest our Developed Markets gum and Global Halls businesses.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first six months of 2022, we realized higher net pricing and favorable volume/mix, which was partially offset by increased input costs. Higher net pricing, which included the carryover impact of pricing actions taken in 2021 as well as the effects of input cost-driven pricing actions taken during the first six months of 2022, was reflected in all regions. Favorable volume/mix was driven by Europe, AMEA and Latin America, which was partially offset by unfavorable volume/mix in North America. Overall volume/mix benefited from strong volume growth due to continued increased demand for our snack category products. The increase in input costs was driven by higher raw material costs as well as higher manufacturing costs. Higher raw material costs were in part due to higher packaging, dairy, edible oils, energy, grains, sugar, nuts and other ingredient costs, partially offset by favorable year-over-year currency exchange transaction costs on imported materials and lower cocoa costs.</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Total selling, general and administrative expenses increased $212 million from the first six months of 2021, due to a number of factors noted in the table above, including in part, the impact of acquisitions, higher acquisition integration costs, incremental costs due to the war in Ukraine, higher remeasurement of net monetary position, lapping the prior-year favorable impact from the resolution of a tax matter, divestiture-related costs incurred in 2022, and higher acquisition-related costs, which were partially offset by a favorable currency impact related to expenses, lapping the prior-year unfavorable impact from pension participation changes and lower implementation costs incurred for the Simplify to Grow Program. Excluding these factors, selling, general and administrative expenses increased $203 million from the first six months of 2021. The increase was driven primarily by higher advertising and consumer promotion costs and higher overheads in part due to increased investments in route-to-market capabilities.</w:t>
      </w:r>
    </w:p>
    <w:p>
      <w:pPr>
        <w:spacing w:after="0" w:line="21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Unfavorable currency changes decreased operating income by $155 million due primarily to the strength of the U.S. dollar relative to most currencies, including the euro, Russian ruble, British pound sterling, Turkish lira, Argentinian peso, Australian dollar, Indian rupee and Swedish krona, partially offset by the strength of a few currencies relative to the U.S. dollar, including the Brazilian real.</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Operating income margin decreased from 15.5% in the first six months of 2021 to 13.4% in the first six months of 2022. The decrease in operating income margin was driven primarily by the year-over-year unfavorable change in mark-to-market gains/(losses) from currency and commodity hedging activities, incremental costs due to the war in Ukraine, lower Adjusted Operating Income margin, higher intangible asset impairment charges, higher acquisition integration costs, divestiture-related costs incurred in 2022 and higher remeasurement of net monetary position, partially offset by lower costs for the Simplify to Grow Program and lapping the prior-year unfavorable impact from pension participation changes. Adjusted Operating Income margin decreased from 17.1% for the first six months of 2021 to 16.5% for the first six months of 2022. The decrease was driven primarily by higher raw material costs and unfavorable product mix, partially offset by higher net pricing and overhead cost leverage.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$1,602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$437 million (21.4%) in the first six months of 2022. Diluted EPS attributable to Mondelēz International was $1.15 in the first six months of 2022, down $0.29 (20.1%) from the first six months of 2021.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$1.50 in the first six months of 2022, up $0.05 (3.4%) from the first six months of 2021.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$1.62 in the first six months of 2022, up $0.17 (11.7%) from the first six months of 2021.</w:t>
      </w:r>
    </w:p>
    <w:p>
      <w:pPr>
        <w:spacing w:after="0" w:line="28" w:lineRule="exact"/>
        <w:rPr>
          <w:sz w:val="20"/>
          <w:szCs w:val="20"/>
          <w:color w:val="auto"/>
        </w:rPr>
      </w:pPr>
    </w:p>
    <w:p>
      <w:pPr>
        <w:ind w:left="1008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23495</wp:posOffset>
            </wp:positionV>
            <wp:extent cx="9175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p>
      <w:pPr>
        <w:spacing w:after="0" w:line="8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6"/>
          <w:szCs w:val="16"/>
          <w:b w:val="1"/>
          <w:bCs w:val="1"/>
          <w:color w:val="auto"/>
        </w:rPr>
        <w:t>Six Months Ended June 30, 2021</w:t>
      </w:r>
    </w:p>
    <w:p>
      <w:pPr>
        <w:spacing w:after="0" w:line="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Intangible asset impairment charge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ind w:left="800"/>
        <w:spacing w:after="0" w:line="214" w:lineRule="auto"/>
        <w:rPr>
          <w:sz w:val="20"/>
          <w:szCs w:val="20"/>
          <w:color w:val="auto"/>
        </w:rPr>
      </w:pPr>
      <w:r>
        <w:rPr>
          <w:rFonts w:ascii="Arial" w:cs="Arial" w:eastAsia="Arial" w:hAnsi="Arial"/>
          <w:sz w:val="16"/>
          <w:szCs w:val="16"/>
          <w:color w:val="auto"/>
        </w:rPr>
        <w:t xml:space="preserve">Net earnings from divestitures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Loss on debt extinguishment and related expenses </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Initial impacts from enacted tax law changes </w:t>
      </w:r>
      <w:r>
        <w:rPr>
          <w:rFonts w:ascii="Arial" w:cs="Arial" w:eastAsia="Arial" w:hAnsi="Arial"/>
          <w:sz w:val="21"/>
          <w:szCs w:val="21"/>
          <w:color w:val="auto"/>
          <w:vertAlign w:val="superscript"/>
        </w:rPr>
        <w:t>(4)</w:t>
      </w:r>
    </w:p>
    <w:p>
      <w:pPr>
        <w:ind w:left="800"/>
        <w:spacing w:after="0" w:line="215" w:lineRule="auto"/>
        <w:rPr>
          <w:sz w:val="20"/>
          <w:szCs w:val="20"/>
          <w:color w:val="auto"/>
        </w:rPr>
      </w:pPr>
      <w:r>
        <w:rPr>
          <w:rFonts w:ascii="Arial" w:cs="Arial" w:eastAsia="Arial" w:hAnsi="Arial"/>
          <w:sz w:val="16"/>
          <w:szCs w:val="16"/>
          <w:color w:val="auto"/>
        </w:rPr>
        <w:t xml:space="preserve">Gain on equity method investment transaction </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(6)</w:t>
      </w:r>
    </w:p>
    <w:p>
      <w:pPr>
        <w:ind w:left="680"/>
        <w:spacing w:after="0" w:line="230" w:lineRule="auto"/>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Increase in operations</w:t>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Decrease in equity method investment net earnings</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Impact from acquisition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Changes in benefit plan non-service income</w:t>
      </w:r>
    </w:p>
    <w:p>
      <w:pPr>
        <w:spacing w:after="0" w:line="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1517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(8)</w:t>
      </w:r>
    </w:p>
    <w:p>
      <w:pPr>
        <w:ind w:left="680"/>
        <w:spacing w:after="0"/>
        <w:rPr>
          <w:sz w:val="20"/>
          <w:szCs w:val="20"/>
          <w:color w:val="auto"/>
        </w:rPr>
      </w:pPr>
      <w:r>
        <w:rPr>
          <w:rFonts w:ascii="Arial" w:cs="Arial" w:eastAsia="Arial" w:hAnsi="Arial"/>
          <w:sz w:val="15"/>
          <w:szCs w:val="15"/>
          <w:b w:val="1"/>
          <w:bCs w:val="1"/>
          <w:color w:val="auto"/>
        </w:rPr>
        <w:t xml:space="preserve">Adjusted EPS (constant currency) </w:t>
      </w:r>
      <w:r>
        <w:rPr>
          <w:rFonts w:ascii="Arial" w:cs="Arial" w:eastAsia="Arial" w:hAnsi="Arial"/>
          <w:sz w:val="20"/>
          <w:szCs w:val="20"/>
          <w:b w:val="1"/>
          <w:bCs w:val="1"/>
          <w:color w:val="auto"/>
          <w:vertAlign w:val="superscript"/>
        </w:rPr>
        <w:t>(1)</w:t>
      </w:r>
      <w:r>
        <w:rPr>
          <w:rFonts w:ascii="Arial" w:cs="Arial" w:eastAsia="Arial" w:hAnsi="Arial"/>
          <w:sz w:val="15"/>
          <w:szCs w:val="15"/>
          <w:b w:val="1"/>
          <w:bCs w:val="1"/>
          <w:color w:val="auto"/>
        </w:rPr>
        <w:t xml:space="preserve"> for 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Unfavorable currency translation</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Intangible asset impairment charge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Mark-to-market losses from derivatives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Acquisition integration costs and contingent consideration adjustments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Incremental costs due to war in Ukraine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Remeasurement of net monetary position </w:t>
      </w:r>
      <w:r>
        <w:rPr>
          <w:rFonts w:ascii="Arial" w:cs="Arial" w:eastAsia="Arial" w:hAnsi="Arial"/>
          <w:sz w:val="21"/>
          <w:szCs w:val="21"/>
          <w:color w:val="auto"/>
          <w:vertAlign w:val="superscript"/>
        </w:rPr>
        <w:t>(2)</w:t>
      </w:r>
    </w:p>
    <w:p>
      <w:pPr>
        <w:ind w:left="800"/>
        <w:spacing w:after="0" w:line="214" w:lineRule="auto"/>
        <w:rPr>
          <w:sz w:val="20"/>
          <w:szCs w:val="20"/>
          <w:color w:val="auto"/>
        </w:rPr>
      </w:pPr>
      <w:r>
        <w:rPr>
          <w:rFonts w:ascii="Arial" w:cs="Arial" w:eastAsia="Arial" w:hAnsi="Arial"/>
          <w:sz w:val="16"/>
          <w:szCs w:val="16"/>
          <w:color w:val="auto"/>
        </w:rPr>
        <w:t xml:space="preserve">Loss on debt extinguishment and related expenses </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Initial impacts from enacted tax law changes </w:t>
      </w:r>
      <w:r>
        <w:rPr>
          <w:rFonts w:ascii="Arial" w:cs="Arial" w:eastAsia="Arial" w:hAnsi="Arial"/>
          <w:sz w:val="21"/>
          <w:szCs w:val="21"/>
          <w:color w:val="auto"/>
          <w:vertAlign w:val="superscript"/>
        </w:rPr>
        <w:t>(4)</w:t>
      </w:r>
    </w:p>
    <w:p>
      <w:pPr>
        <w:ind w:left="800"/>
        <w:spacing w:after="0" w:line="215" w:lineRule="auto"/>
        <w:rPr>
          <w:sz w:val="20"/>
          <w:szCs w:val="20"/>
          <w:color w:val="auto"/>
        </w:rPr>
      </w:pPr>
      <w:r>
        <w:rPr>
          <w:rFonts w:ascii="Arial" w:cs="Arial" w:eastAsia="Arial" w:hAnsi="Arial"/>
          <w:sz w:val="16"/>
          <w:szCs w:val="16"/>
          <w:color w:val="auto"/>
        </w:rPr>
        <w:t xml:space="preserve">Loss on equity method investment transactions </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7"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(6)</w:t>
      </w:r>
    </w:p>
    <w:p>
      <w:pPr>
        <w:ind w:left="680"/>
        <w:spacing w:after="0" w:line="211" w:lineRule="auto"/>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Six Months Ended June 30, 2022</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040" w:hanging="1034"/>
        <w:spacing w:after="0"/>
        <w:tabs>
          <w:tab w:leader="none" w:pos="104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1.44</w:t>
      </w:r>
    </w:p>
    <w:p>
      <w:pPr>
        <w:spacing w:after="0" w:line="38"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0.13</w:t>
      </w:r>
    </w:p>
    <w:p>
      <w:pPr>
        <w:spacing w:after="0" w:line="25"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(0.08)</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0.02</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0.07</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0.07</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(0.26)</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9175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6" w:lineRule="exact"/>
        <w:rPr>
          <w:sz w:val="20"/>
          <w:szCs w:val="20"/>
          <w:color w:val="auto"/>
        </w:rPr>
      </w:pPr>
    </w:p>
    <w:p>
      <w:pPr>
        <w:ind w:left="1040" w:hanging="1034"/>
        <w:spacing w:after="0"/>
        <w:tabs>
          <w:tab w:leader="none" w:pos="104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1.45</w:t>
      </w:r>
    </w:p>
    <w:p>
      <w:pPr>
        <w:spacing w:after="0" w:line="38"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0.14</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0.02</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9175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6" w:lineRule="exact"/>
        <w:rPr>
          <w:sz w:val="20"/>
          <w:szCs w:val="20"/>
          <w:color w:val="auto"/>
        </w:rPr>
      </w:pPr>
    </w:p>
    <w:p>
      <w:pPr>
        <w:ind w:left="1040" w:hanging="1034"/>
        <w:spacing w:after="0"/>
        <w:tabs>
          <w:tab w:leader="none" w:pos="104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1.62</w:t>
      </w:r>
    </w:p>
    <w:p>
      <w:pPr>
        <w:spacing w:after="0" w:line="38"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9175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9" w:lineRule="exact"/>
        <w:rPr>
          <w:sz w:val="20"/>
          <w:szCs w:val="20"/>
          <w:color w:val="auto"/>
        </w:rPr>
      </w:pPr>
    </w:p>
    <w:p>
      <w:pPr>
        <w:ind w:left="1040" w:hanging="1034"/>
        <w:spacing w:after="0"/>
        <w:tabs>
          <w:tab w:leader="none" w:pos="104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1.50</w:t>
      </w:r>
    </w:p>
    <w:p>
      <w:pPr>
        <w:spacing w:after="0" w:line="38"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25"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(0.04)</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(0.06)</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(0.09)</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9175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47" w:lineRule="exact"/>
        <w:rPr>
          <w:sz w:val="20"/>
          <w:szCs w:val="20"/>
          <w:color w:val="auto"/>
        </w:rPr>
      </w:pPr>
    </w:p>
    <w:p>
      <w:pPr>
        <w:ind w:left="1040" w:hanging="1034"/>
        <w:spacing w:after="0"/>
        <w:tabs>
          <w:tab w:leader="none" w:pos="104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9175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9175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9060" w:space="720"/>
            <w:col w:w="1400"/>
          </w:cols>
          <w:pgMar w:left="320" w:top="364" w:right="399" w:bottom="1440" w:gutter="0" w:footer="0" w:header="0"/>
          <w:type w:val="continuous"/>
        </w:sectPr>
      </w:pP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Refer to the </w:t>
      </w:r>
      <w:r>
        <w:rPr>
          <w:rFonts w:ascii="Arial" w:cs="Arial" w:eastAsia="Arial" w:hAnsi="Arial"/>
          <w:sz w:val="13"/>
          <w:szCs w:val="13"/>
          <w:i w:val="1"/>
          <w:iCs w:val="1"/>
          <w:color w:val="auto"/>
        </w:rPr>
        <w:t>Non-GAAP Financial Measures</w:t>
      </w:r>
      <w:r>
        <w:rPr>
          <w:rFonts w:ascii="Arial" w:cs="Arial" w:eastAsia="Arial" w:hAnsi="Arial"/>
          <w:sz w:val="13"/>
          <w:szCs w:val="13"/>
          <w:color w:val="auto"/>
        </w:rPr>
        <w:t xml:space="preserve"> section appearing later in this section.</w:t>
      </w:r>
    </w:p>
    <w:p>
      <w:pPr>
        <w:spacing w:after="0" w:line="11" w:lineRule="exact"/>
        <w:rPr>
          <w:rFonts w:ascii="Arial" w:cs="Arial" w:eastAsia="Arial" w:hAnsi="Arial"/>
          <w:sz w:val="13"/>
          <w:szCs w:val="13"/>
          <w:color w:val="auto"/>
        </w:rPr>
      </w:pP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See the </w:t>
      </w:r>
      <w:r>
        <w:rPr>
          <w:rFonts w:ascii="Arial" w:cs="Arial" w:eastAsia="Arial" w:hAnsi="Arial"/>
          <w:sz w:val="13"/>
          <w:szCs w:val="13"/>
          <w:i w:val="1"/>
          <w:iCs w:val="1"/>
          <w:color w:val="auto"/>
        </w:rPr>
        <w:t>Operating Income</w:t>
      </w:r>
      <w:r>
        <w:rPr>
          <w:rFonts w:ascii="Arial" w:cs="Arial" w:eastAsia="Arial" w:hAnsi="Arial"/>
          <w:sz w:val="13"/>
          <w:szCs w:val="13"/>
          <w:color w:val="auto"/>
        </w:rPr>
        <w:t xml:space="preserve"> table above and the related footnotes for more information.</w:t>
      </w: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Refer to Note 8, </w:t>
      </w:r>
      <w:r>
        <w:rPr>
          <w:rFonts w:ascii="Arial" w:cs="Arial" w:eastAsia="Arial" w:hAnsi="Arial"/>
          <w:sz w:val="13"/>
          <w:szCs w:val="13"/>
          <w:i w:val="1"/>
          <w:iCs w:val="1"/>
          <w:color w:val="auto"/>
        </w:rPr>
        <w:t>Debt and Borrowing Arrangements</w:t>
      </w:r>
      <w:r>
        <w:rPr>
          <w:rFonts w:ascii="Arial" w:cs="Arial" w:eastAsia="Arial" w:hAnsi="Arial"/>
          <w:sz w:val="13"/>
          <w:szCs w:val="13"/>
          <w:color w:val="auto"/>
        </w:rPr>
        <w:t>), for more information on the loss on debt extinguishment and related expenses.</w:t>
      </w: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Refer to Note 14, Income Taxes, on the items affecting income taxes.</w:t>
      </w: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Refer to Note 6, Equity Method Investments, for more information on the gain/(loss) on equity method investment transactions.</w:t>
      </w:r>
    </w:p>
    <w:p>
      <w:pPr>
        <w:ind w:left="340" w:right="100" w:hanging="332"/>
        <w:spacing w:after="0" w:line="242" w:lineRule="auto"/>
        <w:tabs>
          <w:tab w:leader="none" w:pos="332"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our proportionate share of significant operating and non-operating items recorded by our JDE Peet's and KDP equity method investees, such as acquisition and divestiture-related costs and restructuring program costs.</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Excludes the currency impact on interest expense related to our non-U.S. dollar-denominated debt, which is included in currency translation.</w:t>
      </w:r>
    </w:p>
    <w:p>
      <w:pPr>
        <w:spacing w:after="0" w:line="7" w:lineRule="exact"/>
        <w:rPr>
          <w:rFonts w:ascii="Arial" w:cs="Arial" w:eastAsia="Arial" w:hAnsi="Arial"/>
          <w:sz w:val="13"/>
          <w:szCs w:val="13"/>
          <w:color w:val="auto"/>
        </w:rPr>
      </w:pPr>
    </w:p>
    <w:p>
      <w:pPr>
        <w:ind w:left="340" w:right="340" w:hanging="332"/>
        <w:spacing w:after="0" w:line="245" w:lineRule="auto"/>
        <w:tabs>
          <w:tab w:leader="none" w:pos="332"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Refer to Note 11, </w:t>
      </w:r>
      <w:r>
        <w:rPr>
          <w:rFonts w:ascii="Arial" w:cs="Arial" w:eastAsia="Arial" w:hAnsi="Arial"/>
          <w:sz w:val="13"/>
          <w:szCs w:val="13"/>
          <w:i w:val="1"/>
          <w:iCs w:val="1"/>
          <w:color w:val="auto"/>
        </w:rPr>
        <w:t>Stock Plans</w:t>
      </w:r>
      <w:r>
        <w:rPr>
          <w:rFonts w:ascii="Arial" w:cs="Arial" w:eastAsia="Arial" w:hAnsi="Arial"/>
          <w:sz w:val="13"/>
          <w:szCs w:val="13"/>
          <w:color w:val="auto"/>
        </w:rPr>
        <w:t xml:space="preserve">, for more information on our equity compensation programs and share repurchase program and Note 15, </w:t>
      </w:r>
      <w:r>
        <w:rPr>
          <w:rFonts w:ascii="Arial" w:cs="Arial" w:eastAsia="Arial" w:hAnsi="Arial"/>
          <w:sz w:val="13"/>
          <w:szCs w:val="13"/>
          <w:i w:val="1"/>
          <w:iCs w:val="1"/>
          <w:color w:val="auto"/>
        </w:rPr>
        <w:t>Earnings per Share</w:t>
      </w:r>
      <w:r>
        <w:rPr>
          <w:rFonts w:ascii="Arial" w:cs="Arial" w:eastAsia="Arial" w:hAnsi="Arial"/>
          <w:sz w:val="13"/>
          <w:szCs w:val="13"/>
          <w:color w:val="auto"/>
        </w:rPr>
        <w:t>, for earnings per share weighted-average share information.</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ectPr>
          <w:pgSz w:w="11900" w:h="16838" w:orient="portrait"/>
          <w:cols w:equalWidth="0" w:num="1">
            <w:col w:w="11220"/>
          </w:cols>
          <w:pgMar w:left="320" w:top="364" w:right="359" w:bottom="1440" w:gutter="0" w:footer="0" w:header="0"/>
        </w:sectPr>
      </w:pPr>
    </w:p>
    <w:p>
      <w:pPr>
        <w:spacing w:after="0" w:line="142"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For the Three Months Ended</w:t>
      </w:r>
    </w:p>
    <w:p>
      <w:pPr>
        <w:jc w:val="center"/>
        <w:ind w:left="50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18859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1" w:lineRule="exact"/>
        <w:rPr>
          <w:sz w:val="20"/>
          <w:szCs w:val="20"/>
          <w:color w:val="auto"/>
        </w:rPr>
      </w:pPr>
    </w:p>
    <w:p>
      <w:pPr>
        <w:ind w:left="5500"/>
        <w:spacing w:after="0"/>
        <w:tabs>
          <w:tab w:leader="none" w:pos="70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23495</wp:posOffset>
            </wp:positionV>
            <wp:extent cx="18859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780"/>
        <w:spacing w:after="0"/>
        <w:rPr>
          <w:sz w:val="20"/>
          <w:szCs w:val="20"/>
          <w:color w:val="auto"/>
        </w:rPr>
      </w:pPr>
      <w:r>
        <w:rPr>
          <w:rFonts w:ascii="Arial" w:cs="Arial" w:eastAsia="Arial" w:hAnsi="Arial"/>
          <w:sz w:val="14"/>
          <w:szCs w:val="14"/>
          <w:b w:val="1"/>
          <w:bCs w:val="1"/>
          <w:color w:val="auto"/>
        </w:rPr>
        <w:t>For the Six Months Ended</w:t>
      </w:r>
    </w:p>
    <w:p>
      <w:pPr>
        <w:jc w:val="center"/>
        <w:ind w:right="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14605</wp:posOffset>
            </wp:positionV>
            <wp:extent cx="18859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1"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23495</wp:posOffset>
            </wp:positionV>
            <wp:extent cx="18859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7860" w:space="720"/>
            <w:col w:w="2640"/>
          </w:cols>
          <w:pgMar w:left="320" w:top="364" w:right="35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Europe</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4940" w:type="dxa"/>
            <w:vAlign w:val="bottom"/>
          </w:tcPr>
          <w:p>
            <w:pPr>
              <w:ind w:left="360"/>
              <w:spacing w:after="0"/>
              <w:rPr>
                <w:sz w:val="20"/>
                <w:szCs w:val="20"/>
                <w:color w:val="auto"/>
              </w:rPr>
            </w:pPr>
            <w:r>
              <w:rPr>
                <w:rFonts w:ascii="Arial" w:cs="Arial" w:eastAsia="Arial" w:hAnsi="Arial"/>
                <w:sz w:val="18"/>
                <w:szCs w:val="18"/>
                <w:color w:val="auto"/>
              </w:rPr>
              <w:t>AMEA</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175"/>
        </w:trPr>
        <w:tc>
          <w:tcPr>
            <w:tcW w:w="49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(losses)/gains on hedging activities</w:t>
            </w:r>
          </w:p>
        </w:tc>
        <w:tc>
          <w:tcPr>
            <w:tcW w:w="5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5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rPr>
                <w:sz w:val="20"/>
                <w:szCs w:val="20"/>
                <w:color w:val="auto"/>
              </w:rPr>
            </w:pPr>
            <w:r>
              <w:rPr>
                <w:rFonts w:ascii="Arial" w:cs="Arial" w:eastAsia="Arial" w:hAnsi="Arial"/>
                <w:sz w:val="18"/>
                <w:szCs w:val="18"/>
                <w:color w:val="auto"/>
              </w:rPr>
              <w:t>Gain on acquisition</w:t>
            </w:r>
          </w:p>
        </w:tc>
        <w:tc>
          <w:tcPr>
            <w:tcW w:w="5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9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66.7 %</w:t>
            </w:r>
          </w:p>
        </w:tc>
      </w:tr>
      <w:tr>
        <w:trPr>
          <w:trHeight w:val="409"/>
        </w:trPr>
        <w:tc>
          <w:tcPr>
            <w:tcW w:w="5080" w:type="dxa"/>
            <w:vAlign w:val="bottom"/>
          </w:tcPr>
          <w:p>
            <w:pPr>
              <w:spacing w:after="0"/>
              <w:rPr>
                <w:sz w:val="24"/>
                <w:szCs w:val="24"/>
                <w:color w:val="auto"/>
              </w:rPr>
            </w:pPr>
          </w:p>
        </w:tc>
        <w:tc>
          <w:tcPr>
            <w:tcW w:w="294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1,702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48.5 %</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5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revenues increased $ 207 million (30.9%), due to higher net pricing (20.6 pp) and favorable volume/mix (12.4 pp), partially offset by unfavorable currency (2.1 pp). Higher net pricing was reflected across all categories, driven primarily by Argentina, Brazil and Mexico. Favorable volume/mix reflected strong volume growth as the region continued to see increased demand for our snack category products. Favorable volume/mix was driven by gains in gum, biscuits, chocolate, candy and cheese &amp; grocery, partially offset by a decline in refreshment beverages. Unfavorable currency impacts were due primarily to the strength of the U.S. dollar relative to most currencies in the region, primarily the Argentinean peso, partially offset by the strength of a few currencies relative to the U.S. dollar, primarily the Brazilian real.</w:t>
      </w:r>
    </w:p>
    <w:p>
      <w:pPr>
        <w:spacing w:after="0" w:line="21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Segment operating income increased $36 million (66.7%), primarily due to higher net pricing, favorable volume/mix, lower manufacturing costs due to productivity and lower costs incurred for the Simplify to Grow Program. These favorable items were partially offset by higher raw material costs, higher advertising and consumer promotion costs, higher other selling, general and administrative expenses, higher remeasurement loss of net monetary position and lapping a prior-year favorable impact from the resolution of a tax matter.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5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revenues increased $ 364 million (27.2%), due to higher net pricing (18.8 pp) and favorable volume/mix (10.6 pp), partially offset by unfavorable currency (2.2 pp). Higher net pricing was reflected across all categories, driven primarily by Argentina, Brazil and Mexico. Favorable volume/mix reflected strong volume growth as the region continued to see increased demand for our snack category products. Favorable volume/mix was driven by gains in gum, chocolate, biscuits, gum, candy and cheese &amp; grocery, partially offset by a decline in refreshment beverages. Unfavorable currency impacts were due primarily to the strength of the U.S. dollar relative to most currencies in the region, primarily the Argentinean peso, partially offset by the strength of a few currencies relative to the U.S. dollar, primarily the Brazilian real.</w:t>
      </w:r>
    </w:p>
    <w:p>
      <w:pPr>
        <w:spacing w:after="0" w:line="21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Segment operating income increased $63 million (48.5%), primarily due to higher net pricing, favorable volume/mix, lower manufacturing costs due to productivity and lower costs incurred for the Simplify to Grow Program. These favorable items were partially offset by higher raw material costs, higher advertising and consumer promotion costs, higher other selling, general and administrative expenses, higher remeasurement loss on net monetary position and lapping a prior-year favorable impact from the resolution of a tax matter.</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1,535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342"/>
        </w:trPr>
        <w:tc>
          <w:tcPr>
            <w:tcW w:w="5080" w:type="dxa"/>
            <w:vAlign w:val="bottom"/>
          </w:tcPr>
          <w:p>
            <w:pPr>
              <w:spacing w:after="0"/>
              <w:rPr>
                <w:sz w:val="24"/>
                <w:szCs w:val="24"/>
                <w:color w:val="auto"/>
              </w:rPr>
            </w:pPr>
          </w:p>
        </w:tc>
        <w:tc>
          <w:tcPr>
            <w:tcW w:w="294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3,402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483</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(16.0)%</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5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Net revenues increased $ 83 million (5.7%), due to favorable volume/mix (8.7 pp) and higher net pricing (4.5 pp), partially offset by unfavorable currency (6.5 pp) and the impact of a divestiture (1.0 pp). Favorable volume/mix reflected overall volume gains from increased demand for our snack category products. Favorable volume/mix was driven by gains in chocolate, biscuits and candy, partially offset by declines in gum, cheese &amp; grocery and refreshment beverages. Higher net pricing was reflected across all categories. Unfavorable currency impacts were due to the strength of the U.S. dollar relative to most currencies in the region, including the Australian dollar, Indian rupee, South African rand, Philippine peso, Egyptian pound and Chinese yuan. The impact of the November 1, 2021 divestiture of the packaged seafood business, which was part of our April 1, 2021 acquisition of Gourmet Food, resulted in a year-over-year decline in net revenues of $14 million.</w:t>
      </w:r>
    </w:p>
    <w:p>
      <w:pPr>
        <w:spacing w:after="0" w:line="21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Segment operating income decreased $2 million (0.9%), primarily due to higher raw material costs, higher advertising and consumer promotion costs, higher other selling, general and administrative expenses and unfavorable currency. These unfavorable items were mostly offset by higher net pricing, favorable volume/mix and lower manufacturing costs driven by productivity.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revenues increased $205 million (6.4%), due to favorable volume/mix (7.5 pp), higher net pricing (3.4 pp) and the impact of an acquisition (0.4 pp), partially offset by unfavorable currency (4.4 pp) and the impact of a divestiture (0.5 pp). Favorable volume/mix reflected overall volume gains from increased demand for our snack category products. Favorable volume/mix was driven by gains in chocolate, biscuits, refreshment beverages and candy, partially offset by declines in cheese &amp; grocery and gum. Higher net pricing was reflected across all categories. The April 1, 2021 acquisition of Gourmet Food added incremental net revenues of $15 million (constant currency basis) in the first quarter of 2022. Unfavorable currency impacts were due to the strength of the U.S. dollar relative to most currencies in the region, including the Australian dollar, Indian rupee, Philippine peso, South African Rand, Japanese yen and Egyptian pound. The impact of the November 1, 2021 divestiture of the packaged seafood business, which was part of our April 1, 2021 acquisition of Gourmet Food, resulted in a year-over-year decline in net revenues of $14 million.</w:t>
      </w:r>
    </w:p>
    <w:p>
      <w:pPr>
        <w:spacing w:after="0" w:line="20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Segment operating income decreased $92 million (16.0%), primarily due to higher raw material costs, an intangible asset impairment charge incurred in the first quarter of 2022, higher advertising and consumer promotion costs, unfavorable currency, higher other selling, general and administrative expenses and higher costs incurred for the Simplify to Grow Program. These unfavorable items were partially offset by higher net pricing, favorable volume/mix and lower manufacturing costs driven by productivity.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2,626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413</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598"/>
        </w:trPr>
        <w:tc>
          <w:tcPr>
            <w:tcW w:w="5080" w:type="dxa"/>
            <w:vAlign w:val="bottom"/>
          </w:tcPr>
          <w:p>
            <w:pPr>
              <w:spacing w:after="0"/>
              <w:rPr>
                <w:sz w:val="24"/>
                <w:szCs w:val="24"/>
                <w:color w:val="auto"/>
              </w:rPr>
            </w:pPr>
          </w:p>
        </w:tc>
        <w:tc>
          <w:tcPr>
            <w:tcW w:w="294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5,561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757</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970</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(22.0)%</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revenues increased $152 million (6.1%), due to the impact of an acquisition (7.6 pp), favorable volume/mix (5.9 pp) and higher net pricing (4.9 pp), partially offset by unfavorable currency (12.3 pp). The January 3, 2022 acquisition of Chipita added incremental net revenues of $189 million (constant currency basis) in the second quarter of 2022. Favorable volume/mix was driven by strong volume growth as we experienced increased demand for our snack category products and our world travel business grew as global travel continued to improve. Favorable volume/mix was driven by gains in chocolate, biscuits, candy, cheese &amp; grocery and gum, partially offset by a decline in refreshment beverages. Higher net pricing was reflected across all categories. Unfavorable currency impacts reflected the strength of the U.S. dollar relative to most currencies across the region, including the euro, British pound sterling, Turkish lira, Polish zloty and Swedish krona, partially offset by the strength of a few currencies relative to the U.S. dollar, primarily the Russian ruble.</w:t>
      </w:r>
    </w:p>
    <w:p>
      <w:pPr>
        <w:spacing w:after="0" w:line="21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Segment operating income decreased $33 million (8.0%), primarily due to higher raw material costs, unfavorable currency, acquisition integration costs incurred in the second quarter of 2022, higher other selling, general and administrative expenses, higher advertising and consumer promotion costs and higher manufacturing costs. These unfavorable items were partially offset by higher net pricing, favorable volume/mix, lapping the prior-year unfavorable impact of pension participation changes, a decrease in estimated allowances and reserves associated with incremental costs due to the war in Ukraine and the impact of an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5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revenues increased $240 million (4.5%), due to the impact of acquisitions (7.0 pp), favorable volume/mix (4.5 pp) and higher net pricing (3.1 pp), partially offset by unfavorable currency (10.1 pp). The January 3, 2022 acquisition of Chipita added incremental net revenues of $351 million (constant currency basis) and the March 25, 2021 acquisition of Grenade added incremental net revenues of $22 million (constant currency basis) in the first six months of 2022. Favorable volume/mix was driven by strong volume growth as we experienced increased demand for our snack category products and our world travel business grew as global travel continued to improve. Favorable volume/mix was driven by gains in chocolate, biscuits, candy and gum, partially offset by declines in refreshment beverages and cheese &amp; grocery. Higher net pricing was reflected across all categories except refreshment beverages. Unfavorable currency impacts reflected the strength of the U.S. dollar relative to most currencies across the region, including the euro, British pound sterling, Turkish lira, Polish zloty, Swedish krona and Romanian leu.</w:t>
      </w:r>
    </w:p>
    <w:p>
      <w:pPr>
        <w:spacing w:after="0" w:line="2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Segment operating income decreased $213 million (22.0%), primarily due to higher raw material costs, unfavorable currency, incremental costs incurred due to the war in Ukraine, acquisition integration costs incurred in the first six months of 2022, higher other selling, general and administrative expenses and higher advertising and consumer promotion costs. These unfavorable items were partially offset by higher net pricing, favorable volume/mix, lapping the prior-year unfavorable impact of pension participation changes, the impact of acquisitions and lower costs incurred for the Simplify to Grow Program.</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2,237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454</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51.8 %</w:t>
            </w:r>
          </w:p>
        </w:tc>
      </w:tr>
      <w:tr>
        <w:trPr>
          <w:trHeight w:val="598"/>
        </w:trPr>
        <w:tc>
          <w:tcPr>
            <w:tcW w:w="5080" w:type="dxa"/>
            <w:vAlign w:val="bottom"/>
          </w:tcPr>
          <w:p>
            <w:pPr>
              <w:spacing w:after="0"/>
              <w:rPr>
                <w:sz w:val="24"/>
                <w:szCs w:val="24"/>
                <w:color w:val="auto"/>
              </w:rPr>
            </w:pPr>
          </w:p>
        </w:tc>
        <w:tc>
          <w:tcPr>
            <w:tcW w:w="294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4,373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872</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569</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53.3 %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revenues increased $190 million (9.3%), due to higher net pricing (10.2 pp) and the impact of an acquisition (0.5 pp), partially offset by unfavorable volume/mix (1.0 pp) and unfavorable currency (0.4 pp). Higher net pricing was reflected across all categories driven by pricing actions taken in the first six months of 2022. The January 3, 2022 acquisition of Chipita added incremental net revenues of $9 million in the second quarter of 2022. Unfavorable volume/mix was driven by a decline in biscuits which primarily reflected the impact of supply chain constraints on volume, partially offset by gains in candy, gum and chocolate. Unfavorable currency impact was due to the strength of the U.S. dollar relative to the Canadian dollar.</w:t>
      </w: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Segment operating income increased $155 million (51.8%), primarily due to higher net pricing, lower costs incurred for the Simplify to Grow Program and lapping prior-year intangible asset impairment charges. These favorable items were partially offset by higher raw material costs, higher manufacturing costs, unfavorable volume/mix and higher advertising and consumer promotion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5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revenues increased $349 million (8.7%), due to higher net pricing (8.9 pp) and the impact of an acquisition (0.4 pp), partially offset by unfavorable volume/mix (0.4 pp) and unfavorable currency (0.2 pp). Higher net pricing was reflected across all categories driven by pricing actions taken in the first six months of 2022. The January 3, 2022 acquisition of Chipita added incremental net revenues of $16 million in the first six months of 2022. Unfavorable volume/mix was driven by by a decline in biscuits which primarily reflected the impact of supply chain constraints on volume, mostly offset by gains in candy, chocolate and gum. Unfavorable currency impact was due to the strength of the U.S. dollar relative to the Canadian dollar.</w:t>
      </w:r>
    </w:p>
    <w:p>
      <w:pPr>
        <w:spacing w:after="0" w:line="20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Segment operating income increased $303 million (53.3%), primarily due to higher net pricing, lower costs incurred for the Simplify to Grow Program and lapping a prior-year intangible asset impairment charge. These favorable items were partially offset by higher raw material costs, higher manufacturing costs, unfavorable volume/mix and higher advertising and consumer promotion costs.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believe that cash from operations, our revolving credit and term loan facilities, short-term borrowings and our authorized long-term financing will continue to provide sufficient liquidity for our working capital needs, planned capital expenditures, future payments of our contractual, tax and benefit plan obligations and payments for acquisitions, share repurchases and quarterly dividends. We expect to continue to utilize our commercial paper program and available international credit lines as needed. We continually evaluate long-term debt issuances to meet our short- and longer-term funding requirements. We also use intercompany loans with our international subsidiaries to improve financial flexibility. Our investments in JDE Peet's and KDP also provide us additional flexibility. Overall, we do not expect negative effects to our funding sources that would have a material effect on our liquidity, and we continue to monitor our operations in Europe and related effects from the war in Ukraine. To date, we have been successful in generating cash and raising financing as needed. However, if a serious economic or credit market crisis ensues or other adverse developments arise in connection with the COVID-19 pandemic, war in Ukraine or other circumstances, it could have a material adverse effect on our liquidity, results of operations and financial condition.</w:t>
      </w:r>
    </w:p>
    <w:p>
      <w:pPr>
        <w:spacing w:after="0" w:line="21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and property, plant and equipment.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Clif Bar and Ricolino Acquisitions</w:t>
      </w:r>
    </w:p>
    <w:p>
      <w:pPr>
        <w:spacing w:after="0" w:line="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On June 20, 2022, we announced an agreement to acquire Clif Bar for approximately $2.9 billion. The acquisition of Clif Bar includes a contingent consideration arrangement that may require us to pay additional consideration to the sellers for achieving certain revenue and earnings targets in 2025 and 2026 that exceed our base financial projections for the business implied in the upfront purchase price. The possible payments range from zero to a maximum total of $2.4 billion, with higher payouts requiring the achievement of targets that generate rates of returns in excess of the base financial projections. The transaction is expected to close in the third quarter of 2022. On April 24, 2022, we also announced our planned acquisition of Ricolino, which we expect to close in the second half of 2022 for an estimated purchase price of approximately $1.3 billion. We expect to fund both acquisitions through a combination of cash on hand, debt issuances, commercial paper borrowings and bank term loans.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details.</w:t>
      </w:r>
    </w:p>
    <w:p>
      <w:pPr>
        <w:spacing w:after="0" w:line="21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Long-term cash requirements primarily relate to funding long-term debt repayments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our U.S. tax reform transition tax liability which is payable through 2026 and deferred taxes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our long-term benefit plan obligations (refer to Note 10,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and Note 11</w:t>
      </w:r>
      <w:r>
        <w:rPr>
          <w:rFonts w:ascii="Arial" w:cs="Arial" w:eastAsia="Arial" w:hAnsi="Arial"/>
          <w:sz w:val="18"/>
          <w:szCs w:val="18"/>
          <w:i w:val="1"/>
          <w:iCs w:val="1"/>
          <w:color w:val="auto"/>
        </w:rPr>
        <w:t>, Benefit Plans,</w:t>
      </w:r>
      <w:r>
        <w:rPr>
          <w:rFonts w:ascii="Arial" w:cs="Arial" w:eastAsia="Arial" w:hAnsi="Arial"/>
          <w:sz w:val="18"/>
          <w:szCs w:val="18"/>
          <w:color w:val="auto"/>
        </w:rPr>
        <w:t xml:space="preserve"> in our Annual report on Form 10-K) and commodity-related purchase commitments and derivative contracts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We generally do not use equity to fund our ongoing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5"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4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2021</w:t>
            </w:r>
          </w:p>
        </w:tc>
      </w:tr>
      <w:tr>
        <w:trPr>
          <w:trHeight w:val="256"/>
        </w:trPr>
        <w:tc>
          <w:tcPr>
            <w:tcW w:w="44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1,967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1,792</w:t>
            </w: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60"/>
        </w:trPr>
        <w:tc>
          <w:tcPr>
            <w:tcW w:w="44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4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(2,516)</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(3,228)</w:t>
            </w:r>
          </w:p>
        </w:tc>
      </w:tr>
      <w:tr>
        <w:trPr>
          <w:trHeight w:val="864"/>
        </w:trPr>
        <w:tc>
          <w:tcPr>
            <w:tcW w:w="4400" w:type="dxa"/>
            <w:vAlign w:val="bottom"/>
          </w:tcPr>
          <w:p>
            <w:pPr>
              <w:spacing w:after="0"/>
              <w:rPr>
                <w:sz w:val="24"/>
                <w:szCs w:val="24"/>
                <w:color w:val="auto"/>
              </w:rPr>
            </w:pPr>
          </w:p>
        </w:tc>
        <w:tc>
          <w:tcPr>
            <w:tcW w:w="4280" w:type="dxa"/>
            <w:vAlign w:val="bottom"/>
          </w:tcPr>
          <w:p>
            <w:pPr>
              <w:jc w:val="right"/>
              <w:ind w:right="2870"/>
              <w:spacing w:after="0"/>
              <w:rPr>
                <w:sz w:val="20"/>
                <w:szCs w:val="20"/>
                <w:color w:val="auto"/>
              </w:rPr>
            </w:pPr>
            <w:r>
              <w:rPr>
                <w:rFonts w:ascii="Arial" w:cs="Arial" w:eastAsia="Arial" w:hAnsi="Arial"/>
                <w:sz w:val="18"/>
                <w:szCs w:val="18"/>
                <w:color w:val="auto"/>
              </w:rPr>
              <w:t>51</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4"/>
        </w:trPr>
        <w:tc>
          <w:tcPr>
            <w:tcW w:w="44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5"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The increase in net cash provided by operating activities was due primarily to lower year-over-year working capital requirements, higher dividends received from our equity method investments and lower payments to benefit plans than in the same prior-year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The increase in net cash used in investing activities was largely driven by higher cash payments for acquisitions, including $1.4 billion cash consideration paid for the Chipita acquisition during January 2022 relative to $833 million paid in the prior-year to acquire Gourmet Food, Grenade and Hu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as well as lower proceeds from sales of equity method investments than in the prior-year period (refer to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partially offset by proceeds from the settlement and replacement of net investment hedge derivative contracts and lower capital expenditures. We continue to make capital expenditures primarily to modernize manufacturing facilities, support new product and productivity initiatives and fund strategic priorities. We expect 2022 capital expenditures to be approximately $1.1 billion, including capital expenditures in connection with our Simplify to Grow Program and for funding our strategic priorities. We expect to continue to fund these expenditures with cash from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The decrease in cash used in financing activities was primarily due to lower net debt repayments in 2022 to date as we largely refinanced debt during the first quarter of 2022 with lower interest rate debt and we lapped higher net long-term debt repayments in the prior-year, partially offset primarily by higher dividends paid in the first six months of 2022 than in the same prior-year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w:t>
      </w:r>
    </w:p>
    <w:p>
      <w:pPr>
        <w:spacing w:after="0" w:line="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part of our continued efforts to improve our working capital efficiency, we have worked with our suppliers over the past several years to optimize our terms and conditions, which include the extension of payment terms. Our current payment terms with a majority of our suppliers are from 30 to 180 days, which we deem to be commercially reasonable. We also facilitate voluntary supply chain financing (“SCF”) programs through several participating financial institutions. Under these programs, our suppliers, at their sole discretion, determine invoices that they want to sell to participating financial institutions. Our suppliers’ voluntary inclusion of invoices in SCF programs has no bearing on our payment terms or amounts due. Our responsibility is limited to making payments based upon the agreed-upon contractual terms. No guarantees are provided by the Company or any of our subsidiaries under the SCF programs and we have no economic interest in the suppliers’ decision to participate in the SCF programs. Amounts due to our suppliers that elected to participate in the SCF program are included in accounts payable in our consolidated balance sheet. We have been informed by the participating financial institutions that as of June 30, 2022 and June 30, 2021, $2.1 billion and $2.5 billion, respectively, of our accounts payable to suppliers that participate in the SCF programs are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discussed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At June 30, 2022, we had no material third-party guarantees recorded on our condensed consolidated balance sheet. Guarantees do not have, and we do not expect them to have, a material effect on our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or other financing needs.</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six months of 2022. In the next 12 months, we expect to repay approximately $0.7 billion of maturing long-term debt including $0.2 billion in July 2022 and $ 0.5 billion in September 2022. We fund ongoing debt maturities and other long-term obligations using cash on hand or we may refinance obligations with long-term debt or short-term financing (such as our commercial paper borrowings) depending on financing available, timing considerations, flexibility to raise funding and the cost of financing.</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During December 2021, our Board of Directors approved a $7 billion long-term financing authority to replace the prior $6 billion authority. As of June 30, 2022, $3 billion of the long-term financing authorization remained available. On July 11, 2022 we entered into a new $ 2 billion term loan facility. At its July 2022 meeting, the Board of Directors approved a new $2 billion long-term financing authorization that replaced the prior long-term financing authorization. Refer to Note 8, Debt and Borrowing Arrangements.</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total debt was $19.2 billion at June 30, 2022 and $19.5 billion at December 31, 2021. Our debt-to-capitalization ratio was 0.41 at June 30, 2022 and 0.41 at December 31, 2021. At June 30, 2022, the weighted-average term of our outstanding long-term debt was 9.1 years. Our average daily commercial paper borrowings outstanding were $1.2 billion in the first six months of 2022 and $ 0.6 billion in the first six months of 2021. We had commercial paper outstanding totaling $0.5 billion as of June 30, 2022 and $0.2 billion as of December 31, 2021. We expect to continue to use cash or commercial paper to finance various short-term financing needs. Through June 30, 2022, we continue to comply with our debt covenants.</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73.3% (or $11.0 billion) of the $15.0 billion of consolidated net revenue in the six months ended June 30, 2022. The operations held by MIHN represented approximately 82.2% (or $22.7 billion) of the $27.6 billion of net assets as of June 30, 2022 and 79.2% (or $22.4 billion) of the $28.3 billion of net assets as of December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more information on our debt and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5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six months of 2022, the primary drivers of the increase in our aggregate commodity costs were higher packaging, dairy, edible oils, energy, grains, sugar, nuts and other ingredient costs, partially offset by favorable year-over-year currency exchange transaction costs on imported materials and lower cocoa costs.</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number of external factors such as the COVID-19 global pandemic, effects of the war in Ukraine, climate and weather conditions, commodity, transportation and labor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a result of international supply chain, transportation and labor market disruptions and generally higher commodity, transportation and labor costs in the first six months of 2022, we expect price volatility and a higher aggregate cost environment to continue in the remainder of 2022. While the costs of our principal raw materials fluctuate, we believe there will continue to be an adequate supply of the raw materials we use and that they will generally remain available.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 Plans</w:t>
      </w:r>
      <w:r>
        <w:rPr>
          <w:rFonts w:ascii="Arial" w:cs="Arial" w:eastAsia="Arial" w:hAnsi="Arial"/>
          <w:sz w:val="18"/>
          <w:szCs w:val="18"/>
          <w:color w:val="auto"/>
        </w:rPr>
        <w:t xml:space="preserve">, to our condensed consolidated financial statements and Part II, Item 2, </w:t>
      </w:r>
      <w:r>
        <w:rPr>
          <w:rFonts w:ascii="Arial" w:cs="Arial" w:eastAsia="Arial" w:hAnsi="Arial"/>
          <w:sz w:val="18"/>
          <w:szCs w:val="18"/>
          <w:i w:val="1"/>
          <w:iCs w:val="1"/>
          <w:color w:val="auto"/>
        </w:rPr>
        <w:t>Unregistered Sales of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and Use of Proceeds</w:t>
      </w:r>
      <w:r>
        <w:rPr>
          <w:rFonts w:ascii="Arial" w:cs="Arial" w:eastAsia="Arial" w:hAnsi="Arial"/>
          <w:sz w:val="18"/>
          <w:szCs w:val="18"/>
          <w:color w:val="auto"/>
        </w:rPr>
        <w:t>, for more information on our stock plans, grant activity and share repurchase program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2022.</w:t>
      </w:r>
    </w:p>
    <w:p>
      <w:pPr>
        <w:spacing w:after="0" w:line="20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of June 30, 2022, our Board of Directors has authorized share repurchases up to $23.7 billion through December 31, 2023. Under this program, we have repurchased approximately $21.5 billion of shares through June 30, 2022 ($1.5 billion in the first six months of 2022, $2.1 billion in 2021, $1.4 billion in 2020, $1.5 billion in 2019, $2.0 billion in 2018, $2.2 billion in 2017, $2.6 billion in 2016, $3.6 billion in 2015, $1.9 billion in 2014 and $2.7 billion in 2013), at a weighted-average cost of $43.00 per share.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 w:lineRule="exact"/>
        <w:rPr>
          <w:sz w:val="20"/>
          <w:szCs w:val="20"/>
          <w:color w:val="auto"/>
        </w:rPr>
      </w:pPr>
    </w:p>
    <w:p>
      <w:pPr>
        <w:ind w:right="1980"/>
        <w:spacing w:after="0" w:line="250" w:lineRule="auto"/>
        <w:rPr>
          <w:sz w:val="20"/>
          <w:szCs w:val="20"/>
          <w:color w:val="auto"/>
        </w:rPr>
      </w:pPr>
      <w:r>
        <w:rPr>
          <w:rFonts w:ascii="Arial" w:cs="Arial" w:eastAsia="Arial" w:hAnsi="Arial"/>
          <w:sz w:val="18"/>
          <w:szCs w:val="18"/>
          <w:color w:val="auto"/>
        </w:rPr>
        <w:t>We paid dividends of $977 million in the first six months of 2022 and $896 million in the first six months of 2021. The second quarter 2022 dividend of $0.35 per share, declared on May 18, 2022 for shareholders of record as of June</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30, 2022, was paid on July 14, 2022. On July 26, 2022, the Audit Committee, with authorization delegated from our Board of Directors, declared a quarterly cash dividend of $0.385 per share of Class A Common Stock, an increase of 10 percent. This dividend is payable on October 14, 2022, to shareholders of record as of September 30, 2022.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1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anticipate that the 2022 distributions will be characterized as dividends under U.S. federal income tax rules. The final determination will be made on an IRS Form 1099–DIV issued in early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2021. Our significant accounting estimates are described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 our Annual Report on Form 10-K for the year ended December 31, 2021.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also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this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This report contains a number of forward-looking statements. Words, and variations of words, such as “will,” “may,” “expect,” “would,” “could,” “might,” “intend,” “plan,” “believe,” “likely,” “estimate,” “anticipate,” “objective,” “predict,” “project,” “seek,” “aim,” “potential,” “outlook” and similar expressions are intended to identify our forward-looking statements, including but not limited to statements about: the impact on our business of the war in Ukraine and current and future sanctions imposed by governments or other authorities, including the impact on matters such as costs, markets, the global economic environment, availability of commodities, demand, supplying our Ukraine business's customers and consumers, impairments, continuation of and our ability to control our operating activities and businesses in Russia and Ukraine, and our operating results; the impact of the COVID-19 pandemic and related disruptions on our business including consumer demand, costs, product mix, our strategic initiatives, our and our partners’ global supply chains, operations, technology and assets, and our financial performance; price volatility, inflation and pricing actions; our future performance, including our future revenue and earnings growth; our strategy to accelerate consumer-centric growth, drive operational excellence, create a winning growth culture and scale sustainable snacking; plans to reshape our portfolio and extend our leadership positions in chocolate and biscuits as well as baked snacks; plans to further enable our growth by investing in our strong and inclusive talent, brand portfolio and digital technologies and skills, as well as our sales and marketing capabilities; plans to divest our developed market gum and global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businesses; anticipated closing of planned acquisitions of Clif Bar and Ricolino; our leadership position in snacking; volatility in global consumer, commodity, transportation, labor, currency and capital markets; the cost environment, including higher labor, customer service, commodity, operating, transportation and other costs; factors affecting costs and measures we are taking to address increased costs;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right="40"/>
        <w:spacing w:after="0" w:line="217" w:lineRule="exact"/>
        <w:rPr>
          <w:sz w:val="20"/>
          <w:szCs w:val="20"/>
          <w:color w:val="auto"/>
        </w:rPr>
      </w:pPr>
      <w:r>
        <w:rPr>
          <w:rFonts w:ascii="Arial" w:cs="Arial" w:eastAsia="Arial" w:hAnsi="Arial"/>
          <w:sz w:val="18"/>
          <w:szCs w:val="18"/>
          <w:color w:val="auto"/>
        </w:rPr>
        <w:t>supply, transportation and labor disruptions and constraints; consumer behavior, consumption and demand trends and our business in developed and emerging markets, our channels, our brands and our categories; our tax rate, tax positions, tax proceedings, tax liabilities, valuation allowances and the impact on us of potential U.S. and global tax reform; advertising and promotion bans and restrictions in the U.K.; the costs of, timing of expenditures under and completion of our restructuring program; consumer snacking behaviors; commodity prices, supply and availability; our investments and our ownership interests in those investments, including JDE Peet's and KDP; innovation; political, business and economic conditions and volatility; currency exchange rates, controls and restrictions, volatility in foreign currencies and the effect of currency translation on our results of operations; the application of highly inflationary accounting for our subsidiaries in Argentina and T</w:t>
      </w:r>
      <w:r>
        <w:rPr>
          <w:rFonts w:ascii="MS PGothic" w:cs="MS PGothic" w:eastAsia="MS PGothic" w:hAnsi="MS PGothic"/>
          <w:sz w:val="18"/>
          <w:szCs w:val="18"/>
          <w:color w:val="auto"/>
        </w:rPr>
        <w:t>✔</w:t>
      </w:r>
      <w:r>
        <w:rPr>
          <w:rFonts w:ascii="Arial" w:cs="Arial" w:eastAsia="Arial" w:hAnsi="Arial"/>
          <w:sz w:val="18"/>
          <w:szCs w:val="18"/>
          <w:color w:val="auto"/>
        </w:rPr>
        <w:t>rkiye and the potential for and impacts from currency devaluation in other countries;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expenses, contributions and assumptions; our ability to prevent and respond to cybersecurity breaches and disruptions; our liquidity, funding sources and uses of funding, including debt issuances and our use of commercial paper and international credit lines; our capital structure, credit availability and our ability to raise capital, and the impact of market disruptions on us, our counterparties and our business partners; the planned phase out of London Interbank Offered Rates and transition to other interest rate benchmarks; our risk management program, including the use of financial instruments and the impacts and effectiveness of our hedging activities; working capital; capital expenditures and funding; funding of debt maturities, acquisitions and other obligations; share repurchases; dividends; long-term value for our shareholders; guarantees; the characterization of 2022 distributions as dividends; compliance with our debt covenants; and our contractual and other obligations.</w:t>
      </w:r>
    </w:p>
    <w:p>
      <w:pPr>
        <w:spacing w:after="0" w:line="2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and many of these risks and uncertainties are currently amplified by and may continue to be amplified by the COVID-19 pandemic, including the spread of new variants of COVID-19. Important factors that could cause our actual results to differ materially from those described in our forward-looking statements include, but are not limited to, the impact of ongoing or new developments in the war in Ukraine, related current and future sanctions imposed by governments and other authorities, and related impacts on our business, growth, employees, reputation, prospects, financial condition, operating results (including components of our financial results), cash flows and liquidity; uncertainty about the effectiveness of efforts by health officials and governments to control the spread of COVID-19 and inoculate and treat populations impacted by COVID-19; uncertainty about the reimposition or lessening of restrictions imposed by governments intended to mitigate the spread of COVID-19 and the magnitude, duration, geographic reach and impact on the global economy of COVID-19; the ongoing, and uncertain future, impact of the COVID-19 pandemic on our business, growth, employees, reputation, prospects, financial condition, operating results (including components of our financial results), cash flows and liquidity; risks from operating globally including in emerging markets; changes in currency exchange rates, controls and restrictions; volatility of commodity and other input costs and availability of commodities; weakness in economic conditions; weakness in consumer spending; inflation; pricing actions; tax matters including changes in tax laws and rates, disagreements with taxing authorities and imposition of new taxes; use of information technology and third-party service providers; unanticipated disruptions to our business, such as malware incidents, cyberattacks or other security breaches, and our compliance with privacy and data security laws; global or regional health pandemics or epidemics, including COVID-19; competition and our response to channel shifts and pricing and other competitive pressures; promotion and protection of our reputation and brand image; changes in consumer preferences and demand and our ability to innovate and differentiate our products; the restructuring program and our other transformation initiatives not yielding the anticipated benefits; changes in the assumptions on which the restructuring program is based; management of our workforce and shifts in labor availability; consolidation of retail customers and competition with retailer and other economy brands; changes in our relationships with customers, suppliers or distributors; compliance with legal, regulatory, tax and benefit laws and related changes, claims or actions; the impact of climate change on our supply chain and operations; our ability to complete, manage and realize the full extent of the benefits, cost savings or synergies presented by strategic transactions, including our planned acquisitions of Clif Bar and Ricolino and our recently completed acquisitions of Chipita, Gourmet Food and Grenade; our ability to access the debt capital markets to fund a portion of the consideration for the pending acquisitions of Clif Bar and Ricolino; significant changes in valuation factors that may adversely affect our impairment testing of goodwill and intangible assets; perceived or actual product quality issues or product recalls; failure to maintain effective internal control over financial reporting or disclosure controls and procedures; volatility of and access to capital or other markets, the effectiveness of our cash management programs and our liquidity; pension costs; the expected discontinuance of London Interbank Offered Rates and transition to any other interest rate benchmark; our ability to protect our intellectual property and intangible assets; and the risks and uncertainties, as they may be amended from time to</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time, set forth in our filings with the U.S. Securities and Exchange Commission, including our most recently filed Annual Report on Form 10-K and Quarterly Report on Form 10-Q for the period ended March 31, 2022. 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Form 10-Q.</w:t>
      </w:r>
    </w:p>
    <w:p>
      <w:pPr>
        <w:spacing w:after="0" w:line="21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10"/>
          <w:szCs w:val="10"/>
          <w:color w:val="auto"/>
        </w:rPr>
        <w:t>(1)</w:t>
      </w:r>
      <w:r>
        <w:rPr>
          <w:rFonts w:ascii="Arial" w:cs="Arial" w:eastAsia="Arial" w:hAnsi="Arial"/>
          <w:sz w:val="18"/>
          <w:szCs w:val="18"/>
          <w:color w:val="auto"/>
        </w:rPr>
        <w:t>.</w:t>
      </w:r>
    </w:p>
    <w:p>
      <w:pPr>
        <w:spacing w:after="0" w:line="17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“Organic Net Revenue” is defined as net revenues excluding the impacts of acquisitions,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currency rate fluctuations</w:t>
      </w:r>
    </w:p>
    <w:p>
      <w:pPr>
        <w:ind w:left="660"/>
        <w:spacing w:after="0" w:line="196" w:lineRule="auto"/>
        <w:rPr>
          <w:rFonts w:ascii="Arial" w:cs="Arial" w:eastAsia="Arial" w:hAnsi="Arial"/>
          <w:sz w:val="17"/>
          <w:szCs w:val="17"/>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 We also evaluate Organic Net Revenue growth from emerging markets and developed markets.</w:t>
      </w:r>
    </w:p>
    <w:p>
      <w:pPr>
        <w:ind w:left="980" w:right="200" w:hanging="324"/>
        <w:spacing w:after="0" w:line="216" w:lineRule="exact"/>
        <w:tabs>
          <w:tab w:leader="none" w:pos="975" w:val="left"/>
        </w:tabs>
        <w:numPr>
          <w:ilvl w:val="1"/>
          <w:numId w:val="38"/>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w:t>
      </w:r>
      <w:r>
        <w:rPr>
          <w:rFonts w:ascii="MS PGothic" w:cs="MS PGothic" w:eastAsia="MS PGothic" w:hAnsi="MS PGothic"/>
          <w:sz w:val="18"/>
          <w:szCs w:val="18"/>
          <w:color w:val="auto"/>
        </w:rPr>
        <w:t>✔</w:t>
      </w:r>
      <w:r>
        <w:rPr>
          <w:rFonts w:ascii="Arial" w:cs="Arial" w:eastAsia="Arial" w:hAnsi="Arial"/>
          <w:sz w:val="18"/>
          <w:szCs w:val="18"/>
          <w:color w:val="auto"/>
        </w:rPr>
        <w:t>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980" w:right="600" w:hanging="324"/>
        <w:spacing w:after="0" w:line="266" w:lineRule="auto"/>
        <w:tabs>
          <w:tab w:leader="none" w:pos="975" w:val="left"/>
        </w:tabs>
        <w:numPr>
          <w:ilvl w:val="1"/>
          <w:numId w:val="38"/>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195" w:lineRule="exact"/>
        <w:rPr>
          <w:rFonts w:ascii="Arial" w:cs="Arial" w:eastAsia="Arial" w:hAnsi="Arial"/>
          <w:sz w:val="18"/>
          <w:szCs w:val="18"/>
          <w:color w:val="auto"/>
        </w:rPr>
      </w:pPr>
    </w:p>
    <w:p>
      <w:pPr>
        <w:ind w:left="660" w:right="180" w:hanging="328"/>
        <w:spacing w:after="0" w:line="21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Simplify to Grow Program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or acquisition gains or losses, divestiture-related costs </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acquisition-related costs, and acquisition integration costs and contingent consideration adjustments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the operating results of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mark-to-market impacts from commodity, forecasted currency and equity method investment transaction derivative contracts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impact from resolution of tax matters </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incremental costs due to the war in Ukraine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impact from pension participation changes </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and costs associated with the JDE Peet's transaction.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left="660" w:hanging="328"/>
        <w:spacing w:after="0" w:line="23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gains or losses on interest rate swaps no longer designated as accounting cash flow hedges due to changed financing and hedging plans; net earnings from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initial impacts from enacted tax law changes </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and gains or losses on equity method investment transactions. Similarly, within Adjusted EPS, our equity method investment net earnings exclude our proportionate share of our investees’ significant operating and non-operating items </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329" w:lineRule="exact"/>
        <w:rPr>
          <w:sz w:val="20"/>
          <w:szCs w:val="20"/>
          <w:color w:val="auto"/>
        </w:rPr>
      </w:pPr>
    </w:p>
    <w:p>
      <w:pPr>
        <w:ind w:left="980" w:hanging="324"/>
        <w:spacing w:after="0" w:line="261" w:lineRule="auto"/>
        <w:tabs>
          <w:tab w:leader="none" w:pos="967" w:val="left"/>
        </w:tabs>
        <w:numPr>
          <w:ilvl w:val="0"/>
          <w:numId w:val="39"/>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In the first quarter of 2022, we added to the non-GAAP definitions the exclusion of incremental costs due to the war in Ukraine (refer to footnote (10) below), and in the second quarter of 2022, we added to the non-GAAP definitions the exclusion of costs incurred associated with our publicly-announced processes to sell businesses (refer to footnote (5) below).</w:t>
      </w:r>
    </w:p>
    <w:p>
      <w:pPr>
        <w:spacing w:after="0" w:line="2" w:lineRule="exact"/>
        <w:rPr>
          <w:rFonts w:ascii="Arial" w:cs="Arial" w:eastAsia="Arial" w:hAnsi="Arial"/>
          <w:sz w:val="14"/>
          <w:szCs w:val="14"/>
          <w:color w:val="auto"/>
        </w:rPr>
      </w:pPr>
    </w:p>
    <w:p>
      <w:pPr>
        <w:jc w:val="both"/>
        <w:ind w:left="980" w:right="40" w:hanging="324"/>
        <w:spacing w:after="0" w:line="261" w:lineRule="auto"/>
        <w:tabs>
          <w:tab w:leader="none" w:pos="967" w:val="left"/>
        </w:tabs>
        <w:numPr>
          <w:ilvl w:val="0"/>
          <w:numId w:val="39"/>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exits of major product lines upon completion of a sale or licensing agreement and the partial or full sale of an equity method investment such as KDP or JDE Peet's. As we record our share of KDP and JDE Peet’s ongoing earnings on a one-quarter lag basis, any KDP or JDE Peet’s ownership reductions are reflected as divestitures within our non-GAAP results the following quarter.</w:t>
      </w:r>
    </w:p>
    <w:p>
      <w:pPr>
        <w:spacing w:after="0" w:line="1" w:lineRule="exact"/>
        <w:rPr>
          <w:rFonts w:ascii="Arial" w:cs="Arial" w:eastAsia="Arial" w:hAnsi="Arial"/>
          <w:sz w:val="14"/>
          <w:szCs w:val="14"/>
          <w:color w:val="auto"/>
        </w:rPr>
      </w:pPr>
    </w:p>
    <w:p>
      <w:pPr>
        <w:jc w:val="both"/>
        <w:ind w:left="980" w:right="140" w:hanging="324"/>
        <w:spacing w:after="0" w:line="254" w:lineRule="auto"/>
        <w:tabs>
          <w:tab w:leader="none" w:pos="967"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160" w:hanging="324"/>
        <w:spacing w:after="0" w:line="261" w:lineRule="auto"/>
        <w:tabs>
          <w:tab w:leader="none" w:pos="967"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jc w:val="both"/>
        <w:ind w:left="980" w:right="200" w:hanging="324"/>
        <w:spacing w:after="0" w:line="254" w:lineRule="auto"/>
        <w:tabs>
          <w:tab w:leader="none" w:pos="967" w:val="left"/>
        </w:tabs>
        <w:numPr>
          <w:ilvl w:val="0"/>
          <w:numId w:val="39"/>
        </w:numPr>
        <w:rPr>
          <w:rFonts w:ascii="Arial" w:cs="Arial" w:eastAsia="Arial" w:hAnsi="Arial"/>
          <w:sz w:val="14"/>
          <w:szCs w:val="14"/>
          <w:color w:val="auto"/>
        </w:rPr>
      </w:pPr>
      <w:r>
        <w:rPr>
          <w:rFonts w:ascii="Arial" w:cs="Arial" w:eastAsia="Arial" w:hAnsi="Arial"/>
          <w:sz w:val="14"/>
          <w:szCs w:val="14"/>
          <w:color w:val="auto"/>
        </w:rPr>
        <w:t>Divestiture-related costs, which includes costs incurred in relation to the preparation and completion of our divestitures as defined in footnote (2), also includes costs incurred associated with our publicly-announced processes to sell businesses.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ind w:left="980" w:hanging="324"/>
        <w:spacing w:after="0" w:line="254" w:lineRule="auto"/>
        <w:tabs>
          <w:tab w:leader="none" w:pos="967" w:val="left"/>
        </w:tabs>
        <w:numPr>
          <w:ilvl w:val="0"/>
          <w:numId w:val="39"/>
        </w:numPr>
        <w:rPr>
          <w:rFonts w:ascii="Arial" w:cs="Arial" w:eastAsia="Arial" w:hAnsi="Arial"/>
          <w:sz w:val="14"/>
          <w:szCs w:val="14"/>
          <w:color w:val="auto"/>
        </w:rPr>
      </w:pPr>
      <w:r>
        <w:rPr>
          <w:rFonts w:ascii="Arial" w:cs="Arial" w:eastAsia="Arial" w:hAnsi="Arial"/>
          <w:sz w:val="14"/>
          <w:szCs w:val="14"/>
          <w:color w:val="auto"/>
        </w:rPr>
        <w:t>Acquisition integration costs and contingent consideration adjustments include one-time costs related to the integration of acquisitions as well as any adjustments made to the fair market value of contingent compensation liabilities that have been previously booked for earn-outs related to acquisitions that do not relate to employee compensation expense.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ind w:left="980" w:right="220" w:hanging="324"/>
        <w:spacing w:after="0" w:line="176" w:lineRule="exact"/>
        <w:tabs>
          <w:tab w:leader="none" w:pos="967"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In connection with our applying highly inflationary accounting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Argentina (beginning in the third quarter of 2018) and T</w:t>
      </w:r>
      <w:r>
        <w:rPr>
          <w:rFonts w:ascii="MS PGothic" w:cs="MS PGothic" w:eastAsia="MS PGothic" w:hAnsi="MS PGothic"/>
          <w:sz w:val="14"/>
          <w:szCs w:val="14"/>
          <w:color w:val="auto"/>
        </w:rPr>
        <w:t>✔</w:t>
      </w:r>
      <w:r>
        <w:rPr>
          <w:rFonts w:ascii="Arial" w:cs="Arial" w:eastAsia="Arial" w:hAnsi="Arial"/>
          <w:sz w:val="14"/>
          <w:szCs w:val="14"/>
          <w:color w:val="auto"/>
        </w:rPr>
        <w:t>rkiye (beginning in the second quarter of 2022), we exclude the related remeasurement gains or losses related to remeasuring net monetary assets or liabilities denominated in the local currency to the U.S. dollar during the periods presented to be consistent with our prior accounting for these remeasurement gains/losses for Venezuela when it was subject to highly inflationary accounting prior to deconsolidation in 2015.</w:t>
      </w:r>
    </w:p>
    <w:p>
      <w:pPr>
        <w:spacing w:after="0" w:line="1" w:lineRule="exact"/>
        <w:rPr>
          <w:rFonts w:ascii="Arial" w:cs="Arial" w:eastAsia="Arial" w:hAnsi="Arial"/>
          <w:sz w:val="14"/>
          <w:szCs w:val="14"/>
          <w:color w:val="auto"/>
        </w:rPr>
      </w:pPr>
    </w:p>
    <w:p>
      <w:pPr>
        <w:ind w:left="980" w:right="260" w:hanging="324"/>
        <w:spacing w:after="0" w:line="254" w:lineRule="auto"/>
        <w:tabs>
          <w:tab w:leader="none" w:pos="967"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exclude unrealized gains and losses (mark-to-market impacts) from outstanding commodity and forecasted currency and equity method investment transaction derivative contracts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spacing w:after="0" w:line="3" w:lineRule="exact"/>
        <w:rPr>
          <w:rFonts w:ascii="Arial" w:cs="Arial" w:eastAsia="Arial" w:hAnsi="Arial"/>
          <w:sz w:val="14"/>
          <w:szCs w:val="14"/>
          <w:color w:val="auto"/>
        </w:rPr>
      </w:pPr>
    </w:p>
    <w:p>
      <w:pPr>
        <w:ind w:left="980" w:right="360" w:hanging="324"/>
        <w:spacing w:after="0" w:line="261" w:lineRule="auto"/>
        <w:tabs>
          <w:tab w:leader="none" w:pos="967"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in this report, and Note 14, </w:t>
      </w:r>
      <w:r>
        <w:rPr>
          <w:rFonts w:ascii="Arial" w:cs="Arial" w:eastAsia="Arial" w:hAnsi="Arial"/>
          <w:sz w:val="14"/>
          <w:szCs w:val="14"/>
          <w:i w:val="1"/>
          <w:iCs w:val="1"/>
          <w:color w:val="auto"/>
        </w:rPr>
        <w:t>Commitments and Contingencies –Tax Matters</w:t>
      </w:r>
      <w:r>
        <w:rPr>
          <w:rFonts w:ascii="Arial" w:cs="Arial" w:eastAsia="Arial" w:hAnsi="Arial"/>
          <w:sz w:val="14"/>
          <w:szCs w:val="14"/>
          <w:color w:val="auto"/>
        </w:rPr>
        <w:t>, in our Annual Report on Form 10-K for the year ended December 31, 2021.</w:t>
      </w:r>
    </w:p>
    <w:p>
      <w:pPr>
        <w:ind w:left="980" w:right="40" w:hanging="324"/>
        <w:spacing w:after="0" w:line="256" w:lineRule="auto"/>
        <w:tabs>
          <w:tab w:leader="none" w:pos="979"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 February 2022, Russia began a military invasion of Ukraine and we stopped our production and closed our facilities in Ukraine. We began to incur incremental costs directly related to the war including asset impairments, such as property and inventory losses, higher expected allowances for uncollectible accounts receivable and committed compensation. We have isolated and exclude these costs and related impacts from our operating results to facilitate evaluation and comparisons of our ongoing results. Incremental costs related to increasing operations in other primarily European facilities are not included with these costs.</w:t>
      </w:r>
    </w:p>
    <w:p>
      <w:pPr>
        <w:spacing w:after="0" w:line="1" w:lineRule="exact"/>
        <w:rPr>
          <w:rFonts w:ascii="Arial" w:cs="Arial" w:eastAsia="Arial" w:hAnsi="Arial"/>
          <w:sz w:val="14"/>
          <w:szCs w:val="14"/>
          <w:color w:val="auto"/>
        </w:rPr>
      </w:pPr>
    </w:p>
    <w:p>
      <w:pPr>
        <w:ind w:left="980" w:right="200" w:hanging="324"/>
        <w:spacing w:after="0" w:line="254" w:lineRule="auto"/>
        <w:tabs>
          <w:tab w:leader="none" w:pos="969"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ind w:left="980" w:right="60" w:hanging="324"/>
        <w:spacing w:after="0" w:line="261" w:lineRule="auto"/>
        <w:tabs>
          <w:tab w:leader="none" w:pos="979"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have excluded the initial impacts from enacted tax law changes. Initial impacts include items such as the remeasurement of deferred tax balances and the transition tax from the 2017 U.S. tax reform. We exclude initial impacts from enacted tax law changes from our Adjusted EPS as they do not reflect our ongoing tax obligations under the enacted tax law changes. Refer to our Annual Report on Form 10-K for the year ended December 31, 2021 for more information on the impact of Swiss and U.S. tax reform.</w:t>
      </w:r>
    </w:p>
    <w:p>
      <w:pPr>
        <w:spacing w:after="0" w:line="1" w:lineRule="exact"/>
        <w:rPr>
          <w:rFonts w:ascii="Arial" w:cs="Arial" w:eastAsia="Arial" w:hAnsi="Arial"/>
          <w:sz w:val="14"/>
          <w:szCs w:val="14"/>
          <w:color w:val="auto"/>
        </w:rPr>
      </w:pPr>
    </w:p>
    <w:p>
      <w:pPr>
        <w:ind w:left="980" w:right="20" w:hanging="324"/>
        <w:spacing w:after="0" w:line="259" w:lineRule="auto"/>
        <w:tabs>
          <w:tab w:leader="none" w:pos="979"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significant operating and non-operating items such as acquisition and divestiture 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spacing w:after="0" w:line="3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Applying the definition of “Organic Net Revenue,” the adjustments made to “net revenues” (the most comparable U.S. GAAP financial measure) were to exclude the impact of currency, acquisitions and divestitures. We believe that Organic Net Revenue reflects the underlying growth from the ongoing activities of our business and provides improved comparability of results. We also evaluate our Organic Net Revenue growth from emerging markets and developed markets, and these underlying measures are also reconciled to U.S. GAAP below.</w:t>
      </w:r>
    </w:p>
    <w:p>
      <w:pPr>
        <w:spacing w:after="0" w:line="95" w:lineRule="exact"/>
        <w:rPr>
          <w:sz w:val="20"/>
          <w:szCs w:val="20"/>
          <w:color w:val="auto"/>
        </w:rPr>
      </w:pPr>
    </w:p>
    <w:p>
      <w:pPr>
        <w:ind w:left="2940"/>
        <w:spacing w:after="0"/>
        <w:tabs>
          <w:tab w:leader="none" w:pos="7500" w:val="left"/>
        </w:tabs>
        <w:rPr>
          <w:sz w:val="20"/>
          <w:szCs w:val="20"/>
          <w:color w:val="auto"/>
        </w:rPr>
      </w:pPr>
      <w:r>
        <w:rPr>
          <w:rFonts w:ascii="Arial" w:cs="Arial" w:eastAsia="Arial" w:hAnsi="Arial"/>
          <w:sz w:val="14"/>
          <w:szCs w:val="14"/>
          <w:b w:val="1"/>
          <w:bCs w:val="1"/>
          <w:color w:val="auto"/>
        </w:rPr>
        <w:t>For the Three Months Ended June 30, 2022</w:t>
      </w:r>
      <w:r>
        <w:rPr>
          <w:sz w:val="20"/>
          <w:szCs w:val="20"/>
          <w:color w:val="auto"/>
        </w:rPr>
        <w:tab/>
      </w:r>
      <w:r>
        <w:rPr>
          <w:rFonts w:ascii="Arial" w:cs="Arial" w:eastAsia="Arial" w:hAnsi="Arial"/>
          <w:sz w:val="14"/>
          <w:szCs w:val="14"/>
          <w:b w:val="1"/>
          <w:bCs w:val="1"/>
          <w:color w:val="auto"/>
        </w:rPr>
        <w:t>For the Three Months Ended June 30, 2021</w:t>
      </w:r>
    </w:p>
    <w:p>
      <w:pPr>
        <w:sectPr>
          <w:pgSz w:w="11900" w:h="16838" w:orient="portrait"/>
          <w:cols w:equalWidth="0" w:num="1">
            <w:col w:w="11220"/>
          </w:cols>
          <w:pgMar w:left="320" w:top="364" w:right="359" w:bottom="1440" w:gutter="0" w:footer="0" w:header="0"/>
        </w:sectPr>
      </w:pPr>
    </w:p>
    <w:p>
      <w:pPr>
        <w:spacing w:after="0" w:line="35" w:lineRule="exact"/>
        <w:rPr>
          <w:sz w:val="20"/>
          <w:szCs w:val="20"/>
          <w:color w:val="auto"/>
        </w:rPr>
      </w:pPr>
    </w:p>
    <w:tbl>
      <w:tblPr>
        <w:tblLayout w:type="fixed"/>
        <w:tblInd w:w="2160" w:type="dxa"/>
        <w:tblCellMar>
          <w:top w:w="0" w:type="dxa"/>
          <w:left w:w="0" w:type="dxa"/>
          <w:bottom w:w="0" w:type="dxa"/>
          <w:right w:w="0" w:type="dxa"/>
        </w:tblCellMar>
      </w:tblPr>
      <w:tr>
        <w:trPr>
          <w:trHeight w:val="144"/>
        </w:trPr>
        <w:tc>
          <w:tcPr>
            <w:tcW w:w="144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4"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rPr>
                <w:sz w:val="16"/>
                <w:szCs w:val="16"/>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44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4"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rPr>
                <w:sz w:val="16"/>
                <w:szCs w:val="16"/>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40" w:space="100"/>
            <w:col w:w="4480"/>
          </w:cols>
          <w:pgMar w:left="320" w:top="364" w:right="35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4,468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6,642</w:t>
            </w:r>
          </w:p>
        </w:tc>
        <w:tc>
          <w:tcPr>
            <w:tcW w:w="0" w:type="dxa"/>
            <w:vAlign w:val="bottom"/>
          </w:tcPr>
          <w:p>
            <w:pPr>
              <w:spacing w:after="0"/>
              <w:rPr>
                <w:sz w:val="1"/>
                <w:szCs w:val="1"/>
                <w:color w:val="auto"/>
              </w:rPr>
            </w:pPr>
          </w:p>
        </w:tc>
      </w:tr>
      <w:tr>
        <w:trPr>
          <w:trHeight w:val="215"/>
        </w:trPr>
        <w:tc>
          <w:tcPr>
            <w:tcW w:w="216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Impact of acquisitions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160" w:type="dxa"/>
            <w:vAlign w:val="bottom"/>
          </w:tcPr>
          <w:p>
            <w:pPr>
              <w:ind w:left="140"/>
              <w:spacing w:after="0"/>
              <w:rPr>
                <w:sz w:val="20"/>
                <w:szCs w:val="20"/>
                <w:color w:val="auto"/>
              </w:rPr>
            </w:pPr>
            <w:r>
              <w:rPr>
                <w:rFonts w:ascii="Arial" w:cs="Arial" w:eastAsia="Arial" w:hAnsi="Arial"/>
                <w:sz w:val="16"/>
                <w:szCs w:val="16"/>
                <w:color w:val="auto"/>
              </w:rPr>
              <w:t>Impact of divestiture</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5"/>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4,685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6,628</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2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rPr>
              <w:t>Six Months Ended June 30, 2022</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rPr>
              <w:t>Six Months Ended June 30, 2021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Emerging</w:t>
            </w:r>
          </w:p>
        </w:tc>
        <w:tc>
          <w:tcPr>
            <w:tcW w:w="200" w:type="dxa"/>
            <w:vAlign w:val="bottom"/>
          </w:tcPr>
          <w:p>
            <w:pPr>
              <w:spacing w:after="0"/>
              <w:rPr>
                <w:sz w:val="12"/>
                <w:szCs w:val="12"/>
                <w:color w:val="auto"/>
              </w:rPr>
            </w:pPr>
          </w:p>
        </w:tc>
        <w:tc>
          <w:tcPr>
            <w:tcW w:w="13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Developed</w:t>
            </w:r>
          </w:p>
        </w:tc>
        <w:tc>
          <w:tcPr>
            <w:tcW w:w="420" w:type="dxa"/>
            <w:vAlign w:val="bottom"/>
          </w:tcPr>
          <w:p>
            <w:pPr>
              <w:spacing w:after="0"/>
              <w:rPr>
                <w:sz w:val="12"/>
                <w:szCs w:val="12"/>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Emerging</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Developed</w:t>
            </w:r>
          </w:p>
        </w:tc>
        <w:tc>
          <w:tcPr>
            <w:tcW w:w="420" w:type="dxa"/>
            <w:vAlign w:val="bottom"/>
          </w:tcPr>
          <w:p>
            <w:pPr>
              <w:spacing w:after="0"/>
              <w:rPr>
                <w:sz w:val="12"/>
                <w:szCs w:val="12"/>
                <w:color w:val="auto"/>
              </w:rPr>
            </w:pPr>
          </w:p>
        </w:tc>
        <w:tc>
          <w:tcPr>
            <w:tcW w:w="100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Markets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Markets</w:t>
            </w:r>
          </w:p>
        </w:tc>
        <w:tc>
          <w:tcPr>
            <w:tcW w:w="4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4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9,268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9,024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13,880</w:t>
            </w:r>
          </w:p>
        </w:tc>
        <w:tc>
          <w:tcPr>
            <w:tcW w:w="0" w:type="dxa"/>
            <w:vAlign w:val="bottom"/>
          </w:tcPr>
          <w:p>
            <w:pPr>
              <w:spacing w:after="0"/>
              <w:rPr>
                <w:sz w:val="1"/>
                <w:szCs w:val="1"/>
                <w:color w:val="auto"/>
              </w:rPr>
            </w:pPr>
          </w:p>
        </w:tc>
      </w:tr>
      <w:tr>
        <w:trPr>
          <w:trHeight w:val="215"/>
        </w:trPr>
        <w:tc>
          <w:tcPr>
            <w:tcW w:w="216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Impact of acquisitions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160" w:type="dxa"/>
            <w:vAlign w:val="bottom"/>
          </w:tcPr>
          <w:p>
            <w:pPr>
              <w:ind w:left="140"/>
              <w:spacing w:after="0"/>
              <w:rPr>
                <w:sz w:val="20"/>
                <w:szCs w:val="20"/>
                <w:color w:val="auto"/>
              </w:rPr>
            </w:pPr>
            <w:r>
              <w:rPr>
                <w:rFonts w:ascii="Arial" w:cs="Arial" w:eastAsia="Arial" w:hAnsi="Arial"/>
                <w:sz w:val="16"/>
                <w:szCs w:val="16"/>
                <w:color w:val="auto"/>
              </w:rPr>
              <w:t>Impact of divestiture</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5"/>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9,555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13,866</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intangible asset impairment charges; mark-to-market impacts from commodity, forecasted currency and equity method investment transaction derivative contracts; acquisition integration costs and contingent consideration adjustments; acquisition-related costs; divestiture-related costs; operating income from divestitures, gain on an acquisition; incremental costs due to the war in Ukraine; the remeasurement of net monetary position; impact from pension participation changes; and impact from resolution of tax matters. We also evaluate Adjusted Operating Income on a constant currency basis. We believe these measures provide improved comparability of underlying operating results.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6.3 %</w:t>
            </w: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23"/>
                <w:szCs w:val="23"/>
                <w:color w:val="auto"/>
                <w:vertAlign w:val="superscript"/>
              </w:rPr>
              <w:t>(2)</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3"/>
                <w:szCs w:val="23"/>
                <w:color w:val="auto"/>
                <w:vertAlign w:val="superscript"/>
              </w:rPr>
              <w:t>(3)</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(4)</w:t>
            </w: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(4)</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(5)</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(6)</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(7)</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1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Unfavorable currency translation</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3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8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8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For the Six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Gain on acquisition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(6)</w:t>
            </w:r>
          </w:p>
        </w:tc>
        <w:tc>
          <w:tcPr>
            <w:tcW w:w="3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(7)</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2,478</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2,367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4.7 %</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currency translation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11.2 %</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40" w:right="200" w:hanging="332"/>
        <w:spacing w:after="0" w:line="261"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unrealized gains/losses on commodity, forecasted currency and equity method investment transaction derivatives.</w:t>
      </w:r>
    </w:p>
    <w:p>
      <w:pPr>
        <w:jc w:val="both"/>
        <w:ind w:left="340" w:right="320" w:hanging="332"/>
        <w:spacing w:after="0" w:line="254"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January 3, 2022 acquisition of Chipita, the November 1, 2021 sale of MaxFoods Pty Ltd, the April 1, 2021 acquisition of Gourmet Food Holdings Pty Ltd, the March 25, 2021 acquisition of a majority interest in Grenade and the January 4, 2021 acquisition of the remaining 93% of equity in Hu Master Holdings.</w:t>
      </w:r>
    </w:p>
    <w:p>
      <w:pPr>
        <w:spacing w:after="0" w:line="1" w:lineRule="exact"/>
        <w:rPr>
          <w:rFonts w:ascii="Arial" w:cs="Arial" w:eastAsia="Arial" w:hAnsi="Arial"/>
          <w:sz w:val="14"/>
          <w:szCs w:val="14"/>
          <w:color w:val="auto"/>
        </w:rPr>
      </w:pPr>
    </w:p>
    <w:p>
      <w:pPr>
        <w:ind w:left="340" w:right="460" w:hanging="332"/>
        <w:spacing w:after="0" w:line="176" w:lineRule="exact"/>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xml:space="preserve"> for information on our accounting for the war in Ukraine and our application of highly inflationary accounting for Argentina and T</w:t>
      </w:r>
      <w:r>
        <w:rPr>
          <w:rFonts w:ascii="MS PGothic" w:cs="MS PGothic" w:eastAsia="MS PGothic" w:hAnsi="MS PGothic"/>
          <w:sz w:val="14"/>
          <w:szCs w:val="14"/>
          <w:color w:val="auto"/>
        </w:rPr>
        <w:t>✔</w:t>
      </w:r>
      <w:r>
        <w:rPr>
          <w:rFonts w:ascii="Arial" w:cs="Arial" w:eastAsia="Arial" w:hAnsi="Arial"/>
          <w:sz w:val="14"/>
          <w:szCs w:val="14"/>
          <w:color w:val="auto"/>
        </w:rPr>
        <w:t>rkiye.</w:t>
      </w: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10"/>
          <w:szCs w:val="10"/>
          <w:color w:val="auto"/>
        </w:rPr>
        <w:t>(1)</w:t>
      </w:r>
      <w:r>
        <w:rPr>
          <w:rFonts w:ascii="Arial" w:cs="Arial" w:eastAsia="Arial" w:hAnsi="Arial"/>
          <w:sz w:val="18"/>
          <w:szCs w:val="18"/>
          <w:color w:val="auto"/>
        </w:rPr>
        <w:t xml:space="preserve"> the adjustments made to “diluted EPS attributable to Mondelēz International” (the most comparable U.S. GAAP financial measure) were to exclude the impacts of the items listed in the Adjusted Operating Income tables above as well as net earnings from divestitures; losses on debt extinguishment and related expenses; initial impacts from enacted tax law changes; gains or losses on equity method investment transactions; and our proportionate share of significant operating and non-operating items recorded by our JDE Peet's and KDP equity method investees. We also evaluate Adjusted EPS on a constant currency basis. We believe Adjusted EPS provides improved comparability of underlying operating results.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center"/>
              <w:ind w:left="311"/>
              <w:spacing w:after="0"/>
              <w:rPr>
                <w:sz w:val="20"/>
                <w:szCs w:val="20"/>
                <w:color w:val="auto"/>
              </w:rPr>
            </w:pPr>
            <w:r>
              <w:rPr>
                <w:rFonts w:ascii="Arial" w:cs="Arial" w:eastAsia="Arial" w:hAnsi="Arial"/>
                <w:sz w:val="18"/>
                <w:szCs w:val="18"/>
                <w:b w:val="1"/>
                <w:bCs w:val="1"/>
                <w:color w:val="auto"/>
                <w:w w:val="97"/>
              </w:rPr>
              <w:t>(0.22)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7"/>
              </w:rPr>
              <w:t>(0.06)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7"/>
              </w:rPr>
              <w:t>(0.02)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left="33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center"/>
              <w:ind w:left="331"/>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7"/>
              </w:rPr>
              <w:t>(0.01)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7"/>
              </w:rPr>
              <w:t>(0.02)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7"/>
              </w:rPr>
              <w:t>(0.01)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7"/>
              </w:rPr>
              <w:t>(0.06)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Loss/(gain) on equity method investment transactions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(5)</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7"/>
              </w:rPr>
              <w:t>(0.01)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b w:val="1"/>
                <w:bCs w:val="1"/>
                <w:color w:val="auto"/>
              </w:rPr>
              <w:t>0.01</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c>
          <w:tcPr>
            <w:tcW w:w="0" w:type="dxa"/>
            <w:vAlign w:val="bottom"/>
          </w:tcPr>
          <w:p>
            <w:pPr>
              <w:spacing w:after="0"/>
              <w:rPr>
                <w:sz w:val="1"/>
                <w:szCs w:val="1"/>
                <w:color w:val="auto"/>
              </w:rPr>
            </w:pPr>
          </w:p>
        </w:tc>
      </w:tr>
      <w:tr>
        <w:trPr>
          <w:trHeight w:val="229"/>
        </w:trPr>
        <w:tc>
          <w:tcPr>
            <w:tcW w:w="5940" w:type="dxa"/>
            <w:vAlign w:val="bottom"/>
          </w:tcPr>
          <w:p>
            <w:pPr>
              <w:ind w:left="220"/>
              <w:spacing w:after="0"/>
              <w:rPr>
                <w:sz w:val="20"/>
                <w:szCs w:val="20"/>
                <w:color w:val="auto"/>
              </w:rPr>
            </w:pPr>
            <w:r>
              <w:rPr>
                <w:rFonts w:ascii="Arial" w:cs="Arial" w:eastAsia="Arial" w:hAnsi="Arial"/>
                <w:sz w:val="18"/>
                <w:szCs w:val="18"/>
                <w:color w:val="auto"/>
              </w:rPr>
              <w:t>Unfavorable currency translation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center"/>
              <w:ind w:left="33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b w:val="1"/>
                <w:bCs w:val="1"/>
                <w:color w:val="auto"/>
              </w:rPr>
              <w:t>0.06</w:t>
            </w:r>
          </w:p>
        </w:tc>
        <w:tc>
          <w:tcPr>
            <w:tcW w:w="13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9.1 %</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Six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10"/>
                <w:szCs w:val="10"/>
                <w:color w:val="auto"/>
              </w:rPr>
              <w:t>(2)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0"/>
                <w:szCs w:val="10"/>
                <w:color w:val="auto"/>
              </w:rPr>
              <w:t>(6)</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23"/>
                <w:szCs w:val="23"/>
                <w:color w:val="auto"/>
                <w:vertAlign w:val="superscript"/>
              </w:rPr>
              <w:t>(7)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Loss/(gain) on equity method investment transactions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(5)</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3.4 %</w:t>
            </w:r>
          </w:p>
        </w:tc>
        <w:tc>
          <w:tcPr>
            <w:tcW w:w="0" w:type="dxa"/>
            <w:vAlign w:val="bottom"/>
          </w:tcPr>
          <w:p>
            <w:pPr>
              <w:spacing w:after="0"/>
              <w:rPr>
                <w:sz w:val="1"/>
                <w:szCs w:val="1"/>
                <w:color w:val="auto"/>
              </w:rPr>
            </w:pPr>
          </w:p>
        </w:tc>
      </w:tr>
      <w:tr>
        <w:trPr>
          <w:trHeight w:val="229"/>
        </w:trPr>
        <w:tc>
          <w:tcPr>
            <w:tcW w:w="5940" w:type="dxa"/>
            <w:vAlign w:val="bottom"/>
          </w:tcPr>
          <w:p>
            <w:pPr>
              <w:ind w:left="220"/>
              <w:spacing w:after="0"/>
              <w:rPr>
                <w:sz w:val="20"/>
                <w:szCs w:val="20"/>
                <w:color w:val="auto"/>
              </w:rPr>
            </w:pPr>
            <w:r>
              <w:rPr>
                <w:rFonts w:ascii="Arial" w:cs="Arial" w:eastAsia="Arial" w:hAnsi="Arial"/>
                <w:sz w:val="18"/>
                <w:szCs w:val="18"/>
                <w:color w:val="auto"/>
              </w:rPr>
              <w:t>Unfavorable currency translation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13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11.7 %</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340" w:right="140" w:hanging="332"/>
        <w:spacing w:after="0" w:line="26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spacing w:after="0" w:line="1" w:lineRule="exact"/>
        <w:rPr>
          <w:rFonts w:ascii="Arial" w:cs="Arial" w:eastAsia="Arial" w:hAnsi="Arial"/>
          <w:sz w:val="14"/>
          <w:szCs w:val="14"/>
          <w:color w:val="auto"/>
        </w:rPr>
      </w:pPr>
    </w:p>
    <w:p>
      <w:pPr>
        <w:ind w:left="660" w:right="60" w:hanging="328"/>
        <w:spacing w:after="0" w:line="256" w:lineRule="auto"/>
        <w:tabs>
          <w:tab w:leader="none" w:pos="656" w:val="left"/>
        </w:tabs>
        <w:numPr>
          <w:ilvl w:val="1"/>
          <w:numId w:val="41"/>
        </w:numPr>
        <w:rPr>
          <w:rFonts w:ascii="Arial" w:cs="Arial" w:eastAsia="Arial" w:hAnsi="Arial"/>
          <w:sz w:val="14"/>
          <w:szCs w:val="14"/>
          <w:color w:val="auto"/>
        </w:rPr>
      </w:pPr>
      <w:r>
        <w:rPr>
          <w:rFonts w:ascii="Arial" w:cs="Arial" w:eastAsia="Arial" w:hAnsi="Arial"/>
          <w:sz w:val="14"/>
          <w:szCs w:val="14"/>
          <w:color w:val="auto"/>
        </w:rPr>
        <w:t>For the three months ended June 30, 2022, taxes for the: Simplify to Grow Program were $(6) million, mark-to-market losses from derivatives were $(14) million, acquisition integration costs and contingent consideration adjustments were $(1) million, remeasurement of net monetary position were zero, incremental costs due to the war in Ukraine were zero, initial impacts from enacted tax law changes were $9 million, loss on equity method transactions were zero and equity method investee items were $2 million.</w:t>
      </w:r>
    </w:p>
    <w:p>
      <w:pPr>
        <w:spacing w:after="0" w:line="1" w:lineRule="exact"/>
        <w:rPr>
          <w:rFonts w:ascii="Arial" w:cs="Arial" w:eastAsia="Arial" w:hAnsi="Arial"/>
          <w:sz w:val="14"/>
          <w:szCs w:val="14"/>
          <w:color w:val="auto"/>
        </w:rPr>
      </w:pPr>
    </w:p>
    <w:p>
      <w:pPr>
        <w:jc w:val="both"/>
        <w:ind w:left="660" w:right="80" w:hanging="328"/>
        <w:spacing w:after="0" w:line="261" w:lineRule="auto"/>
        <w:tabs>
          <w:tab w:leader="none" w:pos="656" w:val="left"/>
        </w:tabs>
        <w:numPr>
          <w:ilvl w:val="1"/>
          <w:numId w:val="41"/>
        </w:numPr>
        <w:rPr>
          <w:rFonts w:ascii="Arial" w:cs="Arial" w:eastAsia="Arial" w:hAnsi="Arial"/>
          <w:sz w:val="14"/>
          <w:szCs w:val="14"/>
          <w:color w:val="auto"/>
        </w:rPr>
      </w:pPr>
      <w:r>
        <w:rPr>
          <w:rFonts w:ascii="Arial" w:cs="Arial" w:eastAsia="Arial" w:hAnsi="Arial"/>
          <w:sz w:val="14"/>
          <w:szCs w:val="14"/>
          <w:color w:val="auto"/>
        </w:rPr>
        <w:t>For the three months ended June 30, 2021, taxes for the: Simplify to Grow Program were $(35) million, intangible asset impairment charge was $(8) million, mark-to-market gains from derivatives were $(4) million, acquisition-related costs were $(3) million, impact from pension participation changes were $(7) million, initial impacts from enacted tax law changes were $95 million and gain on equity method investment transactions were $125 million.</w:t>
      </w:r>
    </w:p>
    <w:p>
      <w:pPr>
        <w:spacing w:after="0" w:line="1" w:lineRule="exact"/>
        <w:rPr>
          <w:rFonts w:ascii="Arial" w:cs="Arial" w:eastAsia="Arial" w:hAnsi="Arial"/>
          <w:sz w:val="14"/>
          <w:szCs w:val="14"/>
          <w:color w:val="auto"/>
        </w:rPr>
      </w:pPr>
    </w:p>
    <w:p>
      <w:pPr>
        <w:ind w:left="660" w:right="20" w:hanging="328"/>
        <w:spacing w:after="0" w:line="257" w:lineRule="auto"/>
        <w:tabs>
          <w:tab w:leader="none" w:pos="656" w:val="left"/>
        </w:tabs>
        <w:numPr>
          <w:ilvl w:val="1"/>
          <w:numId w:val="41"/>
        </w:numPr>
        <w:rPr>
          <w:rFonts w:ascii="Arial" w:cs="Arial" w:eastAsia="Arial" w:hAnsi="Arial"/>
          <w:sz w:val="14"/>
          <w:szCs w:val="14"/>
          <w:color w:val="auto"/>
        </w:rPr>
      </w:pPr>
      <w:r>
        <w:rPr>
          <w:rFonts w:ascii="Arial" w:cs="Arial" w:eastAsia="Arial" w:hAnsi="Arial"/>
          <w:sz w:val="14"/>
          <w:szCs w:val="14"/>
          <w:color w:val="auto"/>
        </w:rPr>
        <w:t>For the six months ended June 30, 2022, taxes for the: Simplify to Grow Program were $(13) million, intangible asset impairment charge was $(19) million, mark-to-market losses from derivatives were $(19) million, acquisition integration costs and contingent consideration adjustments were $(51) million, acquisition-related costs were $(3) million, remeasurement of net monetary position were zero, incremental costs due to the war in Ukraine were $2 million, loss on debt extinguishment and related expenses were $(31) million, initial impacts from enacted tax law changes were $9 million, loss on equity method investment transactions were zero and equity method investee items were $5 million.</w:t>
      </w:r>
    </w:p>
    <w:p>
      <w:pPr>
        <w:spacing w:after="0" w:line="2" w:lineRule="exact"/>
        <w:rPr>
          <w:rFonts w:ascii="Arial" w:cs="Arial" w:eastAsia="Arial" w:hAnsi="Arial"/>
          <w:sz w:val="14"/>
          <w:szCs w:val="14"/>
          <w:color w:val="auto"/>
        </w:rPr>
      </w:pPr>
    </w:p>
    <w:p>
      <w:pPr>
        <w:ind w:left="660" w:right="280" w:hanging="328"/>
        <w:spacing w:after="0" w:line="256" w:lineRule="auto"/>
        <w:tabs>
          <w:tab w:leader="none" w:pos="656" w:val="left"/>
        </w:tabs>
        <w:numPr>
          <w:ilvl w:val="1"/>
          <w:numId w:val="41"/>
        </w:numPr>
        <w:rPr>
          <w:rFonts w:ascii="Arial" w:cs="Arial" w:eastAsia="Arial" w:hAnsi="Arial"/>
          <w:sz w:val="14"/>
          <w:szCs w:val="14"/>
          <w:color w:val="auto"/>
        </w:rPr>
      </w:pPr>
      <w:r>
        <w:rPr>
          <w:rFonts w:ascii="Arial" w:cs="Arial" w:eastAsia="Arial" w:hAnsi="Arial"/>
          <w:sz w:val="14"/>
          <w:szCs w:val="14"/>
          <w:color w:val="auto"/>
        </w:rPr>
        <w:t>For the six months ended June 30, 2021, taxes for the: Simplify to Grow Program were $(66) million, intangible asset impairment charge was $(8) million, mark-to-market gains from derivatives were $18 million, acquisition-related costs were $(4) million, net earnings from divestitures were $6 million, impact from pension participation changes were $(8) million, loss on debt extinguishment and related expenses were $(34) million, initial impacts from enacted tax changes were $99 million, gain on equity method investment transactions were $125 million and equity method investee items were $(3) million.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impact.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gains and losses on equity method investment transactions.</w:t>
      </w:r>
    </w:p>
    <w:p>
      <w:pPr>
        <w:spacing w:after="0" w:line="1" w:lineRule="exact"/>
        <w:rPr>
          <w:rFonts w:ascii="Arial" w:cs="Arial" w:eastAsia="Arial" w:hAnsi="Arial"/>
          <w:sz w:val="14"/>
          <w:szCs w:val="14"/>
          <w:color w:val="auto"/>
        </w:rPr>
      </w:pPr>
    </w:p>
    <w:p>
      <w:pPr>
        <w:ind w:left="340" w:right="200" w:hanging="332"/>
        <w:spacing w:after="0" w:line="26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40" w:right="100" w:hanging="332"/>
        <w:spacing w:after="0" w:line="26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the impact from 2021 partial sales of our equity method investments in KDP as if the sales occurred at the beginning of all periods presented. The second quarter 2022 sale of JDE Peet's shares will be reflected on a lag basis in the third quarter of 2022.</w:t>
      </w: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jc w:val="both"/>
        <w:ind w:right="40"/>
        <w:spacing w:after="0" w:line="291" w:lineRule="auto"/>
        <w:rPr>
          <w:sz w:val="20"/>
          <w:szCs w:val="20"/>
          <w:color w:val="auto"/>
        </w:rPr>
      </w:pPr>
      <w:r>
        <w:rPr>
          <w:rFonts w:ascii="Arial" w:cs="Arial" w:eastAsia="Arial" w:hAnsi="Arial"/>
          <w:sz w:val="17"/>
          <w:szCs w:val="17"/>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COVID-19 pandemic and related global response significantly impacted economic activity and markets around the world. National and local governments imposed preventative or protective restrictions on travel and business operations and advised or required citizens to remain at home. Temporary closures of businesses were ordered and numerous other businesses temporarily closed voluntarily. The impact of the global pandemic and response as well as the war in Ukraine has had a material unfavorable impact on global and local markets, including commodity, currency and capital markets. These markets are likely to continue to remain volatile while these situations continue.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 We work to mitigate these risks and we largely employ existing strategies that are described below to mitigate currency, commodity and interest rate market risks.</w:t>
      </w:r>
    </w:p>
    <w:p>
      <w:pPr>
        <w:spacing w:after="0" w:line="208"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p>
    <w:p>
      <w:pPr>
        <w:spacing w:after="0" w:line="180"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during the six months ended June 30, 2022.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 xml:space="preserve"> including our discussion of T</w:t>
      </w:r>
      <w:r>
        <w:rPr>
          <w:rFonts w:ascii="MS PGothic" w:cs="MS PGothic" w:eastAsia="MS PGothic" w:hAnsi="MS PGothic"/>
          <w:sz w:val="18"/>
          <w:szCs w:val="18"/>
          <w:color w:val="auto"/>
        </w:rPr>
        <w:t>✔</w:t>
      </w:r>
      <w:r>
        <w:rPr>
          <w:rFonts w:ascii="Arial" w:cs="Arial" w:eastAsia="Arial" w:hAnsi="Arial"/>
          <w:sz w:val="18"/>
          <w:szCs w:val="18"/>
          <w:color w:val="auto"/>
        </w:rPr>
        <w:t>rkiye becoming a highly inflationary economy on April 1, 2022 and the related currency remeasurement impacts.</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also continually monitor the market for commodities that we use in our products. Input costs may fluctuate widely due to international demand, weather conditions, government policy and regulation and unforeseen conditions such as the current COVID-19 global pandemic and war in Ukraine. Refer to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Outlook</w:t>
      </w:r>
      <w:r>
        <w:rPr>
          <w:rFonts w:ascii="Arial" w:cs="Arial" w:eastAsia="Arial" w:hAnsi="Arial"/>
          <w:sz w:val="18"/>
          <w:szCs w:val="18"/>
          <w:color w:val="auto"/>
        </w:rPr>
        <w:t xml:space="preserve"> above for updates on recent supply chain, transportation, labor and other disruptions that are increasing operating costs and impacting our results. To manage input cost volatility and inflation, we enter into forward purchase agreements and other derivative financial instruments. We also pursue productivity and cost saving measures and take pricing actions when necessary to mitigate the impact of higher input costs on earnings.</w:t>
      </w:r>
    </w:p>
    <w:p>
      <w:pPr>
        <w:spacing w:after="0" w:line="209"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and commercial paper rates. We periodically use interest rate swaps and forward interest rate contracts to achieve a desired proportion of variable versus fixed rate debt based on current and projected market conditions. For more information on our 2022 debt activity, see Note 8,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06" w:lineRule="exact"/>
        <w:rPr>
          <w:sz w:val="20"/>
          <w:szCs w:val="20"/>
          <w:color w:val="auto"/>
        </w:rPr>
      </w:pPr>
    </w:p>
    <w:p>
      <w:pPr>
        <w:ind w:right="120"/>
        <w:spacing w:after="0" w:line="318" w:lineRule="auto"/>
        <w:rPr>
          <w:sz w:val="20"/>
          <w:szCs w:val="20"/>
          <w:color w:val="auto"/>
        </w:rPr>
      </w:pPr>
      <w:r>
        <w:rPr>
          <w:rFonts w:ascii="Arial" w:cs="Arial" w:eastAsia="Arial" w:hAnsi="Arial"/>
          <w:sz w:val="17"/>
          <w:szCs w:val="17"/>
          <w:color w:val="auto"/>
        </w:rPr>
        <w:t xml:space="preserve">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 for more information on our 2022 derivative activity. For additional information on our hedging strategies, policies and practices on an ongoing basis, also refer to our Annual Report on Form 10-K for the year ended December 31, 2021.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June 30, 2022. Based on this evaluation, the CEO and CFO concluded that our disclosure controls and procedures were effective as of June 30,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2022. There were no material changes in our internal control over financial reporting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2021 and our Quarterly Report on Form 10-Q for the quarterly period ended March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June 30, 2022 was: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gridSpan w:val="2"/>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9"/>
              </w:rPr>
              <w:t xml:space="preserve">Purchased </w:t>
            </w:r>
            <w:r>
              <w:rPr>
                <w:rFonts w:ascii="Arial" w:cs="Arial" w:eastAsia="Arial" w:hAnsi="Arial"/>
                <w:sz w:val="18"/>
                <w:szCs w:val="18"/>
                <w:b w:val="1"/>
                <w:bCs w:val="1"/>
                <w:color w:val="auto"/>
                <w:w w:val="99"/>
                <w:vertAlign w:val="superscript"/>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line="162"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9"/>
                <w:szCs w:val="9"/>
                <w:b w:val="1"/>
                <w:bCs w:val="1"/>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77"/>
              <w:spacing w:after="0" w:line="162" w:lineRule="exact"/>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1-30,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May 1-31, 2022</w:t>
            </w:r>
          </w:p>
        </w:tc>
        <w:tc>
          <w:tcPr>
            <w:tcW w:w="1520" w:type="dxa"/>
            <w:vAlign w:val="bottom"/>
          </w:tcPr>
          <w:p>
            <w:pPr>
              <w:jc w:val="right"/>
              <w:spacing w:after="0"/>
              <w:rPr>
                <w:sz w:val="20"/>
                <w:szCs w:val="20"/>
                <w:color w:val="auto"/>
              </w:rPr>
            </w:pPr>
            <w:r>
              <w:rPr>
                <w:rFonts w:ascii="Arial" w:cs="Arial" w:eastAsia="Arial" w:hAnsi="Arial"/>
                <w:sz w:val="18"/>
                <w:szCs w:val="18"/>
                <w:color w:val="auto"/>
              </w:rPr>
              <w:t>7,075,016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63.86</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7,074,182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For the Quarter Ended June 30,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12,243,636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62.95</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12,231,528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340" w:right="240" w:hanging="332"/>
        <w:spacing w:after="0" w:line="261"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9,561 shares, 834 shares and 1,713 shares for the fiscal months of April, May and June 2022, respectively.</w:t>
      </w:r>
    </w:p>
    <w:p>
      <w:pPr>
        <w:spacing w:after="0" w:line="1" w:lineRule="exact"/>
        <w:rPr>
          <w:rFonts w:ascii="Arial" w:cs="Arial" w:eastAsia="Arial" w:hAnsi="Arial"/>
          <w:sz w:val="14"/>
          <w:szCs w:val="14"/>
          <w:color w:val="auto"/>
        </w:rPr>
      </w:pPr>
    </w:p>
    <w:p>
      <w:pPr>
        <w:ind w:left="340" w:right="60" w:hanging="332"/>
        <w:spacing w:after="0" w:line="262"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Dollar values stated in millions. Our Board of Directors has authorized the repurchase of $23.7 billion of our Common Stock through December 31, 2023. Authorizations to increase and extend the program duration included: $4.0 billion on December 2, 2020, $6.0 billion on January 31, 2018, $6.0 billion on July 29, 2015, $1.7 billion on December 3, 2013, and $6.0 billion on August 6, 2013 (cumulatively including the amount authorized on March 12, 2013, which was the lesser of 40 million shares and $1.2 billion). Since the program inception on March 12, 2013 through June 30, 2022, we have repurchased $21.5 billion, and as of June 30, 2022, we had approximately $2.2 billion share repurchase authorization remaining.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60" w:type="dxa"/>
            <w:vAlign w:val="bottom"/>
            <w:gridSpan w:val="6"/>
            <w:vMerge w:val="restart"/>
          </w:tcPr>
          <w:p>
            <w:pPr>
              <w:ind w:left="174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43"/>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6460" w:type="dxa"/>
            <w:vAlign w:val="bottom"/>
            <w:gridSpan w:val="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500" w:type="dxa"/>
            <w:vAlign w:val="bottom"/>
            <w:tcBorders>
              <w:top w:val="single" w:sz="8" w:color="auto"/>
            </w:tcBorders>
            <w:gridSpan w:val="7"/>
          </w:tcPr>
          <w:p>
            <w:pPr>
              <w:spacing w:after="0" w:line="182" w:lineRule="exact"/>
              <w:rPr>
                <w:sz w:val="20"/>
                <w:szCs w:val="20"/>
                <w:color w:val="auto"/>
              </w:rPr>
            </w:pPr>
            <w:r>
              <w:rPr>
                <w:rFonts w:ascii="Arial" w:cs="Arial" w:eastAsia="Arial" w:hAnsi="Arial"/>
                <w:sz w:val="18"/>
                <w:szCs w:val="18"/>
                <w:color w:val="0000FF"/>
              </w:rPr>
              <w:t>Offer of Employment Letter, between Mondelēz Global LLC and Mariano Lozano, dated April 1, 2022.</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7"/>
          </w:tcPr>
          <w:p>
            <w:pPr>
              <w:spacing w:after="0"/>
              <w:rPr>
                <w:sz w:val="20"/>
                <w:szCs w:val="20"/>
                <w:color w:val="auto"/>
              </w:rPr>
            </w:pPr>
            <w:r>
              <w:rPr>
                <w:rFonts w:ascii="Arial" w:cs="Arial" w:eastAsia="Arial" w:hAnsi="Arial"/>
                <w:sz w:val="18"/>
                <w:szCs w:val="18"/>
                <w:color w:val="0000FF"/>
              </w:rPr>
              <w:t>Certification of Chief Executive Officer pursuant to Rule 13a-14(a)/15d-14(a) of the Securities Exchange</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Act of 1934, as amended.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500" w:type="dxa"/>
            <w:vAlign w:val="bottom"/>
            <w:gridSpan w:val="7"/>
          </w:tcPr>
          <w:p>
            <w:pPr>
              <w:spacing w:after="0"/>
              <w:rPr>
                <w:sz w:val="20"/>
                <w:szCs w:val="20"/>
                <w:color w:val="auto"/>
              </w:rPr>
            </w:pPr>
            <w:r>
              <w:rPr>
                <w:rFonts w:ascii="Arial" w:cs="Arial" w:eastAsia="Arial" w:hAnsi="Arial"/>
                <w:sz w:val="18"/>
                <w:szCs w:val="18"/>
                <w:color w:val="0000FF"/>
              </w:rPr>
              <w:t>Certification of Chief Financial Officer pursuant to Rule 13a-14(a)/15d-14(a) of the Securities Exchange</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Act of 1934, as amended.</w:t>
            </w:r>
          </w:p>
        </w:tc>
        <w:tc>
          <w:tcPr>
            <w:tcW w:w="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500" w:type="dxa"/>
            <w:vAlign w:val="bottom"/>
            <w:gridSpan w:val="7"/>
          </w:tcPr>
          <w:p>
            <w:pPr>
              <w:spacing w:after="0"/>
              <w:rPr>
                <w:sz w:val="20"/>
                <w:szCs w:val="20"/>
                <w:color w:val="auto"/>
              </w:rPr>
            </w:pPr>
            <w:r>
              <w:rPr>
                <w:rFonts w:ascii="Arial" w:cs="Arial" w:eastAsia="Arial" w:hAnsi="Arial"/>
                <w:sz w:val="18"/>
                <w:szCs w:val="18"/>
                <w:color w:val="0000FF"/>
              </w:rPr>
              <w:t>Certifications of Chief Executive Officer and Chief Financial Officer pursuant to 18 U.S.C. 1350, as</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0" w:type="dxa"/>
            <w:vAlign w:val="bottom"/>
            <w:tcBorders>
              <w:top w:val="single" w:sz="8" w:color="0000FF"/>
            </w:tcBorders>
            <w:gridSpan w:val="3"/>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7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220" w:right="859" w:hanging="1194"/>
        <w:spacing w:after="0" w:line="218"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June 30, 2022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and (vi) Notes to Condensed Consolidated Financial Statements.</w:t>
      </w:r>
    </w:p>
    <w:p>
      <w:pPr>
        <w:spacing w:after="0" w:line="6" w:lineRule="exact"/>
        <w:rPr>
          <w:sz w:val="20"/>
          <w:szCs w:val="20"/>
          <w:color w:val="auto"/>
        </w:rPr>
      </w:pPr>
    </w:p>
    <w:p>
      <w:pPr>
        <w:ind w:left="1220" w:right="979" w:hanging="1194"/>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June 30, 2022, formatted in Inline XBRL (included as Exhibit 101).</w:t>
      </w:r>
    </w:p>
    <w:p>
      <w:pPr>
        <w:spacing w:after="0" w:line="4"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571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July 26,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364" w:right="45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985520" cy="651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PRIVATE AND CONFIDENTIAL</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Mr. Mariano Lozano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April 1, 2022</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 LETTER</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Dear Mariano,</w:t>
      </w:r>
    </w:p>
    <w:p>
      <w:pPr>
        <w:spacing w:after="0" w:line="206"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I am very pleased to provide you with this offer letter setting forth the terms of your offer of employment (“Offer Letter”). It confirms the verbal offer previously extended to you for the position of Executive Vice President &amp; President Latin America, Mondelēz International, Inc. (the “Company”) reporting to the Chairman and Chief Executive Officer. Your principal office will be located in our Coral Gables, Florida office. Your employment commencement date will be as soon as mutually agreed.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Your annualized target compensation opportunity will be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gridSpan w:val="2"/>
          </w:tcPr>
          <w:p>
            <w:pPr>
              <w:spacing w:after="0"/>
              <w:rPr>
                <w:sz w:val="20"/>
                <w:szCs w:val="20"/>
                <w:color w:val="auto"/>
              </w:rPr>
            </w:pPr>
            <w:r>
              <w:rPr>
                <w:rFonts w:ascii="Arial" w:cs="Arial" w:eastAsia="Arial" w:hAnsi="Arial"/>
                <w:sz w:val="22"/>
                <w:szCs w:val="22"/>
                <w:b w:val="1"/>
                <w:bCs w:val="1"/>
                <w:color w:val="auto"/>
              </w:rPr>
              <w:t>Annualized Compensation (Target Opportunity)</w:t>
            </w:r>
          </w:p>
        </w:tc>
        <w:tc>
          <w:tcPr>
            <w:tcW w:w="4500" w:type="dxa"/>
            <w:vAlign w:val="bottom"/>
          </w:tcPr>
          <w:p>
            <w:pPr>
              <w:spacing w:after="0"/>
              <w:rPr>
                <w:sz w:val="21"/>
                <w:szCs w:val="21"/>
                <w:color w:val="auto"/>
              </w:rPr>
            </w:pPr>
          </w:p>
        </w:tc>
      </w:tr>
      <w:tr>
        <w:trPr>
          <w:trHeight w:val="561"/>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Annual Base Salary</w:t>
            </w:r>
          </w:p>
        </w:tc>
        <w:tc>
          <w:tcPr>
            <w:tcW w:w="860" w:type="dxa"/>
            <w:vAlign w:val="bottom"/>
          </w:tcPr>
          <w:p>
            <w:pPr>
              <w:spacing w:after="0"/>
              <w:rPr>
                <w:sz w:val="24"/>
                <w:szCs w:val="24"/>
                <w:color w:val="auto"/>
              </w:rPr>
            </w:pPr>
          </w:p>
        </w:tc>
        <w:tc>
          <w:tcPr>
            <w:tcW w:w="4500" w:type="dxa"/>
            <w:vAlign w:val="bottom"/>
          </w:tcPr>
          <w:p>
            <w:pPr>
              <w:jc w:val="center"/>
              <w:ind w:left="732"/>
              <w:spacing w:after="0"/>
              <w:rPr>
                <w:sz w:val="20"/>
                <w:szCs w:val="20"/>
                <w:color w:val="auto"/>
              </w:rPr>
            </w:pPr>
            <w:r>
              <w:rPr>
                <w:rFonts w:ascii="Arial" w:cs="Arial" w:eastAsia="Arial" w:hAnsi="Arial"/>
                <w:sz w:val="22"/>
                <w:szCs w:val="22"/>
                <w:color w:val="auto"/>
                <w:w w:val="98"/>
              </w:rPr>
              <w:t>$625,000</w:t>
            </w:r>
          </w:p>
        </w:tc>
      </w:tr>
      <w:tr>
        <w:trPr>
          <w:trHeight w:val="540"/>
        </w:trPr>
        <w:tc>
          <w:tcPr>
            <w:tcW w:w="5720" w:type="dxa"/>
            <w:vAlign w:val="bottom"/>
            <w:gridSpan w:val="2"/>
          </w:tcPr>
          <w:p>
            <w:pPr>
              <w:ind w:left="20"/>
              <w:spacing w:after="0"/>
              <w:rPr>
                <w:sz w:val="20"/>
                <w:szCs w:val="20"/>
                <w:color w:val="auto"/>
              </w:rPr>
            </w:pPr>
            <w:r>
              <w:rPr>
                <w:rFonts w:ascii="Arial" w:cs="Arial" w:eastAsia="Arial" w:hAnsi="Arial"/>
                <w:sz w:val="22"/>
                <w:szCs w:val="22"/>
                <w:color w:val="auto"/>
              </w:rPr>
              <w:t>Annual Incentive Plan (Target - 90%*)</w:t>
            </w:r>
          </w:p>
        </w:tc>
        <w:tc>
          <w:tcPr>
            <w:tcW w:w="4500" w:type="dxa"/>
            <w:vAlign w:val="bottom"/>
          </w:tcPr>
          <w:p>
            <w:pPr>
              <w:jc w:val="center"/>
              <w:ind w:left="732"/>
              <w:spacing w:after="0"/>
              <w:rPr>
                <w:sz w:val="20"/>
                <w:szCs w:val="20"/>
                <w:color w:val="auto"/>
              </w:rPr>
            </w:pPr>
            <w:r>
              <w:rPr>
                <w:rFonts w:ascii="Arial" w:cs="Arial" w:eastAsia="Arial" w:hAnsi="Arial"/>
                <w:sz w:val="22"/>
                <w:szCs w:val="22"/>
                <w:color w:val="auto"/>
                <w:w w:val="98"/>
              </w:rPr>
              <w:t>$562,500</w:t>
            </w:r>
          </w:p>
        </w:tc>
      </w:tr>
      <w:tr>
        <w:trPr>
          <w:trHeight w:val="540"/>
        </w:trPr>
        <w:tc>
          <w:tcPr>
            <w:tcW w:w="5720" w:type="dxa"/>
            <w:vAlign w:val="bottom"/>
            <w:gridSpan w:val="2"/>
          </w:tcPr>
          <w:p>
            <w:pPr>
              <w:ind w:left="20"/>
              <w:spacing w:after="0"/>
              <w:rPr>
                <w:sz w:val="20"/>
                <w:szCs w:val="20"/>
                <w:color w:val="auto"/>
              </w:rPr>
            </w:pPr>
            <w:r>
              <w:rPr>
                <w:rFonts w:ascii="Arial" w:cs="Arial" w:eastAsia="Arial" w:hAnsi="Arial"/>
                <w:sz w:val="22"/>
                <w:szCs w:val="22"/>
                <w:color w:val="auto"/>
              </w:rPr>
              <w:t>Target Annual Long-Term Incentive Range**</w:t>
            </w:r>
          </w:p>
        </w:tc>
        <w:tc>
          <w:tcPr>
            <w:tcW w:w="4500" w:type="dxa"/>
            <w:vAlign w:val="bottom"/>
          </w:tcPr>
          <w:p>
            <w:pPr>
              <w:jc w:val="center"/>
              <w:ind w:left="752"/>
              <w:spacing w:after="0"/>
              <w:rPr>
                <w:sz w:val="20"/>
                <w:szCs w:val="20"/>
                <w:color w:val="auto"/>
              </w:rPr>
            </w:pPr>
            <w:r>
              <w:rPr>
                <w:rFonts w:ascii="Arial" w:cs="Arial" w:eastAsia="Arial" w:hAnsi="Arial"/>
                <w:sz w:val="22"/>
                <w:szCs w:val="22"/>
                <w:color w:val="auto"/>
                <w:w w:val="98"/>
              </w:rPr>
              <w:t>$1,120,000 - $1,400,000 - $1,680,000</w:t>
            </w:r>
          </w:p>
        </w:tc>
      </w:tr>
      <w:tr>
        <w:trPr>
          <w:trHeight w:val="540"/>
        </w:trPr>
        <w:tc>
          <w:tcPr>
            <w:tcW w:w="5720" w:type="dxa"/>
            <w:vAlign w:val="bottom"/>
            <w:gridSpan w:val="2"/>
          </w:tcPr>
          <w:p>
            <w:pPr>
              <w:ind w:left="20"/>
              <w:spacing w:after="0"/>
              <w:rPr>
                <w:sz w:val="20"/>
                <w:szCs w:val="20"/>
                <w:color w:val="auto"/>
              </w:rPr>
            </w:pPr>
            <w:r>
              <w:rPr>
                <w:rFonts w:ascii="Arial" w:cs="Arial" w:eastAsia="Arial" w:hAnsi="Arial"/>
                <w:sz w:val="22"/>
                <w:szCs w:val="22"/>
                <w:color w:val="auto"/>
              </w:rPr>
              <w:t>Total Target Compensation Opportunity</w:t>
            </w:r>
          </w:p>
        </w:tc>
        <w:tc>
          <w:tcPr>
            <w:tcW w:w="4500" w:type="dxa"/>
            <w:vAlign w:val="bottom"/>
          </w:tcPr>
          <w:p>
            <w:pPr>
              <w:jc w:val="center"/>
              <w:ind w:left="752"/>
              <w:spacing w:after="0"/>
              <w:rPr>
                <w:sz w:val="20"/>
                <w:szCs w:val="20"/>
                <w:color w:val="auto"/>
              </w:rPr>
            </w:pPr>
            <w:r>
              <w:rPr>
                <w:rFonts w:ascii="Arial" w:cs="Arial" w:eastAsia="Arial" w:hAnsi="Arial"/>
                <w:sz w:val="22"/>
                <w:szCs w:val="22"/>
                <w:color w:val="auto"/>
                <w:w w:val="98"/>
              </w:rPr>
              <w:t>$2,307,500 - $2,587,500 - $2,867,500</w:t>
            </w:r>
          </w:p>
        </w:tc>
      </w:tr>
    </w:tbl>
    <w:p>
      <w:pPr>
        <w:spacing w:after="0" w:line="200" w:lineRule="exact"/>
        <w:rPr>
          <w:sz w:val="20"/>
          <w:szCs w:val="20"/>
          <w:color w:val="auto"/>
        </w:rPr>
      </w:pPr>
    </w:p>
    <w:p>
      <w:pPr>
        <w:spacing w:after="0" w:line="340" w:lineRule="exact"/>
        <w:rPr>
          <w:sz w:val="20"/>
          <w:szCs w:val="20"/>
          <w:color w:val="auto"/>
        </w:rPr>
      </w:pPr>
    </w:p>
    <w:p>
      <w:pPr>
        <w:ind w:right="840"/>
        <w:spacing w:after="0" w:line="236" w:lineRule="auto"/>
        <w:rPr>
          <w:sz w:val="20"/>
          <w:szCs w:val="20"/>
          <w:color w:val="auto"/>
        </w:rPr>
      </w:pPr>
      <w:r>
        <w:rPr>
          <w:rFonts w:ascii="Arial" w:cs="Arial" w:eastAsia="Arial" w:hAnsi="Arial"/>
          <w:sz w:val="22"/>
          <w:szCs w:val="22"/>
          <w:color w:val="auto"/>
        </w:rPr>
        <w:t>Your Annual Base Salary will be subject to an annual review by the Board and adjustment in the Board’s sole discretion. The next annual review will be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Target as a percent of Annual Base Salary.</w:t>
      </w:r>
    </w:p>
    <w:p>
      <w:pPr>
        <w:spacing w:after="0" w:line="221" w:lineRule="exact"/>
        <w:rPr>
          <w:sz w:val="20"/>
          <w:szCs w:val="20"/>
          <w:color w:val="auto"/>
        </w:rPr>
      </w:pPr>
    </w:p>
    <w:p>
      <w:pPr>
        <w:jc w:val="both"/>
        <w:ind w:firstLine="8"/>
        <w:spacing w:after="0" w:line="234" w:lineRule="auto"/>
        <w:tabs>
          <w:tab w:leader="none" w:pos="17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value of the long-term incentive grants reflects the range (i.e., minimum, midpoint and maximum) for the target value of your annual equity grants. The actual number of shares, units, or options will be determined pursuant to the Company’s specific valuation methodology (e.g., Black-Scholes value for stock options).</w:t>
      </w:r>
    </w:p>
    <w:p>
      <w:pPr>
        <w:sectPr>
          <w:pgSz w:w="11900" w:h="16838" w:orient="portrait"/>
          <w:cols w:equalWidth="0" w:num="1">
            <w:col w:w="11240"/>
          </w:cols>
          <w:pgMar w:left="320" w:top="98" w:right="339" w:bottom="1440" w:gutter="0" w:footer="0" w:header="0"/>
        </w:sectPr>
      </w:pPr>
    </w:p>
    <w:bookmarkStart w:id="71" w:name="page72"/>
    <w:bookmarkEnd w:id="71"/>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243205</wp:posOffset>
            </wp:positionV>
            <wp:extent cx="985520" cy="651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595959"/>
        </w:rPr>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 Incentive Plan</w:t>
      </w:r>
    </w:p>
    <w:p>
      <w:pPr>
        <w:spacing w:after="0" w:line="208"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You will be eligible to participate in the Mondelēz International Management Incentive Plan (the “MIP”), the Company’s annual incentive program. Your target award opportunity under the MIP is equal to 90% of your Annual Base Salary. The actual amount you receive may be lower or higher, depending on your individual performance and the Company’s overall performance during the year. The maximum award under this program for 2022 is 200% of your target opportunity. The Company reserves the right to change the maximum award annually.</w:t>
      </w:r>
    </w:p>
    <w:p>
      <w:pPr>
        <w:spacing w:after="0" w:line="17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For the 2022 MIP plan year ending on December 31, 2022, your award will be prorated based on your date of hire. Your actual award will ultimately be determined based on the Region’s/Company’s actual overall financial and strategic performance for the full 2022 plan year.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Incentives (Annual Equity Program)</w:t>
      </w:r>
    </w:p>
    <w:p>
      <w:pPr>
        <w:spacing w:after="0" w:line="208" w:lineRule="exact"/>
        <w:rPr>
          <w:sz w:val="20"/>
          <w:szCs w:val="20"/>
          <w:color w:val="auto"/>
        </w:rPr>
      </w:pPr>
    </w:p>
    <w:p>
      <w:pPr>
        <w:jc w:val="both"/>
        <w:spacing w:after="0" w:line="215" w:lineRule="auto"/>
        <w:rPr>
          <w:sz w:val="20"/>
          <w:szCs w:val="20"/>
          <w:color w:val="auto"/>
        </w:rPr>
      </w:pPr>
      <w:r>
        <w:rPr>
          <w:rFonts w:ascii="Arial" w:cs="Arial" w:eastAsia="Arial" w:hAnsi="Arial"/>
          <w:sz w:val="22"/>
          <w:szCs w:val="22"/>
          <w:color w:val="auto"/>
        </w:rPr>
        <w:t>You will be eligible to fully participate in the Company’s annual equity program. Equity grants are typically made annually in February. If you begin employment prior to April 15, 2022, you will receive a $1,400,000 equity grant for 2022; 75% of the grant value will be in performance share units (“PSUs”) and 25% of the grant value will be in stock options (with the actual number of shares, units, or options based on the closing stock price on date of hire). These performance share units and stock options will be subject to the terms and conditions set forth in the Plan and the Company’s standard Global Long-Term Incentive Agreements as in effect on the date hereof.</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All equity grants are subject to the terms and conditions of the Company’s Amended and Restated 2005 Performance Incentive Plan (“Plan”) and the applicable annual grant agreements. The annual equity program described above is based on our current design and the Company reserves the right to change the annual equity program at any time.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Sign-On Award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As part of your offer of employment, on your date of hire you will receive:</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A cash sign-on award of $75,000, subject to a two-year repayment agreement.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Deferred Compensation Plan</w:t>
      </w:r>
    </w:p>
    <w:p>
      <w:pPr>
        <w:spacing w:after="0" w:line="208"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You will be eligible to participate in the Executive Deferred Compensation Plan. This program allows you to voluntarily defer a portion of your salary and/or your annual incentive award to a future date. Additional information about this program is available upon request.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Severance; Change in Control Plan</w:t>
      </w:r>
    </w:p>
    <w:p>
      <w:pPr>
        <w:spacing w:after="0" w:line="208"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From your date of hire, you will be a participant in the Mondelēz International, Inc. Change in Control Plan for Key Executives (the “CIC Plan”). The CIC Plan provides certain benefits upon an involuntary termination without Cause or voluntary termination for Good Reason following a Change in Control. A copy of the CIC Plan will be separately provided.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243205</wp:posOffset>
            </wp:positionV>
            <wp:extent cx="985520" cy="651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595959"/>
        </w:rPr>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Offer Letter:</w:t>
      </w:r>
    </w:p>
    <w:p>
      <w:pPr>
        <w:spacing w:after="0" w:line="206"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22"/>
          <w:szCs w:val="22"/>
          <w:color w:val="auto"/>
        </w:rPr>
      </w:pPr>
      <w:r>
        <w:rPr>
          <w:rFonts w:ascii="Arial" w:cs="Arial" w:eastAsia="Arial" w:hAnsi="Arial"/>
          <w:sz w:val="22"/>
          <w:szCs w:val="22"/>
          <w:color w:val="auto"/>
        </w:rPr>
        <w:t>“Cause” has the meaning set forth in the CIC Plan.</w:t>
      </w:r>
    </w:p>
    <w:p>
      <w:pPr>
        <w:spacing w:after="0" w:line="20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46"/>
        </w:numPr>
        <w:rPr>
          <w:rFonts w:ascii="Times New Roman" w:cs="Times New Roman" w:eastAsia="Times New Roman" w:hAnsi="Times New Roman"/>
          <w:sz w:val="22"/>
          <w:szCs w:val="22"/>
          <w:color w:val="auto"/>
        </w:rPr>
      </w:pPr>
      <w:r>
        <w:rPr>
          <w:rFonts w:ascii="Arial" w:cs="Arial" w:eastAsia="Arial" w:hAnsi="Arial"/>
          <w:sz w:val="22"/>
          <w:szCs w:val="22"/>
          <w:color w:val="auto"/>
        </w:rPr>
        <w:t>“Good Reason” has the meaning set forth in the CIC Plan.</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Stock Ownership Guidelines</w:t>
      </w:r>
    </w:p>
    <w:p>
      <w:pPr>
        <w:spacing w:after="0" w:line="200" w:lineRule="exact"/>
        <w:rPr>
          <w:sz w:val="20"/>
          <w:szCs w:val="20"/>
          <w:color w:val="auto"/>
        </w:rPr>
      </w:pPr>
    </w:p>
    <w:p>
      <w:pPr>
        <w:spacing w:after="0" w:line="251"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You will be required to attain and hold Company stock equal in value to four (4) times your annual base salary established at your date of hire. Under current guidelines, you will have five years from your date of hire to achieve this level of ownership. Stock held for ownership determination includes common stock held directly or indirectly and unvested deferred stock units. It does not include stock options or unvested performance share units. The Company reserves the right to change the guidelines at any time.</w:t>
      </w:r>
    </w:p>
    <w:p>
      <w:pPr>
        <w:spacing w:after="0" w:line="17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You will also be required to hold for a period of at least one year the “net” shares received upon vesting in the case of deferred stock units or performance share units or exercise in the case of stock options, from the respective vesting or exercise dates.</w:t>
      </w:r>
    </w:p>
    <w:p>
      <w:pPr>
        <w:spacing w:after="0" w:line="176"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Net shares are the number of shares resulting from the vesting of deferred stock units or performance share units or the exercise of stock options reduced by the number of shares required to satisfy any applicable tax withholding or costs associated with the respective vesting or exercise.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Benefits</w:t>
      </w:r>
    </w:p>
    <w:p>
      <w:pPr>
        <w:spacing w:after="0" w:line="208" w:lineRule="exact"/>
        <w:rPr>
          <w:sz w:val="20"/>
          <w:szCs w:val="20"/>
          <w:color w:val="auto"/>
        </w:rPr>
      </w:pPr>
    </w:p>
    <w:p>
      <w:pPr>
        <w:ind w:right="280"/>
        <w:spacing w:after="0" w:line="220" w:lineRule="auto"/>
        <w:rPr>
          <w:sz w:val="20"/>
          <w:szCs w:val="20"/>
          <w:color w:val="auto"/>
        </w:rPr>
      </w:pPr>
      <w:r>
        <w:rPr>
          <w:rFonts w:ascii="Arial" w:cs="Arial" w:eastAsia="Arial" w:hAnsi="Arial"/>
          <w:sz w:val="22"/>
          <w:szCs w:val="22"/>
          <w:color w:val="auto"/>
        </w:rPr>
        <w:t>If your employment with the Company ends due to an involuntary termination other than for Cause (as defined above), you will receive severance arrangements no less favorable than those accorded recently terminated senior executives of the Company. For the avoidance of doubt, “senior executives” as referenced in this section shall exclude legacy Cadbury executives.</w:t>
      </w:r>
    </w:p>
    <w:p>
      <w:pPr>
        <w:spacing w:after="0" w:line="17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Under the current policies in place, which are subject to change, you will be eligible for the Company’s discretionary financial planning program, which reimburses you up to $7,500 per year for eligible financial planning expenses, and car allowance program, which provides a car allowance of up to $15,000 per year.</w:t>
      </w:r>
    </w:p>
    <w:p>
      <w:pPr>
        <w:spacing w:after="0" w:line="176"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You will be eligible for Mondelēz Global LLC’s comprehensive benefits package available to full-time salaried U.S. employees. You will be eligible for 30 days of paid time off annually. Details and terms of these comprehensive benefits will be provided separately.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08"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 xml:space="preserve">As a condition to this offer of employment and corresponding consideration, you agree to the terms and conditions of the Confidential Information, Intellectual Property and Restrictive Covenants Agreement (the “Covenant Agreement”) attached hereto as </w:t>
      </w:r>
      <w:r>
        <w:rPr>
          <w:rFonts w:ascii="Arial" w:cs="Arial" w:eastAsia="Arial" w:hAnsi="Arial"/>
          <w:sz w:val="22"/>
          <w:szCs w:val="22"/>
          <w:b w:val="1"/>
          <w:bCs w:val="1"/>
          <w:u w:val="single" w:color="auto"/>
          <w:color w:val="auto"/>
        </w:rPr>
        <w:t>Appendix A</w:t>
      </w:r>
      <w:r>
        <w:rPr>
          <w:rFonts w:ascii="Arial" w:cs="Arial" w:eastAsia="Arial" w:hAnsi="Arial"/>
          <w:sz w:val="22"/>
          <w:szCs w:val="22"/>
          <w:color w:val="auto"/>
        </w:rPr>
        <w:t xml:space="preserve"> and will acknowledge such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40" w:right="339" w:bottom="1440" w:gutter="0" w:footer="0" w:header="0"/>
          <w:type w:val="continuous"/>
        </w:sectPr>
      </w:pPr>
    </w:p>
    <w:bookmarkStart w:id="73" w:name="page74"/>
    <w:bookmarkEnd w:id="73"/>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243205</wp:posOffset>
            </wp:positionV>
            <wp:extent cx="985520" cy="651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595959"/>
        </w:rPr>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78" w:lineRule="exact"/>
        <w:rPr>
          <w:sz w:val="20"/>
          <w:szCs w:val="20"/>
          <w:color w:val="auto"/>
        </w:rPr>
      </w:pPr>
    </w:p>
    <w:p>
      <w:pPr>
        <w:ind w:right="1340"/>
        <w:spacing w:after="0" w:line="435" w:lineRule="auto"/>
        <w:rPr>
          <w:sz w:val="20"/>
          <w:szCs w:val="20"/>
          <w:color w:val="auto"/>
        </w:rPr>
      </w:pPr>
      <w:r>
        <w:rPr>
          <w:rFonts w:ascii="Arial" w:cs="Arial" w:eastAsia="Arial" w:hAnsi="Arial"/>
          <w:sz w:val="22"/>
          <w:szCs w:val="22"/>
          <w:color w:val="auto"/>
        </w:rPr>
        <w:t xml:space="preserve">Covenant Agreement by signing the Covenant Agreement simultaneously with this offer of employment. </w:t>
      </w:r>
      <w:r>
        <w:rPr>
          <w:rFonts w:ascii="Arial" w:cs="Arial" w:eastAsia="Arial" w:hAnsi="Arial"/>
          <w:sz w:val="22"/>
          <w:szCs w:val="22"/>
          <w:b w:val="1"/>
          <w:bCs w:val="1"/>
          <w:u w:val="single" w:color="auto"/>
          <w:color w:val="auto"/>
        </w:rPr>
        <w:t>Section 409A of the Internal Revenue Code of 1986, as amended (the “Code”)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No amount hereunder or under any other agreement that is subject to Code Section 409A (“Section 409A”) shall be payable upon a termination of your employment unless such termination constitutes a “separation from service” with the Company under Section 409A. To the maximum extent permitted by applicable law, amounts payable to you pursuant to this Offer Letter shall be made in reliance upon the exception for certain involuntary terminations under a separation pay plan or as short-term deferral under Section 409A. For purposes of Section 409A, your right to receive any installment payments shall be treated as a right to receive a series of separate and distinct payments. To the extent any amount payable to you is subject to your entering into a release of claims with the Company and any such amount is a deferral of compensation under Section 409A and which amount could be payable to you in either of two taxable years, such payments shall be made or commence, as applicable, on the first date otherwise payable but in the later such taxable year and shall include all payments that otherwise would have been made before such date.</w:t>
      </w:r>
    </w:p>
    <w:p>
      <w:pPr>
        <w:spacing w:after="0" w:line="179" w:lineRule="exact"/>
        <w:rPr>
          <w:sz w:val="20"/>
          <w:szCs w:val="20"/>
          <w:color w:val="auto"/>
        </w:rPr>
      </w:pPr>
    </w:p>
    <w:p>
      <w:pPr>
        <w:jc w:val="both"/>
        <w:spacing w:after="0" w:line="209" w:lineRule="auto"/>
        <w:rPr>
          <w:sz w:val="20"/>
          <w:szCs w:val="20"/>
          <w:color w:val="auto"/>
        </w:rPr>
      </w:pPr>
      <w:r>
        <w:rPr>
          <w:rFonts w:ascii="Arial" w:cs="Arial" w:eastAsia="Arial" w:hAnsi="Arial"/>
          <w:sz w:val="22"/>
          <w:szCs w:val="22"/>
          <w:color w:val="auto"/>
        </w:rPr>
        <w:t>If you are a “specified employee” (within the meaning of Section 409A) as of your separation from service (within the meaning of Section 409A): (a) payment of any amounts under this Offer Letter (or under any severance arrangement pursuant to this Offer Letter) which the Company determines constitute the payment of nonqualified deferred compensation (within the meaning of Section 409A) and which would otherwise be paid upon your separation from service shall not be paid before the date that is six months after the date of your separation from service and any amounts that cannot be paid by reason of this limitation shall be accumulated and paid on the earlier of (x) your death and (y) the first day of the seventh month (or as soon as administratively possible thereafter) following the date of your separation from service (within the meaning of Section 409A); and (b) any welfare or other benefits (including under a severance arrangement) which the Company determines constitute the payment of nonqualified deferred compensation (within the meaning of Section 409A) and which would otherwise be provided upon your separation from service shall be provided at your sole cost during the first six-month period after your separation from service and, on the first day of the seventh month following your separation from service (or as soon as administratively possible), the Company shall reimburse you for the portion of such costs that would have been payable by the Company for that period if you were not a specified employee.</w:t>
      </w:r>
    </w:p>
    <w:p>
      <w:pPr>
        <w:spacing w:after="0" w:line="183"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Payment of any reimbursement amounts and the provision of benefits by the Company pursuant to this Offer Letter (including any reimbursements or benefits to be provided pursuant to a severance arrangement) which the Company determines constitute nonqualified deferred compensation (within the meaning of Section 409A) shall be subject to the following:</w:t>
      </w:r>
    </w:p>
    <w:p>
      <w:pPr>
        <w:spacing w:after="0" w:line="179" w:lineRule="exact"/>
        <w:rPr>
          <w:sz w:val="20"/>
          <w:szCs w:val="20"/>
          <w:color w:val="auto"/>
        </w:rPr>
      </w:pPr>
    </w:p>
    <w:p>
      <w:pPr>
        <w:jc w:val="both"/>
        <w:ind w:left="580" w:hanging="572"/>
        <w:spacing w:after="0" w:line="226" w:lineRule="auto"/>
        <w:tabs>
          <w:tab w:leader="none" w:pos="513"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amount of the expenses eligible for reimbursement or the in-kind benefits provided during any calendar year shall not affect the amount of the expenses eligible for reimbursement or the in-kind benefits to be provided in any other calendar year;</w:t>
      </w:r>
    </w:p>
    <w:p>
      <w:pPr>
        <w:spacing w:after="0" w:line="176" w:lineRule="exact"/>
        <w:rPr>
          <w:rFonts w:ascii="Arial" w:cs="Arial" w:eastAsia="Arial" w:hAnsi="Arial"/>
          <w:sz w:val="22"/>
          <w:szCs w:val="22"/>
          <w:color w:val="auto"/>
        </w:rPr>
      </w:pPr>
    </w:p>
    <w:p>
      <w:pPr>
        <w:ind w:left="580" w:right="20" w:hanging="572"/>
        <w:spacing w:after="0" w:line="236" w:lineRule="auto"/>
        <w:tabs>
          <w:tab w:leader="none" w:pos="5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reimbursement of an eligible expense will be made on or before the last day of the calendar year following the calendar year in which the expense was incurred;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243205</wp:posOffset>
            </wp:positionV>
            <wp:extent cx="985520" cy="651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595959"/>
        </w:rPr>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78"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your right to reimbursement or in-kind benefits is not subject to liquidation or exchange for any other benefit.</w:t>
      </w:r>
    </w:p>
    <w:p>
      <w:pPr>
        <w:spacing w:after="0" w:line="206" w:lineRule="exact"/>
        <w:rPr>
          <w:sz w:val="20"/>
          <w:szCs w:val="20"/>
          <w:color w:val="auto"/>
        </w:rPr>
      </w:pPr>
    </w:p>
    <w:p>
      <w:pPr>
        <w:jc w:val="both"/>
        <w:spacing w:after="0" w:line="211" w:lineRule="auto"/>
        <w:rPr>
          <w:sz w:val="20"/>
          <w:szCs w:val="20"/>
          <w:color w:val="auto"/>
        </w:rPr>
      </w:pPr>
      <w:r>
        <w:rPr>
          <w:rFonts w:ascii="Arial" w:cs="Arial" w:eastAsia="Arial" w:hAnsi="Arial"/>
          <w:sz w:val="22"/>
          <w:szCs w:val="22"/>
          <w:color w:val="auto"/>
        </w:rPr>
        <w:t>The parties hereto intend that all compensation, benefits and other payments made to you hereunder will be provided or paid to you in compliance with all applicable provisions, or an exemption or exception from the applicable provisions of Section 409A and the regulations and rulings issued thereunder, and the rulings, notices and other guidance issued by the Internal Revenue Service interpreting the same, and this Offer Letter shall be construed and administered in accordance with such intent. The parties also agree that this Offer Letter may be modified, as reasonably agreed by the parties, to the extent necessary to comply with all applicable requirements of, and to avoid the imposition of additional tax, interest and penalties under Section 409A in connection with the compensation, benefits and other payments to be provided or paid to you hereunder. Any such modification shall maintain the original intent and benefit to the Company and you of the applicable provision of this Offer Letter, to the maximum extent possible without violating Section 409A.</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Terms and Conditions</w:t>
      </w:r>
    </w:p>
    <w:p>
      <w:pPr>
        <w:spacing w:after="0" w:line="208"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You will be a U.S. employee of Mondelēz Latin America and your employment status will be governed by and shall be construed in accordance with the laws of the United States. As such, your status will be that of an “at will” employee. This means that either you or Company is free to terminate the employment relationship at that time, for any reason, subject to your entitlements pursuant to this Offer Letter or any other plan or agreement applicable to a termination of your employment.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This offer is contingent upon successful completion of our pre-employment checks. These include:</w:t>
      </w:r>
    </w:p>
    <w:p>
      <w:pPr>
        <w:jc w:val="both"/>
        <w:ind w:left="720" w:hanging="323"/>
        <w:spacing w:after="0" w:line="204" w:lineRule="auto"/>
        <w:tabs>
          <w:tab w:leader="none" w:pos="711"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background check. The background screen is an investigative consumer report. Under the Fair Credit Reporting Act, you have the right to make a written request for information about the nature and scope of this report. If you wish to make such a request, you may direct your letter to my attention. You are also entitled to receive a written summary of your rights under the Fair Credit Reporting Act.</w:t>
      </w:r>
    </w:p>
    <w:p>
      <w:pPr>
        <w:spacing w:after="0" w:line="3" w:lineRule="exact"/>
        <w:rPr>
          <w:rFonts w:ascii="Arial" w:cs="Arial" w:eastAsia="Arial" w:hAnsi="Arial"/>
          <w:sz w:val="22"/>
          <w:szCs w:val="22"/>
          <w:color w:val="auto"/>
        </w:rPr>
      </w:pPr>
    </w:p>
    <w:p>
      <w:pPr>
        <w:ind w:left="720" w:hanging="323"/>
        <w:spacing w:after="0" w:line="204" w:lineRule="auto"/>
        <w:tabs>
          <w:tab w:leader="none" w:pos="7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post-offer drug screen via current Company protocols and</w:t>
      </w:r>
    </w:p>
    <w:p>
      <w:pPr>
        <w:ind w:left="720" w:hanging="323"/>
        <w:spacing w:after="0"/>
        <w:tabs>
          <w:tab w:leader="none" w:pos="7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proof of eligibility to work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243205</wp:posOffset>
            </wp:positionV>
            <wp:extent cx="985520" cy="651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595959"/>
        </w:rPr>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78"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If you accept our offer, please sign below and return the signed letter to my attention at dpendleton@mdlz.com. Once your date of hire is established, you will be provided information about the arrangements for your post offer drug screen and the required documents for verifying your eligibility to work in the United States.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Should you have any questions concerning this information, please contact me.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H. Pendleton</w:t>
            </w:r>
          </w:p>
        </w:tc>
        <w:tc>
          <w:tcPr>
            <w:tcW w:w="2720" w:type="dxa"/>
            <w:vAlign w:val="bottom"/>
          </w:tcPr>
          <w:p>
            <w:pPr>
              <w:spacing w:after="0"/>
              <w:rPr>
                <w:sz w:val="24"/>
                <w:szCs w:val="24"/>
                <w:color w:val="auto"/>
              </w:rPr>
            </w:pPr>
          </w:p>
        </w:tc>
        <w:tc>
          <w:tcPr>
            <w:tcW w:w="3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April 7, 2022</w:t>
            </w:r>
          </w:p>
        </w:tc>
      </w:tr>
      <w:tr>
        <w:trPr>
          <w:trHeight w:val="284"/>
        </w:trPr>
        <w:tc>
          <w:tcPr>
            <w:tcW w:w="6600" w:type="dxa"/>
            <w:vAlign w:val="bottom"/>
            <w:gridSpan w:val="2"/>
          </w:tcPr>
          <w:p>
            <w:pPr>
              <w:ind w:left="20"/>
              <w:spacing w:after="0"/>
              <w:rPr>
                <w:sz w:val="20"/>
                <w:szCs w:val="20"/>
                <w:color w:val="auto"/>
              </w:rPr>
            </w:pPr>
            <w:r>
              <w:rPr>
                <w:rFonts w:ascii="Arial" w:cs="Arial" w:eastAsia="Arial" w:hAnsi="Arial"/>
                <w:sz w:val="20"/>
                <w:szCs w:val="20"/>
                <w:color w:val="auto"/>
              </w:rPr>
              <w:t>David H. Pendleton</w:t>
            </w:r>
          </w:p>
        </w:tc>
        <w:tc>
          <w:tcPr>
            <w:tcW w:w="3300" w:type="dxa"/>
            <w:vAlign w:val="bottom"/>
          </w:tcPr>
          <w:p>
            <w:pPr>
              <w:ind w:left="20"/>
              <w:spacing w:after="0"/>
              <w:rPr>
                <w:sz w:val="20"/>
                <w:szCs w:val="20"/>
                <w:color w:val="auto"/>
              </w:rPr>
            </w:pPr>
            <w:r>
              <w:rPr>
                <w:rFonts w:ascii="Arial" w:cs="Arial" w:eastAsia="Arial" w:hAnsi="Arial"/>
                <w:sz w:val="22"/>
                <w:szCs w:val="22"/>
                <w:color w:val="auto"/>
              </w:rPr>
              <w:t>Date</w:t>
            </w:r>
          </w:p>
        </w:tc>
      </w:tr>
      <w:tr>
        <w:trPr>
          <w:trHeight w:val="297"/>
        </w:trPr>
        <w:tc>
          <w:tcPr>
            <w:tcW w:w="6600" w:type="dxa"/>
            <w:vAlign w:val="bottom"/>
            <w:gridSpan w:val="2"/>
          </w:tcPr>
          <w:p>
            <w:pPr>
              <w:ind w:left="20"/>
              <w:spacing w:after="0"/>
              <w:rPr>
                <w:sz w:val="20"/>
                <w:szCs w:val="20"/>
                <w:color w:val="auto"/>
              </w:rPr>
            </w:pPr>
            <w:r>
              <w:rPr>
                <w:rFonts w:ascii="Arial" w:cs="Arial" w:eastAsia="Arial" w:hAnsi="Arial"/>
                <w:sz w:val="22"/>
                <w:szCs w:val="22"/>
                <w:color w:val="auto"/>
              </w:rPr>
              <w:t>SVP Total Rewards &amp; Performance</w:t>
            </w:r>
          </w:p>
        </w:tc>
        <w:tc>
          <w:tcPr>
            <w:tcW w:w="3300" w:type="dxa"/>
            <w:vAlign w:val="bottom"/>
          </w:tcPr>
          <w:p>
            <w:pPr>
              <w:spacing w:after="0"/>
              <w:rPr>
                <w:sz w:val="24"/>
                <w:szCs w:val="24"/>
                <w:color w:val="auto"/>
              </w:rPr>
            </w:pPr>
          </w:p>
        </w:tc>
      </w:tr>
      <w:tr>
        <w:trPr>
          <w:trHeight w:val="297"/>
        </w:trPr>
        <w:tc>
          <w:tcPr>
            <w:tcW w:w="6600" w:type="dxa"/>
            <w:vAlign w:val="bottom"/>
            <w:gridSpan w:val="2"/>
          </w:tcPr>
          <w:p>
            <w:pPr>
              <w:ind w:left="20"/>
              <w:spacing w:after="0"/>
              <w:rPr>
                <w:sz w:val="20"/>
                <w:szCs w:val="20"/>
                <w:color w:val="auto"/>
              </w:rPr>
            </w:pPr>
            <w:r>
              <w:rPr>
                <w:rFonts w:ascii="Arial" w:cs="Arial" w:eastAsia="Arial" w:hAnsi="Arial"/>
                <w:sz w:val="22"/>
                <w:szCs w:val="22"/>
                <w:color w:val="auto"/>
              </w:rPr>
              <w:t>Mondelēz Global LLC</w:t>
            </w:r>
          </w:p>
        </w:tc>
        <w:tc>
          <w:tcPr>
            <w:tcW w:w="3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 have read the above terms and conditions and, by signing below, do accept this offer. This letter does not, in any way, constitute an express or implied contract for employment.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Mariano Lozano</w:t>
            </w:r>
          </w:p>
        </w:tc>
        <w:tc>
          <w:tcPr>
            <w:tcW w:w="1300" w:type="dxa"/>
            <w:vAlign w:val="bottom"/>
            <w:tcBorders>
              <w:bottom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April 7, 2022</w:t>
            </w:r>
          </w:p>
        </w:tc>
      </w:tr>
      <w:tr>
        <w:trPr>
          <w:trHeight w:val="284"/>
        </w:trPr>
        <w:tc>
          <w:tcPr>
            <w:tcW w:w="2700" w:type="dxa"/>
            <w:vAlign w:val="bottom"/>
          </w:tcPr>
          <w:p>
            <w:pPr>
              <w:ind w:left="20"/>
              <w:spacing w:after="0"/>
              <w:rPr>
                <w:sz w:val="20"/>
                <w:szCs w:val="20"/>
                <w:color w:val="auto"/>
              </w:rPr>
            </w:pPr>
            <w:r>
              <w:rPr>
                <w:rFonts w:ascii="Arial" w:cs="Arial" w:eastAsia="Arial" w:hAnsi="Arial"/>
                <w:sz w:val="20"/>
                <w:szCs w:val="20"/>
                <w:color w:val="auto"/>
              </w:rPr>
              <w:t>Mariano Lozano</w:t>
            </w:r>
          </w:p>
        </w:tc>
        <w:tc>
          <w:tcPr>
            <w:tcW w:w="1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Arial" w:cs="Arial" w:eastAsia="Arial" w:hAnsi="Arial"/>
                <w:sz w:val="22"/>
                <w:szCs w:val="22"/>
                <w:color w:val="auto"/>
              </w:rPr>
              <w:t>Date</w:t>
            </w:r>
          </w:p>
        </w:tc>
      </w:tr>
      <w:tr>
        <w:trPr>
          <w:trHeight w:val="341"/>
        </w:trPr>
        <w:tc>
          <w:tcPr>
            <w:tcW w:w="2700" w:type="dxa"/>
            <w:vAlign w:val="bottom"/>
          </w:tcPr>
          <w:p>
            <w:pPr>
              <w:spacing w:after="0"/>
              <w:rPr>
                <w:sz w:val="24"/>
                <w:szCs w:val="24"/>
                <w:color w:val="auto"/>
              </w:rPr>
            </w:pPr>
          </w:p>
        </w:tc>
        <w:tc>
          <w:tcPr>
            <w:tcW w:w="7480" w:type="dxa"/>
            <w:vAlign w:val="bottom"/>
            <w:gridSpan w:val="3"/>
          </w:tcPr>
          <w:p>
            <w:pPr>
              <w:ind w:left="860"/>
              <w:spacing w:after="0"/>
              <w:rPr>
                <w:sz w:val="20"/>
                <w:szCs w:val="20"/>
                <w:color w:val="auto"/>
              </w:rPr>
            </w:pPr>
            <w:r>
              <w:rPr>
                <w:rFonts w:ascii="Arial" w:cs="Arial" w:eastAsia="Arial" w:hAnsi="Arial"/>
                <w:sz w:val="18"/>
                <w:szCs w:val="18"/>
                <w:i w:val="1"/>
                <w:iCs w:val="1"/>
                <w:color w:val="auto"/>
              </w:rPr>
              <w:t>[Signature Page to Mr. Mariano Lozano Offer Letter]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Appendix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INFORMATION, INTELLECTUAL PROPERTY</w:t>
      </w:r>
    </w:p>
    <w:p>
      <w:pPr>
        <w:jc w:val="center"/>
        <w:spacing w:after="0"/>
        <w:rPr>
          <w:sz w:val="20"/>
          <w:szCs w:val="20"/>
          <w:color w:val="auto"/>
        </w:rPr>
      </w:pPr>
      <w:r>
        <w:rPr>
          <w:rFonts w:ascii="Arial" w:cs="Arial" w:eastAsia="Arial" w:hAnsi="Arial"/>
          <w:sz w:val="22"/>
          <w:szCs w:val="22"/>
          <w:b w:val="1"/>
          <w:bCs w:val="1"/>
          <w:color w:val="auto"/>
        </w:rPr>
        <w:t>AND RESTRICTIVE COVENANTS AGREEMENT</w:t>
      </w:r>
    </w:p>
    <w:p>
      <w:pPr>
        <w:spacing w:after="0" w:line="15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This Confidential Information, Intellectual Property and Restrictive Covenants Agreement (“Covenant Agreement”) is made between the person specified in that certain offer of employment (“Executive”) and Mondelēz International, Inc. (and any currently or previously-affiliated companies, parent companies, successors or predecessors, including Mondelēz Global LLC, Kraft Foods Inc., Kraft Foods Group, Inc., and Kraft Foods Global, Inc., hereafter, collectively, “MG”).</w:t>
      </w:r>
    </w:p>
    <w:p>
      <w:pPr>
        <w:spacing w:after="0" w:line="15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Covenant Agreement is an extension of and incorporated into the offer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Executive and MG under which MG desires and agrees to employ Executive and Executive desires and agrees to be employed by MG (the “Offer Letter”); and</w:t>
      </w:r>
    </w:p>
    <w:p>
      <w:pPr>
        <w:spacing w:after="0" w:line="14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part of performing Executive’s responsibilities for MG, Executive will have access to MG’s</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(as defined in Paragraph 2(a) below) and Intellectual Property (as defined in Paragraph 3(a) below).</w:t>
      </w:r>
    </w:p>
    <w:p>
      <w:pPr>
        <w:spacing w:after="0" w:line="14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including the promises and covenants contained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Covenant Agreement, including monetary consideration, Executive’s employment with MG and Executive’s access to and use of MG’s Confidential Information and Intellectual Property, MG and Executive hereby agree as follows:</w:t>
      </w:r>
    </w:p>
    <w:p>
      <w:pPr>
        <w:spacing w:after="0" w:line="148" w:lineRule="exact"/>
        <w:rPr>
          <w:sz w:val="20"/>
          <w:szCs w:val="20"/>
          <w:color w:val="auto"/>
        </w:rPr>
      </w:pPr>
    </w:p>
    <w:p>
      <w:pPr>
        <w:jc w:val="both"/>
        <w:ind w:firstLine="656"/>
        <w:spacing w:after="0" w:line="214" w:lineRule="auto"/>
        <w:tabs>
          <w:tab w:leader="none" w:pos="1287"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In addition to Executive’s employment with MG and Executive’s access to and use of</w:t>
      </w:r>
      <w:r>
        <w:rPr>
          <w:rFonts w:ascii="Arial" w:cs="Arial" w:eastAsia="Arial" w:hAnsi="Arial"/>
          <w:sz w:val="22"/>
          <w:szCs w:val="22"/>
          <w:b w:val="1"/>
          <w:bCs w:val="1"/>
          <w:color w:val="auto"/>
        </w:rPr>
        <w:t xml:space="preserve"> </w:t>
      </w:r>
      <w:r>
        <w:rPr>
          <w:rFonts w:ascii="Arial" w:cs="Arial" w:eastAsia="Arial" w:hAnsi="Arial"/>
          <w:sz w:val="22"/>
          <w:szCs w:val="22"/>
          <w:color w:val="auto"/>
        </w:rPr>
        <w:t>MG’s Confidential Information, as consideration for this Covenant Agreement, MG will provide Executive with such consideration described in the Offer Letter, including, but not limited to, any sign on incentives and participation in the annual incentive plan and equity program. This Covenant Agreement shall control over any inconsistency with any other plan, program, practice or agreement providing for any covenant or restriction provided herein (and such other plan, program, practice or agreement shall be disregarded unless Executive agrees in writing that such other plan, program, practice or agreement controls).</w:t>
      </w:r>
    </w:p>
    <w:p>
      <w:pPr>
        <w:spacing w:after="0" w:line="149" w:lineRule="exact"/>
        <w:rPr>
          <w:rFonts w:ascii="Arial" w:cs="Arial" w:eastAsia="Arial" w:hAnsi="Arial"/>
          <w:sz w:val="22"/>
          <w:szCs w:val="22"/>
          <w:color w:val="auto"/>
        </w:rPr>
      </w:pPr>
    </w:p>
    <w:p>
      <w:pPr>
        <w:ind w:left="1300" w:hanging="644"/>
        <w:spacing w:after="0"/>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w:t>
      </w:r>
      <w:r>
        <w:rPr>
          <w:rFonts w:ascii="Arial" w:cs="Arial" w:eastAsia="Arial" w:hAnsi="Arial"/>
          <w:sz w:val="22"/>
          <w:szCs w:val="22"/>
          <w:b w:val="1"/>
          <w:bCs w:val="1"/>
          <w:color w:val="auto"/>
        </w:rPr>
        <w:t>.</w:t>
      </w:r>
    </w:p>
    <w:p>
      <w:pPr>
        <w:spacing w:after="0" w:line="181" w:lineRule="exact"/>
        <w:rPr>
          <w:rFonts w:ascii="Arial" w:cs="Arial" w:eastAsia="Arial" w:hAnsi="Arial"/>
          <w:sz w:val="22"/>
          <w:szCs w:val="22"/>
          <w:color w:val="auto"/>
        </w:rPr>
      </w:pPr>
    </w:p>
    <w:p>
      <w:pPr>
        <w:jc w:val="both"/>
        <w:ind w:left="660" w:firstLine="644"/>
        <w:spacing w:after="0" w:line="210" w:lineRule="auto"/>
        <w:tabs>
          <w:tab w:leader="none" w:pos="1950" w:val="left"/>
        </w:tabs>
        <w:numPr>
          <w:ilvl w:val="1"/>
          <w:numId w:val="50"/>
        </w:numPr>
        <w:rPr>
          <w:rFonts w:ascii="Arial" w:cs="Arial" w:eastAsia="Arial" w:hAnsi="Arial"/>
          <w:sz w:val="22"/>
          <w:szCs w:val="22"/>
          <w:color w:val="auto"/>
        </w:rPr>
      </w:pPr>
      <w:r>
        <w:rPr>
          <w:rFonts w:ascii="Arial" w:cs="Arial" w:eastAsia="Arial" w:hAnsi="Arial"/>
          <w:sz w:val="22"/>
          <w:szCs w:val="22"/>
          <w:color w:val="auto"/>
        </w:rPr>
        <w:t>Executive recognizes that MG derives economic value from information and trade secrets created (whether by Executive or others) and used in MG’s business which is not generally known by the public, including but not limited to certain sales, marketing, strategy, financial, product, personnel, manufacturing, technical and other proprietary information and material (“Confidential Information”) which are the property of MG. Executive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Executive expressly acknowledges and agrees that, by virtue of Executive’s employment with MG, Executive will have access to and will use certain Confidential Information and that such Confidential Information constitutes MG’s trade secrets and confidential and proprietary business information, all of which is MG’s exclusive property. For purposes of this Covenant Agreement, Confidential Information does not include</w:t>
      </w:r>
    </w:p>
    <w:p>
      <w:pPr>
        <w:sectPr>
          <w:pgSz w:w="11900" w:h="16838" w:orient="portrait"/>
          <w:cols w:equalWidth="0" w:num="1">
            <w:col w:w="11240"/>
          </w:cols>
          <w:pgMar w:left="320" w:top="1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25" w:right="339"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information that is or may become known to Executive or to the public from sources outside MG and through means other than a breach of this Covenant Agreement.</w:t>
      </w:r>
    </w:p>
    <w:p>
      <w:pPr>
        <w:spacing w:after="0" w:line="205" w:lineRule="exact"/>
        <w:rPr>
          <w:sz w:val="20"/>
          <w:szCs w:val="20"/>
          <w:color w:val="auto"/>
        </w:rPr>
      </w:pPr>
    </w:p>
    <w:p>
      <w:pPr>
        <w:jc w:val="both"/>
        <w:ind w:firstLine="644"/>
        <w:spacing w:after="0" w:line="210" w:lineRule="auto"/>
        <w:tabs>
          <w:tab w:leader="none" w:pos="129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Executive further understands and acknowledges that this Confidential Information and MG’s ability to reserve it for the exclusive knowledge and use of MG is of great competitive importance and commercial value to MG. Executive agrees that Executive will treat all Confidential Information as strictly confidential and Executive will not, and will not permit any other person or entity to, directly or indirectly, without the prior written consent of MG: (i) use Confidential Information for the benefit of any person or entity other than MG; (ii) remove, copy, duplicate or otherwise reproduce any document or tangible item embodying or pertaining to any of the Confidential Information, except as required to perform Executive’s responsibilities for MG; and (iii) while employed and thereafter, publish, release, disclose, deliver or otherwise make available to any third party any Confidential Information by any communication, including oral, documentary, electronic or magnetic information transmittal device or media. Notwithstanding the foregoing, Executive shall be permitted to disclose Confidential Information to the extent (x) required by law, subpoena, or applicable government or regulatory authority or (y) appropriate in connection with a legal dispute. To the extent legally permissible, executive shall promptly provide written notice of any such subpoena or order to MG’s legal department.</w:t>
      </w:r>
    </w:p>
    <w:p>
      <w:pPr>
        <w:spacing w:after="0" w:line="154" w:lineRule="exact"/>
        <w:rPr>
          <w:rFonts w:ascii="Arial" w:cs="Arial" w:eastAsia="Arial" w:hAnsi="Arial"/>
          <w:sz w:val="22"/>
          <w:szCs w:val="22"/>
          <w:color w:val="auto"/>
        </w:rPr>
      </w:pPr>
    </w:p>
    <w:p>
      <w:pPr>
        <w:jc w:val="both"/>
        <w:ind w:firstLine="644"/>
        <w:spacing w:after="0" w:line="212" w:lineRule="auto"/>
        <w:tabs>
          <w:tab w:leader="none" w:pos="1291" w:val="left"/>
        </w:tabs>
        <w:numPr>
          <w:ilvl w:val="0"/>
          <w:numId w:val="51"/>
        </w:numPr>
        <w:rPr>
          <w:rFonts w:ascii="Arial" w:cs="Arial" w:eastAsia="Arial" w:hAnsi="Arial"/>
          <w:sz w:val="22"/>
          <w:szCs w:val="22"/>
          <w:color w:val="auto"/>
        </w:rPr>
      </w:pPr>
      <w:r>
        <w:rPr>
          <w:rFonts w:ascii="Arial" w:cs="Arial" w:eastAsia="Arial" w:hAnsi="Arial"/>
          <w:sz w:val="22"/>
          <w:szCs w:val="22"/>
          <w:color w:val="auto"/>
        </w:rPr>
        <w:t>Executive agrees and understands that the obligations under this Covenant Agreement with regard to the non-disclosure and non-use of particular Confidential Information shall commence immediately upon Executive first having access to Confidential Information (whether before or after Executive begins employment with MG) and shall continue to exist during and after Executive’s employment with MG for so long as such information remains Confidential Information and is not public knowledge other than as a result of the Executive’s breach of this Covenant Agreement or breach by those acting in concert with Executive or on Executive’s behalf. Nothing in this Agreement shall be construed to prohibit Executive from reporting conduct to, providing truthful information to, or participating in any investigation or proceeding conducted by any federal, state or local government agency or self-regulatory organization.</w:t>
      </w:r>
    </w:p>
    <w:p>
      <w:pPr>
        <w:spacing w:after="0" w:line="148" w:lineRule="exact"/>
        <w:rPr>
          <w:rFonts w:ascii="Arial" w:cs="Arial" w:eastAsia="Arial" w:hAnsi="Arial"/>
          <w:sz w:val="22"/>
          <w:szCs w:val="22"/>
          <w:color w:val="auto"/>
        </w:rPr>
      </w:pPr>
    </w:p>
    <w:p>
      <w:pPr>
        <w:jc w:val="both"/>
        <w:ind w:firstLine="644"/>
        <w:spacing w:after="0" w:line="226" w:lineRule="auto"/>
        <w:tabs>
          <w:tab w:leader="none" w:pos="129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Executive understands that improper use or disclosure of the Confidential Information by Executive will cause MG to incur financial costs, loss of business advantage, liability under confidentiality agreements with third parties, civil damages and criminal penalties.</w:t>
      </w:r>
    </w:p>
    <w:p>
      <w:pPr>
        <w:spacing w:after="0" w:line="149" w:lineRule="exact"/>
        <w:rPr>
          <w:rFonts w:ascii="Arial" w:cs="Arial" w:eastAsia="Arial" w:hAnsi="Arial"/>
          <w:sz w:val="22"/>
          <w:szCs w:val="22"/>
          <w:color w:val="auto"/>
        </w:rPr>
      </w:pPr>
    </w:p>
    <w:p>
      <w:pPr>
        <w:jc w:val="both"/>
        <w:ind w:firstLine="644"/>
        <w:spacing w:after="0" w:line="212" w:lineRule="auto"/>
        <w:tabs>
          <w:tab w:leader="none" w:pos="129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Protected Rights</w:t>
      </w:r>
      <w:r>
        <w:rPr>
          <w:rFonts w:ascii="Arial" w:cs="Arial" w:eastAsia="Arial" w:hAnsi="Arial"/>
          <w:sz w:val="22"/>
          <w:szCs w:val="22"/>
          <w:color w:val="auto"/>
        </w:rPr>
        <w:t>. Executive understands that nothing contained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980" w:top="122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44" w:hanging="644"/>
        <w:spacing w:after="0"/>
        <w:tabs>
          <w:tab w:leader="none" w:pos="644"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b w:val="1"/>
          <w:bCs w:val="1"/>
          <w:color w:val="auto"/>
        </w:rPr>
        <w:t>.</w:t>
      </w:r>
    </w:p>
    <w:p>
      <w:pPr>
        <w:spacing w:after="0" w:line="208" w:lineRule="exact"/>
        <w:rPr>
          <w:rFonts w:ascii="Arial" w:cs="Arial" w:eastAsia="Arial" w:hAnsi="Arial"/>
          <w:sz w:val="22"/>
          <w:szCs w:val="22"/>
          <w:color w:val="auto"/>
        </w:rPr>
      </w:pPr>
    </w:p>
    <w:p>
      <w:pPr>
        <w:jc w:val="both"/>
        <w:ind w:left="4" w:firstLine="644"/>
        <w:spacing w:after="0" w:line="220" w:lineRule="auto"/>
        <w:tabs>
          <w:tab w:leader="none" w:pos="1169" w:val="left"/>
        </w:tabs>
        <w:numPr>
          <w:ilvl w:val="1"/>
          <w:numId w:val="52"/>
        </w:numPr>
        <w:rPr>
          <w:rFonts w:ascii="Arial" w:cs="Arial" w:eastAsia="Arial" w:hAnsi="Arial"/>
          <w:sz w:val="21"/>
          <w:szCs w:val="21"/>
          <w:color w:val="auto"/>
        </w:rPr>
      </w:pPr>
      <w:r>
        <w:rPr>
          <w:rFonts w:ascii="Arial" w:cs="Arial" w:eastAsia="Arial" w:hAnsi="Arial"/>
          <w:sz w:val="21"/>
          <w:szCs w:val="21"/>
          <w:u w:val="single" w:color="auto"/>
          <w:color w:val="auto"/>
        </w:rPr>
        <w:t>Disclosure and Assignment</w:t>
      </w:r>
      <w:r>
        <w:rPr>
          <w:rFonts w:ascii="Arial" w:cs="Arial" w:eastAsia="Arial" w:hAnsi="Arial"/>
          <w:sz w:val="21"/>
          <w:szCs w:val="21"/>
          <w:color w:val="auto"/>
        </w:rPr>
        <w:t>. Executive agrees to make prompt written disclosure to MG, to hold in trust for the sole right and benefit of MG, and to assign to MG all Executive’s right, title and interest in and to any patents, trademarks, copyrights, ideas, inventions (whether not patented or patentable), original works of authorship (published or not), developments, improvements or trade secrets which Executive may solely or jointly conceive or reduce to practice, or cause to be conceived or reduced to practice, during the period of Executive’s employment with MG and relating in any way to the business or contemplated business, research or development of MG (regardless of when or where the Intellectual Property is prepared or whose equipment or other resources is used in preparing the same) (collectively “Intellectual Property”). Executive recognizes, provided prompt and full disclosure by Executive to MG, that this Covenant Agreement will not be deemed to require assignment of any invention which was developed entirely on Executive’s own time without using MG’s equipment, supplies, facilities or trade secrets and neither relates to MG’s actual or anticipated business, research or development, nor resulted from work performed by Executive (solely or jointly with others) for MG.</w:t>
      </w:r>
    </w:p>
    <w:p>
      <w:pPr>
        <w:spacing w:after="0" w:line="151" w:lineRule="exact"/>
        <w:rPr>
          <w:rFonts w:ascii="Arial" w:cs="Arial" w:eastAsia="Arial" w:hAnsi="Arial"/>
          <w:sz w:val="21"/>
          <w:szCs w:val="21"/>
          <w:color w:val="auto"/>
        </w:rPr>
      </w:pPr>
    </w:p>
    <w:p>
      <w:pPr>
        <w:jc w:val="both"/>
        <w:ind w:left="4" w:firstLine="644"/>
        <w:spacing w:after="0" w:line="217" w:lineRule="auto"/>
        <w:tabs>
          <w:tab w:leader="none" w:pos="1196"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Original Works</w:t>
      </w:r>
      <w:r>
        <w:rPr>
          <w:rFonts w:ascii="Arial" w:cs="Arial" w:eastAsia="Arial" w:hAnsi="Arial"/>
          <w:sz w:val="22"/>
          <w:szCs w:val="22"/>
          <w:color w:val="auto"/>
        </w:rPr>
        <w:t>. Executive acknowledges that all original works of authorship which have been or are made by Executive (solely or jointly with others) within the scope of Executive’s employment with MG and which are protectable by copyright are the property of MG. To the extent that any such original works have not already been transferred to or owned by MG, Executive hereby assigns all of Executive’s right, title and interest in those works to MG.</w:t>
      </w:r>
    </w:p>
    <w:p>
      <w:pPr>
        <w:spacing w:after="0" w:line="152" w:lineRule="exact"/>
        <w:rPr>
          <w:rFonts w:ascii="Arial" w:cs="Arial" w:eastAsia="Arial" w:hAnsi="Arial"/>
          <w:sz w:val="22"/>
          <w:szCs w:val="22"/>
          <w:color w:val="auto"/>
        </w:rPr>
      </w:pPr>
    </w:p>
    <w:p>
      <w:pPr>
        <w:jc w:val="both"/>
        <w:ind w:left="4" w:firstLine="644"/>
        <w:spacing w:after="0" w:line="212" w:lineRule="auto"/>
        <w:tabs>
          <w:tab w:leader="none" w:pos="1238"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Executive agrees to assist MG in every reasonable and proper way to obtain and enforce United States and foreign proprietary rights relating to any and all patents, trademarks, inventions, original works of authorship, developments, improvements or trade secrets of MG in any and all countries. Executive will execute, verify and deliver (i) such documents and perform such other acts (including appearing as a witness) as MG may reasonably request for use in applying for, obtaining, perfecting, evidencing, sustaining and enforcing such proprietary rights and the assignment thereof, and (ii) assignments of such proprietary rights to MG or its designee. Executive’s obligation to assist MG with respect to proprietary rights in any and all countries shall continue beyond the termination of employment.</w:t>
      </w:r>
    </w:p>
    <w:p>
      <w:pPr>
        <w:spacing w:after="0" w:line="156" w:lineRule="exact"/>
        <w:rPr>
          <w:rFonts w:ascii="Arial" w:cs="Arial" w:eastAsia="Arial" w:hAnsi="Arial"/>
          <w:sz w:val="22"/>
          <w:szCs w:val="22"/>
          <w:color w:val="auto"/>
        </w:rPr>
      </w:pPr>
    </w:p>
    <w:p>
      <w:pPr>
        <w:jc w:val="both"/>
        <w:ind w:left="4" w:firstLine="644"/>
        <w:spacing w:after="0" w:line="210" w:lineRule="auto"/>
        <w:tabs>
          <w:tab w:leader="none" w:pos="1223"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Other Obligations</w:t>
      </w:r>
      <w:r>
        <w:rPr>
          <w:rFonts w:ascii="Arial" w:cs="Arial" w:eastAsia="Arial" w:hAnsi="Arial"/>
          <w:sz w:val="22"/>
          <w:szCs w:val="22"/>
          <w:color w:val="auto"/>
        </w:rPr>
        <w:t>. In addition to Executive’s other obligations under this Paragraph 3, Executive shall promptly disclose to MG fully and in writing all patent applications filed by Executive or on Executive’s behalf. At the time of each such disclosure, Executive shall advise MG in writing of any inventions that Executive believes are not required to be assigned pursuant to this Paragraph. Executive shall at that time provide to MG in writing all evidence necessary to substantiate that belief. Executive understands that MG will keep in confidence, will not disclose to third parties and will not use for any unauthorized purpose without Executive’s consent, any proprietary information disclosed in writing to MG pursuant to this Covenant Agreement relating to inventions that are not required to be assigned pursuant to this subparagraph 3(d) and which were created or developed by Executive after termination of Executive’s employment. Executive will preserve the confidentiality of any such invention that is or may be required to be assigned, in whole or in part, pursuant to this Paragraph 3. Executive agrees to keep and maintain adequate and current records (in the form of notes, sketches, drawings and in any other form that may be required by MG) of all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976" w:top="122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660"/>
        <w:spacing w:after="0" w:line="209" w:lineRule="auto"/>
        <w:rPr>
          <w:sz w:val="20"/>
          <w:szCs w:val="20"/>
          <w:color w:val="auto"/>
        </w:rPr>
      </w:pPr>
      <w:r>
        <w:rPr>
          <w:rFonts w:ascii="Arial" w:cs="Arial" w:eastAsia="Arial" w:hAnsi="Arial"/>
          <w:sz w:val="22"/>
          <w:szCs w:val="22"/>
          <w:color w:val="auto"/>
        </w:rPr>
        <w:t>information developed by Executive and all inventions made by Executive during the period of employment at MG, which records shall be available to and remain the sole property of MG at all times. If MG becomes aware of a situation where it appears that its trade secrets are being used and/or disclosed by you, it will enforce its rights to the fullest degree allowed by law, including Federal or State trade secret law. 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58" w:lineRule="exact"/>
        <w:rPr>
          <w:sz w:val="20"/>
          <w:szCs w:val="20"/>
          <w:color w:val="auto"/>
        </w:rPr>
      </w:pPr>
    </w:p>
    <w:p>
      <w:pPr>
        <w:jc w:val="both"/>
        <w:ind w:firstLine="656"/>
        <w:spacing w:after="0" w:line="215" w:lineRule="auto"/>
        <w:tabs>
          <w:tab w:leader="none" w:pos="1287"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understands and agrees that the nature of Executive’s position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MG provides Executive with access to and knowledge of MG’s Confidential Information and places Executive in a position of trust and confidence with MG. Because of MG’s legitimate business interests and for the consideration afforded in this Covenant Agreement and Offer Letter, Executive agrees that during Executive’s employment with MG and for a period of twelve (12) months following the termination of Executive’s employment from MG for any reason (the “Restricted Period”), Executive shall not engage in the following Prohibited Conduct:</w:t>
      </w:r>
    </w:p>
    <w:p>
      <w:pPr>
        <w:spacing w:after="0" w:line="154" w:lineRule="exact"/>
        <w:rPr>
          <w:rFonts w:ascii="Arial" w:cs="Arial" w:eastAsia="Arial" w:hAnsi="Arial"/>
          <w:sz w:val="22"/>
          <w:szCs w:val="22"/>
          <w:color w:val="auto"/>
        </w:rPr>
      </w:pPr>
    </w:p>
    <w:p>
      <w:pPr>
        <w:jc w:val="both"/>
        <w:ind w:left="660" w:firstLine="644"/>
        <w:spacing w:after="0" w:line="209" w:lineRule="auto"/>
        <w:tabs>
          <w:tab w:leader="none" w:pos="1852"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Executive agrees that during the Restricted Period and in any geographic area in which Executive directly or indirectly performed responsibilities for MG or where Executive’s knowledge of Confidential Information would be useful to a competitor in competing against MG, Executive will not engage in any conduct in which Executive contributes Executive’s knowledge and skills, directly or indirectly, in whole or in part, as an executive, employee, employer, owner, operator, manager, advisor, consultant, agent, partner, director, stockholder, officer, volunteer, intern or any other similar capacity to a competitor or to an entity engaged in the same or similar business as MG, including those engaged in the business of production, sale or marketing of snack foods (including, but not limited to gum, chocolate, confectionary products, biscuits or any other product or service Executive had reason to know was under development by MG during Executive’s employment with MG) (“Competitive Business”) without the written consent of MG’s Executive Vice President of Global Human Resources, or designee, such consent to be provided by MG in its sole and absolute discretion. Under no circumstances may Executive engage in any activity that may require or inevitably require Executive’s use or disclosure of MG’s Confidential Information.</w:t>
      </w:r>
    </w:p>
    <w:p>
      <w:pPr>
        <w:spacing w:after="0" w:line="25" w:lineRule="exact"/>
        <w:rPr>
          <w:rFonts w:ascii="Arial" w:cs="Arial" w:eastAsia="Arial" w:hAnsi="Arial"/>
          <w:sz w:val="22"/>
          <w:szCs w:val="22"/>
          <w:color w:val="auto"/>
        </w:rPr>
      </w:pPr>
    </w:p>
    <w:p>
      <w:pPr>
        <w:jc w:val="both"/>
        <w:ind w:left="660" w:firstLine="644"/>
        <w:spacing w:after="0" w:line="212" w:lineRule="auto"/>
        <w:tabs>
          <w:tab w:leader="none" w:pos="1920"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Non-Solicitation of Customers or Accounts</w:t>
      </w:r>
      <w:r>
        <w:rPr>
          <w:rFonts w:ascii="Arial" w:cs="Arial" w:eastAsia="Arial" w:hAnsi="Arial"/>
          <w:sz w:val="22"/>
          <w:szCs w:val="22"/>
          <w:color w:val="auto"/>
        </w:rPr>
        <w:t>. Executive understands and acknowledges that MG has expended and continues to expend significant time and expense in pursuing and retaining its customers and accounts, and that the loss of customers and accounts would cause significant and irreparable harm to MG. Executive therefore agrees that during the Restricted Period and for Executive or the direct or indirect benefit of any entity engaged in the same or similar business as MG, including those engaged in the business of production, sale or marketing of snack foods (including but not limited to gum, chocolate, confectionary products, biscuits or any other product or service Executive had reason to know was under development by MG during Executive’s employment with MG), Executive will not (i) solicit business from or perform services for, or for the benefit of, any customer or account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2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660"/>
        <w:spacing w:after="0" w:line="214" w:lineRule="auto"/>
        <w:rPr>
          <w:sz w:val="20"/>
          <w:szCs w:val="20"/>
          <w:color w:val="auto"/>
        </w:rPr>
      </w:pPr>
      <w:r>
        <w:rPr>
          <w:rFonts w:ascii="Arial" w:cs="Arial" w:eastAsia="Arial" w:hAnsi="Arial"/>
          <w:sz w:val="22"/>
          <w:szCs w:val="22"/>
          <w:color w:val="auto"/>
        </w:rPr>
        <w:t>MG with which Executive had contact, participated in the contact, or about which Executive had knowledge of Confidential Information by reason of Executive’s relationship with MG within the twelve (12) month period prior to Executive’s separation of employment from MG, or (ii) solicit business from or perform services for, or for the benefit of, any customer or account MG actively pursued for business and with which Executive had contact, participated in the contact, or about which Executive had knowledge of Confidential Information by reason of Executive’s relationship with MG within the twelve (12) month period prior to Executive’s separation of employment from MG.</w:t>
      </w:r>
    </w:p>
    <w:p>
      <w:pPr>
        <w:spacing w:after="0" w:line="28" w:lineRule="exact"/>
        <w:rPr>
          <w:sz w:val="20"/>
          <w:szCs w:val="20"/>
          <w:color w:val="auto"/>
        </w:rPr>
      </w:pPr>
    </w:p>
    <w:p>
      <w:pPr>
        <w:jc w:val="both"/>
        <w:ind w:left="660" w:firstLine="644"/>
        <w:spacing w:after="0" w:line="217" w:lineRule="auto"/>
        <w:tabs>
          <w:tab w:leader="none" w:pos="184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Executive understands and acknowledges that MG has expended and continues to expend significant time and expense in recruiting and training its employees, and that the loss of employees would cause significant and irreparable harm to MG. Executive therefore agrees and covenants that during the Restricted Period Executive will not directly, or indirectly, solicit, hire, recruit, attempt to hire or recruit, or induce the termination of employment of any executive of MG.</w:t>
      </w:r>
    </w:p>
    <w:p>
      <w:pPr>
        <w:spacing w:after="0" w:line="138" w:lineRule="exact"/>
        <w:rPr>
          <w:rFonts w:ascii="Arial" w:cs="Arial" w:eastAsia="Arial" w:hAnsi="Arial"/>
          <w:sz w:val="22"/>
          <w:szCs w:val="22"/>
          <w:color w:val="auto"/>
        </w:rPr>
      </w:pPr>
    </w:p>
    <w:p>
      <w:pPr>
        <w:jc w:val="both"/>
        <w:ind w:left="660" w:firstLine="644"/>
        <w:spacing w:after="0" w:line="210" w:lineRule="auto"/>
        <w:tabs>
          <w:tab w:leader="none" w:pos="1852"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Judicial Amendment</w:t>
      </w:r>
      <w:r>
        <w:rPr>
          <w:rFonts w:ascii="Arial" w:cs="Arial" w:eastAsia="Arial" w:hAnsi="Arial"/>
          <w:sz w:val="22"/>
          <w:szCs w:val="22"/>
          <w:color w:val="auto"/>
        </w:rPr>
        <w:t>. Executive and MG acknowledge the reasonableness of the agreements set forth in this Section 4 and the specifically acknowledge the reasonableness of the geographic area, duration of time and subject matter that are part of the covenant not to compete contained in Section 4(a)-(c). Executive further acknowledges that Executive’s skills are such that Executive can be gainfully employed in noncompetitive employment and that the parties’ agreement not to compete will in no manner prevent Executive from earning a living. Notwithstanding the foregoing, in the event it is judicially determined that any of the limitations contained in this Section 4 are unreasonable, illegal or offensive under any applicable law and may not be enforced as agreed herein, the parties agree that the unreasonable, illegal or offensive portions of this Section 4, whether they relate to duration, area or subject matter, shall be and hereby are revised to conform with all applicable laws and that this Agreement, as modified, shall remain in full force and effect and shall not be rendered void or illegal.</w:t>
      </w:r>
    </w:p>
    <w:p>
      <w:pPr>
        <w:spacing w:after="0" w:line="263" w:lineRule="exact"/>
        <w:rPr>
          <w:rFonts w:ascii="Arial" w:cs="Arial" w:eastAsia="Arial" w:hAnsi="Arial"/>
          <w:sz w:val="22"/>
          <w:szCs w:val="22"/>
          <w:color w:val="auto"/>
        </w:rPr>
      </w:pPr>
    </w:p>
    <w:p>
      <w:pPr>
        <w:jc w:val="both"/>
        <w:ind w:firstLine="656"/>
        <w:spacing w:after="0" w:line="218" w:lineRule="auto"/>
        <w:tabs>
          <w:tab w:leader="none" w:pos="1287"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Return of MG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specified by MG in a separation or other similar-type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within five (5) days of Executive’s separation of employment from MG or as such other time as specified in the sole discretion of MG, Executive shall return all Confidential Information and all other MG property (whether in electronic or paper form) in Executive’s possession, including documents, files, manuals, handbooks, notes, keys and any other items, files or documents (whether in electronic or paper form).</w:t>
      </w:r>
    </w:p>
    <w:p>
      <w:pPr>
        <w:spacing w:after="0" w:line="174" w:lineRule="exact"/>
        <w:rPr>
          <w:rFonts w:ascii="Arial" w:cs="Arial" w:eastAsia="Arial" w:hAnsi="Arial"/>
          <w:sz w:val="22"/>
          <w:szCs w:val="22"/>
          <w:color w:val="auto"/>
        </w:rPr>
      </w:pPr>
    </w:p>
    <w:p>
      <w:pPr>
        <w:jc w:val="both"/>
        <w:ind w:firstLine="656"/>
        <w:spacing w:after="0" w:line="210" w:lineRule="auto"/>
        <w:tabs>
          <w:tab w:leader="none" w:pos="1287"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No Disparagement or Harm</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agrees that, in discussing Executive’s relationship with MG</w:t>
      </w:r>
      <w:r>
        <w:rPr>
          <w:rFonts w:ascii="Arial" w:cs="Arial" w:eastAsia="Arial" w:hAnsi="Arial"/>
          <w:sz w:val="22"/>
          <w:szCs w:val="22"/>
          <w:b w:val="1"/>
          <w:bCs w:val="1"/>
          <w:color w:val="auto"/>
        </w:rPr>
        <w:t xml:space="preserve"> </w:t>
      </w:r>
      <w:r>
        <w:rPr>
          <w:rFonts w:ascii="Arial" w:cs="Arial" w:eastAsia="Arial" w:hAnsi="Arial"/>
          <w:sz w:val="22"/>
          <w:szCs w:val="22"/>
          <w:color w:val="auto"/>
        </w:rPr>
        <w:t>and its affiliated and parent companies and their business and affairs, Executive will not disparage, discredit or otherwise refer to in a detrimental manner MG, its affiliated and parent companies or their officers, directors and Executives. MG agrees that, in discussing Executive’s relationship with MG and its affiliated and parent companies and their business and affairs, MG (via any authorized public statement), officers or members of MG’s Board of Directors will not disparage, discredit or otherwise refer to Executive in a detrimental manner. This Paragraph does not, in any way, restrict or impede Executive or MG (or its officers and directors), respectively, from exercising protected rights including the right to communicate with any federal, state or local agency or self-regulatory agency, including any with which a charge has been filed,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Respectively, and to the</w:t>
      </w:r>
    </w:p>
    <w:p>
      <w:pPr>
        <w:sectPr>
          <w:pgSz w:w="11900" w:h="16838" w:orient="portrait"/>
          <w:cols w:equalWidth="0" w:num="1">
            <w:col w:w="11240"/>
          </w:cols>
          <w:pgMar w:left="320" w:top="1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225" w:right="33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extent legally permissible, executive shall promptly provide written notice of any such order to MG’s legal department and the Company shall promptly provide written notice of any such order to Executive.</w:t>
      </w:r>
    </w:p>
    <w:p>
      <w:pPr>
        <w:spacing w:after="0" w:line="149" w:lineRule="exact"/>
        <w:rPr>
          <w:sz w:val="20"/>
          <w:szCs w:val="20"/>
          <w:color w:val="auto"/>
        </w:rPr>
      </w:pPr>
    </w:p>
    <w:p>
      <w:pPr>
        <w:jc w:val="both"/>
        <w:ind w:firstLine="656"/>
        <w:spacing w:after="0" w:line="211" w:lineRule="auto"/>
        <w:tabs>
          <w:tab w:leader="none" w:pos="1287"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Remedies</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Executive or MG breach any of the provisions contained in Paragraphs 2 through 6</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Covenant Agreement, in addition to any other remedies available to MG or Executive, as applies, if Executive is the breaching party, Executive will be obligated to pay back to MG any payment(s) received pursuant to the Offer Letter. MG and Executive further acknowledge and agree that MG or Executive, as may apply, will or would suffer irreparable injury in the event of a breach or violation or threatened breach or violation of the provisions set forth in this Covenant Agreement, and agree that in the event of a breach or violation of such provisions the aggrieved party will be awarded injunctive relief by a court of competent jurisdiction to prohibit any such violation or breach, and that such right to injunctive relief will be in addition to any other remedy which may be ordered by the court or an arbitrator. The equitable relief shall be in addition to, not in lieu of, legal remedies, monetary damages or other available forms of relief.</w:t>
      </w:r>
    </w:p>
    <w:p>
      <w:pPr>
        <w:spacing w:after="0" w:line="152" w:lineRule="exact"/>
        <w:rPr>
          <w:rFonts w:ascii="Arial" w:cs="Arial" w:eastAsia="Arial" w:hAnsi="Arial"/>
          <w:sz w:val="22"/>
          <w:szCs w:val="22"/>
          <w:color w:val="auto"/>
        </w:rPr>
      </w:pPr>
    </w:p>
    <w:p>
      <w:pPr>
        <w:jc w:val="both"/>
        <w:ind w:firstLine="656"/>
        <w:spacing w:after="0" w:line="221" w:lineRule="auto"/>
        <w:tabs>
          <w:tab w:leader="none" w:pos="1287"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Notification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agrees that in the event Executive is offered to enter into an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relationship with a third party at any time during the Restricted Period, Executive shall immediately advise said other third party of the existence of this Covenant Agreement and shall immediately provide said person or entity with a copy of this Covenant Agreement.</w:t>
      </w:r>
    </w:p>
    <w:p>
      <w:pPr>
        <w:spacing w:after="0" w:line="148" w:lineRule="exact"/>
        <w:rPr>
          <w:rFonts w:ascii="Arial" w:cs="Arial" w:eastAsia="Arial" w:hAnsi="Arial"/>
          <w:sz w:val="22"/>
          <w:szCs w:val="22"/>
          <w:color w:val="auto"/>
        </w:rPr>
      </w:pPr>
    </w:p>
    <w:p>
      <w:pPr>
        <w:jc w:val="both"/>
        <w:ind w:firstLine="656"/>
        <w:spacing w:after="0" w:line="219" w:lineRule="auto"/>
        <w:tabs>
          <w:tab w:leader="none" w:pos="1287" w:val="left"/>
        </w:tabs>
        <w:numPr>
          <w:ilvl w:val="0"/>
          <w:numId w:val="56"/>
        </w:numPr>
        <w:rPr>
          <w:rFonts w:ascii="Arial" w:cs="Arial" w:eastAsia="Arial" w:hAnsi="Arial"/>
          <w:sz w:val="21"/>
          <w:szCs w:val="21"/>
          <w:color w:val="auto"/>
        </w:rPr>
      </w:pPr>
      <w:r>
        <w:rPr>
          <w:rFonts w:ascii="Arial" w:cs="Arial" w:eastAsia="Arial" w:hAnsi="Arial"/>
          <w:sz w:val="21"/>
          <w:szCs w:val="21"/>
          <w:b w:val="1"/>
          <w:bCs w:val="1"/>
          <w:u w:val="single" w:color="auto"/>
          <w:color w:val="auto"/>
        </w:rPr>
        <w:t>Arbitration of Claims</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either Executive or MG contests the interpretation or application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of the terms of this Covenant Agreement, the complaining party shall notify the other in writing of the provision that is being contested. If the parties cannot satisfactorily resolve the dispute within thirty (30) days, the matter will be submitted to arbitration. An arbitrator will be chosen pursuant to the American Arbitration Association’s (“AAA”) Employment Arbitration Rules and Mediation Procedures. The arbitrator’s fees and expenses and filing fees shall be borne by MG. The hearing shall be held at a mutually agreeable location and the arbitrator shall issue a written award which shall be final and binding upon the parties. Executive agrees to waive the right to a jury trial. Notwithstanding anything contained in this Paragraph 9, MG and Executive shall each have the right to institute judicial proceedings against the other party or anyone acting by, through or under the other party, in order to enforce its rights under Paragraphs 2 through 6 through specific performance, injunction, or similar equitable relief. Claims </w:t>
      </w:r>
      <w:r>
        <w:rPr>
          <w:rFonts w:ascii="Arial" w:cs="Arial" w:eastAsia="Arial" w:hAnsi="Arial"/>
          <w:sz w:val="21"/>
          <w:szCs w:val="21"/>
          <w:u w:val="single" w:color="auto"/>
          <w:color w:val="auto"/>
        </w:rPr>
        <w:t>not</w:t>
      </w:r>
      <w:r>
        <w:rPr>
          <w:rFonts w:ascii="Arial" w:cs="Arial" w:eastAsia="Arial" w:hAnsi="Arial"/>
          <w:sz w:val="21"/>
          <w:szCs w:val="21"/>
          <w:color w:val="auto"/>
        </w:rPr>
        <w:t xml:space="preserve"> covered by arbitration are those claims seeking injunctive and other relief due to unfair competition, due to the use or unauthorized disclosure of trade secrets or confidential information, due to wrongful conversion, breach of the Intellectual Property covenants, and the breach of the restrictive covenants set forth in Paragraphs 2 through 6.</w:t>
      </w:r>
    </w:p>
    <w:p>
      <w:pPr>
        <w:spacing w:after="0" w:line="159" w:lineRule="exact"/>
        <w:rPr>
          <w:rFonts w:ascii="Arial" w:cs="Arial" w:eastAsia="Arial" w:hAnsi="Arial"/>
          <w:sz w:val="21"/>
          <w:szCs w:val="21"/>
          <w:color w:val="auto"/>
        </w:rPr>
      </w:pPr>
    </w:p>
    <w:p>
      <w:pPr>
        <w:jc w:val="both"/>
        <w:ind w:firstLine="656"/>
        <w:spacing w:after="0" w:line="211" w:lineRule="auto"/>
        <w:tabs>
          <w:tab w:leader="none" w:pos="1286"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and 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This is the entire agreement between Executive and MG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matter of this Covenant Agreement. This Covenant Agreement may not be modified or canceled in any manner except by a writing signed by both Executive and an authorized MG official. Executive acknowledges that MG has made no representations or promises to Executive, other than those in this Covenant Agreement. If any provision in this Covenant Agreement is found to be unenforceable, all other provisions will remain fully enforceable. The covenants set forth in this Covenant Agreement shall be considered and construed as separate and independent covenants. Should any part or provision of any provision of this Covenant Agreement be held invalid, void or unenforceable in any court of competent jurisdiction, such invalidity, voidness or unenforceability shall not render invalid, void or unenforceable any other part or provision of this Covenant Agreement. If the release and waiver of claims provisions of any agreement related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2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Covenant Agreement are held to be unenforceable, the parties agree to enter into a release and waiver agreement that is enforceable</w:t>
      </w:r>
      <w:r>
        <w:rPr>
          <w:rFonts w:ascii="Arial" w:cs="Arial" w:eastAsia="Arial" w:hAnsi="Arial"/>
          <w:sz w:val="22"/>
          <w:szCs w:val="22"/>
          <w:b w:val="1"/>
          <w:bCs w:val="1"/>
          <w:color w:val="auto"/>
        </w:rPr>
        <w:t>.</w:t>
      </w:r>
    </w:p>
    <w:p>
      <w:pPr>
        <w:spacing w:after="0" w:line="130" w:lineRule="exact"/>
        <w:rPr>
          <w:sz w:val="20"/>
          <w:szCs w:val="20"/>
          <w:color w:val="auto"/>
        </w:rPr>
      </w:pPr>
    </w:p>
    <w:p>
      <w:pPr>
        <w:jc w:val="both"/>
        <w:ind w:firstLine="656"/>
        <w:spacing w:after="0" w:line="215" w:lineRule="auto"/>
        <w:tabs>
          <w:tab w:leader="none" w:pos="1270"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Not a Contract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acknowledges and understands that nothing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 Agreement is intended to, nor should be construed to, alter the at-will nature of Executive’s employment relationship with MG, nor to guarantee Executive’s employment for any specified term. Notwithstanding any provision of this Covenant Agreement, Executive and/or MG may terminate Executive’s employment at-will, for any reason permitted by law, with or without notice, and upon such termination, the rights and obligations set forth herein shall continue as expressly provided, subject to.</w:t>
      </w:r>
    </w:p>
    <w:p>
      <w:pPr>
        <w:spacing w:after="0" w:line="152" w:lineRule="exact"/>
        <w:rPr>
          <w:rFonts w:ascii="Arial" w:cs="Arial" w:eastAsia="Arial" w:hAnsi="Arial"/>
          <w:sz w:val="22"/>
          <w:szCs w:val="22"/>
          <w:color w:val="auto"/>
        </w:rPr>
      </w:pPr>
    </w:p>
    <w:p>
      <w:pPr>
        <w:jc w:val="both"/>
        <w:ind w:firstLine="656"/>
        <w:spacing w:after="0" w:line="226" w:lineRule="auto"/>
        <w:tabs>
          <w:tab w:leader="none" w:pos="1286"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Tolling</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Executive violate any of the terms of the confidentiality or restrictive covenant</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in this Covenant Agreement, the obligation at issue will run from the first date on which Executive ceases to be in violation of such obligation.</w:t>
      </w:r>
    </w:p>
    <w:p>
      <w:pPr>
        <w:spacing w:after="0" w:line="149" w:lineRule="exact"/>
        <w:rPr>
          <w:rFonts w:ascii="Arial" w:cs="Arial" w:eastAsia="Arial" w:hAnsi="Arial"/>
          <w:sz w:val="22"/>
          <w:szCs w:val="22"/>
          <w:color w:val="auto"/>
        </w:rPr>
      </w:pPr>
    </w:p>
    <w:p>
      <w:pPr>
        <w:jc w:val="both"/>
        <w:ind w:firstLine="656"/>
        <w:spacing w:after="0" w:line="218" w:lineRule="auto"/>
        <w:tabs>
          <w:tab w:leader="none" w:pos="1286"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Attorneys’ Fees</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either party breach any of the provisions of Paragraphs 2 through 6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 Agreement, to the extent authorized by state law, the non-prevailing party (as determined by the trier of fact) will be responsible for payment of all reasonable attorneys’ fees and costs that the prevailing party incurs in the course of such proceeding (including demonstrating the existence of a breach and any other contract enforcement efforts or successfully defending against an allegation of such breach).</w:t>
      </w:r>
    </w:p>
    <w:p>
      <w:pPr>
        <w:spacing w:after="0" w:line="147" w:lineRule="exact"/>
        <w:rPr>
          <w:rFonts w:ascii="Arial" w:cs="Arial" w:eastAsia="Arial" w:hAnsi="Arial"/>
          <w:sz w:val="22"/>
          <w:szCs w:val="22"/>
          <w:color w:val="auto"/>
        </w:rPr>
      </w:pPr>
    </w:p>
    <w:p>
      <w:pPr>
        <w:jc w:val="both"/>
        <w:ind w:firstLine="656"/>
        <w:spacing w:after="0" w:line="215" w:lineRule="auto"/>
        <w:tabs>
          <w:tab w:leader="none" w:pos="1286"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Covenant Agreement shall be governed under and construed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Illinois without giving effect to any choice of law or conflict of law provision or rule that would cause the application of the laws of any jurisdiction other than Illinois. Executive agrees that any legal proceeding concerning this Covenant Agreement may only be brought and held in a state or federal court located in the State of Illinois. Executive consents to the personal jurisdiction of such courts and agrees not to claim that any such courts are inconvenient or otherwise inappropriate.</w:t>
      </w:r>
    </w:p>
    <w:p>
      <w:pPr>
        <w:spacing w:after="0" w:line="152" w:lineRule="exact"/>
        <w:rPr>
          <w:rFonts w:ascii="Arial" w:cs="Arial" w:eastAsia="Arial" w:hAnsi="Arial"/>
          <w:sz w:val="22"/>
          <w:szCs w:val="22"/>
          <w:color w:val="auto"/>
        </w:rPr>
      </w:pPr>
    </w:p>
    <w:p>
      <w:pPr>
        <w:jc w:val="both"/>
        <w:ind w:firstLine="656"/>
        <w:spacing w:after="0" w:line="228" w:lineRule="auto"/>
        <w:tabs>
          <w:tab w:leader="none" w:pos="1286" w:val="left"/>
        </w:tabs>
        <w:numPr>
          <w:ilvl w:val="0"/>
          <w:numId w:val="57"/>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b w:val="1"/>
          <w:bCs w:val="1"/>
          <w:color w:val="auto"/>
        </w:rPr>
        <w:t xml:space="preserve">. </w:t>
      </w:r>
      <w:r>
        <w:rPr>
          <w:rFonts w:ascii="Arial" w:cs="Arial" w:eastAsia="Arial" w:hAnsi="Arial"/>
          <w:sz w:val="21"/>
          <w:szCs w:val="21"/>
          <w:color w:val="auto"/>
        </w:rPr>
        <w:t>This Covenant Agreement shall be binding upon, and inure to the benefit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and their respective successors and permitted assigns. Executive may not assign Executive’s rights and obligations under this Covenant Agreement without prior written consent of MG. MG may assign this Covenant Agreement and/or its rights or obligations under this Covenant Agreement. Any and all rights and remedies of MG under this Covenant Agreement shall inure to the benefit of and be enforceable by any successor or assignee of MG.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are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2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rPr>
          <w:sz w:val="20"/>
          <w:szCs w:val="20"/>
          <w:color w:val="auto"/>
        </w:rPr>
      </w:pPr>
      <w:r>
        <w:rPr>
          <w:rFonts w:ascii="Arial" w:cs="Arial" w:eastAsia="Arial" w:hAnsi="Arial"/>
          <w:sz w:val="14"/>
          <w:szCs w:val="14"/>
          <w:color w:val="595959"/>
        </w:rPr>
        <w:t>Chicago, IL 60607 USA</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agree that this Covenant Agreement is an extension of and incorporated</w:t>
      </w:r>
      <w:r>
        <w:rPr>
          <w:rFonts w:ascii="Arial" w:cs="Arial" w:eastAsia="Arial" w:hAnsi="Arial"/>
          <w:sz w:val="22"/>
          <w:szCs w:val="22"/>
          <w:b w:val="1"/>
          <w:bCs w:val="1"/>
          <w:color w:val="auto"/>
        </w:rPr>
        <w:t xml:space="preserve"> </w:t>
      </w:r>
      <w:r>
        <w:rPr>
          <w:rFonts w:ascii="Arial" w:cs="Arial" w:eastAsia="Arial" w:hAnsi="Arial"/>
          <w:sz w:val="22"/>
          <w:szCs w:val="22"/>
          <w:color w:val="auto"/>
        </w:rPr>
        <w:t>into the Offer Letter between Executive and Mondelēz International, Inc., and the parties have executed this Offer Letter freely and voluntarily with the intention of being legally bound by it.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6"/>
          <w:szCs w:val="16"/>
          <w:b w:val="1"/>
          <w:bCs w:val="1"/>
          <w:color w:val="auto"/>
        </w:rPr>
        <w:t>ONDELEZ</w:t>
      </w:r>
      <w:r>
        <w:rPr>
          <w:rFonts w:ascii="Arial" w:cs="Arial" w:eastAsia="Arial" w:hAnsi="Arial"/>
          <w:sz w:val="22"/>
          <w:szCs w:val="22"/>
          <w:b w:val="1"/>
          <w:bCs w:val="1"/>
          <w:color w:val="auto"/>
        </w:rPr>
        <w:t xml:space="preserve"> I</w:t>
      </w:r>
      <w:r>
        <w:rPr>
          <w:rFonts w:ascii="Arial" w:cs="Arial" w:eastAsia="Arial" w:hAnsi="Arial"/>
          <w:sz w:val="16"/>
          <w:szCs w:val="16"/>
          <w:b w:val="1"/>
          <w:bCs w:val="1"/>
          <w:color w:val="auto"/>
        </w:rPr>
        <w:t>NTERNATIONAL</w:t>
      </w:r>
      <w:r>
        <w:rPr>
          <w:rFonts w:ascii="Arial" w:cs="Arial" w:eastAsia="Arial" w:hAnsi="Arial"/>
          <w:sz w:val="22"/>
          <w:szCs w:val="22"/>
          <w:b w:val="1"/>
          <w:bCs w:val="1"/>
          <w:color w:val="auto"/>
        </w:rPr>
        <w:t>, I</w:t>
      </w:r>
      <w:r>
        <w:rPr>
          <w:rFonts w:ascii="Arial" w:cs="Arial" w:eastAsia="Arial" w:hAnsi="Arial"/>
          <w:sz w:val="16"/>
          <w:szCs w:val="16"/>
          <w:b w:val="1"/>
          <w:bCs w:val="1"/>
          <w:color w:val="auto"/>
        </w:rPr>
        <w:t>NC</w:t>
      </w:r>
      <w:r>
        <w:rPr>
          <w:rFonts w:ascii="Arial" w:cs="Arial" w:eastAsia="Arial" w:hAnsi="Arial"/>
          <w:sz w:val="22"/>
          <w:szCs w:val="22"/>
          <w:b w:val="1"/>
          <w:bCs w:val="1"/>
          <w:color w:val="auto"/>
        </w:rPr>
        <w:t>.</w:t>
      </w: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90"/>
        </w:trPr>
        <w:tc>
          <w:tcPr>
            <w:tcW w:w="168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David H. Pendleton</w:t>
            </w:r>
          </w:p>
        </w:tc>
      </w:tr>
      <w:tr>
        <w:trPr>
          <w:trHeight w:val="493"/>
        </w:trPr>
        <w:tc>
          <w:tcPr>
            <w:tcW w:w="1680" w:type="dxa"/>
            <w:vAlign w:val="bottom"/>
          </w:tcPr>
          <w:p>
            <w:pPr>
              <w:spacing w:after="0"/>
              <w:rPr>
                <w:sz w:val="20"/>
                <w:szCs w:val="20"/>
                <w:color w:val="auto"/>
              </w:rPr>
            </w:pPr>
            <w:r>
              <w:rPr>
                <w:rFonts w:ascii="Arial" w:cs="Arial" w:eastAsia="Arial" w:hAnsi="Arial"/>
                <w:sz w:val="22"/>
                <w:szCs w:val="22"/>
                <w:color w:val="auto"/>
              </w:rPr>
              <w:t>Print Name:</w:t>
            </w:r>
          </w:p>
        </w:tc>
        <w:tc>
          <w:tcPr>
            <w:tcW w:w="45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David H. Pendleton</w:t>
            </w:r>
          </w:p>
        </w:tc>
      </w:tr>
      <w:tr>
        <w:trPr>
          <w:trHeight w:val="493"/>
        </w:trPr>
        <w:tc>
          <w:tcPr>
            <w:tcW w:w="1680" w:type="dxa"/>
            <w:vAlign w:val="bottom"/>
          </w:tcPr>
          <w:p>
            <w:pPr>
              <w:spacing w:after="0"/>
              <w:rPr>
                <w:sz w:val="20"/>
                <w:szCs w:val="20"/>
                <w:color w:val="auto"/>
              </w:rPr>
            </w:pPr>
            <w:r>
              <w:rPr>
                <w:rFonts w:ascii="Arial" w:cs="Arial" w:eastAsia="Arial" w:hAnsi="Arial"/>
                <w:sz w:val="22"/>
                <w:szCs w:val="22"/>
                <w:color w:val="auto"/>
              </w:rPr>
              <w:t>Date:</w:t>
            </w:r>
          </w:p>
        </w:tc>
        <w:tc>
          <w:tcPr>
            <w:tcW w:w="45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April 7,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97"/>
        </w:trPr>
        <w:tc>
          <w:tcPr>
            <w:tcW w:w="1680" w:type="dxa"/>
            <w:vAlign w:val="bottom"/>
          </w:tcPr>
          <w:p>
            <w:pPr>
              <w:spacing w:after="0"/>
              <w:rPr>
                <w:sz w:val="20"/>
                <w:szCs w:val="20"/>
                <w:color w:val="auto"/>
              </w:rPr>
            </w:pPr>
            <w:r>
              <w:rPr>
                <w:rFonts w:ascii="Arial" w:cs="Arial" w:eastAsia="Arial" w:hAnsi="Arial"/>
                <w:sz w:val="22"/>
                <w:szCs w:val="22"/>
                <w:b w:val="1"/>
                <w:bCs w:val="1"/>
                <w:color w:val="auto"/>
              </w:rPr>
              <w:t>Executive</w:t>
            </w:r>
          </w:p>
        </w:tc>
        <w:tc>
          <w:tcPr>
            <w:tcW w:w="4500" w:type="dxa"/>
            <w:vAlign w:val="bottom"/>
          </w:tcPr>
          <w:p>
            <w:pPr>
              <w:spacing w:after="0"/>
              <w:rPr>
                <w:sz w:val="24"/>
                <w:szCs w:val="24"/>
                <w:color w:val="auto"/>
              </w:rPr>
            </w:pPr>
          </w:p>
        </w:tc>
      </w:tr>
      <w:tr>
        <w:trPr>
          <w:trHeight w:val="615"/>
        </w:trPr>
        <w:tc>
          <w:tcPr>
            <w:tcW w:w="168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Mariano Carlos Lozano</w:t>
            </w:r>
          </w:p>
        </w:tc>
      </w:tr>
      <w:tr>
        <w:trPr>
          <w:trHeight w:val="493"/>
        </w:trPr>
        <w:tc>
          <w:tcPr>
            <w:tcW w:w="1680" w:type="dxa"/>
            <w:vAlign w:val="bottom"/>
          </w:tcPr>
          <w:p>
            <w:pPr>
              <w:spacing w:after="0"/>
              <w:rPr>
                <w:sz w:val="20"/>
                <w:szCs w:val="20"/>
                <w:color w:val="auto"/>
              </w:rPr>
            </w:pPr>
            <w:r>
              <w:rPr>
                <w:rFonts w:ascii="Arial" w:cs="Arial" w:eastAsia="Arial" w:hAnsi="Arial"/>
                <w:sz w:val="22"/>
                <w:szCs w:val="22"/>
                <w:color w:val="auto"/>
              </w:rPr>
              <w:t>Print Name:</w:t>
            </w:r>
          </w:p>
        </w:tc>
        <w:tc>
          <w:tcPr>
            <w:tcW w:w="45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Mariano Carlos Lozano</w:t>
            </w:r>
          </w:p>
        </w:tc>
      </w:tr>
      <w:tr>
        <w:trPr>
          <w:trHeight w:val="493"/>
        </w:trPr>
        <w:tc>
          <w:tcPr>
            <w:tcW w:w="1680" w:type="dxa"/>
            <w:vAlign w:val="bottom"/>
          </w:tcPr>
          <w:p>
            <w:pPr>
              <w:spacing w:after="0"/>
              <w:rPr>
                <w:sz w:val="20"/>
                <w:szCs w:val="20"/>
                <w:color w:val="auto"/>
              </w:rPr>
            </w:pPr>
            <w:r>
              <w:rPr>
                <w:rFonts w:ascii="Arial" w:cs="Arial" w:eastAsia="Arial" w:hAnsi="Arial"/>
                <w:sz w:val="22"/>
                <w:szCs w:val="22"/>
                <w:color w:val="auto"/>
              </w:rPr>
              <w:t>Date:</w:t>
            </w:r>
          </w:p>
        </w:tc>
        <w:tc>
          <w:tcPr>
            <w:tcW w:w="45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April 7,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Confidential Information, Intellectual Property and Restrictive Covenants Agreement-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Appendix A to Mariano Lozano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2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52"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52"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5"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03" w:lineRule="auto"/>
        <w:rPr>
          <w:sz w:val="20"/>
          <w:szCs w:val="20"/>
          <w:color w:val="auto"/>
        </w:rPr>
      </w:pPr>
      <w:r>
        <w:rPr>
          <w:rFonts w:ascii="Arial" w:cs="Arial" w:eastAsia="Arial" w:hAnsi="Arial"/>
          <w:sz w:val="18"/>
          <w:szCs w:val="18"/>
          <w:color w:val="auto"/>
        </w:rPr>
        <w:t>Executive Vice President and</w:t>
      </w: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0"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June 30, 2022,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26, 2022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June 30, 2022,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26, 2022</w:t>
      </w:r>
    </w:p>
    <w:p>
      <w:pPr>
        <w:spacing w:after="0" w:line="32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2"/>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
      <w:numFmt w:val="bullet"/>
      <w:start w:val="1"/>
    </w:lvl>
    <w:lvl w:ilvl="1">
      <w:lvlJc w:val="left"/>
      <w:lvlText w:val="\endash "/>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decimal"/>
      <w:start w:val="5"/>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lvl w:ilvl="1">
      <w:lvlJc w:val="left"/>
      <w:lvlText w:val="•"/>
      <w:numFmt w:val="bullet"/>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1"/>
    </w:lvl>
    <w:lvl w:ilvl="1">
      <w:lvlJc w:val="left"/>
      <w:lvlText w:val="•"/>
      <w:numFmt w:val="bullet"/>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decimal"/>
      <w:start w:val="101"/>
    </w:lvl>
  </w:abstractNum>
  <w:abstractNum w:abstractNumId="43">
    <w:nsid w:val="79A1DEAA"/>
    <w:multiLevelType w:val="hybridMultilevel"/>
    <w:lvl w:ilvl="0">
      <w:lvlJc w:val="left"/>
      <w:lvlText w:val="%1"/>
      <w:numFmt w:val="decimal"/>
      <w:start w:val="104"/>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lowerRoman"/>
      <w:start w:val="1"/>
    </w:lvl>
  </w:abstractNum>
  <w:abstractNum w:abstractNumId="47">
    <w:nsid w:val="520EEDD1"/>
    <w:multiLevelType w:val="hybridMultilevel"/>
    <w:lvl w:ilvl="0">
      <w:lvlJc w:val="left"/>
      <w:lvlText w:val="(%1)"/>
      <w:numFmt w:val="lowerRoman"/>
      <w:start w:val="3"/>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1"/>
    </w:lvl>
    <w:lvl w:ilvl="1">
      <w:lvlJc w:val="left"/>
      <w:lvlText w:val="(%2)"/>
      <w:numFmt w:val="lowerLetter"/>
      <w:start w:val="1"/>
    </w:lvl>
  </w:abstractNum>
  <w:abstractNum w:abstractNumId="50">
    <w:nsid w:val="23F9C13C"/>
    <w:multiLevelType w:val="hybridMultilevel"/>
    <w:lvl w:ilvl="0">
      <w:lvlJc w:val="left"/>
      <w:lvlText w:val="(%1)"/>
      <w:numFmt w:val="lowerLetter"/>
      <w:start w:val="2"/>
    </w:lvl>
  </w:abstractNum>
  <w:abstractNum w:abstractNumId="51">
    <w:nsid w:val="649BB77C"/>
    <w:multiLevelType w:val="hybridMultilevel"/>
    <w:lvl w:ilvl="0">
      <w:lvlJc w:val="left"/>
      <w:lvlText w:val="%1."/>
      <w:numFmt w:val="decimal"/>
      <w:start w:val="3"/>
    </w:lvl>
    <w:lvl w:ilvl="1">
      <w:lvlJc w:val="left"/>
      <w:lvlText w:val="(%2)"/>
      <w:numFmt w:val="lowerLetter"/>
      <w:start w:val="1"/>
    </w:lvl>
  </w:abstractNum>
  <w:abstractNum w:abstractNumId="52">
    <w:nsid w:val="275AC794"/>
    <w:multiLevelType w:val="hybridMultilevel"/>
    <w:lvl w:ilvl="0">
      <w:lvlJc w:val="left"/>
      <w:lvlText w:val="%1."/>
      <w:numFmt w:val="decimal"/>
      <w:start w:val="4"/>
    </w:lvl>
    <w:lvl w:ilvl="1">
      <w:lvlJc w:val="left"/>
      <w:lvlText w:val="(%2)"/>
      <w:numFmt w:val="lowerLetter"/>
      <w:start w:val="1"/>
    </w:lvl>
  </w:abstractNum>
  <w:abstractNum w:abstractNumId="53">
    <w:nsid w:val="39386575"/>
    <w:multiLevelType w:val="hybridMultilevel"/>
    <w:lvl w:ilvl="0">
      <w:lvlJc w:val="left"/>
      <w:lvlText w:val="%1"/>
      <w:numFmt w:val="decimal"/>
      <w:start w:val="1"/>
    </w:lvl>
    <w:lvl w:ilvl="1">
      <w:lvlJc w:val="left"/>
      <w:lvlText w:val="(%2)"/>
      <w:numFmt w:val="lowerLetter"/>
      <w:start w:val="3"/>
    </w:lvl>
  </w:abstractNum>
  <w:abstractNum w:abstractNumId="54">
    <w:nsid w:val="1CF10FD8"/>
    <w:multiLevelType w:val="hybridMultilevel"/>
    <w:lvl w:ilvl="0">
      <w:lvlJc w:val="left"/>
      <w:lvlText w:val="%1."/>
      <w:numFmt w:val="decimal"/>
      <w:start w:val="5"/>
    </w:lvl>
    <w:lvl w:ilvl="1">
      <w:lvlJc w:val="left"/>
      <w:lvlText w:val="%2"/>
      <w:numFmt w:val="lowerLetter"/>
      <w:start w:val="1"/>
    </w:lvl>
  </w:abstractNum>
  <w:abstractNum w:abstractNumId="55">
    <w:nsid w:val="180115BE"/>
    <w:multiLevelType w:val="hybridMultilevel"/>
    <w:lvl w:ilvl="0">
      <w:lvlJc w:val="left"/>
      <w:lvlText w:val="%1."/>
      <w:numFmt w:val="decimal"/>
      <w:start w:val="7"/>
    </w:lvl>
  </w:abstractNum>
  <w:abstractNum w:abstractNumId="56">
    <w:nsid w:val="235BA861"/>
    <w:multiLevelType w:val="hybridMultilevel"/>
    <w:lvl w:ilvl="0">
      <w:lvlJc w:val="left"/>
      <w:lvlText w:val="%1."/>
      <w:numFmt w:val="decimal"/>
      <w:start w:val="1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2022-07-26T15:30:14Z</dcterms:created>
  <dcterms:modified xsi:type="dcterms:W3CDTF">2022-07-26T15:30:14Z</dcterms:modified>
</cp:coreProperties>
</file>