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00" w:after="283"/>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60" w:after="283"/>
        <w:jc w:val="left"/>
        <w:rPr>
          <w:rFonts w:ascii="Arial;sans-serif" w:hAnsi="Arial;sans-serif"/>
          <w:b/>
          <w:color w:val="000000"/>
          <w:sz w:val="18"/>
        </w:rPr>
      </w:pPr>
      <w:r>
        <w:rPr>
          <w:rFonts w:ascii="Arial;sans-serif" w:hAnsi="Arial;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June 30, 2023 </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 xml:space="preserve">Commission file number 1-16483 </w:t>
      </w:r>
    </w:p>
    <w:p>
      <w:pPr>
        <w:pStyle w:val="TextBody"/>
        <w:bidi w:val="0"/>
        <w:spacing w:before="60" w:after="283"/>
        <w:jc w:val="center"/>
        <w:rPr/>
      </w:pPr>
      <w:r>
        <w:rPr/>
        <w:drawing>
          <wp:inline distT="0" distB="0" distL="0" distR="0">
            <wp:extent cx="126682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314325"/>
                    </a:xfrm>
                    <a:prstGeom prst="rect">
                      <a:avLst/>
                    </a:prstGeom>
                  </pic:spPr>
                </pic:pic>
              </a:graphicData>
            </a:graphic>
          </wp:inline>
        </w:drawing>
      </w:r>
    </w:p>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 xml:space="preserve">Mondelēz International,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4825" w:type="dxa"/>
        <w:jc w:val="center"/>
        <w:tblInd w:w="0" w:type="dxa"/>
        <w:tblLayout w:type="fixed"/>
        <w:tblCellMar>
          <w:top w:w="28" w:type="dxa"/>
          <w:left w:w="28" w:type="dxa"/>
          <w:bottom w:w="28" w:type="dxa"/>
          <w:right w:w="28" w:type="dxa"/>
        </w:tblCellMar>
      </w:tblPr>
      <w:tblGrid>
        <w:gridCol w:w="599"/>
        <w:gridCol w:w="525"/>
        <w:gridCol w:w="525"/>
        <w:gridCol w:w="525"/>
        <w:gridCol w:w="525"/>
        <w:gridCol w:w="552"/>
        <w:gridCol w:w="459"/>
        <w:gridCol w:w="459"/>
        <w:gridCol w:w="656"/>
      </w:tblGrid>
      <w:tr>
        <w:trPr/>
        <w:tc>
          <w:tcPr>
            <w:tcW w:w="59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Virginia</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52-2284372</w:t>
            </w:r>
          </w:p>
        </w:tc>
      </w:tr>
      <w:tr>
        <w:trPr/>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 or organization)</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905 West Fulton Market, Suite 200</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Chicago,</w:t>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Illinois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60607</w:t>
            </w:r>
          </w:p>
        </w:tc>
      </w:tr>
      <w:tr>
        <w:trPr/>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0" w:after="0"/>
        <w:jc w:val="center"/>
        <w:rPr/>
      </w:pPr>
      <w:r>
        <w:rPr>
          <w:rFonts w:ascii="Arial;sans-serif" w:hAnsi="Arial;sans-serif"/>
          <w:b w:val="false"/>
          <w:color w:val="000000"/>
          <w:sz w:val="18"/>
        </w:rPr>
        <w:t xml:space="preserve">(Registrant’s telephone number, including area code) </w:t>
      </w:r>
      <w:r>
        <w:rPr>
          <w:rFonts w:ascii="Arial;sans-serif" w:hAnsi="Arial;sans-serif"/>
          <w:b/>
          <w:color w:val="000000"/>
          <w:sz w:val="18"/>
        </w:rPr>
        <w:t xml:space="preserve">(847) 943-4000 </w:t>
      </w:r>
    </w:p>
    <w:p>
      <w:pPr>
        <w:pStyle w:val="TextBody"/>
        <w:bidi w:val="0"/>
        <w:spacing w:before="60" w:after="283"/>
        <w:jc w:val="center"/>
        <w:rPr/>
      </w:pPr>
      <w:r>
        <w:rPr/>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722" w:type="dxa"/>
        <w:jc w:val="center"/>
        <w:tblInd w:w="0" w:type="dxa"/>
        <w:tblLayout w:type="fixed"/>
        <w:tblCellMar>
          <w:top w:w="28" w:type="dxa"/>
          <w:left w:w="28" w:type="dxa"/>
          <w:bottom w:w="28" w:type="dxa"/>
          <w:right w:w="28" w:type="dxa"/>
        </w:tblCellMar>
      </w:tblPr>
      <w:tblGrid>
        <w:gridCol w:w="1139"/>
        <w:gridCol w:w="999"/>
        <w:gridCol w:w="1011"/>
        <w:gridCol w:w="109"/>
        <w:gridCol w:w="109"/>
        <w:gridCol w:w="109"/>
        <w:gridCol w:w="324"/>
        <w:gridCol w:w="324"/>
        <w:gridCol w:w="326"/>
        <w:gridCol w:w="109"/>
        <w:gridCol w:w="109"/>
        <w:gridCol w:w="109"/>
        <w:gridCol w:w="1154"/>
        <w:gridCol w:w="1154"/>
        <w:gridCol w:w="1637"/>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1.625%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0.250%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0.750%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2.375%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4.500%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MDLZ35A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1.375% Notes due 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3.875% Notes due 2045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MDLZ45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lineRule="auto" w:line="288" w:before="2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8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Arial;sans-serif" w:hAnsi="Arial;sans-serif"/>
          <w:b w:val="false"/>
          <w:color w:val="000000"/>
          <w:sz w:val="18"/>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8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58"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109"/>
        <w:gridCol w:w="109"/>
        <w:gridCol w:w="109"/>
        <w:gridCol w:w="784"/>
        <w:gridCol w:w="784"/>
        <w:gridCol w:w="788"/>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6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xml:space="preserve"> ☐  </w:t>
      </w:r>
      <w:r>
        <w:rPr>
          <w:rFonts w:ascii="Arial;sans-serif" w:hAnsi="Arial;sans-serif"/>
          <w:b w:val="false"/>
          <w:color w:val="000000"/>
          <w:sz w:val="18"/>
        </w:rPr>
        <w:t>No  </w:t>
      </w:r>
      <w:r>
        <w:rPr>
          <w:rFonts w:ascii="Wingdings;sans-serif" w:hAnsi="Wingdings;sans-serif"/>
          <w:b w:val="false"/>
          <w:color w:val="000000"/>
          <w:sz w:val="16"/>
        </w:rPr>
        <w:t>x</w:t>
      </w:r>
    </w:p>
    <w:p>
      <w:pPr>
        <w:pStyle w:val="TextBody"/>
        <w:bidi w:val="0"/>
        <w:spacing w:before="80" w:after="283"/>
        <w:jc w:val="both"/>
        <w:rPr/>
      </w:pPr>
      <w:r>
        <w:rPr/>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At July 24, 2023, there were 1,360,417,919 shares of the registrant’s Class A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9705" w:type="dxa"/>
        <w:jc w:val="left"/>
        <w:tblInd w:w="0" w:type="dxa"/>
        <w:tblLayout w:type="fixed"/>
        <w:tblCellMar>
          <w:top w:w="28" w:type="dxa"/>
          <w:left w:w="28" w:type="dxa"/>
          <w:bottom w:w="28" w:type="dxa"/>
          <w:right w:w="28" w:type="dxa"/>
        </w:tblCellMar>
      </w:tblPr>
      <w:tblGrid>
        <w:gridCol w:w="364"/>
        <w:gridCol w:w="319"/>
        <w:gridCol w:w="322"/>
        <w:gridCol w:w="2613"/>
        <w:gridCol w:w="2613"/>
        <w:gridCol w:w="2618"/>
        <w:gridCol w:w="250"/>
        <w:gridCol w:w="250"/>
        <w:gridCol w:w="356"/>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 No.</w:t>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 - </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INFORMATION</w:t>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Statements (Unaudited)</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54fca08f2247059609a72d470f168d_16">
              <w:r>
                <w:rPr>
                  <w:rStyle w:val="InternetLink"/>
                  <w:rFonts w:ascii="Arial;sans-serif" w:hAnsi="Arial;sans-serif"/>
                  <w:b w:val="false"/>
                  <w:color w:val="0000FF"/>
                  <w:sz w:val="20"/>
                  <w:u w:val="single"/>
                </w:rPr>
                <w:t>Condensed Consolidated Statements of Earnings</w:t>
              </w:r>
            </w:hyperlink>
          </w:p>
          <w:p>
            <w:pPr>
              <w:pStyle w:val="TableContents"/>
              <w:bidi w:val="0"/>
              <w:spacing w:lineRule="auto" w:line="240" w:before="0" w:after="0"/>
              <w:ind w:left="0" w:right="0" w:hanging="180"/>
              <w:jc w:val="left"/>
              <w:rPr/>
            </w:pPr>
            <w:r>
              <w:rPr>
                <w:color w:val="000000"/>
              </w:rPr>
              <w:t>   </w:t>
            </w:r>
            <w:hyperlink w:anchor="i8254fca08f2247059609a72d470f168d_16">
              <w:r>
                <w:rPr>
                  <w:rStyle w:val="InternetLink"/>
                  <w:rFonts w:ascii="Arial;sans-serif" w:hAnsi="Arial;sans-serif"/>
                  <w:b w:val="false"/>
                  <w:color w:val="000080"/>
                  <w:sz w:val="20"/>
                  <w:u w:val="single"/>
                </w:rPr>
                <w:t>for the Three</w:t>
              </w:r>
            </w:hyperlink>
            <w:hyperlink w:anchor="i8254fca08f2247059609a72d470f168d_16">
              <w:r>
                <w:rPr>
                  <w:rStyle w:val="InternetLink"/>
                  <w:rFonts w:ascii="Arial;sans-serif" w:hAnsi="Arial;sans-serif"/>
                  <w:b w:val="false"/>
                  <w:color w:val="000080"/>
                  <w:sz w:val="20"/>
                  <w:u w:val="single"/>
                </w:rPr>
                <w:t xml:space="preserve"> and Six</w:t>
              </w:r>
            </w:hyperlink>
            <w:hyperlink w:anchor="i8254fca08f2247059609a72d470f168d_16">
              <w:r>
                <w:rPr>
                  <w:rStyle w:val="InternetLink"/>
                  <w:rFonts w:ascii="Arial;sans-serif" w:hAnsi="Arial;sans-serif"/>
                  <w:b w:val="false"/>
                  <w:color w:val="000080"/>
                  <w:sz w:val="20"/>
                  <w:u w:val="single"/>
                </w:rPr>
                <w:t xml:space="preserve"> Months Ended </w:t>
              </w:r>
            </w:hyperlink>
            <w:hyperlink w:anchor="i8254fca08f2247059609a72d470f168d_16">
              <w:r>
                <w:rPr>
                  <w:rStyle w:val="InternetLink"/>
                  <w:rFonts w:ascii="Arial;sans-serif" w:hAnsi="Arial;sans-serif"/>
                  <w:b w:val="false"/>
                  <w:color w:val="000080"/>
                  <w:sz w:val="20"/>
                  <w:u w:val="single"/>
                </w:rPr>
                <w:t>June</w:t>
              </w:r>
            </w:hyperlink>
            <w:hyperlink w:anchor="i8254fca08f2247059609a72d470f168d_16">
              <w:r>
                <w:rPr>
                  <w:rStyle w:val="InternetLink"/>
                  <w:rFonts w:ascii="Arial;sans-serif" w:hAnsi="Arial;sans-serif"/>
                  <w:b w:val="false"/>
                  <w:color w:val="000080"/>
                  <w:sz w:val="20"/>
                  <w:u w:val="single"/>
                </w:rPr>
                <w:t xml:space="preserve"> 3</w:t>
              </w:r>
            </w:hyperlink>
            <w:hyperlink w:anchor="i8254fca08f2247059609a72d470f168d_16">
              <w:r>
                <w:rPr>
                  <w:rStyle w:val="InternetLink"/>
                  <w:rFonts w:ascii="Arial;sans-serif" w:hAnsi="Arial;sans-serif"/>
                  <w:b w:val="false"/>
                  <w:color w:val="000080"/>
                  <w:sz w:val="20"/>
                  <w:u w:val="single"/>
                </w:rPr>
                <w:t>0</w:t>
              </w:r>
            </w:hyperlink>
            <w:hyperlink w:anchor="i8254fca08f2247059609a72d470f168d_16">
              <w:r>
                <w:rPr>
                  <w:rStyle w:val="InternetLink"/>
                  <w:rFonts w:ascii="Arial;sans-serif" w:hAnsi="Arial;sans-serif"/>
                  <w:b w:val="false"/>
                  <w:color w:val="000080"/>
                  <w:sz w:val="20"/>
                  <w:u w:val="single"/>
                </w:rPr>
                <w:t>, 2023 and 2022</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16">
              <w:r>
                <w:rPr>
                  <w:rStyle w:val="InternetLink"/>
                  <w:rFonts w:ascii="Arial;sans-serif" w:hAnsi="Arial;sans-serif"/>
                  <w:b w:val="false"/>
                  <w:strike w:val="false"/>
                  <w:dstrike w:val="false"/>
                  <w:color w:val="000000"/>
                  <w:sz w:val="20"/>
                  <w:u w:val="none"/>
                  <w:effect w:val="none"/>
                </w:rPr>
                <w:t>1</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54fca08f2247059609a72d470f168d_19">
              <w:r>
                <w:rPr>
                  <w:rStyle w:val="InternetLink"/>
                  <w:rFonts w:ascii="Arial;sans-serif" w:hAnsi="Arial;sans-serif"/>
                  <w:b w:val="false"/>
                  <w:color w:val="0000FF"/>
                  <w:sz w:val="20"/>
                  <w:u w:val="single"/>
                </w:rPr>
                <w:t>Condensed Consolidated Statements of Comprehensive Earnings</w:t>
              </w:r>
            </w:hyperlink>
          </w:p>
          <w:p>
            <w:pPr>
              <w:pStyle w:val="TableContents"/>
              <w:bidi w:val="0"/>
              <w:spacing w:lineRule="auto" w:line="240" w:before="0" w:after="0"/>
              <w:ind w:left="0" w:right="0" w:hanging="180"/>
              <w:jc w:val="left"/>
              <w:rPr/>
            </w:pPr>
            <w:r>
              <w:rPr>
                <w:color w:val="000000"/>
              </w:rPr>
              <w:t>   </w:t>
            </w:r>
            <w:hyperlink w:anchor="i8254fca08f2247059609a72d470f168d_19">
              <w:r>
                <w:rPr>
                  <w:rStyle w:val="InternetLink"/>
                  <w:rFonts w:ascii="Arial;sans-serif" w:hAnsi="Arial;sans-serif"/>
                  <w:b w:val="false"/>
                  <w:color w:val="000080"/>
                  <w:sz w:val="20"/>
                  <w:u w:val="single"/>
                </w:rPr>
                <w:t xml:space="preserve">for the Three </w:t>
              </w:r>
            </w:hyperlink>
            <w:hyperlink w:anchor="i8254fca08f2247059609a72d470f168d_19">
              <w:r>
                <w:rPr>
                  <w:rStyle w:val="InternetLink"/>
                  <w:rFonts w:ascii="Arial;sans-serif" w:hAnsi="Arial;sans-serif"/>
                  <w:b w:val="false"/>
                  <w:color w:val="000080"/>
                  <w:sz w:val="20"/>
                  <w:u w:val="single"/>
                </w:rPr>
                <w:t xml:space="preserve">and Six </w:t>
              </w:r>
            </w:hyperlink>
            <w:hyperlink w:anchor="i8254fca08f2247059609a72d470f168d_19">
              <w:r>
                <w:rPr>
                  <w:rStyle w:val="InternetLink"/>
                  <w:rFonts w:ascii="Arial;sans-serif" w:hAnsi="Arial;sans-serif"/>
                  <w:b w:val="false"/>
                  <w:color w:val="000080"/>
                  <w:sz w:val="20"/>
                  <w:u w:val="single"/>
                </w:rPr>
                <w:t xml:space="preserve">Months Ended </w:t>
              </w:r>
            </w:hyperlink>
            <w:hyperlink w:anchor="i8254fca08f2247059609a72d470f168d_19">
              <w:r>
                <w:rPr>
                  <w:rStyle w:val="InternetLink"/>
                  <w:rFonts w:ascii="Arial;sans-serif" w:hAnsi="Arial;sans-serif"/>
                  <w:b w:val="false"/>
                  <w:color w:val="000080"/>
                  <w:sz w:val="20"/>
                  <w:u w:val="single"/>
                </w:rPr>
                <w:t>June</w:t>
              </w:r>
            </w:hyperlink>
            <w:hyperlink w:anchor="i8254fca08f2247059609a72d470f168d_19">
              <w:r>
                <w:rPr>
                  <w:rStyle w:val="InternetLink"/>
                  <w:rFonts w:ascii="Arial;sans-serif" w:hAnsi="Arial;sans-serif"/>
                  <w:b w:val="false"/>
                  <w:color w:val="000080"/>
                  <w:sz w:val="20"/>
                  <w:u w:val="single"/>
                </w:rPr>
                <w:t xml:space="preserve"> 3</w:t>
              </w:r>
            </w:hyperlink>
            <w:hyperlink w:anchor="i8254fca08f2247059609a72d470f168d_19">
              <w:r>
                <w:rPr>
                  <w:rStyle w:val="InternetLink"/>
                  <w:rFonts w:ascii="Arial;sans-serif" w:hAnsi="Arial;sans-serif"/>
                  <w:b w:val="false"/>
                  <w:color w:val="000080"/>
                  <w:sz w:val="20"/>
                  <w:u w:val="single"/>
                </w:rPr>
                <w:t>0</w:t>
              </w:r>
            </w:hyperlink>
            <w:hyperlink w:anchor="i8254fca08f2247059609a72d470f168d_19">
              <w:r>
                <w:rPr>
                  <w:rStyle w:val="InternetLink"/>
                  <w:rFonts w:ascii="Arial;sans-serif" w:hAnsi="Arial;sans-serif"/>
                  <w:b w:val="false"/>
                  <w:color w:val="000080"/>
                  <w:sz w:val="20"/>
                  <w:u w:val="single"/>
                </w:rPr>
                <w:t>, 2023 and 2022</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19">
              <w:r>
                <w:rPr>
                  <w:rStyle w:val="InternetLink"/>
                  <w:rFonts w:ascii="Arial;sans-serif" w:hAnsi="Arial;sans-serif"/>
                  <w:b w:val="false"/>
                  <w:strike w:val="false"/>
                  <w:dstrike w:val="false"/>
                  <w:color w:val="000000"/>
                  <w:sz w:val="20"/>
                  <w:u w:val="none"/>
                  <w:effect w:val="none"/>
                </w:rPr>
                <w:t>2</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54fca08f2247059609a72d470f168d_22">
              <w:r>
                <w:rPr>
                  <w:rStyle w:val="InternetLink"/>
                  <w:rFonts w:ascii="Arial;sans-serif" w:hAnsi="Arial;sans-serif"/>
                  <w:b w:val="false"/>
                  <w:color w:val="0000FF"/>
                  <w:sz w:val="20"/>
                  <w:u w:val="single"/>
                </w:rPr>
                <w:t xml:space="preserve">Condensed Consolidated Balance Sheets </w:t>
              </w:r>
            </w:hyperlink>
          </w:p>
          <w:p>
            <w:pPr>
              <w:pStyle w:val="TableContents"/>
              <w:bidi w:val="0"/>
              <w:spacing w:lineRule="auto" w:line="240" w:before="0" w:after="0"/>
              <w:ind w:left="0" w:right="0" w:hanging="180"/>
              <w:jc w:val="left"/>
              <w:rPr/>
            </w:pPr>
            <w:r>
              <w:rPr>
                <w:color w:val="000000"/>
              </w:rPr>
              <w:t>   </w:t>
            </w:r>
            <w:hyperlink w:anchor="i8254fca08f2247059609a72d470f168d_22">
              <w:r>
                <w:rPr>
                  <w:rStyle w:val="InternetLink"/>
                  <w:rFonts w:ascii="Arial;sans-serif" w:hAnsi="Arial;sans-serif"/>
                  <w:b w:val="false"/>
                  <w:color w:val="000080"/>
                  <w:sz w:val="20"/>
                  <w:u w:val="single"/>
                </w:rPr>
                <w:t xml:space="preserve">at </w:t>
              </w:r>
            </w:hyperlink>
            <w:hyperlink w:anchor="i8254fca08f2247059609a72d470f168d_22">
              <w:r>
                <w:rPr>
                  <w:rStyle w:val="InternetLink"/>
                  <w:rFonts w:ascii="Arial;sans-serif" w:hAnsi="Arial;sans-serif"/>
                  <w:b w:val="false"/>
                  <w:color w:val="000080"/>
                  <w:sz w:val="20"/>
                  <w:u w:val="single"/>
                </w:rPr>
                <w:t>June</w:t>
              </w:r>
            </w:hyperlink>
            <w:hyperlink w:anchor="i8254fca08f2247059609a72d470f168d_22">
              <w:r>
                <w:rPr>
                  <w:rStyle w:val="InternetLink"/>
                  <w:rFonts w:ascii="Arial;sans-serif" w:hAnsi="Arial;sans-serif"/>
                  <w:b w:val="false"/>
                  <w:color w:val="000080"/>
                  <w:sz w:val="20"/>
                  <w:u w:val="single"/>
                </w:rPr>
                <w:t xml:space="preserve"> 3</w:t>
              </w:r>
            </w:hyperlink>
            <w:hyperlink w:anchor="i8254fca08f2247059609a72d470f168d_22">
              <w:r>
                <w:rPr>
                  <w:rStyle w:val="InternetLink"/>
                  <w:rFonts w:ascii="Arial;sans-serif" w:hAnsi="Arial;sans-serif"/>
                  <w:b w:val="false"/>
                  <w:color w:val="000080"/>
                  <w:sz w:val="20"/>
                  <w:u w:val="single"/>
                </w:rPr>
                <w:t>0</w:t>
              </w:r>
            </w:hyperlink>
            <w:hyperlink w:anchor="i8254fca08f2247059609a72d470f168d_22">
              <w:r>
                <w:rPr>
                  <w:rStyle w:val="InternetLink"/>
                  <w:rFonts w:ascii="Arial;sans-serif" w:hAnsi="Arial;sans-serif"/>
                  <w:b w:val="false"/>
                  <w:color w:val="000080"/>
                  <w:sz w:val="20"/>
                  <w:u w:val="single"/>
                </w:rPr>
                <w:t>, 2023 and December 31, 2022</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22">
              <w:r>
                <w:rPr>
                  <w:rStyle w:val="InternetLink"/>
                  <w:rFonts w:ascii="Arial;sans-serif" w:hAnsi="Arial;sans-serif"/>
                  <w:b w:val="false"/>
                  <w:strike w:val="false"/>
                  <w:dstrike w:val="false"/>
                  <w:color w:val="000000"/>
                  <w:sz w:val="20"/>
                  <w:u w:val="none"/>
                  <w:effect w:val="none"/>
                </w:rPr>
                <w:t>3</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54fca08f2247059609a72d470f168d_25">
              <w:r>
                <w:rPr>
                  <w:rStyle w:val="InternetLink"/>
                  <w:rFonts w:ascii="Arial;sans-serif" w:hAnsi="Arial;sans-serif"/>
                  <w:b w:val="false"/>
                  <w:color w:val="0000FF"/>
                  <w:sz w:val="20"/>
                  <w:u w:val="single"/>
                </w:rPr>
                <w:t>Condensed Consolidated Statements of Equity</w:t>
              </w:r>
            </w:hyperlink>
          </w:p>
          <w:p>
            <w:pPr>
              <w:pStyle w:val="TableContents"/>
              <w:bidi w:val="0"/>
              <w:spacing w:lineRule="auto" w:line="240" w:before="0" w:after="0"/>
              <w:ind w:left="0" w:right="0" w:hanging="180"/>
              <w:jc w:val="left"/>
              <w:rPr/>
            </w:pPr>
            <w:r>
              <w:rPr>
                <w:color w:val="000000"/>
              </w:rPr>
              <w:t>   </w:t>
            </w:r>
            <w:hyperlink w:anchor="i8254fca08f2247059609a72d470f168d_25">
              <w:r>
                <w:rPr>
                  <w:rStyle w:val="InternetLink"/>
                  <w:rFonts w:ascii="Arial;sans-serif" w:hAnsi="Arial;sans-serif"/>
                  <w:b w:val="false"/>
                  <w:color w:val="000080"/>
                  <w:sz w:val="20"/>
                  <w:u w:val="single"/>
                </w:rPr>
                <w:t>for the Three</w:t>
              </w:r>
            </w:hyperlink>
            <w:hyperlink w:anchor="i8254fca08f2247059609a72d470f168d_25">
              <w:r>
                <w:rPr>
                  <w:rStyle w:val="InternetLink"/>
                  <w:rFonts w:ascii="Arial;sans-serif" w:hAnsi="Arial;sans-serif"/>
                  <w:b w:val="false"/>
                  <w:color w:val="000080"/>
                  <w:sz w:val="20"/>
                  <w:u w:val="single"/>
                </w:rPr>
                <w:t xml:space="preserve"> and Six</w:t>
              </w:r>
            </w:hyperlink>
            <w:hyperlink w:anchor="i8254fca08f2247059609a72d470f168d_25">
              <w:r>
                <w:rPr>
                  <w:rStyle w:val="InternetLink"/>
                  <w:rFonts w:ascii="Arial;sans-serif" w:hAnsi="Arial;sans-serif"/>
                  <w:b w:val="false"/>
                  <w:color w:val="000080"/>
                  <w:sz w:val="20"/>
                  <w:u w:val="single"/>
                </w:rPr>
                <w:t xml:space="preserve"> Months Ended </w:t>
              </w:r>
            </w:hyperlink>
            <w:hyperlink w:anchor="i8254fca08f2247059609a72d470f168d_25">
              <w:r>
                <w:rPr>
                  <w:rStyle w:val="InternetLink"/>
                  <w:rFonts w:ascii="Arial;sans-serif" w:hAnsi="Arial;sans-serif"/>
                  <w:b w:val="false"/>
                  <w:color w:val="000080"/>
                  <w:sz w:val="20"/>
                  <w:u w:val="single"/>
                </w:rPr>
                <w:t>June</w:t>
              </w:r>
            </w:hyperlink>
            <w:hyperlink w:anchor="i8254fca08f2247059609a72d470f168d_25">
              <w:r>
                <w:rPr>
                  <w:rStyle w:val="InternetLink"/>
                  <w:rFonts w:ascii="Arial;sans-serif" w:hAnsi="Arial;sans-serif"/>
                  <w:b w:val="false"/>
                  <w:color w:val="000080"/>
                  <w:sz w:val="20"/>
                  <w:u w:val="single"/>
                </w:rPr>
                <w:t xml:space="preserve"> 3</w:t>
              </w:r>
            </w:hyperlink>
            <w:hyperlink w:anchor="i8254fca08f2247059609a72d470f168d_25">
              <w:r>
                <w:rPr>
                  <w:rStyle w:val="InternetLink"/>
                  <w:rFonts w:ascii="Arial;sans-serif" w:hAnsi="Arial;sans-serif"/>
                  <w:b w:val="false"/>
                  <w:color w:val="000080"/>
                  <w:sz w:val="20"/>
                  <w:u w:val="single"/>
                </w:rPr>
                <w:t>0</w:t>
              </w:r>
            </w:hyperlink>
            <w:hyperlink w:anchor="i8254fca08f2247059609a72d470f168d_25">
              <w:r>
                <w:rPr>
                  <w:rStyle w:val="InternetLink"/>
                  <w:rFonts w:ascii="Arial;sans-serif" w:hAnsi="Arial;sans-serif"/>
                  <w:b w:val="false"/>
                  <w:color w:val="000080"/>
                  <w:sz w:val="20"/>
                  <w:u w:val="single"/>
                </w:rPr>
                <w:t>, 2023 and 2022</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25">
              <w:r>
                <w:rPr>
                  <w:rStyle w:val="InternetLink"/>
                  <w:rFonts w:ascii="Arial;sans-serif" w:hAnsi="Arial;sans-serif"/>
                  <w:b w:val="false"/>
                  <w:strike w:val="false"/>
                  <w:dstrike w:val="false"/>
                  <w:color w:val="000000"/>
                  <w:sz w:val="20"/>
                  <w:u w:val="none"/>
                  <w:effect w:val="none"/>
                </w:rPr>
                <w:t>4</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54fca08f2247059609a72d470f168d_28">
              <w:r>
                <w:rPr>
                  <w:rStyle w:val="InternetLink"/>
                  <w:rFonts w:ascii="Arial;sans-serif" w:hAnsi="Arial;sans-serif"/>
                  <w:b w:val="false"/>
                  <w:color w:val="0000FF"/>
                  <w:sz w:val="20"/>
                  <w:u w:val="single"/>
                </w:rPr>
                <w:t>Condensed Consolidated Statements of Cash Flows</w:t>
              </w:r>
            </w:hyperlink>
          </w:p>
          <w:p>
            <w:pPr>
              <w:pStyle w:val="TableContents"/>
              <w:bidi w:val="0"/>
              <w:spacing w:lineRule="auto" w:line="240" w:before="0" w:after="0"/>
              <w:ind w:left="0" w:right="0" w:hanging="180"/>
              <w:jc w:val="left"/>
              <w:rPr/>
            </w:pPr>
            <w:r>
              <w:rPr>
                <w:color w:val="000000"/>
              </w:rPr>
              <w:t>   </w:t>
            </w:r>
            <w:hyperlink w:anchor="i8254fca08f2247059609a72d470f168d_28">
              <w:r>
                <w:rPr>
                  <w:rStyle w:val="InternetLink"/>
                  <w:rFonts w:ascii="Arial;sans-serif" w:hAnsi="Arial;sans-serif"/>
                  <w:b w:val="false"/>
                  <w:color w:val="000080"/>
                  <w:sz w:val="20"/>
                  <w:u w:val="single"/>
                </w:rPr>
                <w:t xml:space="preserve">for the </w:t>
              </w:r>
            </w:hyperlink>
            <w:hyperlink w:anchor="i8254fca08f2247059609a72d470f168d_28">
              <w:r>
                <w:rPr>
                  <w:rStyle w:val="InternetLink"/>
                  <w:rFonts w:ascii="Arial;sans-serif" w:hAnsi="Arial;sans-serif"/>
                  <w:b w:val="false"/>
                  <w:color w:val="000080"/>
                  <w:sz w:val="20"/>
                  <w:u w:val="single"/>
                </w:rPr>
                <w:t>Six</w:t>
              </w:r>
            </w:hyperlink>
            <w:hyperlink w:anchor="i8254fca08f2247059609a72d470f168d_28">
              <w:r>
                <w:rPr>
                  <w:rStyle w:val="InternetLink"/>
                  <w:rFonts w:ascii="Arial;sans-serif" w:hAnsi="Arial;sans-serif"/>
                  <w:b w:val="false"/>
                  <w:color w:val="000080"/>
                  <w:sz w:val="20"/>
                  <w:u w:val="single"/>
                </w:rPr>
                <w:t xml:space="preserve"> Months Ended </w:t>
              </w:r>
            </w:hyperlink>
            <w:hyperlink w:anchor="i8254fca08f2247059609a72d470f168d_28">
              <w:r>
                <w:rPr>
                  <w:rStyle w:val="InternetLink"/>
                  <w:rFonts w:ascii="Arial;sans-serif" w:hAnsi="Arial;sans-serif"/>
                  <w:b w:val="false"/>
                  <w:color w:val="000080"/>
                  <w:sz w:val="20"/>
                  <w:u w:val="single"/>
                </w:rPr>
                <w:t>June</w:t>
              </w:r>
            </w:hyperlink>
            <w:hyperlink w:anchor="i8254fca08f2247059609a72d470f168d_28">
              <w:r>
                <w:rPr>
                  <w:rStyle w:val="InternetLink"/>
                  <w:rFonts w:ascii="Arial;sans-serif" w:hAnsi="Arial;sans-serif"/>
                  <w:b w:val="false"/>
                  <w:color w:val="000080"/>
                  <w:sz w:val="20"/>
                  <w:u w:val="single"/>
                </w:rPr>
                <w:t xml:space="preserve"> 3</w:t>
              </w:r>
            </w:hyperlink>
            <w:hyperlink w:anchor="i8254fca08f2247059609a72d470f168d_28">
              <w:r>
                <w:rPr>
                  <w:rStyle w:val="InternetLink"/>
                  <w:rFonts w:ascii="Arial;sans-serif" w:hAnsi="Arial;sans-serif"/>
                  <w:b w:val="false"/>
                  <w:color w:val="000080"/>
                  <w:sz w:val="20"/>
                  <w:u w:val="single"/>
                </w:rPr>
                <w:t>0</w:t>
              </w:r>
            </w:hyperlink>
            <w:hyperlink w:anchor="i8254fca08f2247059609a72d470f168d_28">
              <w:r>
                <w:rPr>
                  <w:rStyle w:val="InternetLink"/>
                  <w:rFonts w:ascii="Arial;sans-serif" w:hAnsi="Arial;sans-serif"/>
                  <w:b w:val="false"/>
                  <w:color w:val="000080"/>
                  <w:sz w:val="20"/>
                  <w:u w:val="single"/>
                </w:rPr>
                <w:t>, 2023 and 2022</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28">
              <w:r>
                <w:rPr>
                  <w:rStyle w:val="InternetLink"/>
                  <w:rFonts w:ascii="Arial;sans-serif" w:hAnsi="Arial;sans-serif"/>
                  <w:b w:val="false"/>
                  <w:strike w:val="false"/>
                  <w:dstrike w:val="false"/>
                  <w:color w:val="000000"/>
                  <w:sz w:val="20"/>
                  <w:u w:val="none"/>
                  <w:effect w:val="none"/>
                </w:rPr>
                <w:t>5</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54fca08f2247059609a72d470f168d_31">
              <w:r>
                <w:rPr>
                  <w:rStyle w:val="InternetLink"/>
                  <w:rFonts w:ascii="Arial;sans-serif" w:hAnsi="Arial;sans-serif"/>
                  <w:b w:val="false"/>
                  <w:color w:val="0000FF"/>
                  <w:sz w:val="20"/>
                  <w:u w:val="single"/>
                </w:rPr>
                <w:t>Notes to Condensed Consolidated Financial Statements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31">
              <w:r>
                <w:rPr>
                  <w:rStyle w:val="InternetLink"/>
                  <w:rFonts w:ascii="Arial;sans-serif" w:hAnsi="Arial;sans-serif"/>
                  <w:b w:val="false"/>
                  <w:strike w:val="false"/>
                  <w:dstrike w:val="false"/>
                  <w:color w:val="000000"/>
                  <w:sz w:val="20"/>
                  <w:u w:val="none"/>
                  <w:effect w:val="none"/>
                </w:rPr>
                <w:t>6</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254fca08f2247059609a72d470f168d_85">
              <w:r>
                <w:rPr>
                  <w:rStyle w:val="InternetLink"/>
                  <w:rFonts w:ascii="Arial;sans-serif" w:hAnsi="Arial;sans-serif"/>
                  <w:b w:val="false"/>
                  <w:color w:val="0000FF"/>
                  <w:sz w:val="20"/>
                  <w:u w:val="single"/>
                </w:rPr>
                <w:t>Management’s Discussion and Analysis of Financial Condition and Results of Operations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85">
              <w:r>
                <w:rPr>
                  <w:rStyle w:val="InternetLink"/>
                  <w:rFonts w:ascii="Arial;sans-serif" w:hAnsi="Arial;sans-serif"/>
                  <w:b w:val="false"/>
                  <w:strike w:val="false"/>
                  <w:dstrike w:val="false"/>
                  <w:color w:val="000000"/>
                  <w:sz w:val="20"/>
                  <w:u w:val="none"/>
                  <w:effect w:val="none"/>
                </w:rPr>
                <w:t>32</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4fca08f2247059609a72d470f168d_130">
              <w:r>
                <w:rPr>
                  <w:rStyle w:val="InternetLink"/>
                  <w:rFonts w:ascii="Arial;sans-serif" w:hAnsi="Arial;sans-serif"/>
                  <w:b w:val="false"/>
                  <w:color w:val="0000FF"/>
                  <w:sz w:val="20"/>
                  <w:u w:val="single"/>
                </w:rPr>
                <w:t>Quantitative and Qualitative Disclosures about Market Risk</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130">
              <w:r>
                <w:rPr>
                  <w:rStyle w:val="InternetLink"/>
                  <w:rFonts w:ascii="Arial;sans-serif" w:hAnsi="Arial;sans-serif"/>
                  <w:b w:val="false"/>
                  <w:strike w:val="false"/>
                  <w:dstrike w:val="false"/>
                  <w:color w:val="000000"/>
                  <w:sz w:val="20"/>
                  <w:u w:val="none"/>
                  <w:effect w:val="none"/>
                </w:rPr>
                <w:t>57</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4fca08f2247059609a72d470f168d_133">
              <w:r>
                <w:rPr>
                  <w:rStyle w:val="InternetLink"/>
                  <w:rFonts w:ascii="Arial;sans-serif" w:hAnsi="Arial;sans-serif"/>
                  <w:b w:val="false"/>
                  <w:color w:val="0000FF"/>
                  <w:sz w:val="20"/>
                  <w:u w:val="single"/>
                </w:rPr>
                <w:t>Controls and Procedures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133">
              <w:r>
                <w:rPr>
                  <w:rStyle w:val="InternetLink"/>
                  <w:rFonts w:ascii="Arial;sans-serif" w:hAnsi="Arial;sans-serif"/>
                  <w:b w:val="false"/>
                  <w:strike w:val="false"/>
                  <w:dstrike w:val="false"/>
                  <w:color w:val="000000"/>
                  <w:sz w:val="20"/>
                  <w:u w:val="none"/>
                  <w:effect w:val="none"/>
                </w:rPr>
                <w:t>57</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PART II - </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4fca08f2247059609a72d470f168d_139">
              <w:r>
                <w:rPr>
                  <w:rStyle w:val="InternetLink"/>
                  <w:rFonts w:ascii="Arial;sans-serif" w:hAnsi="Arial;sans-serif"/>
                  <w:b w:val="false"/>
                  <w:color w:val="0000FF"/>
                  <w:sz w:val="20"/>
                  <w:u w:val="single"/>
                </w:rPr>
                <w:t>Legal Proceedings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139">
              <w:r>
                <w:rPr>
                  <w:rStyle w:val="InternetLink"/>
                  <w:rFonts w:ascii="Arial;sans-serif" w:hAnsi="Arial;sans-serif"/>
                  <w:b w:val="false"/>
                  <w:strike w:val="false"/>
                  <w:dstrike w:val="false"/>
                  <w:color w:val="000000"/>
                  <w:sz w:val="20"/>
                  <w:u w:val="none"/>
                  <w:effect w:val="none"/>
                </w:rPr>
                <w:t>59</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4fca08f2247059609a72d470f168d_142">
              <w:r>
                <w:rPr>
                  <w:rStyle w:val="InternetLink"/>
                  <w:rFonts w:ascii="Arial;sans-serif" w:hAnsi="Arial;sans-serif"/>
                  <w:b w:val="false"/>
                  <w:color w:val="0000FF"/>
                  <w:sz w:val="20"/>
                  <w:u w:val="single"/>
                </w:rPr>
                <w:t>Risk Factors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142">
              <w:r>
                <w:rPr>
                  <w:rStyle w:val="InternetLink"/>
                  <w:rFonts w:ascii="Arial;sans-serif" w:hAnsi="Arial;sans-serif"/>
                  <w:b w:val="false"/>
                  <w:strike w:val="false"/>
                  <w:dstrike w:val="false"/>
                  <w:color w:val="000000"/>
                  <w:sz w:val="20"/>
                  <w:u w:val="none"/>
                  <w:effect w:val="none"/>
                </w:rPr>
                <w:t>59</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4fca08f2247059609a72d470f168d_145">
              <w:r>
                <w:rPr>
                  <w:rStyle w:val="InternetLink"/>
                  <w:rFonts w:ascii="Arial;sans-serif" w:hAnsi="Arial;sans-serif"/>
                  <w:b w:val="false"/>
                  <w:color w:val="0000FF"/>
                  <w:sz w:val="20"/>
                  <w:u w:val="single"/>
                </w:rPr>
                <w:t>Unregistered Sales of Equity Securities and Use of Proceeds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145">
              <w:r>
                <w:rPr>
                  <w:rStyle w:val="InternetLink"/>
                  <w:rFonts w:ascii="Arial;sans-serif" w:hAnsi="Arial;sans-serif"/>
                  <w:b w:val="false"/>
                  <w:strike w:val="false"/>
                  <w:dstrike w:val="false"/>
                  <w:color w:val="000000"/>
                  <w:sz w:val="20"/>
                  <w:u w:val="none"/>
                  <w:effect w:val="none"/>
                </w:rPr>
                <w:t>59</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4fca08f2247059609a72d470f168d_1279">
              <w:r>
                <w:rPr>
                  <w:rStyle w:val="InternetLink"/>
                  <w:rFonts w:ascii="Arial;sans-serif" w:hAnsi="Arial;sans-serif"/>
                  <w:b w:val="false"/>
                  <w:color w:val="0000FF"/>
                  <w:sz w:val="20"/>
                  <w:u w:val="single"/>
                </w:rPr>
                <w:t>Other Information</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1279">
              <w:r>
                <w:rPr>
                  <w:rStyle w:val="InternetLink"/>
                  <w:rFonts w:ascii="Arial;sans-serif" w:hAnsi="Arial;sans-serif"/>
                  <w:b w:val="false"/>
                  <w:strike w:val="false"/>
                  <w:dstrike w:val="false"/>
                  <w:color w:val="000000"/>
                  <w:sz w:val="20"/>
                  <w:u w:val="none"/>
                  <w:effect w:val="none"/>
                </w:rPr>
                <w:t>59</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4fca08f2247059609a72d470f168d_148">
              <w:r>
                <w:rPr>
                  <w:rStyle w:val="InternetLink"/>
                  <w:rFonts w:ascii="Arial;sans-serif" w:hAnsi="Arial;sans-serif"/>
                  <w:b w:val="false"/>
                  <w:color w:val="0000FF"/>
                  <w:sz w:val="20"/>
                  <w:u w:val="single"/>
                </w:rPr>
                <w:t>Exhibits</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148">
              <w:r>
                <w:rPr>
                  <w:rStyle w:val="InternetLink"/>
                  <w:rFonts w:ascii="Arial;sans-serif" w:hAnsi="Arial;sans-serif"/>
                  <w:b w:val="false"/>
                  <w:strike w:val="false"/>
                  <w:dstrike w:val="false"/>
                  <w:color w:val="000000"/>
                  <w:sz w:val="20"/>
                  <w:u w:val="none"/>
                  <w:effect w:val="none"/>
                </w:rPr>
                <w:t>60</w:t>
              </w:r>
            </w:hyperlink>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8254fca08f2247059609a72d470f168d_151">
              <w:r>
                <w:rPr>
                  <w:rStyle w:val="InternetLink"/>
                  <w:rFonts w:ascii="Arial;sans-serif" w:hAnsi="Arial;sans-serif"/>
                  <w:b w:val="false"/>
                  <w:color w:val="0000FF"/>
                  <w:sz w:val="20"/>
                  <w:u w:val="single"/>
                </w:rPr>
                <w:t>Signature</w:t>
              </w:r>
            </w:hyperlink>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fca08f2247059609a72d470f168d_151">
              <w:r>
                <w:rPr>
                  <w:rStyle w:val="InternetLink"/>
                  <w:rFonts w:ascii="Arial;sans-serif" w:hAnsi="Arial;sans-serif"/>
                  <w:b w:val="false"/>
                  <w:strike w:val="false"/>
                  <w:dstrike w:val="false"/>
                  <w:color w:val="000000"/>
                  <w:sz w:val="20"/>
                  <w:u w:val="none"/>
                  <w:effect w:val="none"/>
                </w:rPr>
                <w:t>61</w:t>
              </w:r>
            </w:hyperlink>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 this report, for all periods presented, “we,” “us,” “our,” “the Company” and “Mondelēz International” refer to Mondelēz International, Inc. and subsidiaries. References to “Common Stock” refer to our Class A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bidi w:val="0"/>
        <w:spacing w:lineRule="auto" w:line="288" w:before="0" w:after="0"/>
        <w:jc w:val="center"/>
        <w:rPr/>
      </w:pPr>
      <w:r>
        <w:rPr>
          <w:rFonts w:ascii="Arial;sans-serif" w:hAnsi="Arial;sans-serif"/>
          <w:b/>
          <w:color w:val="000000"/>
          <w:sz w:val="20"/>
        </w:rPr>
        <w:t>(Unaudited)</w:t>
      </w:r>
      <w:r>
        <w:rPr>
          <w:color w:val="000000"/>
        </w:rPr>
        <w:t xml:space="preserve"> </w:t>
      </w:r>
    </w:p>
    <w:tbl>
      <w:tblPr>
        <w:tblW w:w="9993" w:type="dxa"/>
        <w:jc w:val="center"/>
        <w:tblInd w:w="0" w:type="dxa"/>
        <w:tblLayout w:type="fixed"/>
        <w:tblCellMar>
          <w:top w:w="28" w:type="dxa"/>
          <w:left w:w="28" w:type="dxa"/>
          <w:bottom w:w="28" w:type="dxa"/>
          <w:right w:w="28" w:type="dxa"/>
        </w:tblCellMar>
      </w:tblPr>
      <w:tblGrid>
        <w:gridCol w:w="1733"/>
        <w:gridCol w:w="1518"/>
        <w:gridCol w:w="1533"/>
        <w:gridCol w:w="221"/>
        <w:gridCol w:w="678"/>
        <w:gridCol w:w="114"/>
        <w:gridCol w:w="114"/>
        <w:gridCol w:w="114"/>
        <w:gridCol w:w="114"/>
        <w:gridCol w:w="221"/>
        <w:gridCol w:w="678"/>
        <w:gridCol w:w="114"/>
        <w:gridCol w:w="109"/>
        <w:gridCol w:w="109"/>
        <w:gridCol w:w="109"/>
        <w:gridCol w:w="211"/>
        <w:gridCol w:w="751"/>
        <w:gridCol w:w="109"/>
        <w:gridCol w:w="109"/>
        <w:gridCol w:w="109"/>
        <w:gridCol w:w="109"/>
        <w:gridCol w:w="211"/>
        <w:gridCol w:w="751"/>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and exit costs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Loss/(gain) on marketable securities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(Loss)/gain on equity method investment transactions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net earnings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 earnings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earnings attributable to </w:t>
              <w:br/>
              <w:t>   Mondelēz International</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 share data:</w:t>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earnings per share attributable to </w:t>
              <w:br/>
              <w:t>   Mondelēz International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attributable to </w:t>
              <w:br/>
              <w:t>   Mondelēz International</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526" w:type="dxa"/>
        <w:jc w:val="left"/>
        <w:tblInd w:w="0" w:type="dxa"/>
        <w:tblLayout w:type="fixed"/>
        <w:tblCellMar>
          <w:top w:w="28" w:type="dxa"/>
          <w:left w:w="28" w:type="dxa"/>
          <w:bottom w:w="28" w:type="dxa"/>
          <w:right w:w="28" w:type="dxa"/>
        </w:tblCellMar>
      </w:tblPr>
      <w:tblGrid>
        <w:gridCol w:w="1638"/>
        <w:gridCol w:w="1436"/>
        <w:gridCol w:w="1455"/>
        <w:gridCol w:w="238"/>
        <w:gridCol w:w="731"/>
        <w:gridCol w:w="123"/>
        <w:gridCol w:w="123"/>
        <w:gridCol w:w="123"/>
        <w:gridCol w:w="123"/>
        <w:gridCol w:w="238"/>
        <w:gridCol w:w="544"/>
        <w:gridCol w:w="123"/>
        <w:gridCol w:w="109"/>
        <w:gridCol w:w="109"/>
        <w:gridCol w:w="109"/>
        <w:gridCol w:w="211"/>
        <w:gridCol w:w="646"/>
        <w:gridCol w:w="109"/>
        <w:gridCol w:w="109"/>
        <w:gridCol w:w="109"/>
        <w:gridCol w:w="109"/>
        <w:gridCol w:w="211"/>
        <w:gridCol w:w="646"/>
        <w:gridCol w:w="154"/>
      </w:tblGrid>
      <w:tr>
        <w:trPr/>
        <w:tc>
          <w:tcPr>
            <w:tcW w:w="163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earnings/(losses), net of tax:</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benefit plans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cash flow hedges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earnings/(losses)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earnings/(losses)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less: Comprehensive earnings/(losses) </w:t>
              <w:br/>
              <w:t>   attributable to noncontrolling interests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Comprehensive earnings/(losses) attributable to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20"/>
              </w:rPr>
              <w:t>Mondelēz International</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526" w:type="dxa"/>
        <w:jc w:val="center"/>
        <w:tblInd w:w="0" w:type="dxa"/>
        <w:tblLayout w:type="fixed"/>
        <w:tblCellMar>
          <w:top w:w="28" w:type="dxa"/>
          <w:left w:w="28" w:type="dxa"/>
          <w:bottom w:w="28" w:type="dxa"/>
          <w:right w:w="28" w:type="dxa"/>
        </w:tblCellMar>
      </w:tblPr>
      <w:tblGrid>
        <w:gridCol w:w="2355"/>
        <w:gridCol w:w="2063"/>
        <w:gridCol w:w="2091"/>
        <w:gridCol w:w="211"/>
        <w:gridCol w:w="751"/>
        <w:gridCol w:w="109"/>
        <w:gridCol w:w="109"/>
        <w:gridCol w:w="109"/>
        <w:gridCol w:w="109"/>
        <w:gridCol w:w="306"/>
        <w:gridCol w:w="1090"/>
        <w:gridCol w:w="223"/>
      </w:tblGrid>
      <w:tr>
        <w:trPr/>
        <w:tc>
          <w:tcPr>
            <w:tcW w:w="2355"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Trade receivables (net of allowances of $64 at June 30, 2023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20"/>
              </w:rPr>
              <w:t>and $45 at December 31, 2022)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Other receivables (net of allowances of $54 at June 30, 2023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20"/>
              </w:rPr>
              <w:t>and $59 at December 31, 2022)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23,450 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pension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71,161 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employment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pension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postretirement health care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44,241 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12)</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Common Stock, no par value (5,000,000,000 shares authorized and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20"/>
              </w:rPr>
              <w:t>1,996,537,778 shares issued at June 30, 2023 and December 31, 2022)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32,143 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31,481 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Treasury stock, at cost (635,538,156 shares at June 30, 2023 and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20"/>
              </w:rPr>
              <w:t>630,646,687 shares at December 31, 2022)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(25,794)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Mondelēz International Shareholders’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71,161 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73"/>
        <w:gridCol w:w="539"/>
        <w:gridCol w:w="545"/>
        <w:gridCol w:w="181"/>
        <w:gridCol w:w="406"/>
        <w:gridCol w:w="109"/>
        <w:gridCol w:w="109"/>
        <w:gridCol w:w="109"/>
        <w:gridCol w:w="109"/>
        <w:gridCol w:w="181"/>
        <w:gridCol w:w="571"/>
        <w:gridCol w:w="109"/>
        <w:gridCol w:w="109"/>
        <w:gridCol w:w="109"/>
        <w:gridCol w:w="109"/>
        <w:gridCol w:w="181"/>
        <w:gridCol w:w="571"/>
        <w:gridCol w:w="109"/>
        <w:gridCol w:w="109"/>
        <w:gridCol w:w="109"/>
        <w:gridCol w:w="109"/>
        <w:gridCol w:w="230"/>
        <w:gridCol w:w="726"/>
        <w:gridCol w:w="140"/>
        <w:gridCol w:w="109"/>
        <w:gridCol w:w="109"/>
        <w:gridCol w:w="109"/>
        <w:gridCol w:w="181"/>
        <w:gridCol w:w="593"/>
        <w:gridCol w:w="109"/>
        <w:gridCol w:w="109"/>
        <w:gridCol w:w="109"/>
        <w:gridCol w:w="109"/>
        <w:gridCol w:w="331"/>
        <w:gridCol w:w="550"/>
        <w:gridCol w:w="200"/>
        <w:gridCol w:w="109"/>
        <w:gridCol w:w="109"/>
        <w:gridCol w:w="109"/>
        <w:gridCol w:w="181"/>
        <w:gridCol w:w="571"/>
        <w:gridCol w:w="156"/>
      </w:tblGrid>
      <w:tr>
        <w:trPr/>
        <w:tc>
          <w:tcPr>
            <w:tcW w:w="7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Earnings/</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Equity</w:t>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Three Months Ended June 30, 2023</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April 1, 2023</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Exercise of stock options and issuance of</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Cash dividends declared ($0.385 per share)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(10,710)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Six Months Ended June 30, 2023</w:t>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2023</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Exercise of stock options and issuance of</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Cash dividends declared ($0.770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2023</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(10,710)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Three Months Ended June 30, 2022</w:t>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April 1, 2022</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(10,425)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Exercise of stock options and issuance of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Cash dividends declared ($0.350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(10,638)</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Six Months Ended June 30, 2022</w:t>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2022</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(10,624)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Exercise of stock options and issuance of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Cash dividends declared ($0.700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2022</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(10,638)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27,553 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149" w:type="dxa"/>
        <w:jc w:val="left"/>
        <w:tblInd w:w="0" w:type="dxa"/>
        <w:tblLayout w:type="fixed"/>
        <w:tblCellMar>
          <w:top w:w="28" w:type="dxa"/>
          <w:left w:w="28" w:type="dxa"/>
          <w:bottom w:w="28" w:type="dxa"/>
          <w:right w:w="28" w:type="dxa"/>
        </w:tblCellMar>
      </w:tblPr>
      <w:tblGrid>
        <w:gridCol w:w="2839"/>
        <w:gridCol w:w="2495"/>
        <w:gridCol w:w="2511"/>
        <w:gridCol w:w="211"/>
        <w:gridCol w:w="646"/>
        <w:gridCol w:w="109"/>
        <w:gridCol w:w="109"/>
        <w:gridCol w:w="109"/>
        <w:gridCol w:w="109"/>
        <w:gridCol w:w="211"/>
        <w:gridCol w:w="646"/>
        <w:gridCol w:w="154"/>
      </w:tblGrid>
      <w:tr>
        <w:trPr/>
        <w:tc>
          <w:tcPr>
            <w:tcW w:w="2839"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BY/(USED IN) 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earnings to operating cash flows: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provision/(benefit)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impairments and accelerated 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(Gain)/loss on equity method investment transactions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net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from equity method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(gain)/loss on derivative contracts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marketable securities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non-cash items,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Change in assets and liabilities, </w:t>
              <w:br/>
              <w:t>   net of acquisitions and divestitures: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pension and postretirement assets and liabilities,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BY/(USED IN) INVESTING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 net of cash received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divestitures including equity method and marketable security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(Payments)/proceeds from investments and derivative settlements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by/(used in) investing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BY/(USED IN) FINANCING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Issuances of commercial paper, maturities greater than 90 days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(repayments)/issuances of short-term borrowings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proceeds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repayments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Effect of exchange rate changes on cash, cash equivalents </w:t>
              <w:br/>
              <w:t>   and restricted cash</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(Decrease)/Increase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Principles of Consolidation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with readily determinable fair values for which we do not have the ability to exercise significant influence are measured at fair value.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War in Ukraine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February 2022, Russia began a military invasion of Ukraine and we closed our operations and facilities in Ukraine. In March 2022, our two Ukrainian manufacturing facilities in Trostyanets and Vyshhorod were significantly damaged. During the first quarter of 2022, we evaluated and impaired these and other related assets. We recorded $143 million of total expenses ($145 million after-tax) incurred as a direct result of the war. We reversed $22 million during the remainder of 2022 and $3 million during the first six months of 2023 of previously recorded charges primarily as a result of higher than expected collection of trade receivables and inventory recoveries. We continue to make targeted repairs on both our plants and have partially reopened and restarted limited production in both plants. We also continue to support our Ukraine employees, including paying salaries to those not yet able to return to work until full production returns. We continue to consolidate both our Ukrainian and Russian subsidiaries and continue to evaluate our ability to control our operating activities and businesses on an ongoing basis. We base our estimates on historical experience, expectations of future impacts and other assumptions that we believe are reasonable. Given the uncertainty of the ongoing effects of the war in Ukraine, and its impact on the global economic environment, our estimates could be significantly different than future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Highly Inflationary Accounting</w:t>
      </w:r>
    </w:p>
    <w:p>
      <w:pPr>
        <w:pStyle w:val="TextBody"/>
        <w:bidi w:val="0"/>
        <w:spacing w:lineRule="auto" w:line="288" w:before="0" w:after="0"/>
        <w:jc w:val="both"/>
        <w:rPr/>
      </w:pPr>
      <w:r>
        <w:rPr>
          <w:rFonts w:ascii="Arial;sans-serif" w:hAnsi="Arial;sans-serif"/>
          <w:b w:val="false"/>
          <w:color w:val="000000"/>
          <w:sz w:val="20"/>
        </w:rPr>
        <w:t xml:space="preserve">Within our consolidated entities, Argentina and </w:t>
      </w:r>
      <w:r>
        <w:rPr>
          <w:rFonts w:ascii="Arial;sans-serif" w:hAnsi="Arial;sans-serif"/>
          <w:b w:val="false"/>
          <w:i/>
          <w:color w:val="000000"/>
          <w:sz w:val="20"/>
        </w:rPr>
        <w:t xml:space="preserve">Türkiye </w:t>
      </w:r>
      <w:r>
        <w:rPr>
          <w:rFonts w:ascii="Arial;sans-serif" w:hAnsi="Arial;sans-serif"/>
          <w:b w:val="false"/>
          <w:color w:val="000000"/>
          <w:sz w:val="20"/>
        </w:rPr>
        <w:t>(Turkey)</w:t>
      </w:r>
      <w:r>
        <w:rPr>
          <w:color w:val="000000"/>
        </w:rPr>
        <w:t xml:space="preserve"> </w:t>
      </w:r>
      <w:r>
        <w:rPr>
          <w:rFonts w:ascii="Arial;sans-serif" w:hAnsi="Arial;sans-serif"/>
          <w:b w:val="false"/>
          <w:color w:val="000000"/>
          <w:sz w:val="20"/>
        </w:rPr>
        <w:t>are accounted for as highly inflationary economies. Argentina and Türkiye represent 1.6% and 0.8% of our consolidated net revenues with remeasurement losses of $10 million and $16 million for the three months ended June 30, 2023, respectively, and 2.3% and 0.9% of our consolidated net revenues with remeasurement losses of $21 million and $17 million for the six months ended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Cash Equivalents and Restricted Cash</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and cash equivalents include demand deposits with banks and all highly liquid investments with original maturities of three months or less. We also have restricted cash within other current assets of $71 million as of June 30, 2023 and $25 million as of December 31, 2022. Total cash, cash equivalents and restricted cash was $1,553 million as of June 30, 2023 and $1,948 million as of December 31, 2022.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Allowances for Credit Losses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allowances for credit losses consisted of:</w:t>
      </w:r>
    </w:p>
    <w:tbl>
      <w:tblPr>
        <w:tblW w:w="10205" w:type="dxa"/>
        <w:jc w:val="center"/>
        <w:tblInd w:w="0" w:type="dxa"/>
        <w:tblLayout w:type="fixed"/>
        <w:tblCellMar>
          <w:top w:w="28" w:type="dxa"/>
          <w:left w:w="28" w:type="dxa"/>
          <w:bottom w:w="28" w:type="dxa"/>
          <w:right w:w="28" w:type="dxa"/>
        </w:tblCellMar>
      </w:tblPr>
      <w:tblGrid>
        <w:gridCol w:w="1471"/>
        <w:gridCol w:w="976"/>
        <w:gridCol w:w="980"/>
        <w:gridCol w:w="559"/>
        <w:gridCol w:w="998"/>
        <w:gridCol w:w="292"/>
        <w:gridCol w:w="109"/>
        <w:gridCol w:w="109"/>
        <w:gridCol w:w="109"/>
        <w:gridCol w:w="654"/>
        <w:gridCol w:w="1168"/>
        <w:gridCol w:w="341"/>
        <w:gridCol w:w="109"/>
        <w:gridCol w:w="109"/>
        <w:gridCol w:w="109"/>
        <w:gridCol w:w="599"/>
        <w:gridCol w:w="1069"/>
        <w:gridCol w:w="444"/>
      </w:tblGrid>
      <w:tr>
        <w:trPr/>
        <w:tc>
          <w:tcPr>
            <w:tcW w:w="147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Trade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Other Current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Long-Term Receivables</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period provision/(recovery) for expected credit losses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 charged against the allowance</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2023</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Transfers of Financial Assets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outstanding principal amount of receivables under our uncommitted revolving non-recourse accounts receivable factoring arrangements amounted to $744 million as of June 30, 2023 and $516 million as of December 31, 2022. The incremental cost of factoring receivables under this arrangement was not material for all periods presented. The proceeds from the sales of receivables are included in cash from operating activities in the condensed consolidated statements of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Non-Cash Lease Transactions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recorded $62 million in operating lease and $73 million in finance lease right-of-use assets obtained in exchange for lease obligations during the six months ended June 30, 2023 and $125 million in operating lease and $76 million in finance lease right-of-use assets obtained in exchange for lease obligations during the six months ended June 30,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Supply Chain Financing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part of our continued efforts to improve our working capital efficiency, we have worked with our suppliers over the past several years to optimize our terms and conditions, which include the extension of payment terms. Our current payment terms with a majority of our suppliers are from 30 to 180 days, which we deem to be commercially reasonable. We also facilitate voluntary supply chain financing (“SCF”) programs through several participating financial institutions. Under these programs, our suppliers, at their sole discretion, determine invoices that they want to sell to participating financial institutions. Our suppliers’ voluntary inclusion of invoices in SCF programs has no bearing on our payment terms or amounts due. Our responsibility is limited to making payments based upon the agreed-upon contractual terms. No guarantees are provided by the Company or any of our subsidiaries under the SCF programs and we have no economic interest in the suppliers’ decision to participate in the SCF programs. Amounts due to our suppliers that elected to participate in the SCF program are included in accounts payable in our consolidated balance sheet. We have been informed by the participating financial institutions that our outstanding accounts payable related to suppliers that participate in the SCF programs was $2.3 billion and $2.4 billion, respectively, as of June 30, 2023 and December 31,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New Accounting Pronouncements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October 2021, the Financial Accounting Standards Board (“FASB”) issued an Accounting Standards Update (“ASU”) which requires companies to recognize and measure customer contract assets and contract liabilities acquired in a business combination as if the acquiring company originated the related revenue contracts. Prior to adopting this ASU, acquired contract assets and liabilities were measured at fair value. This ASU is effective for fiscal years beginning after December 15, 2022 and early adoption is permitted. We adopted this standard in the first quarter of 2023 and it did not have an impact on our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2022, the FASB issued an ASU which enhances the transparency of supplier finance programs by requiring additional disclosure about the key terms of these programs and a roll-forward of the related obligations to understand the effects of these programs on working capital, liquidity and cash flows. The ASU is effective for fiscal years beginning after December 15, 2022, except for the roll-forward requirement, which is effective for fiscal years beginning after December 15, 2023. Early adoption is permitted. We adopted, with the exception of the roll-forward requirement, this standard in the first quarter of 2023 and it did not have a material impact on our consolidated financial statements and related disclosures.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2. Acquisitions and Divestitures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Acquisitions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Ricolino</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November 1, 2022, we acquired 100% of the equity of Grupo Bimbo's confectionery business, Ricolino, located primarily in Mexico. The acquisition of Ricolino builds on our continued prioritization of fast-growing snacking segments in key geographies. The cash consideration paid for Ricolino totaled $26 billion Mexican pesos ($1.3 billion), net of cash received.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working to complete the valuation of assets acquired and liabilities assumed and have recorded a preliminary purchase price allocation of:</w:t>
      </w:r>
    </w:p>
    <w:p>
      <w:pPr>
        <w:pStyle w:val="TextBody"/>
        <w:bidi w:val="0"/>
        <w:spacing w:before="0" w:after="0"/>
        <w:jc w:val="both"/>
        <w:rPr/>
      </w:pPr>
      <w:r>
        <w:rPr/>
      </w:r>
    </w:p>
    <w:tbl>
      <w:tblPr>
        <w:tblW w:w="4154" w:type="dxa"/>
        <w:jc w:val="left"/>
        <w:tblInd w:w="0" w:type="dxa"/>
        <w:tblLayout w:type="fixed"/>
        <w:tblCellMar>
          <w:top w:w="28" w:type="dxa"/>
          <w:left w:w="28" w:type="dxa"/>
          <w:bottom w:w="28" w:type="dxa"/>
          <w:right w:w="28" w:type="dxa"/>
        </w:tblCellMar>
      </w:tblPr>
      <w:tblGrid>
        <w:gridCol w:w="1095"/>
        <w:gridCol w:w="963"/>
        <w:gridCol w:w="971"/>
        <w:gridCol w:w="238"/>
        <w:gridCol w:w="713"/>
        <w:gridCol w:w="174"/>
      </w:tblGrid>
      <w:tr>
        <w:trPr/>
        <w:tc>
          <w:tcPr>
            <w:tcW w:w="109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 right of use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Definite-life intangible assets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Indefinite-life intangible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acquired</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1,614</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purchase price</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1,330</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received</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Paid</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1,308</w:t>
            </w: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Within </w:t>
      </w:r>
      <w:r>
        <w:rPr>
          <w:rFonts w:ascii="Arial;sans-serif" w:hAnsi="Arial;sans-serif"/>
          <w:b w:val="false"/>
          <w:color w:val="000000"/>
          <w:sz w:val="20"/>
          <w:shd w:fill="FFFFFF" w:val="clear"/>
        </w:rPr>
        <w:t>identifiable</w:t>
      </w:r>
      <w:r>
        <w:rPr>
          <w:color w:val="000000"/>
        </w:rPr>
        <w:t xml:space="preserve"> </w:t>
      </w:r>
      <w:r>
        <w:rPr>
          <w:rFonts w:ascii="Arial;sans-serif" w:hAnsi="Arial;sans-serif"/>
          <w:b w:val="false"/>
          <w:color w:val="000000"/>
          <w:sz w:val="20"/>
        </w:rPr>
        <w:t xml:space="preserve">intangible assets, we allocated $339 million to trade names, which have an indefinite life. The fair value for the </w:t>
      </w:r>
      <w:r>
        <w:rPr>
          <w:rFonts w:ascii="Arial;sans-serif" w:hAnsi="Arial;sans-serif"/>
          <w:b w:val="false"/>
          <w:i/>
          <w:color w:val="000000"/>
          <w:sz w:val="20"/>
        </w:rPr>
        <w:t xml:space="preserve">Ricolino, Dulces Vero, LaCorona and Coronado </w:t>
      </w:r>
      <w:r>
        <w:rPr>
          <w:rFonts w:ascii="Arial;sans-serif" w:hAnsi="Arial;sans-serif"/>
          <w:b w:val="false"/>
          <w:color w:val="000000"/>
          <w:sz w:val="20"/>
        </w:rPr>
        <w:t xml:space="preserve">trade names were determined using the Relief from Royalty method, a form of the income approach, at the acquisition date. The fair value measurement of indefinite-life intangible assets are based on significant </w:t>
      </w:r>
      <w:r>
        <w:rPr>
          <w:rFonts w:ascii="Arial;sans-serif" w:hAnsi="Arial;sans-serif"/>
          <w:b w:val="false"/>
          <w:color w:val="000000"/>
          <w:sz w:val="20"/>
          <w:shd w:fill="FFFFFF" w:val="clear"/>
        </w:rPr>
        <w:t>unobservable inputs, and thus represent Leve</w:t>
      </w:r>
      <w:r>
        <w:rPr>
          <w:rFonts w:ascii="Arial;sans-serif" w:hAnsi="Arial;sans-serif"/>
          <w:b w:val="false"/>
          <w:color w:val="000000"/>
          <w:sz w:val="20"/>
        </w:rPr>
        <w:t>l 3 inputs. Significant assumptions used in assessing the fair values of intangible assets include estimates of future sales, discount and royalty rates.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Goodwill was determined as the excess of the purchase price over the fair value of the net assets acquired and arises principally as a result of expansion opportunities and synergies across both new and legacy product categories in Mexico. None of the goodwill recognized is expected to be deductible for income tax purposes. All of the goodwill was assigned to the Latin America operating segment.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Ricolino added incremental net revenues of $155 million during the three months and $326 million during the six months ended June 30, 2023, and operating income of $7 million during the three months and $16 million during the six months ended June 30, 2023. We incurred acquisition integration costs of $10 million during the three months and $16 million during the six months ended June 30, 2023. We incurred $1 million of acquisition-related costs during the three months and six months ended June 30,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Clif Bar</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August 1, 2022, we acquired 100% of the equity of Clif Bar &amp; Company (“Clif Bar”), a leading U.S. maker of nutritious energy bars with organic ingredients. The acquisition expands our global snack bar business and complements our refrigerated snacking and performance nutrition bar portfolios. The total cash payment of $2.9 billion includes purchase price consideration of $2.6 billion, net of cash received, and one-time compensation expense of $0.3 billion related to the buyout of the non-vested employee stock ownership plan ("ESOP")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compensation expense is considered an acquisition-related cost. The acquisition of Clif Bar includes a contingent consideration arrangement that may require us to pay additional consideration to the sellers for achieving certain revenue and earnings targets in 2025 and 2026 that exceed our base financial projections for the business implied in the upfront purchase price. The possible payments range from zero to a maximum total of $2.4 billion, with higher payouts requiring the achievement of targets that generate rates of returns in excess of the base financial projections. The estimated fair value of the contingent consideration obligation at the acquisition date was $440 million determined using a Monte Carlo simulation. Significant assumptions used in assessing the fair value of the liability include financial projections for net revenue, gross profit, and earnings before interest, tax, depreciation and amortization ("EBITDA"), as well as discount and volatility rates.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working to complete the valuation of assets acquired and liabilities assumed and have recorded a preliminary purchase price allocation of:</w:t>
      </w:r>
    </w:p>
    <w:p>
      <w:pPr>
        <w:pStyle w:val="TextBody"/>
        <w:bidi w:val="0"/>
        <w:spacing w:before="0" w:after="0"/>
        <w:jc w:val="left"/>
        <w:rPr/>
      </w:pPr>
      <w:r>
        <w:rPr/>
      </w:r>
    </w:p>
    <w:tbl>
      <w:tblPr>
        <w:tblW w:w="4154" w:type="dxa"/>
        <w:jc w:val="left"/>
        <w:tblInd w:w="0" w:type="dxa"/>
        <w:tblLayout w:type="fixed"/>
        <w:tblCellMar>
          <w:top w:w="28" w:type="dxa"/>
          <w:left w:w="28" w:type="dxa"/>
          <w:bottom w:w="28" w:type="dxa"/>
          <w:right w:w="28" w:type="dxa"/>
        </w:tblCellMar>
      </w:tblPr>
      <w:tblGrid>
        <w:gridCol w:w="1095"/>
        <w:gridCol w:w="963"/>
        <w:gridCol w:w="971"/>
        <w:gridCol w:w="238"/>
        <w:gridCol w:w="713"/>
        <w:gridCol w:w="174"/>
      </w:tblGrid>
      <w:tr>
        <w:trPr/>
        <w:tc>
          <w:tcPr>
            <w:tcW w:w="109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 right of use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Definite-life intangible assets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Indefinite-life intangible assets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acquired</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3,271</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purchase price</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2,657</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received</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Paid</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2,558</w:t>
            </w: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Within identifiable intangible assets, we allocated $1,450 million to trade names, which have an indefinite life. The fair value for the </w:t>
      </w:r>
      <w:r>
        <w:rPr>
          <w:rFonts w:ascii="Arial;sans-serif" w:hAnsi="Arial;sans-serif"/>
          <w:b w:val="false"/>
          <w:i/>
          <w:color w:val="000000"/>
          <w:sz w:val="20"/>
          <w:shd w:fill="FFFFFF" w:val="clear"/>
        </w:rPr>
        <w:t xml:space="preserve">Clif </w:t>
      </w:r>
      <w:r>
        <w:rPr>
          <w:rFonts w:ascii="Arial;sans-serif" w:hAnsi="Arial;sans-serif"/>
          <w:b w:val="false"/>
          <w:color w:val="000000"/>
          <w:sz w:val="20"/>
          <w:shd w:fill="FFFFFF" w:val="clear"/>
        </w:rPr>
        <w:t>and</w:t>
      </w:r>
      <w:r>
        <w:rPr>
          <w:color w:val="000000"/>
          <w:shd w:fill="FFFFFF" w:val="clear"/>
        </w:rPr>
        <w:t xml:space="preserve"> </w:t>
      </w:r>
      <w:r>
        <w:rPr>
          <w:rFonts w:ascii="Arial;sans-serif" w:hAnsi="Arial;sans-serif"/>
          <w:b w:val="false"/>
          <w:i/>
          <w:color w:val="000000"/>
          <w:sz w:val="20"/>
          <w:shd w:fill="FFFFFF" w:val="clear"/>
        </w:rPr>
        <w:t>Luna</w:t>
      </w:r>
      <w:r>
        <w:rPr>
          <w:color w:val="000000"/>
          <w:shd w:fill="FFFFFF" w:val="clear"/>
        </w:rPr>
        <w:t xml:space="preserve"> </w:t>
      </w:r>
      <w:r>
        <w:rPr>
          <w:rFonts w:ascii="Arial;sans-serif" w:hAnsi="Arial;sans-serif"/>
          <w:b w:val="false"/>
          <w:color w:val="000000"/>
          <w:sz w:val="20"/>
          <w:shd w:fill="FFFFFF" w:val="clear"/>
        </w:rPr>
        <w:t>trade names, were determined using the Relief from Royalty method, a form of the income approach, at the acquisition date. The fair value measurement of intangible assets are based on significant unobservable inputs, and thus represent Leve</w:t>
      </w:r>
      <w:r>
        <w:rPr>
          <w:rFonts w:ascii="Arial;sans-serif" w:hAnsi="Arial;sans-serif"/>
          <w:b w:val="false"/>
          <w:color w:val="000000"/>
          <w:sz w:val="20"/>
        </w:rPr>
        <w:t>l 3 inputs. Significant assumptions used in assessing the fair values of intangible assets include forecasted future revenue, discount and royalty rates. We expect to generate a meaningful cash tax benefit over time from the amortization of acquisition-related intangibles.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Goodwill was determined as the excess of the purchase price over the fair value of the net assets acquired and arises principally as a result of expansion opportunities and synergies across the U.S. and other key markets. All of the goodwill was assigned to the North America operating segment. Tax deductible goodwill is expected to be $1.4 billion and will be amortized.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Clif Bar added incremental net revenues of $240 million during the three months and $458 million during the six months ended June 30, 2023, and operating income of $35 million during the three months and $70 million during the six months ended June 30, 2023. We incurred acquisition integration costs of $16 million during the three months and $55 million during the six months ended June 30, 2023. These acquisition integration costs include an increase to the contingent consideration liability due to changes to underlying assumptions. Refer to Note 9,</w:t>
      </w:r>
      <w:r>
        <w:rPr>
          <w:color w:val="000000"/>
        </w:rPr>
        <w:t xml:space="preserve">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for additional information. We incurred $4 million of acquisition-related costs during the three months and six months ended June 30,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Chipita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January 3, 2022, we acquired 100% of the equity of Chipita Global S.A. (“Chipita”), a leading croissants and baked snacks company in the Central and Eastern European markets. The acquisition of Chipita offers a strategic complement to our existing portfolio and advances our strategy to become the global leader in broader snacking. The cash consideration paid for Chipita totaled €1.2 billion ($1.4 billion), net of cash received, plus the assumption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of Chipita’s debt of €0.4 billion ($0.4 billion) for a total purchase price of €1.7 billion ($1.8 billion).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recorded a purchase price allocation of net tangible and intangible assets acquired and liabilities assumed as follows:</w:t>
      </w:r>
    </w:p>
    <w:tbl>
      <w:tblPr>
        <w:tblW w:w="4113" w:type="dxa"/>
        <w:jc w:val="left"/>
        <w:tblInd w:w="0" w:type="dxa"/>
        <w:tblLayout w:type="fixed"/>
        <w:tblCellMar>
          <w:top w:w="28" w:type="dxa"/>
          <w:left w:w="28" w:type="dxa"/>
          <w:bottom w:w="28" w:type="dxa"/>
          <w:right w:w="28" w:type="dxa"/>
        </w:tblCellMar>
      </w:tblPr>
      <w:tblGrid>
        <w:gridCol w:w="1041"/>
        <w:gridCol w:w="916"/>
        <w:gridCol w:w="923"/>
        <w:gridCol w:w="239"/>
        <w:gridCol w:w="717"/>
        <w:gridCol w:w="123"/>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 right of use assets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Definite-life intangible assets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Indefinite-life intangible assets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acquired</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2,210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purchase price</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1,890</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 received</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Paid</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1,402</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Within identifiable intangible assets, we allocated $686 million to trade names, which have an indefinite life. The fair value for the </w:t>
      </w:r>
      <w:r>
        <w:rPr>
          <w:rFonts w:ascii="Arial;sans-serif" w:hAnsi="Arial;sans-serif"/>
          <w:b w:val="false"/>
          <w:i/>
          <w:color w:val="000000"/>
          <w:sz w:val="20"/>
          <w:shd w:fill="FFFFFF" w:val="clear"/>
        </w:rPr>
        <w:t>7 Days</w:t>
      </w:r>
      <w:r>
        <w:rPr>
          <w:color w:val="000000"/>
          <w:shd w:fill="FFFFFF" w:val="clear"/>
        </w:rPr>
        <w:t xml:space="preserve"> </w:t>
      </w:r>
      <w:r>
        <w:rPr>
          <w:rFonts w:ascii="Arial;sans-serif" w:hAnsi="Arial;sans-serif"/>
          <w:b w:val="false"/>
          <w:color w:val="000000"/>
          <w:sz w:val="20"/>
          <w:shd w:fill="FFFFFF" w:val="clear"/>
        </w:rPr>
        <w:t>trade name, which is the primary asset acquired, was determined using the multi-period excess earnings method under the income approach at the acquisition date. The fair value measurements of intangible assets are based on significant unobservable inputs, and thus represent Leve</w:t>
      </w:r>
      <w:r>
        <w:rPr>
          <w:rFonts w:ascii="Arial;sans-serif" w:hAnsi="Arial;sans-serif"/>
          <w:b w:val="false"/>
          <w:color w:val="000000"/>
          <w:sz w:val="20"/>
        </w:rPr>
        <w:t>l 3 inputs. Significant assumptions used in assessing the fair values of intangible assets include forecasted future cash flows and discount rates.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Goodwill was determined as the excess of the purchase price over the fair value of the net assets acquired and arises principally as a result of expansion opportunities and synergies across both new and legacy product categories. None of the goodwill recognized is expected to be deductible for income tax purposes. All of the goodwill was assigned to the Europe operating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incurred acquisition integration costs of $4 million during the three months and $10 million during the six months ended June 30, 2023. We incurred acquisition integration costs of $36 million during the three months and $71 million during the six months ended June 30, 2022. We incurred acquisition-related costs of $21 million during the six months ended June 30, 2022.</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Divestitures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Developed Market Gum - Held for Sale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December 16, 2022, we entered into an agreement to sell our developed market gum business in North America and Europe for $1.4 billion. It is expected to close in Q4 2023, subject to relevant antitrust approvals and closing conditions. In connection with these agreements, we concluded that the disposal group met the held for sale criteria as of December 31, 2022. The disposal group is included as part of the North America and Europe operating segments.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incurred divestiture-related costs of $22 million in the three months ended June 30, 2023 and $52 million in the six months ended June 30, 2023.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assets and liabilities held for sale are comprised of the following:</w:t>
      </w:r>
    </w:p>
    <w:p>
      <w:pPr>
        <w:pStyle w:val="TextBody"/>
        <w:bidi w:val="0"/>
        <w:spacing w:before="0" w:after="0"/>
        <w:jc w:val="left"/>
        <w:rPr/>
      </w:pPr>
      <w:r>
        <w:rPr/>
      </w:r>
    </w:p>
    <w:tbl>
      <w:tblPr>
        <w:tblW w:w="7149" w:type="dxa"/>
        <w:jc w:val="left"/>
        <w:tblInd w:w="0" w:type="dxa"/>
        <w:tblLayout w:type="fixed"/>
        <w:tblCellMar>
          <w:top w:w="28" w:type="dxa"/>
          <w:left w:w="28" w:type="dxa"/>
          <w:bottom w:w="28" w:type="dxa"/>
          <w:right w:w="28" w:type="dxa"/>
        </w:tblCellMar>
      </w:tblPr>
      <w:tblGrid>
        <w:gridCol w:w="1271"/>
        <w:gridCol w:w="1116"/>
        <w:gridCol w:w="1122"/>
        <w:gridCol w:w="268"/>
        <w:gridCol w:w="823"/>
        <w:gridCol w:w="138"/>
        <w:gridCol w:w="109"/>
        <w:gridCol w:w="109"/>
        <w:gridCol w:w="109"/>
        <w:gridCol w:w="435"/>
        <w:gridCol w:w="1332"/>
        <w:gridCol w:w="317"/>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Current assets held for sale </w:t>
            </w:r>
            <w:r>
              <w:rPr>
                <w:rFonts w:ascii="Arial;sans-serif" w:hAnsi="Arial;sans-serif"/>
                <w:b/>
                <w:color w:val="000000"/>
                <w:sz w:val="13"/>
              </w:rPr>
              <w:t>(1)</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Noncurrent assets held for sale </w:t>
            </w:r>
            <w:r>
              <w:rPr>
                <w:rFonts w:ascii="Arial;sans-serif" w:hAnsi="Arial;sans-serif"/>
                <w:b/>
                <w:color w:val="000000"/>
                <w:sz w:val="13"/>
              </w:rPr>
              <w:t>(2)</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employment costs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Current liabilities held for sale </w:t>
            </w:r>
            <w:r>
              <w:rPr>
                <w:rFonts w:ascii="Arial;sans-serif" w:hAnsi="Arial;sans-serif"/>
                <w:b/>
                <w:color w:val="000000"/>
                <w:sz w:val="13"/>
              </w:rPr>
              <w:t>(3)</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pension costs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Noncurrent liabilities held for sale </w:t>
            </w:r>
            <w:r>
              <w:rPr>
                <w:rFonts w:ascii="Arial;sans-serif" w:hAnsi="Arial;sans-serif"/>
                <w:b/>
                <w:color w:val="000000"/>
                <w:sz w:val="13"/>
              </w:rPr>
              <w:t>(4)</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40" w:after="283"/>
        <w:ind w:left="0" w:right="0" w:hanging="270"/>
        <w:jc w:val="both"/>
        <w:rPr>
          <w:rFonts w:ascii="Arial;sans-serif" w:hAnsi="Arial;sans-serif"/>
          <w:b w:val="false"/>
          <w:color w:val="000000"/>
          <w:sz w:val="16"/>
        </w:rPr>
      </w:pPr>
      <w:r>
        <w:rPr>
          <w:rFonts w:ascii="Arial;sans-serif" w:hAnsi="Arial;sans-serif"/>
          <w:b w:val="false"/>
          <w:color w:val="000000"/>
          <w:sz w:val="16"/>
        </w:rPr>
        <w:t>(1)Reported in Other current assets on the condensed consolidated balance sheets.</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(2)Reported in Other assets on the condensed consolidated balance sheets.</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(3)Reported in Other current liabilities on the condensed consolidated balance sheets.</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(4)Reported in Other liabilities on the condensed consolidated balance sheets.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3. Inventories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5379" w:type="dxa"/>
        <w:jc w:val="left"/>
        <w:tblInd w:w="0" w:type="dxa"/>
        <w:tblLayout w:type="fixed"/>
        <w:tblCellMar>
          <w:top w:w="28" w:type="dxa"/>
          <w:left w:w="28" w:type="dxa"/>
          <w:bottom w:w="28" w:type="dxa"/>
          <w:right w:w="28" w:type="dxa"/>
        </w:tblCellMar>
      </w:tblPr>
      <w:tblGrid>
        <w:gridCol w:w="630"/>
        <w:gridCol w:w="553"/>
        <w:gridCol w:w="556"/>
        <w:gridCol w:w="268"/>
        <w:gridCol w:w="823"/>
        <w:gridCol w:w="138"/>
        <w:gridCol w:w="109"/>
        <w:gridCol w:w="109"/>
        <w:gridCol w:w="109"/>
        <w:gridCol w:w="435"/>
        <w:gridCol w:w="1332"/>
        <w:gridCol w:w="317"/>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product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reserves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4. Property, Plant and Equipment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plant and equipment consisted of the following:</w:t>
      </w:r>
    </w:p>
    <w:tbl>
      <w:tblPr>
        <w:tblW w:w="6940" w:type="dxa"/>
        <w:jc w:val="center"/>
        <w:tblInd w:w="0" w:type="dxa"/>
        <w:tblLayout w:type="fixed"/>
        <w:tblCellMar>
          <w:top w:w="28" w:type="dxa"/>
          <w:left w:w="28" w:type="dxa"/>
          <w:bottom w:w="28" w:type="dxa"/>
          <w:right w:w="28" w:type="dxa"/>
        </w:tblCellMar>
      </w:tblPr>
      <w:tblGrid>
        <w:gridCol w:w="1195"/>
        <w:gridCol w:w="1050"/>
        <w:gridCol w:w="1055"/>
        <w:gridCol w:w="268"/>
        <w:gridCol w:w="823"/>
        <w:gridCol w:w="138"/>
        <w:gridCol w:w="109"/>
        <w:gridCol w:w="109"/>
        <w:gridCol w:w="109"/>
        <w:gridCol w:w="435"/>
        <w:gridCol w:w="1332"/>
        <w:gridCol w:w="317"/>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land improvements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building improvements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16,231 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months ended June 30, 2023, capital expenditures of $495 million excluded $305 million of accrued capital expenditures remaining unpaid at June 30, 2023 and included payment for the $324 million of capital expenditures that were accrued and unpaid at December 31, 2022. For the six months ended June 30, 2022, capital expenditures of $385 million excluded $239 million of accrued capital expenditures remaining unpaid at June 30, 2022 and included payment for the $249 million of capital expenditures that were accrued and unpaid at December 31,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5. Goodwill and Intangible Assets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goodwill consisted of (in millions):</w:t>
      </w:r>
    </w:p>
    <w:p>
      <w:pPr>
        <w:pStyle w:val="TextBody"/>
        <w:bidi w:val="0"/>
        <w:spacing w:before="0" w:after="0"/>
        <w:jc w:val="both"/>
        <w:rPr/>
      </w:pPr>
      <w:r>
        <w:rPr/>
      </w:r>
    </w:p>
    <w:tbl>
      <w:tblPr>
        <w:tblW w:w="9604" w:type="dxa"/>
        <w:jc w:val="left"/>
        <w:tblInd w:w="0" w:type="dxa"/>
        <w:tblLayout w:type="fixed"/>
        <w:tblCellMar>
          <w:top w:w="28" w:type="dxa"/>
          <w:left w:w="28" w:type="dxa"/>
          <w:bottom w:w="28" w:type="dxa"/>
          <w:right w:w="28" w:type="dxa"/>
        </w:tblCellMar>
      </w:tblPr>
      <w:tblGrid>
        <w:gridCol w:w="1267"/>
        <w:gridCol w:w="873"/>
        <w:gridCol w:w="664"/>
        <w:gridCol w:w="262"/>
        <w:gridCol w:w="803"/>
        <w:gridCol w:w="135"/>
        <w:gridCol w:w="109"/>
        <w:gridCol w:w="109"/>
        <w:gridCol w:w="109"/>
        <w:gridCol w:w="211"/>
        <w:gridCol w:w="646"/>
        <w:gridCol w:w="109"/>
        <w:gridCol w:w="109"/>
        <w:gridCol w:w="109"/>
        <w:gridCol w:w="109"/>
        <w:gridCol w:w="211"/>
        <w:gridCol w:w="646"/>
        <w:gridCol w:w="109"/>
        <w:gridCol w:w="109"/>
        <w:gridCol w:w="109"/>
        <w:gridCol w:w="109"/>
        <w:gridCol w:w="245"/>
        <w:gridCol w:w="873"/>
        <w:gridCol w:w="126"/>
        <w:gridCol w:w="109"/>
        <w:gridCol w:w="109"/>
        <w:gridCol w:w="109"/>
        <w:gridCol w:w="211"/>
        <w:gridCol w:w="75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2022</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Acquisitions </w:t>
            </w:r>
            <w:r>
              <w:rPr>
                <w:rFonts w:ascii="Arial;sans-serif" w:hAnsi="Arial;sans-serif"/>
                <w:b w:val="false"/>
                <w:color w:val="000000"/>
                <w:sz w:val="13"/>
              </w:rPr>
              <w:t>(1)</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Held for Sale </w:t>
            </w:r>
            <w:r>
              <w:rPr>
                <w:rFonts w:ascii="Arial;sans-serif" w:hAnsi="Arial;sans-serif"/>
                <w:b w:val="false"/>
                <w:color w:val="000000"/>
                <w:sz w:val="13"/>
              </w:rPr>
              <w:t>(1)</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2022</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Acquisitions </w:t>
            </w:r>
            <w:r>
              <w:rPr>
                <w:rFonts w:ascii="Arial;sans-serif" w:hAnsi="Arial;sans-serif"/>
                <w:b w:val="false"/>
                <w:color w:val="000000"/>
                <w:sz w:val="13"/>
              </w:rPr>
              <w:t>(1) (2)</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2023</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Note 2, </w:t>
      </w:r>
      <w:r>
        <w:rPr>
          <w:rFonts w:ascii="Arial;sans-serif" w:hAnsi="Arial;sans-serif"/>
          <w:b w:val="false"/>
          <w:i/>
          <w:color w:val="000000"/>
          <w:sz w:val="16"/>
        </w:rPr>
        <w:t>Acquisitions and Divestitures</w:t>
      </w:r>
      <w:r>
        <w:rPr>
          <w:color w:val="000000"/>
        </w:rPr>
        <w:t xml:space="preserve"> </w:t>
      </w:r>
      <w:r>
        <w:rPr>
          <w:rFonts w:ascii="Arial;sans-serif" w:hAnsi="Arial;sans-serif"/>
          <w:b w:val="false"/>
          <w:color w:val="000000"/>
          <w:sz w:val="16"/>
        </w:rPr>
        <w:t>for more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(2)Relates to purchase price allocation adjustments for Ricolino and Clif Bar during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Intangible Assets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Intangible assets consisted of the following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7"/>
        <w:gridCol w:w="409"/>
        <w:gridCol w:w="411"/>
        <w:gridCol w:w="228"/>
        <w:gridCol w:w="812"/>
        <w:gridCol w:w="117"/>
        <w:gridCol w:w="109"/>
        <w:gridCol w:w="109"/>
        <w:gridCol w:w="109"/>
        <w:gridCol w:w="275"/>
        <w:gridCol w:w="844"/>
        <w:gridCol w:w="142"/>
        <w:gridCol w:w="109"/>
        <w:gridCol w:w="109"/>
        <w:gridCol w:w="109"/>
        <w:gridCol w:w="224"/>
        <w:gridCol w:w="797"/>
        <w:gridCol w:w="115"/>
        <w:gridCol w:w="109"/>
        <w:gridCol w:w="109"/>
        <w:gridCol w:w="109"/>
        <w:gridCol w:w="228"/>
        <w:gridCol w:w="812"/>
        <w:gridCol w:w="117"/>
        <w:gridCol w:w="109"/>
        <w:gridCol w:w="109"/>
        <w:gridCol w:w="109"/>
        <w:gridCol w:w="275"/>
        <w:gridCol w:w="844"/>
        <w:gridCol w:w="142"/>
        <w:gridCol w:w="109"/>
        <w:gridCol w:w="109"/>
        <w:gridCol w:w="109"/>
        <w:gridCol w:w="223"/>
        <w:gridCol w:w="795"/>
        <w:gridCol w:w="173"/>
      </w:tblGrid>
      <w:tr>
        <w:trPr/>
        <w:tc>
          <w:tcPr>
            <w:tcW w:w="58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Definite-life intangible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Indefinite-life intangible assets </w:t>
            </w:r>
            <w:r>
              <w:rPr>
                <w:rFonts w:ascii="Arial;sans-serif" w:hAnsi="Arial;sans-serif"/>
                <w:b w:val="false"/>
                <w:color w:val="000000"/>
                <w:sz w:val="13"/>
              </w:rPr>
              <w:t>(1)</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(1)In 2022, we recorded $101 million of intangible asset impairment charges related to two biscuit brands in the AMEA segment, of which $78 million was recorded in the first quarter and $23 million was recorded in the third quarter.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Indefinite-life intangible assets consist principally of brand names purchased through our acquisitions of Nabisco Holdings Corp., the global </w:t>
      </w:r>
      <w:r>
        <w:rPr>
          <w:rFonts w:ascii="Arial;sans-serif" w:hAnsi="Arial;sans-serif"/>
          <w:b w:val="false"/>
          <w:i/>
          <w:color w:val="000000"/>
          <w:sz w:val="20"/>
        </w:rPr>
        <w:t>LU</w:t>
      </w:r>
      <w:r>
        <w:rPr>
          <w:color w:val="000000"/>
        </w:rPr>
        <w:t xml:space="preserve"> </w:t>
      </w:r>
      <w:r>
        <w:rPr>
          <w:rFonts w:ascii="Arial;sans-serif" w:hAnsi="Arial;sans-serif"/>
          <w:b w:val="false"/>
          <w:color w:val="000000"/>
          <w:sz w:val="20"/>
        </w:rPr>
        <w:t xml:space="preserve">biscuit business of Groupe Danone S.A., Cadbury Limited and Clif Bar. Definite-life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intangible assets consist primarily of trademarks, customer-related intangibles, process technology, licenses and non-compete agreements.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Amortization expense for intangible assets was $37 million for the three months and $76 million for the six months ended June 30, 2023 and $32 million for the three months and $64 million for the six months ended June 30, 2022. For the next five years, we currently estimate annual amortization expense of approximately $150 million in 2023-2025, approximately $95 million in 2026 and approximately $90 million in 2027 (reflecting June 30, 2023 exchange rates).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Impairment Assessment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test our reporting units and brands for impairment annually as of July 1, or more frequently if events or circumstances indicate it is more likely than not that the fair value of a reporting unit or brand is less than its carrying amount. During the second quarter of 2023, we evaluated our goodwill impairment and intangible asset impairment risk through an assessment of potential triggering events. We considered qualitative and quantitative information in our assessment. We concluded there were no impairment indicators.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our 2022 annual indefinite-life intangible asset testing, we identified eight brands that each had a fair value in excess of book value of 10% or less. The aggregate book value of the eight brands was $1.6 billion as of June 30, 2023. We believe our current plans for each of these brands will allow them to not be impaired, but if the brand earnings expectations are not met or specific valuation factors outside of our control, such as discount rates, change significantly then a brand or brands could become impaired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6. Investments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Marketable Securities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reduction in ownership in Keurig Dr Pepper Inc. (Nasdaq: "KDP") during the first quarter of 2023, to below 5% of the outstanding shares, resulted in a change of accounting for our KDP investment, from equity method investment accounting to accounting for equity interests with readily determinable fair values ("marketable securities") as we no longer have significant influence. These marketable securities are measured at fair value based on quoted prices in active markets for identical assets (Level 1).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8, 2023, we sold 23 million shares of KDP, which reduced our ownership by 1.6%, from 3.2% to 1.6% of the total outstanding shares. We received proceeds of approximately $708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2, 2023, we sold 30 million shares of KDP, which reduced our ownership interest by 2.1%, from 5.3% to 3.2% of the total outstanding shares. We received proceeds of approximately $1.0 billion and recorded a pre-tax gain on equity method transactions of $493 million (or $366 million after tax) during the first quarter of 2023.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Pre-tax gains and losses for marketable securities are summarized below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93"/>
        <w:gridCol w:w="1665"/>
        <w:gridCol w:w="1675"/>
        <w:gridCol w:w="626"/>
        <w:gridCol w:w="1429"/>
        <w:gridCol w:w="323"/>
        <w:gridCol w:w="109"/>
        <w:gridCol w:w="109"/>
        <w:gridCol w:w="109"/>
        <w:gridCol w:w="530"/>
        <w:gridCol w:w="1346"/>
        <w:gridCol w:w="391"/>
      </w:tblGrid>
      <w:tr>
        <w:trPr/>
        <w:tc>
          <w:tcPr>
            <w:tcW w:w="1893"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2023</w:t>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Loss/(gain) on marketable securities sold during the period</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loss/(gain) on equity securities held as of the end of the period</w:t>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income</w:t>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loss/(gain) on marketable securities</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table above, loss/(gain) on marketable securities sold during the period reflects the difference between the sale proceeds and the carrying value of the equity securities at the beginning of the period or the date of the change of accounting for our investment in KDP, if later.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reported marketable securities of $705 million as of June 30, 2023 in other current assets in the Company's Condensed Consolidated Balance Sheet.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13, 2023, we sold the remainder of our KDP investment, approximately 23 million shares, and received approximately $704 million in proceeds.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Equity Method Investments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equity method investments include, but are not limited to, our ownership interests in JDE Peet's (Euronext Amsterdam: "JDEP"), Dong Suh Foods Corporation and Dong Suh Oil &amp; Fats Co. Ltd. Our ownership interests may change over time due to investee stock-based compensation arrangements, share issuances or other equity-related transactions. As of June 30, 2023, we owned 18.1%, 50.0% and 49.0%, respectively, of these companies' outstanding shares.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investments accounted for under the equity method of accounting totaled $3.2 billion as of June 30, 2023 and $4.9 billion as of December 31, 2022. The investment balance as of December 31, 2022 is inclusive of our investment in KDP. We recorded equity earnings of $71 million and cash dividends of zero in the three months ended June 30, 2023, and equity earnings of $98 million and cash dividends of $14 million in the three months ended June 30, 2022. We recorded equity earnings of $106 million and cash dividends of $102 million in the six months ended June 30, 2023 and equity earnings of $215 million and cash dividends of $121 million in the six months ended June 30,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Based on the quoted closing prices as of June 30, 2023, the fair value of our publicly-traded investment in JDEP wa</w:t>
      </w:r>
      <w:r>
        <w:rPr>
          <w:rFonts w:ascii="Arial;sans-serif" w:hAnsi="Arial;sans-serif"/>
          <w:b w:val="false"/>
          <w:color w:val="000000"/>
          <w:sz w:val="20"/>
          <w:shd w:fill="FFFFFF" w:val="clear"/>
        </w:rPr>
        <w:t>s $2.6 billion</w:t>
      </w:r>
      <w:r>
        <w:rPr>
          <w:rFonts w:ascii="Arial;sans-serif" w:hAnsi="Arial;sans-serif"/>
          <w:b w:val="false"/>
          <w:color w:val="000000"/>
          <w:sz w:val="20"/>
        </w:rPr>
        <w:t>, and there was no other than temporary impairment identified.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JDEP Transactions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3, 2023, we sold approximately 7.7 million shares of JDEP, which reduced our ownership interest by 1.6%, from 19.7% to 18.1% of the total outstanding shares. We received cash proceeds of €198 million ($217 million) and recorded a loss of €18 million ($19 million) on this sale during the three months ended June 30, 2023. We continue to have board representation with two directors on JDEP's Board of Directors and have retained certain additional governance rights. As we continue to have significant influence, we continue to account for our investment in JDEP under the equity method.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30, 2023, we issued options to sell shares of JDEP in tranches equivalent to approximately 7.7 million shares. These options are exercisable at their maturities which are between July 3, 2023 and September 29, 2023, with strike prices ranging from €26.10 to €28.71 per share. If all options issued on March 30, 2023 are exercised, our ownership interest will be reduced by an additional 1.6%.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8, 2022, we sold approximately 18.6 million of our JDEP shares back to JDEP, which reduced our ownership interest by approximately 3%. We received cash proceeds of €500 million ($529 million) and recorded a loss of €8 million ($8 million) on this sale during the three months ended June 30, 2022.</w:t>
      </w:r>
    </w:p>
    <w:p>
      <w:pPr>
        <w:pStyle w:val="TextBody"/>
        <w:bidi w:val="0"/>
        <w:spacing w:lineRule="auto" w:line="288" w:before="0" w:after="0"/>
        <w:jc w:val="both"/>
        <w:rPr/>
      </w:pPr>
      <w:r>
        <w:rPr>
          <w:rFonts w:ascii="Arial;sans-serif" w:hAnsi="Arial;sans-serif"/>
          <w:b w:val="false"/>
          <w:color w:val="000000"/>
          <w:sz w:val="20"/>
        </w:rPr>
        <w:t xml:space="preserve">In 2021, we issued €300 million exchangeable bonds, which are redeemable at maturity in September 2024 at their principal amount in cash or, at our option, through the delivery of an equivalent number of JDEP’s ordinary shares based on an initial exchange price of €35.40 and, as the case may be, an additional amount in cash. If all bonds were redeemed in exchange for JDEP's shares, this would represent approximately 8.5 million shares or approximately 10% of our equity interest in JDEP as of June 30, 2023. Refer to Note 9, </w:t>
      </w:r>
      <w:r>
        <w:rPr>
          <w:rFonts w:ascii="Arial;sans-serif" w:hAnsi="Arial;sans-serif"/>
          <w:b w:val="false"/>
          <w:i/>
          <w:color w:val="000000"/>
          <w:sz w:val="20"/>
        </w:rPr>
        <w:t>Financial Instruments</w:t>
      </w:r>
      <w:r>
        <w:rPr>
          <w:rFonts w:ascii="Arial;sans-serif" w:hAnsi="Arial;sans-serif"/>
          <w:b w:val="false"/>
          <w:color w:val="000000"/>
          <w:sz w:val="20"/>
        </w:rPr>
        <w:t>, for further details on this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7. Restructuring Program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and on July 25, 2023, our Board of Directors approved a further extension of the restructuring program through December 31, 2024.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primary objective of the Simplify to Grow Program is to reduce our operating cost structure in both our supply chain and overhead costs. The program covers severance as well as asset disposals and other manufacturing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procurement-related one-time costs. Since inception, we have incurred total restructuring and implementation charges of $5.2 billion related to the Simplify to Grow Program. We expect to incur the remainder of the program charges by year-end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Restructuring Costs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Simplify to Grow Program liability activity for the six months ended June 30, 2023 was:</w:t>
      </w:r>
    </w:p>
    <w:tbl>
      <w:tblPr>
        <w:tblW w:w="7979" w:type="dxa"/>
        <w:jc w:val="left"/>
        <w:tblInd w:w="0" w:type="dxa"/>
        <w:tblLayout w:type="fixed"/>
        <w:tblCellMar>
          <w:top w:w="28" w:type="dxa"/>
          <w:left w:w="28" w:type="dxa"/>
          <w:bottom w:w="28" w:type="dxa"/>
          <w:right w:w="28" w:type="dxa"/>
        </w:tblCellMar>
      </w:tblPr>
      <w:tblGrid>
        <w:gridCol w:w="1222"/>
        <w:gridCol w:w="1072"/>
        <w:gridCol w:w="1080"/>
        <w:gridCol w:w="261"/>
        <w:gridCol w:w="595"/>
        <w:gridCol w:w="135"/>
        <w:gridCol w:w="109"/>
        <w:gridCol w:w="109"/>
        <w:gridCol w:w="109"/>
        <w:gridCol w:w="613"/>
        <w:gridCol w:w="1182"/>
        <w:gridCol w:w="319"/>
        <w:gridCol w:w="109"/>
        <w:gridCol w:w="109"/>
        <w:gridCol w:w="109"/>
        <w:gridCol w:w="211"/>
        <w:gridCol w:w="481"/>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Severance</w:t>
              <w:br/>
              <w:t>and related</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Asset</w:t>
            </w:r>
          </w:p>
          <w:p>
            <w:pPr>
              <w:pStyle w:val="TableContents"/>
              <w:bidi w:val="0"/>
              <w:spacing w:lineRule="auto" w:line="240" w:before="0" w:after="0"/>
              <w:jc w:val="center"/>
              <w:rPr/>
            </w:pPr>
            <w:r>
              <w:rPr>
                <w:rFonts w:ascii="Arial;sans-serif" w:hAnsi="Arial;sans-serif"/>
                <w:b/>
                <w:color w:val="000000"/>
                <w:sz w:val="16"/>
              </w:rPr>
              <w:t xml:space="preserve">Write-downs and Other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balance, January 1, 2023</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Charges</w:t>
            </w:r>
            <w:r>
              <w:rPr>
                <w:color w:val="000000"/>
              </w:rPr>
              <w:t xml:space="preserve"> </w:t>
            </w:r>
            <w:r>
              <w:rPr>
                <w:rFonts w:ascii="Arial;sans-serif" w:hAnsi="Arial;sans-serif"/>
                <w:b w:val="false"/>
                <w:color w:val="000000"/>
                <w:sz w:val="13"/>
              </w:rPr>
              <w:t>(2)</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spent</w:t>
            </w:r>
            <w:r>
              <w:rPr>
                <w:color w:val="000000"/>
              </w:rPr>
              <w:t xml:space="preserve"> </w:t>
            </w:r>
            <w:r>
              <w:rPr>
                <w:rFonts w:ascii="Arial;sans-serif" w:hAnsi="Arial;sans-serif"/>
                <w:b w:val="false"/>
                <w:color w:val="000000"/>
                <w:sz w:val="13"/>
              </w:rPr>
              <w:t>(3)</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Non-cash settlements/adjustments </w:t>
            </w:r>
            <w:r>
              <w:rPr>
                <w:rFonts w:ascii="Arial;sans-serif" w:hAnsi="Arial;sans-serif"/>
                <w:b w:val="false"/>
                <w:color w:val="000000"/>
                <w:sz w:val="13"/>
              </w:rPr>
              <w:t>(4)</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Liability balance, June 30, 2023 </w:t>
            </w:r>
            <w:r>
              <w:rPr>
                <w:rFonts w:ascii="Arial;sans-serif" w:hAnsi="Arial;sans-serif"/>
                <w:b w:val="false"/>
                <w:color w:val="000000"/>
                <w:sz w:val="13"/>
              </w:rPr>
              <w:t>(5)</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gains as a result of assets sold which are included in the restructuring program.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(2)We recorded restructuring charges of $2 million in the three months ended June 30, 2023 and $4 million in the three months ended June 30, 2022 and restructuring charges of $32 million in the six months ended June 30, 2023 and $15 million in the six months ended June 30, 2022 within asset impairment and exit costs and benefit plan non-service income.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(3)We spent $17 million in the three months ended June 30, 2023 and $16 million in the three months ended June 30, 2022 and spent $35 million in the six months ended June 30, 2023 and $33 million in the six months ended June 30, 2022 in cash severance and related costs.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(4)We recognized non-cash asset write-downs (including accelerated depreciation and asset impairments), and other non-cash adjustments, including any gains on sale of restructuring program assets, which totaled a charge of $5 million in the three months ended June 30, 2023 and a charge of $7 million in the three months ended June 30, 2022 and a charge of $6 million in the six months ended June 30, 2023 and $9 million in the six months ended June 30, 2022.</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(5)At June 30, 2023, $118 million of our net restructuring liability was recorded within other current liabilities and $41 million was recorded within other long-term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Implementation Costs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$4 million in the three months ended June 30, 2023 and $19 million in the three months ended June 30, 2022, and we recorded implementation costs of $9 million in the six months ended June 30, 2023 and $39 million in the six months ended June 30, 2022. We recorded these costs within cost of sales and general corporate expense within selling, general and administrative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Restructuring and Implementation Costs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six months ended June 30, 2023 and June 30, 2022, and since inception of the Simplify to Grow Program, we recorded the following restructuring and implementation costs within segment operating income and earnings before income taxes:</w:t>
      </w:r>
    </w:p>
    <w:tbl>
      <w:tblPr>
        <w:tblW w:w="10205" w:type="dxa"/>
        <w:jc w:val="left"/>
        <w:tblInd w:w="0" w:type="dxa"/>
        <w:tblLayout w:type="fixed"/>
        <w:tblCellMar>
          <w:top w:w="28" w:type="dxa"/>
          <w:left w:w="28" w:type="dxa"/>
          <w:bottom w:w="28" w:type="dxa"/>
          <w:right w:w="28" w:type="dxa"/>
        </w:tblCellMar>
      </w:tblPr>
      <w:tblGrid>
        <w:gridCol w:w="1324"/>
        <w:gridCol w:w="897"/>
        <w:gridCol w:w="901"/>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09"/>
        <w:gridCol w:w="109"/>
        <w:gridCol w:w="109"/>
        <w:gridCol w:w="109"/>
        <w:gridCol w:w="237"/>
        <w:gridCol w:w="541"/>
        <w:gridCol w:w="123"/>
        <w:gridCol w:w="109"/>
        <w:gridCol w:w="109"/>
        <w:gridCol w:w="109"/>
        <w:gridCol w:w="211"/>
        <w:gridCol w:w="646"/>
        <w:gridCol w:w="156"/>
      </w:tblGrid>
      <w:tr>
        <w:trPr/>
        <w:tc>
          <w:tcPr>
            <w:tcW w:w="13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June 30, 2023</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June 30, 2022</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For the Six Months Ended June 30, 2023</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For the Six Months Ended June 30, 2022</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Project </w:t>
              <w:br/>
              <w:t>(Inception to Date)</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5,188 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8. Debt and Borrowing Arrangements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Short-Term Borrowings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short-term borrowings and related weighted-average interest rates consisted of:</w:t>
      </w:r>
    </w:p>
    <w:tbl>
      <w:tblPr>
        <w:tblW w:w="8132" w:type="dxa"/>
        <w:jc w:val="left"/>
        <w:tblInd w:w="0" w:type="dxa"/>
        <w:tblLayout w:type="fixed"/>
        <w:tblCellMar>
          <w:top w:w="28" w:type="dxa"/>
          <w:left w:w="28" w:type="dxa"/>
          <w:bottom w:w="28" w:type="dxa"/>
          <w:right w:w="28" w:type="dxa"/>
        </w:tblCellMar>
      </w:tblPr>
      <w:tblGrid>
        <w:gridCol w:w="902"/>
        <w:gridCol w:w="792"/>
        <w:gridCol w:w="795"/>
        <w:gridCol w:w="242"/>
        <w:gridCol w:w="742"/>
        <w:gridCol w:w="127"/>
        <w:gridCol w:w="109"/>
        <w:gridCol w:w="109"/>
        <w:gridCol w:w="109"/>
        <w:gridCol w:w="270"/>
        <w:gridCol w:w="271"/>
        <w:gridCol w:w="656"/>
        <w:gridCol w:w="109"/>
        <w:gridCol w:w="109"/>
        <w:gridCol w:w="109"/>
        <w:gridCol w:w="242"/>
        <w:gridCol w:w="742"/>
        <w:gridCol w:w="127"/>
        <w:gridCol w:w="123"/>
        <w:gridCol w:w="123"/>
        <w:gridCol w:w="123"/>
        <w:gridCol w:w="238"/>
        <w:gridCol w:w="238"/>
        <w:gridCol w:w="72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loans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borrowings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uncommitted credit lines and committed credit lines available as of June 30, 2023 and December 31, 2022 include:</w:t>
      </w:r>
    </w:p>
    <w:tbl>
      <w:tblPr>
        <w:tblW w:w="9506" w:type="dxa"/>
        <w:jc w:val="left"/>
        <w:tblInd w:w="0" w:type="dxa"/>
        <w:tblLayout w:type="fixed"/>
        <w:tblCellMar>
          <w:top w:w="28" w:type="dxa"/>
          <w:left w:w="28" w:type="dxa"/>
          <w:bottom w:w="28" w:type="dxa"/>
          <w:right w:w="28" w:type="dxa"/>
        </w:tblCellMar>
      </w:tblPr>
      <w:tblGrid>
        <w:gridCol w:w="939"/>
        <w:gridCol w:w="826"/>
        <w:gridCol w:w="830"/>
        <w:gridCol w:w="298"/>
        <w:gridCol w:w="913"/>
        <w:gridCol w:w="154"/>
        <w:gridCol w:w="109"/>
        <w:gridCol w:w="109"/>
        <w:gridCol w:w="109"/>
        <w:gridCol w:w="476"/>
        <w:gridCol w:w="850"/>
        <w:gridCol w:w="249"/>
        <w:gridCol w:w="109"/>
        <w:gridCol w:w="109"/>
        <w:gridCol w:w="109"/>
        <w:gridCol w:w="298"/>
        <w:gridCol w:w="914"/>
        <w:gridCol w:w="153"/>
        <w:gridCol w:w="111"/>
        <w:gridCol w:w="111"/>
        <w:gridCol w:w="111"/>
        <w:gridCol w:w="461"/>
        <w:gridCol w:w="821"/>
        <w:gridCol w:w="337"/>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Uncommitted credit facilities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facilities:</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February 22, 2023 </w:t>
            </w:r>
            <w:r>
              <w:rPr>
                <w:rFonts w:ascii="Arial;sans-serif" w:hAnsi="Arial;sans-serif"/>
                <w:b w:val="false"/>
                <w:color w:val="000000"/>
                <w:sz w:val="13"/>
              </w:rPr>
              <w:t>(1)</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March 11, 2023 </w:t>
            </w:r>
            <w:r>
              <w:rPr>
                <w:rFonts w:ascii="Arial;sans-serif" w:hAnsi="Arial;sans-serif"/>
                <w:b w:val="false"/>
                <w:color w:val="000000"/>
                <w:sz w:val="13"/>
              </w:rPr>
              <w:t>(1)</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December 29, 2023 </w:t>
            </w:r>
            <w:r>
              <w:rPr>
                <w:rFonts w:ascii="Arial;sans-serif" w:hAnsi="Arial;sans-serif"/>
                <w:b w:val="false"/>
                <w:color w:val="000000"/>
                <w:sz w:val="13"/>
              </w:rPr>
              <w:t>(1)</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February 21, 2024 </w:t>
            </w:r>
            <w:r>
              <w:rPr>
                <w:rFonts w:ascii="Arial;sans-serif" w:hAnsi="Arial;sans-serif"/>
                <w:b w:val="false"/>
                <w:color w:val="000000"/>
                <w:sz w:val="13"/>
              </w:rPr>
              <w:t>(1)</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July 29, 2025 </w:t>
            </w:r>
            <w:r>
              <w:rPr>
                <w:rFonts w:ascii="Arial;sans-serif" w:hAnsi="Arial;sans-serif"/>
                <w:b w:val="false"/>
                <w:color w:val="000000"/>
                <w:sz w:val="13"/>
              </w:rPr>
              <w:t>(1) (3)</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October 18, 2025 </w:t>
            </w:r>
            <w:r>
              <w:rPr>
                <w:rFonts w:ascii="Arial;sans-serif" w:hAnsi="Arial;sans-serif"/>
                <w:b w:val="false"/>
                <w:color w:val="000000"/>
                <w:sz w:val="13"/>
              </w:rPr>
              <w:t>(2)</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February 23, 2027 </w:t>
            </w:r>
            <w:r>
              <w:rPr>
                <w:rFonts w:ascii="Arial;sans-serif" w:hAnsi="Arial;sans-serif"/>
                <w:b w:val="false"/>
                <w:color w:val="000000"/>
                <w:sz w:val="13"/>
              </w:rPr>
              <w:t>(1)</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 pensions and other retirement plans. At June 30, 2023, we complied with this covenant as our shareholders' equity, as defined by the covenant, was $39.4 billion. The revolving credit facility also contains customary representations, covenants and events of default. There are no credit rating triggers, provisions or other financial covenants that could require us to post collateral as security.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(2)On April 18, 2023, we entered into a credit facility secured by pledged deposits. Under this agreement, we may draw up to a total of $0.2 billion in loans from the facility. On April 25, 2023, we drew down $0.2 billion bearing a variable rate based on SOFR plus an applicable margin.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(3)On March 31, 2022, we entered into a supplemental term loan credit facility that can be utilized for general corporate purposes, including acquisitions. Under this agreement, we may draw up to a total of $2.0 billion in term loans from the facility. Amounts borrowed and repaid under the facility may not be reborrowed. On July 29, 2022, we drew down $2.0 billion in term loans, due July 29, 2025, bearing interest at a variable annual rate based on SOFR plus an applicable margin. We repaid $1.0 billion on March 3, 2023, $0.3 billion on April 3, 2023, and $0.7 billion on May 3, 2023 in term loans.</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Long-Term Debt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June 30, 2023, the Company reclassified the net carrying value of debt of $500 million due within one year from long-term debt to current portion of long-term debt.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Our Debt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fair value of our short-term borrowings reflects current market interest rates and approximates the amounts we have recorded on our consolidated balance sheets. The fair value of our term loans was determined using quoted prices for similar instruments in markets that are not active (Level 2 valuation data) and approximates the amounts we have recorded on our consolidated balance sheets. The fair value of our long-term debt was determined using quoted prices in active markets (Level 1 valuation data) for the publicly traded debt obligations. </w:t>
      </w:r>
    </w:p>
    <w:p>
      <w:pPr>
        <w:pStyle w:val="TextBody"/>
        <w:bidi w:val="0"/>
        <w:spacing w:before="0" w:after="0"/>
        <w:jc w:val="both"/>
        <w:rPr/>
      </w:pPr>
      <w:r>
        <w:rPr/>
      </w:r>
    </w:p>
    <w:tbl>
      <w:tblPr>
        <w:tblW w:w="5440" w:type="dxa"/>
        <w:jc w:val="left"/>
        <w:tblInd w:w="0" w:type="dxa"/>
        <w:tblLayout w:type="fixed"/>
        <w:tblCellMar>
          <w:top w:w="28" w:type="dxa"/>
          <w:left w:w="28" w:type="dxa"/>
          <w:bottom w:w="28" w:type="dxa"/>
          <w:right w:w="28" w:type="dxa"/>
        </w:tblCellMar>
      </w:tblPr>
      <w:tblGrid>
        <w:gridCol w:w="505"/>
        <w:gridCol w:w="444"/>
        <w:gridCol w:w="445"/>
        <w:gridCol w:w="322"/>
        <w:gridCol w:w="1147"/>
        <w:gridCol w:w="166"/>
        <w:gridCol w:w="109"/>
        <w:gridCol w:w="109"/>
        <w:gridCol w:w="109"/>
        <w:gridCol w:w="394"/>
        <w:gridCol w:w="1403"/>
        <w:gridCol w:w="287"/>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Carrying Value</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Interest and Other Expense, net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Interest and other expense, net consisted of:</w:t>
      </w:r>
    </w:p>
    <w:tbl>
      <w:tblPr>
        <w:tblW w:w="7953" w:type="dxa"/>
        <w:jc w:val="left"/>
        <w:tblInd w:w="0" w:type="dxa"/>
        <w:tblLayout w:type="fixed"/>
        <w:tblCellMar>
          <w:top w:w="28" w:type="dxa"/>
          <w:left w:w="28" w:type="dxa"/>
          <w:bottom w:w="28" w:type="dxa"/>
          <w:right w:w="28" w:type="dxa"/>
        </w:tblCellMar>
      </w:tblPr>
      <w:tblGrid>
        <w:gridCol w:w="1109"/>
        <w:gridCol w:w="972"/>
        <w:gridCol w:w="979"/>
        <w:gridCol w:w="274"/>
        <w:gridCol w:w="625"/>
        <w:gridCol w:w="141"/>
        <w:gridCol w:w="141"/>
        <w:gridCol w:w="141"/>
        <w:gridCol w:w="141"/>
        <w:gridCol w:w="274"/>
        <w:gridCol w:w="488"/>
        <w:gridCol w:w="141"/>
        <w:gridCol w:w="109"/>
        <w:gridCol w:w="109"/>
        <w:gridCol w:w="109"/>
        <w:gridCol w:w="235"/>
        <w:gridCol w:w="537"/>
        <w:gridCol w:w="121"/>
        <w:gridCol w:w="121"/>
        <w:gridCol w:w="121"/>
        <w:gridCol w:w="121"/>
        <w:gridCol w:w="235"/>
        <w:gridCol w:w="537"/>
        <w:gridCol w:w="172"/>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debt</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Loss on debt extinguishment and </w:t>
              <w:br/>
              <w:t>   related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(income)/expense, net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Other (income)/expense, net includes amounts excluded from hedge effectiveness related to our net investment hedge derivative contracts. Refer to Note 9, </w:t>
      </w:r>
      <w:r>
        <w:rPr>
          <w:rFonts w:ascii="Arial;sans-serif" w:hAnsi="Arial;sans-serif"/>
          <w:b w:val="false"/>
          <w:i/>
          <w:color w:val="000000"/>
          <w:sz w:val="20"/>
        </w:rPr>
        <w:t>Financial Instruments</w:t>
      </w:r>
      <w:r>
        <w:rPr>
          <w:rFonts w:ascii="Arial;sans-serif" w:hAnsi="Arial;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9. Financial Instruments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Derivative Instruments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Derivative instruments were recorded at fair value in the condensed consolidated balance sheets as follows:</w:t>
      </w:r>
    </w:p>
    <w:tbl>
      <w:tblPr>
        <w:tblW w:w="8968" w:type="dxa"/>
        <w:jc w:val="left"/>
        <w:tblInd w:w="0" w:type="dxa"/>
        <w:tblLayout w:type="fixed"/>
        <w:tblCellMar>
          <w:top w:w="28" w:type="dxa"/>
          <w:left w:w="28" w:type="dxa"/>
          <w:bottom w:w="28" w:type="dxa"/>
          <w:right w:w="28" w:type="dxa"/>
        </w:tblCellMar>
      </w:tblPr>
      <w:tblGrid>
        <w:gridCol w:w="1457"/>
        <w:gridCol w:w="1279"/>
        <w:gridCol w:w="1284"/>
        <w:gridCol w:w="213"/>
        <w:gridCol w:w="652"/>
        <w:gridCol w:w="111"/>
        <w:gridCol w:w="109"/>
        <w:gridCol w:w="109"/>
        <w:gridCol w:w="109"/>
        <w:gridCol w:w="213"/>
        <w:gridCol w:w="652"/>
        <w:gridCol w:w="111"/>
        <w:gridCol w:w="109"/>
        <w:gridCol w:w="109"/>
        <w:gridCol w:w="109"/>
        <w:gridCol w:w="257"/>
        <w:gridCol w:w="586"/>
        <w:gridCol w:w="133"/>
        <w:gridCol w:w="115"/>
        <w:gridCol w:w="115"/>
        <w:gridCol w:w="115"/>
        <w:gridCol w:w="254"/>
        <w:gridCol w:w="580"/>
        <w:gridCol w:w="187"/>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Derivatives designated as</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accounting hedges: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investment hedge derivative contracts </w:t>
            </w:r>
            <w:r>
              <w:rPr>
                <w:rFonts w:ascii="Arial;sans-serif" w:hAnsi="Arial;sans-serif"/>
                <w:b w:val="false"/>
                <w:color w:val="000000"/>
                <w:sz w:val="13"/>
              </w:rPr>
              <w:t>(1)</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Derivatives not designated as </w:t>
              <w:br/>
              <w:t>   accounting hedges:</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Equity method investment contracts </w:t>
            </w:r>
            <w:r>
              <w:rPr>
                <w:rFonts w:ascii="Arial;sans-serif" w:hAnsi="Arial;sans-serif"/>
                <w:b w:val="false"/>
                <w:color w:val="000000"/>
                <w:sz w:val="13"/>
              </w:rPr>
              <w:t>(2)</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fair value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sans-serif" w:hAnsi="Arial;sans-serif"/>
          <w:b w:val="false"/>
          <w:i/>
          <w:color w:val="000000"/>
          <w:sz w:val="16"/>
        </w:rPr>
        <w:t>Debt and Borrowing Arrangements</w:t>
      </w:r>
      <w:r>
        <w:rPr>
          <w:rFonts w:ascii="Arial;sans-serif" w:hAnsi="Arial;sans-serif"/>
          <w:b w:val="false"/>
          <w:color w:val="000000"/>
          <w:sz w:val="16"/>
        </w:rPr>
        <w:t>. Both net investment hedge derivative contracts and non-U.S. dollar denominated debt acting as net investment hedges are also disclosed in the</w:t>
      </w:r>
      <w:r>
        <w:rPr>
          <w:color w:val="000000"/>
        </w:rPr>
        <w:t xml:space="preserve"> </w:t>
      </w:r>
      <w:r>
        <w:rPr>
          <w:rFonts w:ascii="Arial;sans-serif" w:hAnsi="Arial;sans-serif"/>
          <w:b w:val="false"/>
          <w:i/>
          <w:color w:val="000000"/>
          <w:sz w:val="16"/>
        </w:rPr>
        <w:t>Derivative Volume</w:t>
      </w:r>
      <w:r>
        <w:rPr>
          <w:color w:val="000000"/>
        </w:rPr>
        <w:t xml:space="preserve"> </w:t>
      </w:r>
      <w:r>
        <w:rPr>
          <w:rFonts w:ascii="Arial;sans-serif" w:hAnsi="Arial;sans-serif"/>
          <w:b w:val="false"/>
          <w:color w:val="000000"/>
          <w:sz w:val="16"/>
        </w:rPr>
        <w:t xml:space="preserve">table and the </w:t>
      </w:r>
      <w:r>
        <w:rPr>
          <w:rFonts w:ascii="Arial;sans-serif" w:hAnsi="Arial;sans-serif"/>
          <w:b w:val="false"/>
          <w:i/>
          <w:color w:val="000000"/>
          <w:sz w:val="16"/>
        </w:rPr>
        <w:t>Hedges of Net Investments in International Operations</w:t>
      </w:r>
      <w:r>
        <w:rPr>
          <w:color w:val="000000"/>
        </w:rPr>
        <w:t xml:space="preserve"> </w:t>
      </w:r>
      <w:r>
        <w:rPr>
          <w:rFonts w:ascii="Arial;sans-serif" w:hAnsi="Arial;sans-serif"/>
          <w:b w:val="false"/>
          <w:color w:val="000000"/>
          <w:sz w:val="16"/>
        </w:rPr>
        <w:t>section appearing later in this footnote.</w:t>
      </w:r>
    </w:p>
    <w:p>
      <w:pPr>
        <w:pStyle w:val="TextBody"/>
        <w:bidi w:val="0"/>
        <w:spacing w:lineRule="auto" w:line="288" w:before="0" w:after="0"/>
        <w:ind w:left="0" w:right="0" w:hanging="360"/>
        <w:jc w:val="both"/>
        <w:rPr/>
      </w:pPr>
      <w:r>
        <w:rPr>
          <w:rFonts w:ascii="Arial;sans-serif" w:hAnsi="Arial;sans-serif"/>
          <w:b w:val="false"/>
          <w:color w:val="000000"/>
          <w:sz w:val="16"/>
        </w:rPr>
        <w:t xml:space="preserve">(2)Equity method investment contracts consist of two types of derivatives: (a) options to sell shares of JDEP in tranches equivalent to approximately 7.7 million shares that are exercisable at maturity over the third quarter of 2023 with strike prices ranging between €26.10 and €28.71 per share and (b) the bifurcated embedded derivative option that was a component of the September 20, 2021 €300 million exchangeable bonds issuance. Refer to Note 8, </w:t>
      </w:r>
      <w:r>
        <w:rPr>
          <w:rFonts w:ascii="Arial;sans-serif" w:hAnsi="Arial;sans-serif"/>
          <w:b w:val="false"/>
          <w:i/>
          <w:color w:val="000000"/>
          <w:sz w:val="16"/>
        </w:rPr>
        <w:t>Debt and Borrowing Arrangements</w:t>
      </w:r>
      <w:r>
        <w:rPr>
          <w:rFonts w:ascii="Arial;sans-serif" w:hAnsi="Arial;sans-serif"/>
          <w:b w:val="false"/>
          <w:color w:val="000000"/>
          <w:sz w:val="16"/>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 derivative assets and liabilities on a gross basis on our condensed consolidated balance sheets. The fair value of our asset derivatives is recorded within other current assets and other assets and the fair value of our liability derivatives is recorded within other current liabilities and other liabilities.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22"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(asset/(liability)) of our derivative instruments were determined using:</w:t>
      </w:r>
    </w:p>
    <w:tbl>
      <w:tblPr>
        <w:tblW w:w="9834" w:type="dxa"/>
        <w:jc w:val="left"/>
        <w:tblInd w:w="0" w:type="dxa"/>
        <w:tblLayout w:type="fixed"/>
        <w:tblCellMar>
          <w:top w:w="28" w:type="dxa"/>
          <w:left w:w="28" w:type="dxa"/>
          <w:bottom w:w="28" w:type="dxa"/>
          <w:right w:w="28" w:type="dxa"/>
        </w:tblCellMar>
      </w:tblPr>
      <w:tblGrid>
        <w:gridCol w:w="1184"/>
        <w:gridCol w:w="1040"/>
        <w:gridCol w:w="1045"/>
        <w:gridCol w:w="371"/>
        <w:gridCol w:w="847"/>
        <w:gridCol w:w="193"/>
        <w:gridCol w:w="109"/>
        <w:gridCol w:w="109"/>
        <w:gridCol w:w="109"/>
        <w:gridCol w:w="414"/>
        <w:gridCol w:w="797"/>
        <w:gridCol w:w="215"/>
        <w:gridCol w:w="109"/>
        <w:gridCol w:w="109"/>
        <w:gridCol w:w="109"/>
        <w:gridCol w:w="395"/>
        <w:gridCol w:w="901"/>
        <w:gridCol w:w="205"/>
        <w:gridCol w:w="109"/>
        <w:gridCol w:w="109"/>
        <w:gridCol w:w="109"/>
        <w:gridCol w:w="340"/>
        <w:gridCol w:w="656"/>
        <w:gridCol w:w="250"/>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2023</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contracts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contracts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9835" w:type="dxa"/>
        <w:jc w:val="left"/>
        <w:tblInd w:w="0" w:type="dxa"/>
        <w:tblLayout w:type="fixed"/>
        <w:tblCellMar>
          <w:top w:w="28" w:type="dxa"/>
          <w:left w:w="28" w:type="dxa"/>
          <w:bottom w:w="28" w:type="dxa"/>
          <w:right w:w="28" w:type="dxa"/>
        </w:tblCellMar>
      </w:tblPr>
      <w:tblGrid>
        <w:gridCol w:w="1185"/>
        <w:gridCol w:w="1042"/>
        <w:gridCol w:w="1043"/>
        <w:gridCol w:w="371"/>
        <w:gridCol w:w="847"/>
        <w:gridCol w:w="193"/>
        <w:gridCol w:w="109"/>
        <w:gridCol w:w="109"/>
        <w:gridCol w:w="109"/>
        <w:gridCol w:w="414"/>
        <w:gridCol w:w="797"/>
        <w:gridCol w:w="215"/>
        <w:gridCol w:w="109"/>
        <w:gridCol w:w="109"/>
        <w:gridCol w:w="109"/>
        <w:gridCol w:w="395"/>
        <w:gridCol w:w="901"/>
        <w:gridCol w:w="205"/>
        <w:gridCol w:w="109"/>
        <w:gridCol w:w="109"/>
        <w:gridCol w:w="109"/>
        <w:gridCol w:w="340"/>
        <w:gridCol w:w="656"/>
        <w:gridCol w:w="250"/>
      </w:tblGrid>
      <w:tr>
        <w:trPr/>
        <w:tc>
          <w:tcPr>
            <w:tcW w:w="118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contracts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contracts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Level 1 financial assets and liabilities consist of exchange-traded commodity futures and listed options. The fair value of these instruments is determined based on quoted market prices on commodity exchanges.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 expected volatility of the JDE Peet’s shares over the life of the option.</w:t>
      </w:r>
      <w:r>
        <w:rPr>
          <w:color w:val="000000"/>
        </w:rPr>
        <w:t xml:space="preserve"> </w:t>
      </w:r>
      <w:r>
        <w:rPr>
          <w:rFonts w:ascii="Arial;sans-serif" w:hAnsi="Arial;sans-serif"/>
          <w:b w:val="false"/>
          <w:color w:val="000000"/>
          <w:sz w:val="20"/>
        </w:rPr>
        <w:t>Our options to sell shares of JDEP are valued using the Black-Scholes option pricing model. This model requires assumptions related to the stock price of JDE Peet's shares, strike price of each European style option, time to expiry, expected dividend yield and the interpolated market-implied volatility of JDE Peet's active market of listed options.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23" name="Frame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Derivative Volume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notional values of our hedging instruments were:</w:t>
      </w:r>
    </w:p>
    <w:tbl>
      <w:tblPr>
        <w:tblW w:w="8830" w:type="dxa"/>
        <w:jc w:val="left"/>
        <w:tblInd w:w="0" w:type="dxa"/>
        <w:tblLayout w:type="fixed"/>
        <w:tblCellMar>
          <w:top w:w="28" w:type="dxa"/>
          <w:left w:w="28" w:type="dxa"/>
          <w:bottom w:w="28" w:type="dxa"/>
          <w:right w:w="28" w:type="dxa"/>
        </w:tblCellMar>
      </w:tblPr>
      <w:tblGrid>
        <w:gridCol w:w="1879"/>
        <w:gridCol w:w="1652"/>
        <w:gridCol w:w="1659"/>
        <w:gridCol w:w="268"/>
        <w:gridCol w:w="823"/>
        <w:gridCol w:w="138"/>
        <w:gridCol w:w="109"/>
        <w:gridCol w:w="109"/>
        <w:gridCol w:w="109"/>
        <w:gridCol w:w="435"/>
        <w:gridCol w:w="1332"/>
        <w:gridCol w:w="317"/>
      </w:tblGrid>
      <w:tr>
        <w:trPr/>
        <w:tc>
          <w:tcPr>
            <w:tcW w:w="187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Intercompany loans and forecasted interest payments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Commodity contracts</w:t>
            </w:r>
            <w:r>
              <w:rPr>
                <w:color w:val="000000"/>
              </w:rPr>
              <w:t xml:space="preserve"> </w:t>
            </w:r>
            <w:r>
              <w:rPr>
                <w:rFonts w:ascii="Arial;sans-serif" w:hAnsi="Arial;sans-serif"/>
                <w:b w:val="false"/>
                <w:color w:val="000000"/>
                <w:sz w:val="13"/>
              </w:rPr>
              <w:t>(1)</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derivative contracts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Non-U.S. dollar debt designated as net investment hedges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Euro notes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Swiss franc notes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Canadian dollar notes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Arial;sans-serif" w:hAnsi="Arial;sans-serif"/>
          <w:b w:val="false"/>
          <w:color w:val="000000"/>
          <w:sz w:val="16"/>
        </w:rPr>
      </w:pPr>
      <w:r>
        <w:rPr>
          <w:rFonts w:ascii="Arial;sans-serif" w:hAnsi="Arial;sans-serif"/>
          <w:b w:val="false"/>
          <w:color w:val="000000"/>
          <w:sz w:val="16"/>
        </w:rPr>
        <w:t>(1)Prior year notional value has been revised.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Cash Flow Hedges</w:t>
      </w:r>
    </w:p>
    <w:p>
      <w:pPr>
        <w:pStyle w:val="TextBody"/>
        <w:bidi w:val="0"/>
        <w:spacing w:lineRule="auto" w:line="288" w:before="0" w:after="0"/>
        <w:jc w:val="both"/>
        <w:rPr/>
      </w:pPr>
      <w:r>
        <w:rPr>
          <w:rFonts w:ascii="Arial;sans-serif" w:hAnsi="Arial;sans-serif"/>
          <w:b w:val="false"/>
          <w:color w:val="000000"/>
          <w:sz w:val="20"/>
        </w:rPr>
        <w:t xml:space="preserve">Cash flow hedge activity, net of taxes, is recorded within accumulated other comprehensive earnings/(losses). Refer to Note 13, </w:t>
      </w:r>
      <w:r>
        <w:rPr>
          <w:rFonts w:ascii="Arial;sans-serif" w:hAnsi="Arial;sans-serif"/>
          <w:b w:val="false"/>
          <w:i/>
          <w:color w:val="000000"/>
          <w:sz w:val="20"/>
        </w:rPr>
        <w:t>Reclassifications from Accumulated Other Comprehensive Income</w:t>
      </w:r>
      <w:r>
        <w:rPr>
          <w:color w:val="000000"/>
        </w:rPr>
        <w:t xml:space="preserve"> </w:t>
      </w:r>
      <w:r>
        <w:rPr>
          <w:rFonts w:ascii="Arial;sans-serif" w:hAnsi="Arial;sans-serif"/>
          <w:b w:val="false"/>
          <w:color w:val="000000"/>
          <w:sz w:val="20"/>
        </w:rPr>
        <w:t>for further information on current period activity.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current market conditions, we would expect to transfer losses of $8 million (net of taxes) for interest rate cash flow hedges to earnings during the next 12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 Hedge Coverage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June 30, 2023, our longest dated cash flow hedges were interest rate swaps that hedge forecasted interest rate payments over the next 3 years, 2 months.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Hedges of Net Investments in International Operations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investment hedge ("NIH") derivative contracts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enter into cross-currency interest rate swaps, forwards and options to hedge certain investments in our non-U.S. operations against movements in exchange rates. The aggregate notional value as of June 30, 2023 was $7.8 billion.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investment hedge derivative contract impacts on other comprehensive earnings and net earnings were: </w:t>
      </w:r>
    </w:p>
    <w:tbl>
      <w:tblPr>
        <w:tblW w:w="7878" w:type="dxa"/>
        <w:jc w:val="left"/>
        <w:tblInd w:w="0" w:type="dxa"/>
        <w:tblLayout w:type="fixed"/>
        <w:tblCellMar>
          <w:top w:w="28" w:type="dxa"/>
          <w:left w:w="28" w:type="dxa"/>
          <w:bottom w:w="28" w:type="dxa"/>
          <w:right w:w="28" w:type="dxa"/>
        </w:tblCellMar>
      </w:tblPr>
      <w:tblGrid>
        <w:gridCol w:w="1079"/>
        <w:gridCol w:w="951"/>
        <w:gridCol w:w="954"/>
        <w:gridCol w:w="274"/>
        <w:gridCol w:w="488"/>
        <w:gridCol w:w="141"/>
        <w:gridCol w:w="141"/>
        <w:gridCol w:w="141"/>
        <w:gridCol w:w="141"/>
        <w:gridCol w:w="274"/>
        <w:gridCol w:w="625"/>
        <w:gridCol w:w="141"/>
        <w:gridCol w:w="109"/>
        <w:gridCol w:w="109"/>
        <w:gridCol w:w="109"/>
        <w:gridCol w:w="249"/>
        <w:gridCol w:w="443"/>
        <w:gridCol w:w="128"/>
        <w:gridCol w:w="128"/>
        <w:gridCol w:w="128"/>
        <w:gridCol w:w="128"/>
        <w:gridCol w:w="249"/>
        <w:gridCol w:w="567"/>
        <w:gridCol w:w="181"/>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After-tax gain on NIH contracts</w:t>
            </w:r>
            <w:r>
              <w:rPr>
                <w:rFonts w:ascii="Arial;sans-serif" w:hAnsi="Arial;sans-serif"/>
                <w:b w:val="false"/>
                <w:color w:val="000000"/>
                <w:sz w:val="13"/>
              </w:rPr>
              <w:t>(1)</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 </w:t>
      </w:r>
    </w:p>
    <w:tbl>
      <w:tblPr>
        <w:tblW w:w="10205" w:type="dxa"/>
        <w:jc w:val="left"/>
        <w:tblInd w:w="0" w:type="dxa"/>
        <w:tblLayout w:type="fixed"/>
        <w:tblCellMar>
          <w:top w:w="28" w:type="dxa"/>
          <w:left w:w="28" w:type="dxa"/>
          <w:bottom w:w="28" w:type="dxa"/>
          <w:right w:w="28" w:type="dxa"/>
        </w:tblCellMar>
      </w:tblPr>
      <w:tblGrid>
        <w:gridCol w:w="1960"/>
        <w:gridCol w:w="1722"/>
        <w:gridCol w:w="1730"/>
        <w:gridCol w:w="283"/>
        <w:gridCol w:w="504"/>
        <w:gridCol w:w="146"/>
        <w:gridCol w:w="146"/>
        <w:gridCol w:w="146"/>
        <w:gridCol w:w="146"/>
        <w:gridCol w:w="283"/>
        <w:gridCol w:w="504"/>
        <w:gridCol w:w="146"/>
        <w:gridCol w:w="109"/>
        <w:gridCol w:w="109"/>
        <w:gridCol w:w="109"/>
        <w:gridCol w:w="257"/>
        <w:gridCol w:w="460"/>
        <w:gridCol w:w="133"/>
        <w:gridCol w:w="133"/>
        <w:gridCol w:w="133"/>
        <w:gridCol w:w="133"/>
        <w:gridCol w:w="257"/>
        <w:gridCol w:w="460"/>
        <w:gridCol w:w="196"/>
      </w:tblGrid>
      <w:tr>
        <w:trPr/>
        <w:tc>
          <w:tcPr>
            <w:tcW w:w="196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5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Amounts excluded from the assessment of hedge effectiveness</w:t>
            </w:r>
            <w:r>
              <w:rPr>
                <w:rFonts w:ascii="Arial;sans-serif" w:hAnsi="Arial;sans-serif"/>
                <w:b w:val="false"/>
                <w:color w:val="000000"/>
                <w:sz w:val="13"/>
              </w:rPr>
              <w:t>(1)</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(1)We elected to record changes in the fair value of amounts excluded from the assessment of effectiveness in net earnings within interest and other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24"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Non-U.S. dollar debt designated as net investment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After-tax gains/(losses) related to hedges of net investments in international operations were recorded within the cumulative translation adjustment section of other comprehensive income and were:</w:t>
      </w:r>
    </w:p>
    <w:p>
      <w:pPr>
        <w:pStyle w:val="TextBody"/>
        <w:bidi w:val="0"/>
        <w:spacing w:before="0" w:after="0"/>
        <w:jc w:val="both"/>
        <w:rPr/>
      </w:pPr>
      <w:r>
        <w:rPr/>
      </w:r>
    </w:p>
    <w:tbl>
      <w:tblPr>
        <w:tblW w:w="7387" w:type="dxa"/>
        <w:jc w:val="left"/>
        <w:tblInd w:w="0" w:type="dxa"/>
        <w:tblLayout w:type="fixed"/>
        <w:tblCellMar>
          <w:top w:w="28" w:type="dxa"/>
          <w:left w:w="28" w:type="dxa"/>
          <w:bottom w:w="28" w:type="dxa"/>
          <w:right w:w="28" w:type="dxa"/>
        </w:tblCellMar>
      </w:tblPr>
      <w:tblGrid>
        <w:gridCol w:w="899"/>
        <w:gridCol w:w="791"/>
        <w:gridCol w:w="800"/>
        <w:gridCol w:w="265"/>
        <w:gridCol w:w="548"/>
        <w:gridCol w:w="137"/>
        <w:gridCol w:w="137"/>
        <w:gridCol w:w="137"/>
        <w:gridCol w:w="137"/>
        <w:gridCol w:w="265"/>
        <w:gridCol w:w="605"/>
        <w:gridCol w:w="137"/>
        <w:gridCol w:w="109"/>
        <w:gridCol w:w="109"/>
        <w:gridCol w:w="109"/>
        <w:gridCol w:w="241"/>
        <w:gridCol w:w="498"/>
        <w:gridCol w:w="124"/>
        <w:gridCol w:w="124"/>
        <w:gridCol w:w="124"/>
        <w:gridCol w:w="124"/>
        <w:gridCol w:w="241"/>
        <w:gridCol w:w="550"/>
        <w:gridCol w:w="176"/>
      </w:tblGrid>
      <w:tr>
        <w:trPr/>
        <w:tc>
          <w:tcPr>
            <w:tcW w:w="89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 notes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British pound sterling notes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Swiss franc notes</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Canadian notes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Economic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Pre-tax gains/(losses) recorded in net earnings for economic hedges were: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6"/>
        <w:gridCol w:w="836"/>
        <w:gridCol w:w="839"/>
        <w:gridCol w:w="238"/>
        <w:gridCol w:w="543"/>
        <w:gridCol w:w="122"/>
        <w:gridCol w:w="122"/>
        <w:gridCol w:w="122"/>
        <w:gridCol w:w="122"/>
        <w:gridCol w:w="238"/>
        <w:gridCol w:w="424"/>
        <w:gridCol w:w="122"/>
        <w:gridCol w:w="109"/>
        <w:gridCol w:w="109"/>
        <w:gridCol w:w="109"/>
        <w:gridCol w:w="221"/>
        <w:gridCol w:w="505"/>
        <w:gridCol w:w="114"/>
        <w:gridCol w:w="114"/>
        <w:gridCol w:w="114"/>
        <w:gridCol w:w="114"/>
        <w:gridCol w:w="221"/>
        <w:gridCol w:w="505"/>
        <w:gridCol w:w="114"/>
        <w:gridCol w:w="109"/>
        <w:gridCol w:w="109"/>
        <w:gridCol w:w="109"/>
        <w:gridCol w:w="1053"/>
        <w:gridCol w:w="654"/>
        <w:gridCol w:w="948"/>
      </w:tblGrid>
      <w:tr>
        <w:trPr/>
        <w:tc>
          <w:tcPr>
            <w:tcW w:w="114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 of Gain/(Loss) Recognized in Earnings</w:t>
            </w:r>
          </w:p>
        </w:tc>
      </w:tr>
      <w:tr>
        <w:trPr/>
        <w:tc>
          <w:tcPr>
            <w:tcW w:w="2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Intercompany loans and forecasted interest payments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and other expense, net</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Cost of sales</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and other expense, net</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Selling, general and administrative expenses</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Cost of sales</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Equity method investment </w:t>
              <w:br/>
              <w:t>   contracts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(Loss)/gain on equity method investment transactions</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25" name="Frame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Fair Value of Contingent Consideration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summary of our contingent consideration liability activity:</w:t>
      </w:r>
    </w:p>
    <w:p>
      <w:pPr>
        <w:pStyle w:val="TextBody"/>
        <w:bidi w:val="0"/>
        <w:spacing w:before="0" w:after="0"/>
        <w:jc w:val="both"/>
        <w:rPr/>
      </w:pPr>
      <w:r>
        <w:rPr/>
      </w:r>
    </w:p>
    <w:tbl>
      <w:tblPr>
        <w:tblW w:w="9331" w:type="dxa"/>
        <w:jc w:val="left"/>
        <w:tblInd w:w="0" w:type="dxa"/>
        <w:tblLayout w:type="fixed"/>
        <w:tblCellMar>
          <w:top w:w="28" w:type="dxa"/>
          <w:left w:w="28" w:type="dxa"/>
          <w:bottom w:w="28" w:type="dxa"/>
          <w:right w:w="28" w:type="dxa"/>
        </w:tblCellMar>
      </w:tblPr>
      <w:tblGrid>
        <w:gridCol w:w="1605"/>
        <w:gridCol w:w="1412"/>
        <w:gridCol w:w="1422"/>
        <w:gridCol w:w="259"/>
        <w:gridCol w:w="591"/>
        <w:gridCol w:w="133"/>
        <w:gridCol w:w="133"/>
        <w:gridCol w:w="133"/>
        <w:gridCol w:w="133"/>
        <w:gridCol w:w="259"/>
        <w:gridCol w:w="591"/>
        <w:gridCol w:w="133"/>
        <w:gridCol w:w="109"/>
        <w:gridCol w:w="109"/>
        <w:gridCol w:w="109"/>
        <w:gridCol w:w="235"/>
        <w:gridCol w:w="537"/>
        <w:gridCol w:w="121"/>
        <w:gridCol w:w="121"/>
        <w:gridCol w:w="121"/>
        <w:gridCol w:w="121"/>
        <w:gridCol w:w="235"/>
        <w:gridCol w:w="537"/>
        <w:gridCol w:w="172"/>
      </w:tblGrid>
      <w:tr>
        <w:trPr/>
        <w:tc>
          <w:tcPr>
            <w:tcW w:w="160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beginning of period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arising from acquisitions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fair value</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end of period</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Contingent consideration was recorded at fair value in the condensed consolidated balance sheets as follows:</w:t>
      </w:r>
    </w:p>
    <w:p>
      <w:pPr>
        <w:pStyle w:val="TextBody"/>
        <w:bidi w:val="0"/>
        <w:spacing w:before="0" w:after="0"/>
        <w:jc w:val="both"/>
        <w:rPr/>
      </w:pPr>
      <w:r>
        <w:rPr/>
      </w:r>
    </w:p>
    <w:tbl>
      <w:tblPr>
        <w:tblW w:w="9428" w:type="dxa"/>
        <w:jc w:val="left"/>
        <w:tblInd w:w="0" w:type="dxa"/>
        <w:tblLayout w:type="fixed"/>
        <w:tblCellMar>
          <w:top w:w="28" w:type="dxa"/>
          <w:left w:w="28" w:type="dxa"/>
          <w:bottom w:w="28" w:type="dxa"/>
          <w:right w:w="28" w:type="dxa"/>
        </w:tblCellMar>
      </w:tblPr>
      <w:tblGrid>
        <w:gridCol w:w="1439"/>
        <w:gridCol w:w="643"/>
        <w:gridCol w:w="647"/>
        <w:gridCol w:w="406"/>
        <w:gridCol w:w="928"/>
        <w:gridCol w:w="211"/>
        <w:gridCol w:w="109"/>
        <w:gridCol w:w="109"/>
        <w:gridCol w:w="109"/>
        <w:gridCol w:w="414"/>
        <w:gridCol w:w="797"/>
        <w:gridCol w:w="215"/>
        <w:gridCol w:w="109"/>
        <w:gridCol w:w="109"/>
        <w:gridCol w:w="109"/>
        <w:gridCol w:w="436"/>
        <w:gridCol w:w="839"/>
        <w:gridCol w:w="226"/>
        <w:gridCol w:w="109"/>
        <w:gridCol w:w="109"/>
        <w:gridCol w:w="109"/>
        <w:gridCol w:w="310"/>
        <w:gridCol w:w="708"/>
        <w:gridCol w:w="228"/>
      </w:tblGrid>
      <w:tr>
        <w:trPr/>
        <w:tc>
          <w:tcPr>
            <w:tcW w:w="14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 of</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Clif Bar </w:t>
            </w:r>
            <w:r>
              <w:rPr>
                <w:rFonts w:ascii="Arial;sans-serif" w:hAnsi="Arial;sans-serif"/>
                <w:b w:val="false"/>
                <w:color w:val="000000"/>
                <w:sz w:val="13"/>
              </w:rPr>
              <w:t>(1)</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(2)</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contingent consideration</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428" w:type="dxa"/>
        <w:jc w:val="left"/>
        <w:tblInd w:w="0" w:type="dxa"/>
        <w:tblLayout w:type="fixed"/>
        <w:tblCellMar>
          <w:top w:w="28" w:type="dxa"/>
          <w:left w:w="28" w:type="dxa"/>
          <w:bottom w:w="28" w:type="dxa"/>
          <w:right w:w="28" w:type="dxa"/>
        </w:tblCellMar>
      </w:tblPr>
      <w:tblGrid>
        <w:gridCol w:w="1439"/>
        <w:gridCol w:w="643"/>
        <w:gridCol w:w="647"/>
        <w:gridCol w:w="406"/>
        <w:gridCol w:w="928"/>
        <w:gridCol w:w="211"/>
        <w:gridCol w:w="109"/>
        <w:gridCol w:w="109"/>
        <w:gridCol w:w="109"/>
        <w:gridCol w:w="414"/>
        <w:gridCol w:w="797"/>
        <w:gridCol w:w="215"/>
        <w:gridCol w:w="109"/>
        <w:gridCol w:w="109"/>
        <w:gridCol w:w="109"/>
        <w:gridCol w:w="436"/>
        <w:gridCol w:w="839"/>
        <w:gridCol w:w="226"/>
        <w:gridCol w:w="109"/>
        <w:gridCol w:w="109"/>
        <w:gridCol w:w="109"/>
        <w:gridCol w:w="310"/>
        <w:gridCol w:w="708"/>
        <w:gridCol w:w="228"/>
      </w:tblGrid>
      <w:tr>
        <w:trPr/>
        <w:tc>
          <w:tcPr>
            <w:tcW w:w="14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2022</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 of</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Clif Bar </w:t>
            </w:r>
            <w:r>
              <w:rPr>
                <w:rFonts w:ascii="Arial;sans-serif" w:hAnsi="Arial;sans-serif"/>
                <w:b w:val="false"/>
                <w:color w:val="000000"/>
                <w:sz w:val="13"/>
              </w:rPr>
              <w:t>(1)</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(2)</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contingent consideration</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(1)In connection with the Clif Bar acquisition, we entered into a contingent consideration arrangement that may require us to pay additional consideration to the sellers for achieving certain net revenue, gross profit and EBITDA targets in 2025 and 2026 that exceed our base financial projections for the business implied in the upfront purchase price. The other contingent consideration liabilities are recorded at fair value within long term liabilities. The estimated fair value of the contingent consideration obligation at the acquisition date was determined using a Monte Carlo simulation and recorded in other liabilities. Significant assumptions used in assessing the fair value of the liability include financial projections for net revenue, gross profit, and EBITDA, as well as discount and volatility rates. Fair value adjustments are primarily recorded in selling, general and administrative expenses in the condensed consolidated statement of earnings. Refer to Note 2, </w:t>
      </w:r>
      <w:r>
        <w:rPr>
          <w:rFonts w:ascii="Arial;sans-serif" w:hAnsi="Arial;sans-serif"/>
          <w:b w:val="false"/>
          <w:i/>
          <w:color w:val="000000"/>
          <w:sz w:val="16"/>
        </w:rPr>
        <w:t>Acquisitions and Divestitures</w:t>
      </w:r>
      <w:r>
        <w:rPr>
          <w:color w:val="000000"/>
        </w:rPr>
        <w:t xml:space="preserve">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(2)The other contingent consideration liabilities are recorded at fair value, with $12 million and $102 million classified as other current liabilities and $83 million and $88 million classified as long term liabilities at June 30, 2023 and December 31, 2022. The fair value of this contingent consideration was determined using a Monte Carlo valuation model based on Level 3 inputs, including management's latest estimate of forecasted future results. Other key assumptions included discount rate and volatility. Fair value adjustments are recorded in selling, general and administrative expenses in the condensed consolidated statement of earnings. Refer to Note 2, </w:t>
      </w:r>
      <w:r>
        <w:rPr>
          <w:rFonts w:ascii="Arial;sans-serif" w:hAnsi="Arial;sans-serif"/>
          <w:b w:val="false"/>
          <w:i/>
          <w:color w:val="000000"/>
          <w:sz w:val="16"/>
        </w:rPr>
        <w:t>Acquisitions and Divestitures</w:t>
      </w:r>
      <w:r>
        <w:rPr>
          <w:color w:val="000000"/>
        </w:rPr>
        <w:t xml:space="preserve"> </w:t>
      </w:r>
      <w:r>
        <w:rPr>
          <w:rFonts w:ascii="Arial;sans-serif" w:hAnsi="Arial;sans-serif"/>
          <w:b w:val="false"/>
          <w:color w:val="000000"/>
          <w:sz w:val="16"/>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26"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10. Benefit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Pension Plans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Components of Net Periodic Pension Cost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periodic pension cost/(benefit) consisted of the following:</w:t>
      </w:r>
    </w:p>
    <w:tbl>
      <w:tblPr>
        <w:tblW w:w="8847" w:type="dxa"/>
        <w:jc w:val="left"/>
        <w:tblInd w:w="0" w:type="dxa"/>
        <w:tblLayout w:type="fixed"/>
        <w:tblCellMar>
          <w:top w:w="28" w:type="dxa"/>
          <w:left w:w="28" w:type="dxa"/>
          <w:bottom w:w="28" w:type="dxa"/>
          <w:right w:w="28" w:type="dxa"/>
        </w:tblCellMar>
      </w:tblPr>
      <w:tblGrid>
        <w:gridCol w:w="1936"/>
        <w:gridCol w:w="900"/>
        <w:gridCol w:w="907"/>
        <w:gridCol w:w="318"/>
        <w:gridCol w:w="500"/>
        <w:gridCol w:w="164"/>
        <w:gridCol w:w="164"/>
        <w:gridCol w:w="164"/>
        <w:gridCol w:w="164"/>
        <w:gridCol w:w="318"/>
        <w:gridCol w:w="409"/>
        <w:gridCol w:w="164"/>
        <w:gridCol w:w="109"/>
        <w:gridCol w:w="109"/>
        <w:gridCol w:w="109"/>
        <w:gridCol w:w="279"/>
        <w:gridCol w:w="498"/>
        <w:gridCol w:w="144"/>
        <w:gridCol w:w="144"/>
        <w:gridCol w:w="144"/>
        <w:gridCol w:w="144"/>
        <w:gridCol w:w="279"/>
        <w:gridCol w:w="577"/>
        <w:gridCol w:w="203"/>
      </w:tblGrid>
      <w:tr>
        <w:trPr/>
        <w:tc>
          <w:tcPr>
            <w:tcW w:w="193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from experience differences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losses and other expenses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pension (benefit)/cost</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from experience differences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cost/(benefit)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losses and other expenses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pension (benefit)/cost</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Employer Contributions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2023, we contributed $3 million to our U.S. pension plans and $65 million to our non-U.S. pension plans. We make contributions to our pension plans in accordance with local funding arrangements and statutory minimum funding requirements. Discretionary contributions are made to the extent that they are tax deductible and do not generate an excise tax liability.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2023, we plan to make further contributions of approximately $3 million to our U.S. plans and $54 million to our non-U.S. plans for the remainder of 2023. Our actual contributions may be different due to many factors, including changes in tax and other benefit laws, significant differences between expected and actual pension asset performance or interest rates.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Multiemployer Pension Plans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July 11, 2019, we received an undiscounted withdrawal liability assessment from the Bakery and Confectionery Union and Industry International Pension Fund totaling $526 million requiring pro-rata monthly payments over 20 years. We began making monthly payments during the third quarter of 2019. In connection with the discounted long-term liability, we recorded accreted interest of $2 million and $5 million for the three and six months ended June 30, 2023 and 2022, within interest and other expense, net. As of June 30, 2023, the remaining discounted withdrawal liability was $336 million, with $15 million recorded in other current liabilities and $321 million recorded in long-term other liabilities.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Postretirement and Postemployment Benefit Plans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net periodic postretirement (benefit)/cost was $(2) million for the three and six months ended June 30, 2023 and $3 million and $6 million for the three and six months ended June 30, 2022. The net periodic postemployment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27" name="Frame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cost was zero and $1 million for the three and six months ended June 30, 2023 and 2022.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Stock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 Options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 option activity is reflected below:</w:t>
      </w:r>
    </w:p>
    <w:tbl>
      <w:tblPr>
        <w:tblW w:w="9126" w:type="dxa"/>
        <w:jc w:val="left"/>
        <w:tblInd w:w="0" w:type="dxa"/>
        <w:tblLayout w:type="fixed"/>
        <w:tblCellMar>
          <w:top w:w="28" w:type="dxa"/>
          <w:left w:w="28" w:type="dxa"/>
          <w:bottom w:w="28" w:type="dxa"/>
          <w:right w:w="28" w:type="dxa"/>
        </w:tblCellMar>
      </w:tblPr>
      <w:tblGrid>
        <w:gridCol w:w="1125"/>
        <w:gridCol w:w="988"/>
        <w:gridCol w:w="992"/>
        <w:gridCol w:w="563"/>
        <w:gridCol w:w="563"/>
        <w:gridCol w:w="431"/>
        <w:gridCol w:w="109"/>
        <w:gridCol w:w="109"/>
        <w:gridCol w:w="109"/>
        <w:gridCol w:w="329"/>
        <w:gridCol w:w="329"/>
        <w:gridCol w:w="331"/>
        <w:gridCol w:w="109"/>
        <w:gridCol w:w="109"/>
        <w:gridCol w:w="109"/>
        <w:gridCol w:w="345"/>
        <w:gridCol w:w="345"/>
        <w:gridCol w:w="346"/>
        <w:gridCol w:w="109"/>
        <w:gridCol w:w="109"/>
        <w:gridCol w:w="109"/>
        <w:gridCol w:w="211"/>
        <w:gridCol w:w="481"/>
        <w:gridCol w:w="766"/>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 Subject</w:t>
              <w:br/>
              <w:t>to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 or</w:t>
              <w:br/>
              <w:t>Grant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20,490,250 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grant to eligible employees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2,452,110 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options issued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options granted</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2,455,930 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Options exercised </w:t>
            </w:r>
            <w:r>
              <w:rPr>
                <w:rFonts w:ascii="Arial;sans-serif" w:hAnsi="Arial;sans-serif"/>
                <w:b w:val="false"/>
                <w:color w:val="000000"/>
                <w:sz w:val="13"/>
              </w:rPr>
              <w:t>(1)</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(2,844,348)</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canceled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(159,460)</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2023</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19,942,372 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(1)Cash received from options exercised was $56 million in the three months and $105 million in the six months ended June 30, 2023. The actual tax benefit realized and recorded in the provision for income taxes for the tax deductions from the option exercises totaled $9 million in the three months and $17 million in the six months ended June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Performance Share Units and Other Stock-Based Awards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performance share unit (PSU), deferred stock unit (DSU) and other stock-based activity is reflected below:</w:t>
      </w:r>
    </w:p>
    <w:tbl>
      <w:tblPr>
        <w:tblW w:w="9817" w:type="dxa"/>
        <w:jc w:val="left"/>
        <w:tblInd w:w="0" w:type="dxa"/>
        <w:tblLayout w:type="fixed"/>
        <w:tblCellMar>
          <w:top w:w="28" w:type="dxa"/>
          <w:left w:w="28" w:type="dxa"/>
          <w:bottom w:w="28" w:type="dxa"/>
          <w:right w:w="28" w:type="dxa"/>
        </w:tblCellMar>
      </w:tblPr>
      <w:tblGrid>
        <w:gridCol w:w="1146"/>
        <w:gridCol w:w="1007"/>
        <w:gridCol w:w="1011"/>
        <w:gridCol w:w="539"/>
        <w:gridCol w:w="541"/>
        <w:gridCol w:w="286"/>
        <w:gridCol w:w="109"/>
        <w:gridCol w:w="109"/>
        <w:gridCol w:w="109"/>
        <w:gridCol w:w="379"/>
        <w:gridCol w:w="379"/>
        <w:gridCol w:w="381"/>
        <w:gridCol w:w="109"/>
        <w:gridCol w:w="109"/>
        <w:gridCol w:w="109"/>
        <w:gridCol w:w="520"/>
        <w:gridCol w:w="520"/>
        <w:gridCol w:w="521"/>
        <w:gridCol w:w="109"/>
        <w:gridCol w:w="109"/>
        <w:gridCol w:w="109"/>
        <w:gridCol w:w="232"/>
        <w:gridCol w:w="529"/>
        <w:gridCol w:w="845"/>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w:t>
            </w:r>
          </w:p>
          <w:p>
            <w:pPr>
              <w:pStyle w:val="TableContents"/>
              <w:bidi w:val="0"/>
              <w:spacing w:lineRule="auto" w:line="240" w:before="0" w:after="0"/>
              <w:jc w:val="center"/>
              <w:rPr/>
            </w:pPr>
            <w:r>
              <w:rPr>
                <w:rFonts w:ascii="Arial;sans-serif" w:hAnsi="Arial;sans-serif"/>
                <w:b/>
                <w:color w:val="000000"/>
                <w:sz w:val="16"/>
              </w:rPr>
              <w:t xml:space="preserve">Per Share </w:t>
            </w:r>
            <w:r>
              <w:rPr>
                <w:rFonts w:ascii="Arial;sans-serif" w:hAnsi="Arial;sans-serif"/>
                <w:b/>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240" w:before="0" w:after="0"/>
              <w:jc w:val="center"/>
              <w:rPr/>
            </w:pPr>
            <w:r>
              <w:rPr>
                <w:rFonts w:ascii="Arial;sans-serif" w:hAnsi="Arial;sans-serif"/>
                <w:b/>
                <w:color w:val="000000"/>
                <w:sz w:val="16"/>
              </w:rPr>
              <w:t xml:space="preserve">Fair Value </w:t>
            </w:r>
            <w:r>
              <w:rPr>
                <w:rFonts w:ascii="Arial;sans-serif" w:hAnsi="Arial;sans-serif"/>
                <w:b/>
                <w:color w:val="000000"/>
                <w:sz w:val="12"/>
              </w:rPr>
              <w:t>(3)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4,451,674 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grant to eligible employees: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 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895,410 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stock units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578,570 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Additional shares granted </w:t>
            </w:r>
            <w:r>
              <w:rPr>
                <w:rFonts w:ascii="Arial;sans-serif" w:hAnsi="Arial;sans-serif"/>
                <w:b w:val="false"/>
                <w:color w:val="000000"/>
                <w:sz w:val="13"/>
              </w:rPr>
              <w:t>(1)</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710,633 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shares granted</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2,184,613 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Vested </w:t>
            </w:r>
            <w:r>
              <w:rPr>
                <w:rFonts w:ascii="Arial;sans-serif" w:hAnsi="Arial;sans-serif"/>
                <w:b w:val="false"/>
                <w:color w:val="000000"/>
                <w:sz w:val="13"/>
              </w:rPr>
              <w:t>(2) (3)</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(1,626,765)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Forfeited </w:t>
            </w:r>
            <w:r>
              <w:rPr>
                <w:rFonts w:ascii="Arial;sans-serif" w:hAnsi="Arial;sans-serif"/>
                <w:b w:val="false"/>
                <w:color w:val="000000"/>
                <w:sz w:val="13"/>
              </w:rPr>
              <w:t>(2)</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2023</w:t>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4,865,426 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PSUs and DSUs.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(2)Includes PSUs, DSUs and other stock-based awards.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(3)The actual tax benefit realized and recorded in the provision for income taxes for the tax deductions from the shares vested totaled zero in the three months and $2 million in the six months ended June 30, 2023.</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(4)The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Share Repurchase Program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Between 2013 and 2020, our Board of Directors authorized the repurchase of a total of $23.7 billion of our Common Stock and extended the program through December 31, 2023. Prior to January 1, 2023, we had repurchased approximately $22.0 billion of Common Stock pursuant to this authorization. Our Board of Directors approved a new program authorizing the repurchase of up to $6.0 billion of our Common Stock through December 31, 2025. This authorization, effective January 1, 2023, replaced our previous share repurchase program. Repurchases under the program are determined by management and are wholly discretionary.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2023, we repurchased approximately 8.8 million shares of Common Stock at an average cost of $68.16 per share, or an aggregate cost of approximately $602 million, all of which was 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28" name="Frame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period except for approximately $6 million settled in July 2023. All share repurchases were funded through available cash and commercial paper issuances. As of June 30, 2023, we have approximately $5.4 billion in remaining share repurchase capacity.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12. Commitments and Contingencies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 (1) manipulated or attempted to manipulate the wheat markets during the fall of 2011; (2) violated position limit levels for wheat futures; and (3) 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as case number 15-cv-2937, Harry Ploss et al. v. Kraft Foods Group, Inc. and Mondelēz Global LLC. On January 3, 2020, the District Court granted plaintiffs' request to certify a class. In November 2022, the District Court adjourned the trial date it had previously set for November 30 and ordered the parties to brief Kraft’s motions to decertify the class and for summary judgment, which was completed on July 25, 2023.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previously disclosed,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been cooperating with the investigation and discussions with the European Commission are progressing in an effort to reach a negotiated, proportionate resolution in this matter. As of June 30, 2023 and December 31, 2022, we have accrued (in accordance with U.S. GAAP) a liability of €300 million ($328 million as of June 30, 2023) within other current liabilities in the consolidated balance sheet as an estimate of the possible cost to resolve this matter. It is not possible to predict if our ongoing discussions will result in a negotiated resolution, or result in a negotiated resolution in a higher amount, or when we will have clarity on the ultimate outcome of these discussions. If our discussions do not result in a negotiated resolution, we expect that the European Commission will pursue proceedings against the Company, including the imposition of a fine, and we would defend against any allegations made in such proceedings. There is a possibility that the final liability could be materially higher than the amount accrued. However, due to the inherent uncertainty of the discussions and possible outcomes, any possible loss or range of loss different from the amount accrued is not reasonably estimable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29" name="Frame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Third-Party Guarantees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 into third-party guarantees primarily to cover long-term obligations of our vendors. As part of these transactions, we guarantee that third parties will make contractual payments or achieve performance measures. As of June 30, 2023 and December 31, 2022, we had no material third-party guarantees recorded on our condensed consolidated balance sheet.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Tax Matters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30"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13. Reclassifications from Accumulated Other Comprehensive Income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(losses)/gains of $11 million in the second quarter of 2023 and $82 million in the second quarter of 2022 and $41 million in the first six months of 2023 and $40 million in the first six months of 2022..</w:t>
      </w:r>
    </w:p>
    <w:tbl>
      <w:tblPr>
        <w:tblW w:w="10205" w:type="dxa"/>
        <w:jc w:val="left"/>
        <w:tblInd w:w="0" w:type="dxa"/>
        <w:tblLayout w:type="fixed"/>
        <w:tblCellMar>
          <w:top w:w="28" w:type="dxa"/>
          <w:left w:w="28" w:type="dxa"/>
          <w:bottom w:w="28" w:type="dxa"/>
          <w:right w:w="28" w:type="dxa"/>
        </w:tblCellMar>
      </w:tblPr>
      <w:tblGrid>
        <w:gridCol w:w="1895"/>
        <w:gridCol w:w="1618"/>
        <w:gridCol w:w="1627"/>
        <w:gridCol w:w="196"/>
        <w:gridCol w:w="704"/>
        <w:gridCol w:w="109"/>
        <w:gridCol w:w="109"/>
        <w:gridCol w:w="109"/>
        <w:gridCol w:w="109"/>
        <w:gridCol w:w="196"/>
        <w:gridCol w:w="704"/>
        <w:gridCol w:w="109"/>
        <w:gridCol w:w="109"/>
        <w:gridCol w:w="109"/>
        <w:gridCol w:w="109"/>
        <w:gridCol w:w="196"/>
        <w:gridCol w:w="704"/>
        <w:gridCol w:w="109"/>
        <w:gridCol w:w="109"/>
        <w:gridCol w:w="109"/>
        <w:gridCol w:w="109"/>
        <w:gridCol w:w="196"/>
        <w:gridCol w:w="704"/>
        <w:gridCol w:w="157"/>
      </w:tblGrid>
      <w:tr>
        <w:trPr/>
        <w:tc>
          <w:tcPr>
            <w:tcW w:w="1895"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5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millions)</w:t>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Currency Translation Adjustments: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14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(expense)/benefit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comprehensive (earnings)/loss attributable to noncontrolling interests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Pension and Other Benefit Plans:</w:t>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gain/(loss) arising during period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(expense)/benefit on net actuarial gain/(loss)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Losses/(gains) reclassified into net earnings:</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Amortization of experience losses and prior service costs </w:t>
            </w:r>
            <w:r>
              <w:rPr>
                <w:rFonts w:ascii="Arial;sans-serif" w:hAnsi="Arial;sans-serif"/>
                <w:b w:val="false"/>
                <w:color w:val="000000"/>
                <w:sz w:val="10"/>
              </w:rPr>
              <w:t>(1)</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Settlement losses and other expenses </w:t>
            </w:r>
            <w:r>
              <w:rPr>
                <w:rFonts w:ascii="Arial;sans-serif" w:hAnsi="Arial;sans-serif"/>
                <w:b w:val="false"/>
                <w:color w:val="000000"/>
                <w:sz w:val="10"/>
              </w:rPr>
              <w:t>(1)</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Tax expense/(benefit) on reclassifications </w:t>
            </w:r>
            <w:r>
              <w:rPr>
                <w:rFonts w:ascii="Arial;sans-serif" w:hAnsi="Arial;sans-serif"/>
                <w:b w:val="false"/>
                <w:color w:val="000000"/>
                <w:sz w:val="10"/>
              </w:rPr>
              <w:t>(3)</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impact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 Cash Flow Hedges:</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derivative gains/(losses)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(expense)/benefit on net derivative gain/(loss)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Losses/(gains) reclassified into net earnings: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Currency exchange contracts</w:t>
            </w:r>
            <w:r>
              <w:rPr>
                <w:rFonts w:ascii="Arial;sans-serif" w:hAnsi="Arial;sans-serif"/>
                <w:b w:val="false"/>
                <w:color w:val="000000"/>
                <w:sz w:val="10"/>
              </w:rPr>
              <w:t>(2)</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rate contracts</w:t>
            </w:r>
            <w:r>
              <w:rPr>
                <w:color w:val="000000"/>
              </w:rPr>
              <w:t xml:space="preserve"> </w:t>
            </w:r>
            <w:r>
              <w:rPr>
                <w:rFonts w:ascii="Arial;sans-serif" w:hAnsi="Arial;sans-serif"/>
                <w:b w:val="false"/>
                <w:color w:val="000000"/>
                <w:sz w:val="10"/>
              </w:rPr>
              <w:t>(2)</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Tax expense/(benefit) on reclassifications</w:t>
            </w:r>
            <w:r>
              <w:rPr>
                <w:color w:val="000000"/>
              </w:rPr>
              <w:t xml:space="preserve"> </w:t>
            </w:r>
            <w:r>
              <w:rPr>
                <w:rFonts w:ascii="Arial;sans-serif" w:hAnsi="Arial;sans-serif"/>
                <w:b w:val="false"/>
                <w:color w:val="000000"/>
                <w:sz w:val="10"/>
              </w:rPr>
              <w:t>(3)</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impact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attributable to Mondelēz International:</w:t>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earnings/(losses)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comprehensive (earnings)/loss attributable to noncontrolling interests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 attributable to Mondelēz International</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(1)These reclassified losses are included in net periodic benefit costs disclosed in Note 10, </w:t>
      </w:r>
      <w:r>
        <w:rPr>
          <w:rFonts w:ascii="Arial;sans-serif" w:hAnsi="Arial;sans-serif"/>
          <w:b w:val="false"/>
          <w:i/>
          <w:color w:val="000000"/>
          <w:sz w:val="16"/>
        </w:rPr>
        <w:t>Benefit Plans</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(2)These reclassified gains or losses are recorded within interest and other expense, net.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(3)Taxes reclassified to earnings are recorded within the provision for income taxes.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31"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14. Income Taxes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second quarter of 2023, our estimated annual effective tax rate, which excludes discrete tax impacts, was 24.6%. This rate reflected the impact of unfavorable foreign provisions under U.S. tax laws partially offset by favorable impacts from the mix of pre-tax income in various non-U.S. jurisdictions. Our 2023 second quarter effective tax rate of 23.1% included a $50 million net tax benefit related to gains and losses on KDP marketable securities and a $29 million net tax expense incurred in connection with unrealized gains and losses on hedging activities as well as other discrete net tax expense of $4 million. Our effective tax rate for the six months ended June 30, 2023 of 27.3% was higher due to a $127 million net tax expense incurred in connection with the KDP share sale during the first quarter (the earnings are reported separately on our statement of earnings and thus not included in earnings before income taxes). Excluding this impact, our effective tax rate for the six months ended June 30, 2023 was 23.6%. The 23.6% rate included a $151 million net tax expense related to gains and losses on KDP marketable securities ($201 million net tax expense in Q1 and $50 million net tax benefit in Q2) as well as the associated pre-tax impacts.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second quarter of 2022, our estimated annual effective tax rate, which excluded discrete tax impacts, was 24.4%.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The estimated annual effective tax rate also considers the impact of the establishment of a valuation allowance related to a deferred tax asset arising from the anticipated 2022 Ukraine loss. Our 2022 second quarter effective tax rate of 23.4% was favorably impacted by discrete net tax benefits of $2 million. The discrete net tax benefit primarily consisted of a net benefit from the release of liabilities for uncertain tax positions due to expirations of statutes of limitations and audit settlements in several jurisdictions and an expense from tax law changes in various jurisdictions. Our effective tax rate for the six months ended June 30, 2022 of 22.6% was favorably impacted by discrete net tax benefits of $64 million primarily driven by the Chipita acquisition.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15. Earnings per Share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and diluted earnings per share (“EPS”) were calculated as follows:</w:t>
      </w:r>
    </w:p>
    <w:tbl>
      <w:tblPr>
        <w:tblW w:w="9845" w:type="dxa"/>
        <w:jc w:val="left"/>
        <w:tblInd w:w="0" w:type="dxa"/>
        <w:tblLayout w:type="fixed"/>
        <w:tblCellMar>
          <w:top w:w="28" w:type="dxa"/>
          <w:left w:w="28" w:type="dxa"/>
          <w:bottom w:w="28" w:type="dxa"/>
          <w:right w:w="28" w:type="dxa"/>
        </w:tblCellMar>
      </w:tblPr>
      <w:tblGrid>
        <w:gridCol w:w="1753"/>
        <w:gridCol w:w="1539"/>
        <w:gridCol w:w="1552"/>
        <w:gridCol w:w="244"/>
        <w:gridCol w:w="626"/>
        <w:gridCol w:w="126"/>
        <w:gridCol w:w="126"/>
        <w:gridCol w:w="126"/>
        <w:gridCol w:w="126"/>
        <w:gridCol w:w="244"/>
        <w:gridCol w:w="626"/>
        <w:gridCol w:w="126"/>
        <w:gridCol w:w="109"/>
        <w:gridCol w:w="109"/>
        <w:gridCol w:w="109"/>
        <w:gridCol w:w="211"/>
        <w:gridCol w:w="646"/>
        <w:gridCol w:w="109"/>
        <w:gridCol w:w="109"/>
        <w:gridCol w:w="109"/>
        <w:gridCol w:w="109"/>
        <w:gridCol w:w="211"/>
        <w:gridCol w:w="646"/>
        <w:gridCol w:w="154"/>
      </w:tblGrid>
      <w:tr>
        <w:trPr/>
        <w:tc>
          <w:tcPr>
            <w:tcW w:w="175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 earnings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attributable to Mondelēz International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basic EPS</w:t>
            </w:r>
          </w:p>
        </w:tc>
        <w:tc>
          <w:tcPr>
            <w:tcW w:w="8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1,382 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incremental shares from assumed conversions</w:t>
              <w:br/>
              <w:t>   of stock options and long-term incentive plan shares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diluted EPS</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earnings per share attributable to </w:t>
              <w:br/>
              <w:t>   Mondelēz International</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attributable to </w:t>
              <w:br/>
              <w:t>   Mondelēz International</w:t>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exclude antidilutive Mondelēz International stock options and long-term incentive plan shares from our calculation of weighted-average shares for diluted EPS. We excluded antidilutive stock options and performance share units of 2.8 million for the three months ended June 30, 2023 and 3.4 million for the three months ended June 30, 2022 and 2.7 million for the six months ended June 30, 2023 and 2022.</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32"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16. Segment Reporting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manufacture and market primarily snack food products, including chocolate, biscuits and baked snacks, as well as gum &amp; candy, cheese &amp; grocery and powdered beverages.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operations and management structure are organized into four operating segments: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 xml:space="preserve">Latin America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AMEA</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 xml:space="preserve">Europe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North America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33" name="Frame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segment net revenues and earnings were:</w:t>
      </w:r>
    </w:p>
    <w:tbl>
      <w:tblPr>
        <w:tblW w:w="9364" w:type="dxa"/>
        <w:jc w:val="left"/>
        <w:tblInd w:w="0" w:type="dxa"/>
        <w:tblLayout w:type="fixed"/>
        <w:tblCellMar>
          <w:top w:w="28" w:type="dxa"/>
          <w:left w:w="28" w:type="dxa"/>
          <w:bottom w:w="28" w:type="dxa"/>
          <w:right w:w="28" w:type="dxa"/>
        </w:tblCellMar>
      </w:tblPr>
      <w:tblGrid>
        <w:gridCol w:w="1508"/>
        <w:gridCol w:w="1319"/>
        <w:gridCol w:w="1328"/>
        <w:gridCol w:w="221"/>
        <w:gridCol w:w="678"/>
        <w:gridCol w:w="114"/>
        <w:gridCol w:w="114"/>
        <w:gridCol w:w="114"/>
        <w:gridCol w:w="114"/>
        <w:gridCol w:w="221"/>
        <w:gridCol w:w="678"/>
        <w:gridCol w:w="114"/>
        <w:gridCol w:w="109"/>
        <w:gridCol w:w="109"/>
        <w:gridCol w:w="109"/>
        <w:gridCol w:w="211"/>
        <w:gridCol w:w="751"/>
        <w:gridCol w:w="109"/>
        <w:gridCol w:w="109"/>
        <w:gridCol w:w="109"/>
        <w:gridCol w:w="109"/>
        <w:gridCol w:w="211"/>
        <w:gridCol w:w="751"/>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sz w:val="20"/>
              </w:rPr>
              <w:br/>
            </w:r>
            <w:r>
              <w:rPr>
                <w:rFonts w:ascii="Arial;sans-serif" w:hAnsi="Arial;sans-serif"/>
                <w:b w:val="false"/>
                <w:color w:val="000000"/>
                <w:sz w:val="20"/>
              </w:rPr>
              <w:t>Earnings before income taxes:</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gains/(losses) on hedging activities</w:t>
              <w:br/>
              <w:t>   (mark-to-market impacts)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costs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(Loss)/gain on marketable securities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Items impacting our segment operating results are discussed in Note 1, </w:t>
      </w:r>
      <w:r>
        <w:rPr>
          <w:rFonts w:ascii="Arial;sans-serif" w:hAnsi="Arial;sans-serif"/>
          <w:b w:val="false"/>
          <w:i/>
          <w:color w:val="000000"/>
          <w:sz w:val="20"/>
        </w:rPr>
        <w:t>Basis of Presentation</w:t>
      </w:r>
      <w:r>
        <w:rPr>
          <w:rFonts w:ascii="Arial;sans-serif" w:hAnsi="Arial;sans-serif"/>
          <w:b w:val="false"/>
          <w:color w:val="000000"/>
          <w:sz w:val="20"/>
        </w:rPr>
        <w:t xml:space="preserve">, Note 2, </w:t>
      </w:r>
      <w:r>
        <w:rPr>
          <w:rFonts w:ascii="Arial;sans-serif" w:hAnsi="Arial;sans-serif"/>
          <w:b w:val="false"/>
          <w:i/>
          <w:color w:val="000000"/>
          <w:sz w:val="20"/>
        </w:rPr>
        <w:t>Acquisitions and Divestitures,</w:t>
      </w:r>
      <w:r>
        <w:rPr>
          <w:color w:val="000000"/>
        </w:rPr>
        <w:t xml:space="preserve"> </w:t>
      </w:r>
      <w:r>
        <w:rPr>
          <w:rFonts w:ascii="Arial;sans-serif" w:hAnsi="Arial;sans-serif"/>
          <w:b w:val="false"/>
          <w:color w:val="000000"/>
          <w:sz w:val="20"/>
        </w:rPr>
        <w:t xml:space="preserve">Note 3, </w:t>
      </w:r>
      <w:r>
        <w:rPr>
          <w:rFonts w:ascii="Arial;sans-serif" w:hAnsi="Arial;sans-serif"/>
          <w:b w:val="false"/>
          <w:i/>
          <w:color w:val="000000"/>
          <w:sz w:val="20"/>
        </w:rPr>
        <w:t>Inventories</w:t>
      </w:r>
      <w:r>
        <w:rPr>
          <w:rFonts w:ascii="Arial;sans-serif" w:hAnsi="Arial;sans-serif"/>
          <w:b w:val="false"/>
          <w:color w:val="000000"/>
          <w:sz w:val="20"/>
        </w:rPr>
        <w:t xml:space="preserve">, Note 4, </w:t>
      </w:r>
      <w:r>
        <w:rPr>
          <w:rFonts w:ascii="Arial;sans-serif" w:hAnsi="Arial;sans-serif"/>
          <w:b w:val="false"/>
          <w:i/>
          <w:color w:val="000000"/>
          <w:sz w:val="20"/>
        </w:rPr>
        <w:t>Property, Plant and Equipment,</w:t>
      </w:r>
      <w:r>
        <w:rPr>
          <w:color w:val="000000"/>
        </w:rPr>
        <w:t xml:space="preserve"> </w:t>
      </w:r>
      <w:r>
        <w:rPr>
          <w:rFonts w:ascii="Arial;sans-serif" w:hAnsi="Arial;sans-serif"/>
          <w:b w:val="false"/>
          <w:color w:val="000000"/>
          <w:sz w:val="20"/>
        </w:rPr>
        <w:t xml:space="preserve">Note 5, </w:t>
      </w:r>
      <w:r>
        <w:rPr>
          <w:rFonts w:ascii="Arial;sans-serif" w:hAnsi="Arial;sans-serif"/>
          <w:b w:val="false"/>
          <w:i/>
          <w:color w:val="000000"/>
          <w:sz w:val="20"/>
        </w:rPr>
        <w:t>Goodwill and Intangible Assets,</w:t>
      </w:r>
      <w:r>
        <w:rPr>
          <w:color w:val="000000"/>
        </w:rPr>
        <w:t xml:space="preserve"> </w:t>
      </w:r>
      <w:r>
        <w:rPr>
          <w:rFonts w:ascii="Arial;sans-serif" w:hAnsi="Arial;sans-serif"/>
          <w:b w:val="false"/>
          <w:color w:val="000000"/>
          <w:sz w:val="20"/>
        </w:rPr>
        <w:t xml:space="preserve">and Note 7, </w:t>
      </w:r>
      <w:r>
        <w:rPr>
          <w:rFonts w:ascii="Arial;sans-serif" w:hAnsi="Arial;sans-serif"/>
          <w:b w:val="false"/>
          <w:i/>
          <w:color w:val="000000"/>
          <w:sz w:val="20"/>
        </w:rPr>
        <w:t>Restructuring Program</w:t>
      </w:r>
      <w:r>
        <w:rPr>
          <w:rFonts w:ascii="Arial;sans-serif" w:hAnsi="Arial;sans-serif"/>
          <w:b w:val="false"/>
          <w:color w:val="000000"/>
          <w:sz w:val="20"/>
        </w:rPr>
        <w:t xml:space="preserve">. Also see Note 8, </w:t>
      </w:r>
      <w:r>
        <w:rPr>
          <w:rFonts w:ascii="Arial;sans-serif" w:hAnsi="Arial;sans-serif"/>
          <w:b w:val="false"/>
          <w:i/>
          <w:color w:val="000000"/>
          <w:sz w:val="20"/>
        </w:rPr>
        <w:t>Debt and Borrowing Arrangements</w:t>
      </w:r>
      <w:r>
        <w:rPr>
          <w:rFonts w:ascii="Arial;sans-serif" w:hAnsi="Arial;sans-serif"/>
          <w:b w:val="false"/>
          <w:color w:val="000000"/>
          <w:sz w:val="20"/>
        </w:rPr>
        <w:t xml:space="preserve">, and Note 9,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for more information on our interest and other expense, net for each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34" name="Frame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by product category were:</w:t>
      </w:r>
    </w:p>
    <w:tbl>
      <w:tblPr>
        <w:tblW w:w="8643" w:type="dxa"/>
        <w:jc w:val="left"/>
        <w:tblInd w:w="0" w:type="dxa"/>
        <w:tblLayout w:type="fixed"/>
        <w:tblCellMar>
          <w:top w:w="28" w:type="dxa"/>
          <w:left w:w="28" w:type="dxa"/>
          <w:bottom w:w="28" w:type="dxa"/>
          <w:right w:w="28" w:type="dxa"/>
        </w:tblCellMar>
      </w:tblPr>
      <w:tblGrid>
        <w:gridCol w:w="852"/>
        <w:gridCol w:w="749"/>
        <w:gridCol w:w="75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 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the Three Months Ended June 30, 2022</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 2023</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For the Six Months Ended June 30, 2022</w:t>
            </w:r>
            <w:r>
              <w:rPr>
                <w:color w:val="000000"/>
              </w:rPr>
              <w:t xml:space="preserve"> </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5" name="Frame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Description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core business is making and selling chocolate, biscuits and baked snacks, with additional businesses in adjacent, locally relevant categories including gum &amp; candy, cheese &amp; grocery and powdered beverages around the world.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Developments and Significant Items Affecting Comparability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Macroeconomic environment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observe significant market and geopolitical uncertainty, increasing inflationary pressures, supply constraints and exchange rate volatility. As a result, we experienced significantly higher operating costs, including higher overall raw material, transportation, labor and energy costs that have continued to rise. Our overall outlook for future snacks revenue growth remains strong; however, we anticipate ongoing volatility in response to supply chain issues, including labor and transportation constraints. We will continue to proactively manage our business in response to the evolving global economic environment and related uncertainty and business risks while also prioritizing and supporting our employees and customers. We continue to take steps to mitigate impacts to our supply chain, operations, technology and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War in Ukraine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February 2022, following the Russian military invasion of Ukraine, we stopped production and closed our facilities in Ukraine; since then we have taken steps to protect the safety of our employees and to restore operations on a limited basis at our two manufacturing facilities, which were significantly damaged in March 2022. We continue to support our Ukraine employees, including paying salaries to those not yet able to return to work until full production returns. See Note 1, </w:t>
      </w:r>
      <w:r>
        <w:rPr>
          <w:rFonts w:ascii="Arial;sans-serif" w:hAnsi="Arial;sans-serif"/>
          <w:b w:val="false"/>
          <w:i/>
          <w:color w:val="000000"/>
          <w:sz w:val="20"/>
        </w:rPr>
        <w:t>Basis of Presentation</w:t>
      </w:r>
      <w:r>
        <w:rPr>
          <w:color w:val="000000"/>
        </w:rPr>
        <w:t xml:space="preserve"> </w:t>
      </w:r>
      <w:r>
        <w:rPr>
          <w:rFonts w:ascii="Arial;sans-serif" w:hAnsi="Arial;sans-serif"/>
          <w:b w:val="false"/>
          <w:color w:val="000000"/>
          <w:sz w:val="20"/>
        </w:rPr>
        <w:t xml:space="preserve">- </w:t>
      </w:r>
      <w:r>
        <w:rPr>
          <w:rFonts w:ascii="Arial;sans-serif" w:hAnsi="Arial;sans-serif"/>
          <w:b w:val="false"/>
          <w:i/>
          <w:color w:val="000000"/>
          <w:sz w:val="20"/>
        </w:rPr>
        <w:t>War in Ukraine</w:t>
      </w:r>
      <w:r>
        <w:rPr>
          <w:rFonts w:ascii="Arial;sans-serif" w:hAnsi="Arial;sans-serif"/>
          <w:b w:val="false"/>
          <w:color w:val="000000"/>
          <w:sz w:val="20"/>
        </w:rPr>
        <w:t xml:space="preserve">, to the condensed consolidated financial statements, and refer to </w:t>
      </w:r>
      <w:r>
        <w:rPr>
          <w:rFonts w:ascii="Arial;sans-serif" w:hAnsi="Arial;sans-serif"/>
          <w:b w:val="false"/>
          <w:i/>
          <w:color w:val="000000"/>
          <w:sz w:val="20"/>
        </w:rPr>
        <w:t>Items Affecting Comparability of Financial Results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suspended new capital investments and our advertising spending in Russia, but as a food company with more than 2,500 employees in the country, we have not ceased operations given we believe we play a role in the continuity of the food supply. We continue to evaluate the situation in Ukraine and Russia and our ability to control our operating activities and businesses on an ongoing basis and comply with applicable international sanctions, and we continue to consolidate both our Ukrainian and Russian subsidiaries. During the second quarter of 2022, Ukraine generated 0.2% and Russia generated 3.7% of consolidated net revenue and during the second quarter of 2023, Ukraine generated 0.3% and Russia generated 2.8% of consolidated net revenue. Our Russian net revenues declined in the second quarter of 2023 due to the suspension of advertising as well as currency weakness that more than offset increased pricing. Despite the decrease in revenues, the profitability of our Russian business has increased significantly and contributed to the growth of our consolidated performance. We continue to reduce our activities in Russia and expect further volume declines as we work to have the business operate on a stand-alone basis, with a self-sufficient supply chain before the end of the year. We cannot predict if the recent strength in our Russian business will continue in the future.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Our operations in Russia are subject to risks, including the temporary or permanent loss of assets or our ability to conduct business operations in Russia and the partial or full impairment of our Russian assets in future periods, or the termination of our business operations, based on actions taken by Russia, other parties or us. For more information, see the risk factors in our Annual Report on Form 10-K for the year ended December 31, 2022, including the risk entitled “</w:t>
      </w:r>
      <w:r>
        <w:rPr>
          <w:rFonts w:ascii="Arial;sans-serif" w:hAnsi="Arial;sans-serif"/>
          <w:b w:val="false"/>
          <w:i/>
          <w:color w:val="000000"/>
          <w:sz w:val="20"/>
        </w:rPr>
        <w:t>The war in Ukraine has impacted and could continue to impact our business operations, financial performance and results of operations.</w:t>
      </w:r>
      <w:r>
        <w:rPr>
          <w:color w:val="000000"/>
        </w:rPr>
        <w: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36"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Acquisitions and Divestitures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2022, we completed the following acquisitions to strategically complement and expand our existing portfolio: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Ricolino, a confectionery business with products sold primarily in Mexico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Clif Bar &amp; Company (“Clif Bar”), a leading U.S. maker of nutritious energy bars with organic ingredients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Chipita Global S.A. ("Chipita"), a high-growth leader in the Central and Eastern European croissant and baked snacks category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Additionally in 2022, we announced our intention to divest our developed market gum and global </w:t>
      </w:r>
      <w:r>
        <w:rPr>
          <w:rFonts w:ascii="Arial;sans-serif" w:hAnsi="Arial;sans-serif"/>
          <w:b w:val="false"/>
          <w:i/>
          <w:color w:val="000000"/>
          <w:sz w:val="20"/>
        </w:rPr>
        <w:t>Halls</w:t>
      </w:r>
      <w:r>
        <w:rPr>
          <w:color w:val="000000"/>
        </w:rPr>
        <w:t xml:space="preserve"> </w:t>
      </w:r>
      <w:r>
        <w:rPr>
          <w:rFonts w:ascii="Arial;sans-serif" w:hAnsi="Arial;sans-serif"/>
          <w:b w:val="false"/>
          <w:color w:val="000000"/>
          <w:sz w:val="20"/>
        </w:rPr>
        <w:t>candy businesses and in the fourth quarter of 2022, we announced an agreement to sell the developed market gum business with an anticipated closing in the fourth quarter of 2023, subject to relevant antitrust approvals and closing conditions.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Refer to Note 2, </w:t>
      </w:r>
      <w:r>
        <w:rPr>
          <w:rFonts w:ascii="Arial;sans-serif" w:hAnsi="Arial;sans-serif"/>
          <w:b w:val="false"/>
          <w:i/>
          <w:color w:val="000000"/>
          <w:sz w:val="20"/>
        </w:rPr>
        <w:t>Acquisitions and Divestitures</w:t>
      </w:r>
      <w:r>
        <w:rPr>
          <w:rFonts w:ascii="Arial;sans-serif" w:hAnsi="Arial;sans-serif"/>
          <w:b w:val="false"/>
          <w:color w:val="000000"/>
          <w:sz w:val="20"/>
        </w:rPr>
        <w:t>, for additional details.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Investment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Keurig Dr Pepper Transactions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2, 2023, we sold approximately 30 million shares of KDP, which reduced our ownership interest by 2.1% to 3.2%. We recorded a pre-tax gain on equity method transactions of $493 million (or $366 million after tax) during the first quarter of 2023. Our reduction in ownership to below 5% eliminated our governance rights that had allowed us to exert substantial influence over KDP and resulted in a change of accounting from equity method investment accounting to accounting for equity interests with readily determinable fair values ("marketable securities") during the first quarter of 2023. On June 8, 2023, we sold approximately 23 million shares of KDP, which reduced our ownership to 1.6% of the total outstanding shares. We received proceeds of approximately $708 million. On July 13, 2023, we sold our remaining 23 million shares and received approximately $704 million in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JDE Peet’s Transactions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April 3, 2023, we sold approximately 7.7 million shares of JDEP, which reduced our ownership interest by 1.6%, to 18.1%. We received cash proceeds of €198 million ($217 million) and recorded a loss of €18 million ($19 million) on this sale during the three months ended June 30, 2023. On March 30, 2023, we issued options to sell shares of JDEP in tranches equivalent to approximately 7.7 million shares. These options are exercisable at maturity during the third quarter of 2023 with a potential impact to our ownership if the options are exercised.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For additional information, refer to Note 6, </w:t>
      </w:r>
      <w:r>
        <w:rPr>
          <w:rFonts w:ascii="Arial;sans-serif" w:hAnsi="Arial;sans-serif"/>
          <w:b w:val="false"/>
          <w:i/>
          <w:color w:val="000000"/>
          <w:sz w:val="20"/>
        </w:rPr>
        <w:t xml:space="preserve">Investments </w:t>
      </w:r>
      <w:r>
        <w:rPr>
          <w:rFonts w:ascii="Arial;sans-serif" w:hAnsi="Arial;sans-serif"/>
          <w:b w:val="false"/>
          <w:color w:val="000000"/>
          <w:sz w:val="20"/>
        </w:rPr>
        <w:t>and Note 9,</w:t>
      </w:r>
      <w:r>
        <w:rPr>
          <w:color w:val="000000"/>
        </w:rPr>
        <w:t xml:space="preserve"> </w:t>
      </w:r>
      <w:r>
        <w:rPr>
          <w:rFonts w:ascii="Arial;sans-serif" w:hAnsi="Arial;sans-serif"/>
          <w:b w:val="false"/>
          <w:i/>
          <w:color w:val="000000"/>
          <w:sz w:val="20"/>
        </w:rPr>
        <w:t>Financial Instruments.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U.K. advertising and promotion ban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United Kingdom, a ban on specific types of TV and online advertising of food containing levels of fat, sugar or salt above specified thresholds as well as measures restricting multi buy promotions are expected to go into effect in October 2025. Restrictions on in-store placement of some of those products went into effect in October 2022. Although we are unable to estimate precisely the impact of the restrictions, they did not have a significant impact on our consolidated financial statements in the three and six months ended June 30, 2023.</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20"/>
        </w:rPr>
      </w:pPr>
      <w:r>
        <w:rPr>
          <w:rFonts w:ascii="Arial;sans-serif" w:hAnsi="Arial;sans-serif"/>
          <w:b/>
          <w:color w:val="000000"/>
          <w:sz w:val="20"/>
        </w:rPr>
        <w:t>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monitor existing and potential future tax reform around the world. On August 16, 2022, the U.S. enacted the Inflation Reduction Act of 2022, which, among other things, implements a 15% minimum tax on book income of certain large corporations, a 1% excise tax on net stock repurchases and several tax incentives to promote clean energy. Based on the guidance available thus far, while we meet the criteria of a large corporation we do not believe this legislation will have a material impact on our consolidated financial statements. We will continue to evaluate it as additional guidance and clarification becomes available. We also continue to monitor countries’ progress toward enactment of the Organization of Economic Cooperation and Development’s model rules on a global minimum tax. While numerous countries have proposed new legislation in this area (and two countries have enacted it as of June 30, 2023), any new law is only expected to be effective for taxable years beginning after December 31, 2023. If broadly enacted, these laws could have a material effect on us.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37" name="Frame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Financial Outlook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U.S. GAAP results. We have provided reconciliations between our GAAP and non-GAAP financial measures in </w:t>
      </w:r>
      <w:r>
        <w:rPr>
          <w:rFonts w:ascii="Arial;sans-serif" w:hAnsi="Arial;sans-serif"/>
          <w:b w:val="false"/>
          <w:i/>
          <w:color w:val="000000"/>
          <w:sz w:val="20"/>
        </w:rPr>
        <w:t>Non-GAAP Financial Measures</w:t>
      </w:r>
      <w:r>
        <w:rPr>
          <w:rFonts w:ascii="Arial;sans-serif" w:hAnsi="Arial;sans-serif"/>
          <w:b w:val="false"/>
          <w:color w:val="000000"/>
          <w:sz w:val="20"/>
        </w:rPr>
        <w:t>, which appears later in this section.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monitoring our key operating metrics, we monitor developments and trends that could impact our revenue and profitability objectives, as highlighted in our most recently filed Annual Report on Form 10-K for the year ended December 31, 2022.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0520"/>
                <wp:effectExtent l="0" t="0" r="0" b="0"/>
                <wp:wrapNone/>
                <wp:docPr id="38" name="Frame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Summary of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revenues increased 17.0% to $8.5 billion in the second quarter of 2023 and increased 17.5% to $17.7 billion in the first six months of 2023 as compared to the same periods in the prior year. In the second quarter and first six months of 2023, our net revenue growth continued to reflect strong demand for most of our snack category products in both our emerging and developed markets relative to 2022. Overall, our net revenue growth in both the second quarter and first six months of 2023 was driven by higher net pricing, incremental net revenues from our acquisitions of Clif Bar and Ricolino in 2022 and favorable volume/mix (reflecting growth in the first quarter while the second quarter was flat), partially offset by unfavorable currency translation and the impact of divestitures in 2022.</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Organic Net Revenue, a non-GAAP financial measure, increased 15.8% to $8.4 billion in the second quarter of 2023 and increased 17.7% to $17.7 billion in the first six months of 2023 as compared to same periods in the prior year. During the second quarter, Organic Net Revenue grew due to higher net pricing while volume/mix was flat. During the first six months of 2023, Organic Net Revenue grew due to both higher net pricing and favorable volume/mix. Organic Net Revenue is on a constant currency basis and excludes revenue from acquisitions and divestitures.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the definition of Organic Net Revenue and </w:t>
      </w:r>
      <w:r>
        <w:rPr>
          <w:rFonts w:ascii="Arial;sans-serif" w:hAnsi="Arial;sans-serif"/>
          <w:b w:val="false"/>
          <w:i/>
          <w:color w:val="000000"/>
          <w:sz w:val="20"/>
        </w:rPr>
        <w:t xml:space="preserve">Consolidated Results of Operations </w:t>
      </w:r>
      <w:r>
        <w:rPr>
          <w:rFonts w:ascii="Arial;sans-serif" w:hAnsi="Arial;sans-serif"/>
          <w:b w:val="false"/>
          <w:color w:val="000000"/>
          <w:sz w:val="20"/>
        </w:rPr>
        <w:t>for our reconciliation with net revenues.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Diluted EPS attributable to Mondelēz International increased 27.8% to $0.69 in the second quarter of 2023 and increased 91.3% to $2.20 in the first six months of 2023 as compared to the same period in the prior year.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Diluted EPS increased in the second quarter of 2023, driven by favorable year-over-year change in mark-to-market impacts from currency and commodity derivatives, increase in Adjusted EPS, lower acquisition integration costs and contingent consideration adjustments and lapping prior-year initial impacts from enacted tax law changes. These favorable items were partially offset by a mark-to-market loss on marketable securities, lapping prior-year net earnings from divestitures, higher divestiture-related costs, higher remeasurement loss of net monetary position, higher loss on equity method investment transactions and lapping prior-year decrease in estimated allowances and reserves associated with incremental costs incurred due to the war in Ukraine.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Diluted EPS increased during the first six months of 2023, driven by a mark-to-market gain on marketable securities, net gain on equity method investment transactions, favorable year-over-year change in mark-to-market impacts from currency and commodity derivatives, an increase in Adjusted EPS, lapping prior-year incremental costs due to the war in Ukraine, lapping prior-year loss on debt extinguishment, lapping prior-year intangible asset impairment charges, lapping prior-year acquisition-related costs and lapping prior-year initial impacts from enacted tax law changes. These favorable items were partially offset by lower net earnings from divestitures, higher equity investee items, higher divestiture-related costs, higher acquisition integration costs and contingent consideration adjustments and higher remeasurement loss of net monetary position.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a non-GAAP financial measure, increased 16.9% to $0.76 in the second quarter of 2023 and increased 13.0% to $1.65 in the first six months of 2023 as compared to the same periods in the prior year. On a constant currency basis, Adjusted EPS increased 21.5% to $0.79 in the second quarter of 2023 and increased 19.9% to $1.75 in the first six months of 2023 as compared to the same periods in the prior year.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the definition of Adjusted EPS and </w:t>
      </w:r>
      <w:r>
        <w:rPr>
          <w:rFonts w:ascii="Arial;sans-serif" w:hAnsi="Arial;sans-serif"/>
          <w:b w:val="false"/>
          <w:i/>
          <w:color w:val="000000"/>
          <w:sz w:val="20"/>
        </w:rPr>
        <w:t xml:space="preserve">Consolidated Results of Operations </w:t>
      </w:r>
      <w:r>
        <w:rPr>
          <w:rFonts w:ascii="Arial;sans-serif" w:hAnsi="Arial;sans-serif"/>
          <w:b w:val="false"/>
          <w:color w:val="000000"/>
          <w:sz w:val="20"/>
        </w:rPr>
        <w:t>for our reconciliation with diluted EPS.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increased in the second quarter of 2023, primarily driven by operating gains, impact from acquisitions, fewer shares outstanding and higher equity method investment earnings, partially offset by unfavorable currency translation, higher taxes, higher interest expense and lower benefit plan non-service income.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increased in the first six months of 2023, primarily driven by operating gains, impact from acquisitions, fewer shares outstanding and dividend income from marketable securities, partially offset by unfavorable currency translation, higher interest expense, higher taxes and lower benefit plan non-service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0520"/>
                <wp:effectExtent l="0" t="0" r="0" b="0"/>
                <wp:wrapNone/>
                <wp:docPr id="39" name="Frame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Discussion and Analysis of Historical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Items Affecting Comparability of Financial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sans-serif" w:hAnsi="Arial;sans-serif"/>
          <w:b w:val="false"/>
          <w:i/>
          <w:color w:val="000000"/>
          <w:sz w:val="20"/>
        </w:rPr>
        <w:t>Consolidated Results of Operations – Net Earnings and Earnings per Share Attributable to Mondelēz International</w:t>
      </w:r>
      <w:r>
        <w:rPr>
          <w:color w:val="000000"/>
        </w:rPr>
        <w:t xml:space="preserve"> </w:t>
      </w:r>
      <w:r>
        <w:rPr>
          <w:rFonts w:ascii="Arial;sans-serif" w:hAnsi="Arial;sans-serif"/>
          <w:b w:val="false"/>
          <w:color w:val="000000"/>
          <w:sz w:val="20"/>
        </w:rPr>
        <w:t>table for the after-tax per share impacts of these items.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73"/>
        <w:gridCol w:w="1317"/>
        <w:gridCol w:w="1327"/>
        <w:gridCol w:w="270"/>
        <w:gridCol w:w="270"/>
        <w:gridCol w:w="271"/>
        <w:gridCol w:w="109"/>
        <w:gridCol w:w="109"/>
        <w:gridCol w:w="109"/>
        <w:gridCol w:w="254"/>
        <w:gridCol w:w="389"/>
        <w:gridCol w:w="323"/>
        <w:gridCol w:w="129"/>
        <w:gridCol w:w="129"/>
        <w:gridCol w:w="129"/>
        <w:gridCol w:w="254"/>
        <w:gridCol w:w="389"/>
        <w:gridCol w:w="323"/>
        <w:gridCol w:w="109"/>
        <w:gridCol w:w="109"/>
        <w:gridCol w:w="109"/>
        <w:gridCol w:w="211"/>
        <w:gridCol w:w="430"/>
        <w:gridCol w:w="271"/>
        <w:gridCol w:w="109"/>
        <w:gridCol w:w="109"/>
        <w:gridCol w:w="109"/>
        <w:gridCol w:w="211"/>
        <w:gridCol w:w="430"/>
        <w:gridCol w:w="324"/>
      </w:tblGrid>
      <w:tr>
        <w:trPr/>
        <w:tc>
          <w:tcPr>
            <w:tcW w:w="157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See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Simplify to Grow Program</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Implementation charges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Intangible asset impairment charges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Mark-to-market gains/(losses) from derivatives </w:t>
            </w:r>
            <w:r>
              <w:rPr>
                <w:rFonts w:ascii="Arial;sans-serif" w:hAnsi="Arial;sans-serif"/>
                <w:b/>
                <w:color w:val="000000"/>
                <w:sz w:val="12"/>
              </w:rPr>
              <w:t>(1)</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Acquisition and divestiture-related costs: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Acquisition integration costs and </w:t>
            </w:r>
          </w:p>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contingent consideration adjustments </w:t>
            </w:r>
            <w:r>
              <w:rPr>
                <w:rFonts w:ascii="Arial;sans-serif" w:hAnsi="Arial;sans-serif"/>
                <w:b w:val="false"/>
                <w:color w:val="000000"/>
                <w:sz w:val="12"/>
              </w:rPr>
              <w:t>(1)</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Divestiture-related costs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Incremental costs due to war in Ukraine </w:t>
            </w:r>
            <w:r>
              <w:rPr>
                <w:rFonts w:ascii="Arial;sans-serif" w:hAnsi="Arial;sans-serif"/>
                <w:b/>
                <w:color w:val="000000"/>
                <w:sz w:val="12"/>
              </w:rPr>
              <w:t>(2)</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Remeasurement of net monetary position</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Impact from pension participation changes </w:t>
            </w:r>
            <w:r>
              <w:rPr>
                <w:rFonts w:ascii="Arial;sans-serif" w:hAnsi="Arial;sans-serif"/>
                <w:b/>
                <w:color w:val="000000"/>
                <w:sz w:val="12"/>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on debt extinguishment and related expenses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Initial impacts from enacted tax law changes</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(Loss)/gain on marketable securities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(Loss)/gain on equity method investment </w:t>
            </w:r>
          </w:p>
          <w:p>
            <w:pPr>
              <w:pStyle w:val="TableContents"/>
              <w:bidi w:val="0"/>
              <w:spacing w:lineRule="auto" w:line="240" w:before="0" w:after="0"/>
              <w:jc w:val="left"/>
              <w:rPr/>
            </w:pPr>
            <w:r>
              <w:rPr>
                <w:color w:val="000000"/>
              </w:rPr>
              <w:t>   </w:t>
            </w:r>
            <w:r>
              <w:rPr>
                <w:rFonts w:ascii="Arial;sans-serif" w:hAnsi="Arial;sans-serif"/>
                <w:b/>
                <w:color w:val="000000"/>
                <w:sz w:val="18"/>
              </w:rPr>
              <w:t xml:space="preserve">transactions </w:t>
            </w:r>
            <w:r>
              <w:rPr>
                <w:rFonts w:ascii="Arial;sans-serif" w:hAnsi="Arial;sans-serif"/>
                <w:b/>
                <w:color w:val="000000"/>
                <w:sz w:val="12"/>
              </w:rPr>
              <w:t>(3)</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Equity method investee items </w:t>
            </w:r>
            <w:r>
              <w:rPr>
                <w:rFonts w:ascii="Arial;sans-serif" w:hAnsi="Arial;sans-serif"/>
                <w:b/>
                <w:color w:val="000000"/>
                <w:sz w:val="12"/>
              </w:rPr>
              <w:t>(4)</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Effective tax rate</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rFonts w:ascii="Arial;sans-serif" w:hAnsi="Arial;sans-serif"/>
          <w:b w:val="false"/>
          <w:color w:val="000000"/>
          <w:sz w:val="16"/>
        </w:rPr>
        <w:t xml:space="preserve">(1)Includes impacts recorded in operating income and interest expense and other, net. Mark-to-market gains/(losses) above also include our equity method investment-related derivative contract mark-to-market gains/(losses) (refer to Note 9, </w:t>
      </w:r>
      <w:r>
        <w:rPr>
          <w:rFonts w:ascii="Arial;sans-serif" w:hAnsi="Arial;sans-serif"/>
          <w:b w:val="false"/>
          <w:i/>
          <w:color w:val="000000"/>
          <w:sz w:val="16"/>
        </w:rPr>
        <w:t>Financial Instruments)</w:t>
      </w:r>
      <w:r>
        <w:rPr>
          <w:color w:val="000000"/>
        </w:rPr>
        <w:t xml:space="preserve"> </w:t>
      </w:r>
      <w:r>
        <w:rPr>
          <w:rFonts w:ascii="Arial;sans-serif" w:hAnsi="Arial;sans-serif"/>
          <w:b w:val="false"/>
          <w:color w:val="000000"/>
          <w:sz w:val="16"/>
        </w:rPr>
        <w:t>that are recorded in the (loss)/gain on equity method investment transactions on our condensed consolidated statement of earnings.</w:t>
      </w:r>
    </w:p>
    <w:p>
      <w:pPr>
        <w:pStyle w:val="TextBody"/>
        <w:bidi w:val="0"/>
        <w:spacing w:lineRule="auto" w:line="288" w:before="0" w:after="0"/>
        <w:ind w:left="0" w:right="0" w:hanging="360"/>
        <w:jc w:val="both"/>
        <w:rPr/>
      </w:pPr>
      <w:r>
        <w:rPr>
          <w:rFonts w:ascii="Arial;sans-serif" w:hAnsi="Arial;sans-serif"/>
          <w:b w:val="false"/>
          <w:color w:val="000000"/>
          <w:sz w:val="16"/>
        </w:rPr>
        <w:t xml:space="preserve">(2)Incremental costs due to the war in Ukraine include direct charges such as asset impairments due to damaged facilities and inventory, higher expected allowances for uncollectible accounts receivable and committed compensation. Please see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 xml:space="preserve">section at the end of this item and Note 1, </w:t>
      </w:r>
      <w:r>
        <w:rPr>
          <w:rFonts w:ascii="Arial;sans-serif" w:hAnsi="Arial;sans-serif"/>
          <w:b w:val="false"/>
          <w:i/>
          <w:color w:val="000000"/>
          <w:sz w:val="16"/>
        </w:rPr>
        <w:t>Basis of Presentation – War in Ukraine</w:t>
      </w:r>
      <w:r>
        <w:rPr>
          <w:rFonts w:ascii="Arial;sans-serif" w:hAnsi="Arial;sans-serif"/>
          <w:b w:val="false"/>
          <w:color w:val="000000"/>
          <w:sz w:val="16"/>
        </w:rPr>
        <w:t>, for additional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(3)(Loss)/gain on equity method investment transactions is recorded outside pre-tax operating results on the condensed consolidated statement of earnings. See footnote (1) as mark-to-market gains/(losses) on our equity method-investment-related derivative contracts are presented in the table above within mark-to-market gains/(losses) from derivatives.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(4)Includes our proportionate share of significant operating and non-operating items recorded by our JDE Peet's equity method investee, including acquisition and divestiture-related costs and restructuring program costs.</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0520"/>
                <wp:effectExtent l="0" t="0" r="0" b="0"/>
                <wp:wrapNone/>
                <wp:docPr id="40"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tbl>
      <w:tblPr>
        <w:tblW w:w="9307" w:type="dxa"/>
        <w:jc w:val="left"/>
        <w:tblInd w:w="0" w:type="dxa"/>
        <w:tblLayout w:type="fixed"/>
        <w:tblCellMar>
          <w:top w:w="28" w:type="dxa"/>
          <w:left w:w="28" w:type="dxa"/>
          <w:bottom w:w="28" w:type="dxa"/>
          <w:right w:w="28" w:type="dxa"/>
        </w:tblCellMar>
      </w:tblPr>
      <w:tblGrid>
        <w:gridCol w:w="1652"/>
        <w:gridCol w:w="1275"/>
        <w:gridCol w:w="1288"/>
        <w:gridCol w:w="221"/>
        <w:gridCol w:w="678"/>
        <w:gridCol w:w="114"/>
        <w:gridCol w:w="114"/>
        <w:gridCol w:w="114"/>
        <w:gridCol w:w="114"/>
        <w:gridCol w:w="221"/>
        <w:gridCol w:w="678"/>
        <w:gridCol w:w="114"/>
        <w:gridCol w:w="109"/>
        <w:gridCol w:w="109"/>
        <w:gridCol w:w="109"/>
        <w:gridCol w:w="211"/>
        <w:gridCol w:w="646"/>
        <w:gridCol w:w="109"/>
        <w:gridCol w:w="109"/>
        <w:gridCol w:w="109"/>
        <w:gridCol w:w="109"/>
        <w:gridCol w:w="270"/>
        <w:gridCol w:w="271"/>
        <w:gridCol w:w="563"/>
      </w:tblGrid>
      <w:tr>
        <w:trPr/>
        <w:tc>
          <w:tcPr>
            <w:tcW w:w="16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Net earnings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Diluted earnings per share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Net Revenues</w:t>
      </w:r>
      <w:r>
        <w:rPr>
          <w:color w:val="000000"/>
        </w:rPr>
        <w:t xml:space="preserve"> – </w:t>
      </w:r>
      <w:r>
        <w:rPr>
          <w:rFonts w:ascii="Arial;sans-serif" w:hAnsi="Arial;sans-serif"/>
          <w:b w:val="false"/>
          <w:color w:val="000000"/>
          <w:sz w:val="20"/>
        </w:rPr>
        <w:t xml:space="preserve">Net revenues increased $1,233 million (17.0%) to $8,507 million in the second quarter of 2023, and Organic Net Revenue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increased $1,151 million (15.8%) to $8,413 million. Emerging markets net revenues increased 17.8% and emerging markets Organic Net Revenue increased 23.3% </w:t>
      </w:r>
      <w:r>
        <w:rPr>
          <w:rFonts w:ascii="Arial;sans-serif" w:hAnsi="Arial;sans-serif"/>
          <w:b w:val="false"/>
          <w:color w:val="000000"/>
          <w:sz w:val="12"/>
        </w:rPr>
        <w:t>(1)</w:t>
      </w:r>
      <w:r>
        <w:rPr>
          <w:rFonts w:ascii="Arial;sans-serif" w:hAnsi="Arial;sans-serif"/>
          <w:b w:val="false"/>
          <w:color w:val="000000"/>
          <w:sz w:val="20"/>
        </w:rPr>
        <w:t xml:space="preserve">. Developed markets net revenues increased 16.4% and developed markets Organic Net Revenue increased 11.2% </w:t>
      </w:r>
      <w:r>
        <w:rPr>
          <w:rFonts w:ascii="Arial;sans-serif" w:hAnsi="Arial;sans-serif"/>
          <w:b w:val="false"/>
          <w:color w:val="000000"/>
          <w:sz w:val="12"/>
        </w:rPr>
        <w:t>(1)</w:t>
      </w:r>
      <w:r>
        <w:rPr>
          <w:rFonts w:ascii="Arial;sans-serif" w:hAnsi="Arial;sans-serif"/>
          <w:b w:val="false"/>
          <w:color w:val="000000"/>
          <w:sz w:val="20"/>
        </w:rPr>
        <w:t>. The underlying changes in net revenues and Organic Net Revenue are detailed below:</w:t>
      </w:r>
    </w:p>
    <w:tbl>
      <w:tblPr>
        <w:tblW w:w="7785" w:type="dxa"/>
        <w:jc w:val="left"/>
        <w:tblInd w:w="0" w:type="dxa"/>
        <w:tblLayout w:type="fixed"/>
        <w:tblCellMar>
          <w:top w:w="28" w:type="dxa"/>
          <w:left w:w="28" w:type="dxa"/>
          <w:bottom w:w="28" w:type="dxa"/>
          <w:right w:w="28" w:type="dxa"/>
        </w:tblCellMar>
      </w:tblPr>
      <w:tblGrid>
        <w:gridCol w:w="1223"/>
        <w:gridCol w:w="1073"/>
        <w:gridCol w:w="1078"/>
        <w:gridCol w:w="211"/>
        <w:gridCol w:w="646"/>
        <w:gridCol w:w="346"/>
        <w:gridCol w:w="109"/>
        <w:gridCol w:w="109"/>
        <w:gridCol w:w="109"/>
        <w:gridCol w:w="211"/>
        <w:gridCol w:w="646"/>
        <w:gridCol w:w="376"/>
        <w:gridCol w:w="109"/>
        <w:gridCol w:w="109"/>
        <w:gridCol w:w="109"/>
        <w:gridCol w:w="218"/>
        <w:gridCol w:w="667"/>
        <w:gridCol w:w="436"/>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Emerging</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Developed</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Mondelēz</w:t>
              <w:br/>
              <w:t>International</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Three Months Ended June 30, 2023</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3,306</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5,201</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8,507</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3,446</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4,967</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8,413</w:t>
            </w: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Three Months Ended June 30, 2022</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2,806</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4,468</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7,274</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2,794</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4,468</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7,262</w:t>
            </w: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 Change</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pp</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w:t>
            </w: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Vol/Mix</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(1)Please see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Net revenue increase of 17.0% was driven by our underlying Organic Net Revenue growth of 15.8% and the impact of acquisitions, partially offset by unfavorable currency translation and the impact of divestitures. Overall, we continued to see strong demand for our snack category products across most regions. Organic Net Revenue growth was driven by higher net pricing as overall volume/mix was flat for the quarter. Higher net pricing in all regions was due to the benefit of carryover pricing from 2022 as well as the effects of input cost-driven pricing actions taken during the first six months of 2023. Volume/mix was flat as favorable volume/mix in North America, AMEA and Latin America was offset by unfavorable volume/mix in Europe reflecting the impact from customer price negotiation disruptions. The November 1, 2022 acquisition of Ricolino added incremental net revenues of $137 million (constant currency basis) and the August 1, 2022 acquisition of Clif Bar added incremental net revenues of $240 million. Unfavorable currency impacts decreased net revenues by $283 million, primarily due to the strength of the U.S. dollar relative to most currencies, including the Argentinean peso, Russian ruble, Chinese yuan, Indian rupee, Turkish Lira, Egyptian pound, South African rand and Australian dollar, partially offset by the strength of a few currencies relative to the U.S. dollar, primarily the Mexican peso and euro. The impact of our 2022 divestitures resulted in a year-over-year reduction in net revenues of $12 million. Refer to Note 2, </w:t>
      </w:r>
      <w:r>
        <w:rPr>
          <w:rFonts w:ascii="Arial;sans-serif" w:hAnsi="Arial;sans-serif"/>
          <w:b w:val="false"/>
          <w:i/>
          <w:color w:val="000000"/>
          <w:sz w:val="20"/>
        </w:rPr>
        <w:t xml:space="preserve">Acquisitions and Divestitures, </w:t>
      </w:r>
      <w:r>
        <w:rPr>
          <w:rFonts w:ascii="Arial;sans-serif" w:hAnsi="Arial;sans-serif"/>
          <w:b w:val="false"/>
          <w:color w:val="000000"/>
          <w:sz w:val="20"/>
        </w:rPr>
        <w:t xml:space="preserve">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41" name="Frame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Operating Income</w:t>
      </w:r>
      <w:r>
        <w:rPr>
          <w:color w:val="000000"/>
        </w:rPr>
        <w:t xml:space="preserve"> – </w:t>
      </w:r>
      <w:r>
        <w:rPr>
          <w:rFonts w:ascii="Arial;sans-serif" w:hAnsi="Arial;sans-serif"/>
          <w:b w:val="false"/>
          <w:color w:val="000000"/>
          <w:sz w:val="20"/>
        </w:rPr>
        <w:t xml:space="preserve">Operating income increased $498 million (53.7%) to $1,425 million in the second quarter of 2023. Adjusted Operating Income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increased $235 million (21.4%) to $1,332 million and Adjusted Operating Income on a constant currency basis </w:t>
      </w:r>
      <w:r>
        <w:rPr>
          <w:rFonts w:ascii="Arial;sans-serif" w:hAnsi="Arial;sans-serif"/>
          <w:b w:val="false"/>
          <w:color w:val="000000"/>
          <w:sz w:val="12"/>
        </w:rPr>
        <w:t>(1)</w:t>
      </w:r>
      <w:r>
        <w:rPr>
          <w:color w:val="000000"/>
        </w:rPr>
        <w:t> </w:t>
      </w:r>
      <w:r>
        <w:rPr>
          <w:rFonts w:ascii="Arial;sans-serif" w:hAnsi="Arial;sans-serif"/>
          <w:b w:val="false"/>
          <w:color w:val="000000"/>
          <w:sz w:val="20"/>
        </w:rPr>
        <w:t>increased $288 million (26.3%) to $1,385 million due to the following:</w:t>
      </w:r>
    </w:p>
    <w:tbl>
      <w:tblPr>
        <w:tblW w:w="9834" w:type="dxa"/>
        <w:jc w:val="left"/>
        <w:tblInd w:w="0" w:type="dxa"/>
        <w:tblLayout w:type="fixed"/>
        <w:tblCellMar>
          <w:top w:w="28" w:type="dxa"/>
          <w:left w:w="28" w:type="dxa"/>
          <w:bottom w:w="28" w:type="dxa"/>
          <w:right w:w="28" w:type="dxa"/>
        </w:tblCellMar>
      </w:tblPr>
      <w:tblGrid>
        <w:gridCol w:w="1716"/>
        <w:gridCol w:w="1509"/>
        <w:gridCol w:w="1515"/>
        <w:gridCol w:w="221"/>
        <w:gridCol w:w="678"/>
        <w:gridCol w:w="114"/>
        <w:gridCol w:w="114"/>
        <w:gridCol w:w="114"/>
        <w:gridCol w:w="114"/>
        <w:gridCol w:w="221"/>
        <w:gridCol w:w="678"/>
        <w:gridCol w:w="114"/>
        <w:gridCol w:w="109"/>
        <w:gridCol w:w="109"/>
        <w:gridCol w:w="109"/>
        <w:gridCol w:w="225"/>
        <w:gridCol w:w="514"/>
        <w:gridCol w:w="117"/>
        <w:gridCol w:w="109"/>
        <w:gridCol w:w="109"/>
        <w:gridCol w:w="109"/>
        <w:gridCol w:w="270"/>
        <w:gridCol w:w="271"/>
        <w:gridCol w:w="675"/>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53.7</w:t>
            </w:r>
            <w:r>
              <w:rPr>
                <w:color w:val="000000"/>
              </w:rPr>
              <w:t>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Mark-to-market (gains)/losses from derivatives </w:t>
            </w:r>
            <w:r>
              <w:rPr>
                <w:rFonts w:ascii="Arial;sans-serif" w:hAnsi="Arial;sans-serif"/>
                <w:b w:val="false"/>
                <w:color w:val="000000"/>
                <w:sz w:val="13"/>
              </w:rPr>
              <w:t>(3)</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bidi w:val="0"/>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 xml:space="preserve">(4) </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Acquisition-related costs </w:t>
            </w:r>
            <w:r>
              <w:rPr>
                <w:rFonts w:ascii="Arial;sans-serif" w:hAnsi="Arial;sans-serif"/>
                <w:b w:val="false"/>
                <w:color w:val="000000"/>
                <w:sz w:val="13"/>
              </w:rPr>
              <w:t>(4)</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3"/>
              </w:rPr>
              <w:t>(4) (6)</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Operating income from divestitures </w:t>
            </w:r>
            <w:r>
              <w:rPr>
                <w:rFonts w:ascii="Arial;sans-serif" w:hAnsi="Arial;sans-serif"/>
                <w:b w:val="false"/>
                <w:color w:val="000000"/>
                <w:sz w:val="13"/>
              </w:rPr>
              <w:t>(4)</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Incremental costs due to war in Ukraine </w:t>
            </w:r>
            <w:r>
              <w:rPr>
                <w:rFonts w:ascii="Arial;sans-serif" w:hAnsi="Arial;sans-serif"/>
                <w:b w:val="false"/>
                <w:color w:val="000000"/>
                <w:sz w:val="13"/>
              </w:rPr>
              <w:t>(5)</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(5)</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w:t>
            </w:r>
            <w:r>
              <w:rPr>
                <w:rFonts w:ascii="Arial;sans-serif" w:hAnsi="Arial;sans-serif"/>
                <w:b/>
                <w:color w:val="000000"/>
                <w:sz w:val="13"/>
              </w:rPr>
              <w:t>(1)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1,332</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1,097</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w:t>
            </w:r>
            <w:r>
              <w:rPr>
                <w:color w:val="000000"/>
              </w:rPr>
              <w:t>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color w:val="000000"/>
                <w:sz w:val="20"/>
              </w:rPr>
            </w:pPr>
            <w:r>
              <w:rPr>
                <w:rFonts w:ascii="Arial;sans-serif" w:hAnsi="Arial;sans-serif"/>
                <w:b/>
                <w:color w:val="000000"/>
                <w:sz w:val="2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currency translation</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(constant currency) </w:t>
            </w:r>
            <w:r>
              <w:rPr>
                <w:rFonts w:ascii="Arial;sans-serif" w:hAnsi="Arial;sans-serif"/>
                <w:b/>
                <w:color w:val="000000"/>
                <w:sz w:val="13"/>
              </w:rPr>
              <w:t>(1)</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1,385</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1,097</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both"/>
        <w:rPr/>
      </w:pPr>
      <w:r>
        <w:rPr/>
      </w:r>
    </w:p>
    <w:tbl>
      <w:tblPr>
        <w:tblW w:w="9103" w:type="dxa"/>
        <w:jc w:val="left"/>
        <w:tblInd w:w="0" w:type="dxa"/>
        <w:tblLayout w:type="fixed"/>
        <w:tblCellMar>
          <w:top w:w="28" w:type="dxa"/>
          <w:left w:w="28" w:type="dxa"/>
          <w:bottom w:w="28" w:type="dxa"/>
          <w:right w:w="28" w:type="dxa"/>
        </w:tblCellMar>
      </w:tblPr>
      <w:tblGrid>
        <w:gridCol w:w="2261"/>
        <w:gridCol w:w="1982"/>
        <w:gridCol w:w="1997"/>
        <w:gridCol w:w="109"/>
        <w:gridCol w:w="109"/>
        <w:gridCol w:w="109"/>
        <w:gridCol w:w="109"/>
        <w:gridCol w:w="109"/>
        <w:gridCol w:w="109"/>
        <w:gridCol w:w="109"/>
        <w:gridCol w:w="109"/>
        <w:gridCol w:w="109"/>
        <w:gridCol w:w="109"/>
        <w:gridCol w:w="109"/>
        <w:gridCol w:w="109"/>
        <w:gridCol w:w="225"/>
        <w:gridCol w:w="514"/>
        <w:gridCol w:w="117"/>
        <w:gridCol w:w="109"/>
        <w:gridCol w:w="109"/>
        <w:gridCol w:w="109"/>
        <w:gridCol w:w="109"/>
        <w:gridCol w:w="109"/>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Operating Income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Higher net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Higher input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Favorable volume/mix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Higher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Impact from acquisitions</w:t>
            </w:r>
            <w:r>
              <w:rPr>
                <w:color w:val="000000"/>
              </w:rPr>
              <w:t xml:space="preserve">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Lower 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Higher asset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Operating Income (constant currency)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(2)Refer to Note 7, </w:t>
      </w:r>
      <w:r>
        <w:rPr>
          <w:rFonts w:ascii="Arial;sans-serif" w:hAnsi="Arial;sans-serif"/>
          <w:b w:val="false"/>
          <w:i/>
          <w:color w:val="000000"/>
          <w:sz w:val="16"/>
        </w:rPr>
        <w:t>Restructuring Program,</w:t>
      </w:r>
      <w:r>
        <w:rPr>
          <w:color w:val="000000"/>
        </w:rPr>
        <w:t xml:space="preserve"> </w:t>
      </w:r>
      <w:r>
        <w:rPr>
          <w:rFonts w:ascii="Arial;sans-serif" w:hAnsi="Arial;sans-serif"/>
          <w:b w:val="false"/>
          <w:color w:val="000000"/>
          <w:sz w:val="16"/>
        </w:rPr>
        <w:t>for more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(3)Refer to Note 9, </w:t>
      </w:r>
      <w:r>
        <w:rPr>
          <w:rFonts w:ascii="Arial;sans-serif" w:hAnsi="Arial;sans-serif"/>
          <w:b w:val="false"/>
          <w:i/>
          <w:color w:val="000000"/>
          <w:sz w:val="16"/>
        </w:rPr>
        <w:t>Financial Instruments</w:t>
      </w:r>
      <w:r>
        <w:rPr>
          <w:rFonts w:ascii="Arial;sans-serif" w:hAnsi="Arial;sans-serif"/>
          <w:b w:val="false"/>
          <w:color w:val="000000"/>
          <w:sz w:val="16"/>
        </w:rPr>
        <w:t xml:space="preserve">, and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 for more information on the unrealized gains/losses on commodity and forecasted currency transaction derivatives.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(4)Refer to Note 2, </w:t>
      </w:r>
      <w:r>
        <w:rPr>
          <w:rFonts w:ascii="Arial;sans-serif" w:hAnsi="Arial;sans-serif"/>
          <w:b w:val="false"/>
          <w:i/>
          <w:color w:val="000000"/>
          <w:sz w:val="16"/>
        </w:rPr>
        <w:t>Acquisitions and Divestitures</w:t>
      </w:r>
      <w:r>
        <w:rPr>
          <w:rFonts w:ascii="Arial;sans-serif" w:hAnsi="Arial;sans-serif"/>
          <w:b w:val="false"/>
          <w:color w:val="000000"/>
          <w:sz w:val="16"/>
        </w:rPr>
        <w:t>, for more information on the November 1, 2022 acquisition of Ricolino, August 1, 2022 acquisition of Clif Bar and January 3, 2022 acquisition of Chipita.</w:t>
      </w:r>
    </w:p>
    <w:p>
      <w:pPr>
        <w:pStyle w:val="TextBody"/>
        <w:bidi w:val="0"/>
        <w:spacing w:lineRule="auto" w:line="288" w:before="0" w:after="0"/>
        <w:ind w:left="0" w:right="0" w:hanging="360"/>
        <w:jc w:val="both"/>
        <w:rPr/>
      </w:pPr>
      <w:r>
        <w:rPr>
          <w:rFonts w:ascii="Arial;sans-serif" w:hAnsi="Arial;sans-serif"/>
          <w:b w:val="false"/>
          <w:color w:val="000000"/>
          <w:sz w:val="16"/>
        </w:rPr>
        <w:t xml:space="preserve">(5)Refer to Note 1, </w:t>
      </w:r>
      <w:r>
        <w:rPr>
          <w:rFonts w:ascii="Arial;sans-serif" w:hAnsi="Arial;sans-serif"/>
          <w:b w:val="false"/>
          <w:i/>
          <w:color w:val="000000"/>
          <w:sz w:val="16"/>
        </w:rPr>
        <w:t>Basis of Presentation</w:t>
      </w:r>
      <w:r>
        <w:rPr>
          <w:rFonts w:ascii="Arial;sans-serif" w:hAnsi="Arial;sans-serif"/>
          <w:b w:val="false"/>
          <w:color w:val="000000"/>
          <w:sz w:val="16"/>
        </w:rPr>
        <w:t>, for information on our accounting for the war in Ukraine and our application of highly inflationary accounting for Argentina and Türkiye.</w:t>
      </w:r>
    </w:p>
    <w:p>
      <w:pPr>
        <w:pStyle w:val="TextBody"/>
        <w:bidi w:val="0"/>
        <w:spacing w:lineRule="auto" w:line="288" w:before="0" w:after="0"/>
        <w:ind w:left="0" w:right="0" w:hanging="360"/>
        <w:jc w:val="both"/>
        <w:rPr/>
      </w:pPr>
      <w:r>
        <w:rPr>
          <w:rFonts w:ascii="Arial;sans-serif" w:hAnsi="Arial;sans-serif"/>
          <w:b w:val="false"/>
          <w:color w:val="000000"/>
          <w:sz w:val="16"/>
        </w:rPr>
        <w:t xml:space="preserve">(6)Divestiture-related costs includes costs incurred associated with our publicly-announced processes to divest our developed markets gum and global </w:t>
      </w:r>
      <w:r>
        <w:rPr>
          <w:rFonts w:ascii="Arial;sans-serif" w:hAnsi="Arial;sans-serif"/>
          <w:b w:val="false"/>
          <w:i/>
          <w:color w:val="000000"/>
          <w:sz w:val="16"/>
        </w:rPr>
        <w:t>Halls</w:t>
      </w:r>
      <w:r>
        <w:rPr>
          <w:color w:val="000000"/>
        </w:rPr>
        <w:t xml:space="preserve"> </w:t>
      </w:r>
      <w:r>
        <w:rPr>
          <w:rFonts w:ascii="Arial;sans-serif" w:hAnsi="Arial;sans-serif"/>
          <w:b w:val="false"/>
          <w:color w:val="000000"/>
          <w:sz w:val="16"/>
        </w:rPr>
        <w:t xml:space="preserve">businesses.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42"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second quarter of 2023, we realized higher net pricing and favorable volume/mix, which was partially offset by increased input costs. Higher net pricing, which included the carryover impact of pricing actions taken in 2022 as well as the effects of input cost-driven pricing actions taken during the first six months of 2023, was reflected across all regions. Overall, volume/mix benefited from improved product mix and continued strong demand for our snack category products across most regions. Favorable volume/mix was driven by AMEA, North America and Latin America, partially offset by unfavorable volume/mix in Europe reflecting the impact from customer price negotiation disruptions. The increase in input costs was driven by higher raw material costs, partially offset by lower manufacturing costs driven by productivity. Higher raw material costs were in part due to higher energy, sugar, dairy, grains, packaging, cocoa, edible oils and other ingredients costs as well as unfavorable year-over-year currency exchange transaction costs on imported materials.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selling, general and administrative expenses increased $193 million from the second quarter of 2022, due to a number of factors noted in the table above, including in part, the impact of acquisitions, higher divestiture-related costs, higher remeasurement loss of net monetary position and lapping prior-year decrease in estimated allowances and reserves associated with incremental costs incurred due to the war in Ukraine, which were partially offset by a favorable currency impact related to expenses, lower acquisition integration costs and contingent consideration adjustments, lapping prior-year acquisition-related costs and lower implementation costs incurred for the Simplify to Grow program. Excluding these factors, selling, general and administrative expenses also increased $145 million from the second quarter of 2022. The increase was driven primarily by higher advertising and consumer promotion costs and higher overhead costs in part due to increased investments in route to market capabilities.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Unfavorable currency changes decreased operating income by $53 million due primarily to the strength of the U.S. dollar relative to most currencies, including the Russian ruble, Argentinean peso, Egyptian pound, Chinese yuan, Indian rupee and South African rand, partially offset by the strength of a few currencies relative to the U.S. dollar, including the Mexican peso and euro.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margin increased from 12.7% in the second quarter of 2022 to 16.8% in the second quarter of 2023. The increase was primarily driven by favorable year-over-year change in mark-to-market gains/(losses) from currency and commodity hedging activities, higher Adjusted Operating Income margin, lower costs incurred for the Simplify to Grow program and lower acquisition integration costs and contingent consideration adjustments, partially offset by higher divestiture-related costs, lapping prior-year decrease in estimated allowances and reserves associated with incremental costs incurred due to the war in Ukraine and higher remeasurement loss of net monetary position. Adjusted Operating Income margin increased from 15.1% for the second quarter of 2022 to 15.7% for the second quarter of 2023. The increase was driven primarily by higher net pricing, overhead cost leverage, lower manufacturing and favorable product mix, partially offset by higher raw material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43"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Net Earnings and Earnings per Share Attributable to Mondelēz International</w:t>
      </w:r>
      <w:r>
        <w:rPr>
          <w:color w:val="000000"/>
        </w:rPr>
        <w:t xml:space="preserve"> – </w:t>
      </w:r>
      <w:r>
        <w:rPr>
          <w:rFonts w:ascii="Arial;sans-serif" w:hAnsi="Arial;sans-serif"/>
          <w:b w:val="false"/>
          <w:color w:val="000000"/>
          <w:sz w:val="20"/>
        </w:rPr>
        <w:t xml:space="preserve">Net earnings attributable to Mondelēz International of $944 million increased by $197 million (26.4%) in the second quarter of 2023. Diluted EPS attributable to Mondelēz International was $0.69 in the second quarter of 2023, up $0.15 (27.8%) from the second quarter of 2022. Adjusted EPS </w:t>
      </w:r>
      <w:r>
        <w:rPr>
          <w:rFonts w:ascii="Arial;sans-serif" w:hAnsi="Arial;sans-serif"/>
          <w:b w:val="false"/>
          <w:color w:val="000000"/>
          <w:sz w:val="13"/>
        </w:rPr>
        <w:t>(1)</w:t>
      </w:r>
      <w:r>
        <w:rPr>
          <w:color w:val="000000"/>
        </w:rPr>
        <w:t> </w:t>
      </w:r>
      <w:r>
        <w:rPr>
          <w:rFonts w:ascii="Arial;sans-serif" w:hAnsi="Arial;sans-serif"/>
          <w:b w:val="false"/>
          <w:color w:val="000000"/>
          <w:sz w:val="20"/>
        </w:rPr>
        <w:t xml:space="preserve">was $0.76 in the second quarter of 2023, up $0.11 (16.9%) from the second quarter of 2022. Adjusted EPS on a constant currency basis </w:t>
      </w:r>
      <w:r>
        <w:rPr>
          <w:rFonts w:ascii="Arial;sans-serif" w:hAnsi="Arial;sans-serif"/>
          <w:b w:val="false"/>
          <w:color w:val="000000"/>
          <w:sz w:val="13"/>
        </w:rPr>
        <w:t>(1)</w:t>
      </w:r>
      <w:r>
        <w:rPr>
          <w:color w:val="000000"/>
        </w:rPr>
        <w:t> </w:t>
      </w:r>
      <w:r>
        <w:rPr>
          <w:rFonts w:ascii="Arial;sans-serif" w:hAnsi="Arial;sans-serif"/>
          <w:b w:val="false"/>
          <w:color w:val="000000"/>
          <w:sz w:val="20"/>
        </w:rPr>
        <w:t>was $0.79 in the second quarter of 2023, up $0.14 (21.5%) from the second quarter of 2022.</w:t>
      </w:r>
    </w:p>
    <w:p>
      <w:pPr>
        <w:pStyle w:val="TextBody"/>
        <w:bidi w:val="0"/>
        <w:spacing w:before="100" w:after="283"/>
        <w:jc w:val="both"/>
        <w:rPr/>
      </w:pPr>
      <w:r>
        <w:rPr/>
      </w:r>
    </w:p>
    <w:tbl>
      <w:tblPr>
        <w:tblW w:w="9791" w:type="dxa"/>
        <w:jc w:val="left"/>
        <w:tblInd w:w="0" w:type="dxa"/>
        <w:tblLayout w:type="fixed"/>
        <w:tblCellMar>
          <w:top w:w="28" w:type="dxa"/>
          <w:left w:w="28" w:type="dxa"/>
          <w:bottom w:w="28" w:type="dxa"/>
          <w:right w:w="28" w:type="dxa"/>
        </w:tblCellMar>
      </w:tblPr>
      <w:tblGrid>
        <w:gridCol w:w="1734"/>
        <w:gridCol w:w="1524"/>
        <w:gridCol w:w="1526"/>
        <w:gridCol w:w="244"/>
        <w:gridCol w:w="626"/>
        <w:gridCol w:w="126"/>
        <w:gridCol w:w="126"/>
        <w:gridCol w:w="126"/>
        <w:gridCol w:w="126"/>
        <w:gridCol w:w="244"/>
        <w:gridCol w:w="626"/>
        <w:gridCol w:w="126"/>
        <w:gridCol w:w="109"/>
        <w:gridCol w:w="109"/>
        <w:gridCol w:w="109"/>
        <w:gridCol w:w="211"/>
        <w:gridCol w:w="541"/>
        <w:gridCol w:w="109"/>
        <w:gridCol w:w="109"/>
        <w:gridCol w:w="109"/>
        <w:gridCol w:w="109"/>
        <w:gridCol w:w="270"/>
        <w:gridCol w:w="271"/>
        <w:gridCol w:w="581"/>
      </w:tblGrid>
      <w:tr>
        <w:trPr/>
        <w:tc>
          <w:tcPr>
            <w:tcW w:w="173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 attributable to Mondelēz International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0.54</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27.8</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Mark-to-market (gains)/losses from derivatives </w:t>
            </w:r>
            <w:r>
              <w:rPr>
                <w:rFonts w:ascii="Arial;sans-serif" w:hAnsi="Arial;sans-serif"/>
                <w:b w:val="false"/>
                <w:color w:val="000000"/>
                <w:sz w:val="12"/>
              </w:rPr>
              <w:t>(2)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bidi w:val="0"/>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2"/>
              </w:rPr>
              <w:t>(2)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Net earnings from divestitures </w:t>
            </w:r>
            <w:r>
              <w:rPr>
                <w:rFonts w:ascii="Arial;sans-serif" w:hAnsi="Arial;sans-serif"/>
                <w:b w:val="false"/>
                <w:color w:val="000000"/>
                <w:sz w:val="12"/>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Incremental costs due to war in Ukraine </w:t>
            </w:r>
            <w:r>
              <w:rPr>
                <w:rFonts w:ascii="Arial;sans-serif" w:hAnsi="Arial;sans-serif"/>
                <w:b w:val="false"/>
                <w:color w:val="000000"/>
                <w:sz w:val="13"/>
              </w:rPr>
              <w:t>(2)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Initial impacts from enacted tax law changes </w:t>
            </w:r>
            <w:r>
              <w:rPr>
                <w:rFonts w:ascii="Arial;sans-serif" w:hAnsi="Arial;sans-serif"/>
                <w:b w:val="false"/>
                <w:color w:val="000000"/>
                <w:sz w:val="13"/>
              </w:rPr>
              <w:t>(3)</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Loss on marketable securities </w:t>
            </w:r>
            <w:r>
              <w:rPr>
                <w:rFonts w:ascii="Arial;sans-serif" w:hAnsi="Arial;sans-serif"/>
                <w:b w:val="false"/>
                <w:color w:val="000000"/>
                <w:sz w:val="13"/>
              </w:rPr>
              <w:t>(4)</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Loss on equity method investment transactions </w:t>
            </w:r>
            <w:r>
              <w:rPr>
                <w:rFonts w:ascii="Arial;sans-serif" w:hAnsi="Arial;sans-serif"/>
                <w:b w:val="false"/>
                <w:color w:val="000000"/>
                <w:sz w:val="13"/>
              </w:rPr>
              <w:t>(4)</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EPS </w:t>
            </w:r>
            <w:r>
              <w:rPr>
                <w:rFonts w:ascii="Arial;sans-serif" w:hAnsi="Arial;sans-serif"/>
                <w:b/>
                <w:color w:val="000000"/>
                <w:sz w:val="13"/>
              </w:rPr>
              <w:t>(1)</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0.65</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w:t>
            </w: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currency translation</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EPS (constant currency)</w:t>
            </w:r>
            <w:r>
              <w:rPr>
                <w:color w:val="000000"/>
              </w:rPr>
              <w:t xml:space="preserve"> </w:t>
            </w:r>
            <w:r>
              <w:rPr>
                <w:rFonts w:ascii="Arial;sans-serif" w:hAnsi="Arial;sans-serif"/>
                <w:b/>
                <w:color w:val="000000"/>
                <w:sz w:val="13"/>
              </w:rPr>
              <w:t>(1)</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0.79</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0.65</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100" w:after="283"/>
        <w:jc w:val="both"/>
        <w:rPr/>
      </w:pPr>
      <w:r>
        <w:rPr/>
      </w:r>
    </w:p>
    <w:tbl>
      <w:tblPr>
        <w:tblW w:w="7847" w:type="dxa"/>
        <w:jc w:val="left"/>
        <w:tblInd w:w="0" w:type="dxa"/>
        <w:tblLayout w:type="fixed"/>
        <w:tblCellMar>
          <w:top w:w="28" w:type="dxa"/>
          <w:left w:w="28" w:type="dxa"/>
          <w:bottom w:w="28" w:type="dxa"/>
          <w:right w:w="28" w:type="dxa"/>
        </w:tblCellMar>
      </w:tblPr>
      <w:tblGrid>
        <w:gridCol w:w="1804"/>
        <w:gridCol w:w="1584"/>
        <w:gridCol w:w="1591"/>
        <w:gridCol w:w="109"/>
        <w:gridCol w:w="109"/>
        <w:gridCol w:w="109"/>
        <w:gridCol w:w="109"/>
        <w:gridCol w:w="109"/>
        <w:gridCol w:w="109"/>
        <w:gridCol w:w="109"/>
        <w:gridCol w:w="109"/>
        <w:gridCol w:w="109"/>
        <w:gridCol w:w="109"/>
        <w:gridCol w:w="109"/>
        <w:gridCol w:w="109"/>
        <w:gridCol w:w="211"/>
        <w:gridCol w:w="541"/>
        <w:gridCol w:w="109"/>
        <w:gridCol w:w="109"/>
        <w:gridCol w:w="109"/>
        <w:gridCol w:w="109"/>
        <w:gridCol w:w="109"/>
        <w:gridCol w:w="109"/>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EPS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Impact from acquisitions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benefit plan non-service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 in interest and other expense, net </w:t>
            </w:r>
            <w:r>
              <w:rPr>
                <w:rFonts w:ascii="Arial;sans-serif" w:hAnsi="Arial;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equity method investment 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Change in income taxes</w:t>
            </w:r>
            <w:r>
              <w:rPr>
                <w:color w:val="000000"/>
              </w:rPr>
              <w:t xml:space="preserve">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 in shares outstanding </w:t>
            </w:r>
            <w:r>
              <w:rPr>
                <w:rFonts w:ascii="Arial;sans-serif" w:hAnsi="Arial;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EPS (constant currency)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 xml:space="preserve">Non-GAAP Financial Measures </w:t>
      </w:r>
      <w:r>
        <w:rPr>
          <w:rFonts w:ascii="Arial;sans-serif" w:hAnsi="Arial;sans-serif"/>
          <w:b w:val="false"/>
          <w:color w:val="000000"/>
          <w:sz w:val="16"/>
        </w:rPr>
        <w:t>section appearing later in this section. The tax expense/(benefit) of each of the pre-tax items excluded from our U.S. GAAP results was computed based on the facts and tax assumptions associated with each item, and such impacts have also been excluded from Adjusted EPS.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three months ended June 30, 2023, taxes for the: Simplify to Grow Program were $(1) million, mark-to-market gains from derivatives were $21 million, acquisition integration costs and contingent consideration adjustments were $(9) million, divestiture-related costs were $(4) million, remeasurement of net monetary position were zero, initial impacts from enacted tax law changes were $2 million, loss on marketable securities were $(45) million and loss on equity method investment transactions were $(1)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three months ended June 30, 2022, taxes for the: Simplify to Grow Program were $(6) million, mark-to-market losses from derivatives were $(14) million, acquisition integration costs and contingent consideration adjustments were $(1) million, acquisition-related costs were $(2) million, divestiture-related costs were $(1) million, net earnings from divestitures were $7 million, incremental costs due to the war in Ukraine were zero, remeasurement of net monetary position were zero, initial impacts from enacted tax law changes were $9 million and loss on equity method transactions were zero.</w:t>
      </w:r>
    </w:p>
    <w:p>
      <w:pPr>
        <w:pStyle w:val="TextBody"/>
        <w:bidi w:val="0"/>
        <w:spacing w:lineRule="auto" w:line="288" w:before="0" w:after="0"/>
        <w:ind w:left="0" w:right="0" w:hanging="360"/>
        <w:jc w:val="both"/>
        <w:rPr/>
      </w:pPr>
      <w:r>
        <w:rPr>
          <w:rFonts w:ascii="Arial;sans-serif" w:hAnsi="Arial;sans-serif"/>
          <w:b w:val="false"/>
          <w:color w:val="000000"/>
          <w:sz w:val="16"/>
        </w:rPr>
        <w:t xml:space="preserve">(2)See the </w:t>
      </w:r>
      <w:r>
        <w:rPr>
          <w:rFonts w:ascii="Arial;sans-serif" w:hAnsi="Arial;sans-serif"/>
          <w:b w:val="false"/>
          <w:i/>
          <w:color w:val="000000"/>
          <w:sz w:val="16"/>
        </w:rPr>
        <w:t>Operating Income</w:t>
      </w:r>
      <w:r>
        <w:rPr>
          <w:color w:val="000000"/>
        </w:rPr>
        <w:t xml:space="preserve"> </w:t>
      </w:r>
      <w:r>
        <w:rPr>
          <w:rFonts w:ascii="Arial;sans-serif" w:hAnsi="Arial;sans-serif"/>
          <w:b w:val="false"/>
          <w:color w:val="000000"/>
          <w:sz w:val="16"/>
        </w:rPr>
        <w:t>table above and the related footnotes for more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(3)Refer to Note 14, </w:t>
      </w:r>
      <w:r>
        <w:rPr>
          <w:rFonts w:ascii="Arial;sans-serif" w:hAnsi="Arial;sans-serif"/>
          <w:b w:val="false"/>
          <w:i/>
          <w:color w:val="000000"/>
          <w:sz w:val="16"/>
        </w:rPr>
        <w:t>Income Taxes</w:t>
      </w:r>
      <w:r>
        <w:rPr>
          <w:rFonts w:ascii="Arial;sans-serif" w:hAnsi="Arial;sans-serif"/>
          <w:b w:val="false"/>
          <w:color w:val="000000"/>
          <w:sz w:val="16"/>
        </w:rPr>
        <w:t>, for more information on the items affecting income taxes.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(4)Refer to Note 6, </w:t>
      </w:r>
      <w:r>
        <w:rPr>
          <w:rFonts w:ascii="Arial;sans-serif" w:hAnsi="Arial;sans-serif"/>
          <w:b w:val="false"/>
          <w:i/>
          <w:color w:val="000000"/>
          <w:sz w:val="16"/>
        </w:rPr>
        <w:t>Investments</w:t>
      </w:r>
      <w:r>
        <w:rPr>
          <w:rFonts w:ascii="Arial;sans-serif" w:hAnsi="Arial;sans-serif"/>
          <w:b w:val="false"/>
          <w:color w:val="000000"/>
          <w:sz w:val="16"/>
        </w:rPr>
        <w:t>, for more information on gains/losses on equity method investment transactions and marketable securities.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(5)Excludes the currency impact on interest expense related to non-U.S. dollar-denominated debt, which is included in currency translation. </w:t>
      </w:r>
    </w:p>
    <w:p>
      <w:pPr>
        <w:pStyle w:val="TextBody"/>
        <w:bidi w:val="0"/>
        <w:spacing w:lineRule="auto" w:line="288" w:before="0" w:after="0"/>
        <w:ind w:left="0" w:right="0" w:hanging="360"/>
        <w:jc w:val="both"/>
        <w:rPr/>
      </w:pPr>
      <w:r>
        <w:rPr>
          <w:rFonts w:ascii="Arial;sans-serif" w:hAnsi="Arial;sans-serif"/>
          <w:b w:val="false"/>
          <w:color w:val="000000"/>
          <w:sz w:val="16"/>
        </w:rPr>
        <w:t xml:space="preserve">(6)Refer to Note 11, </w:t>
      </w:r>
      <w:r>
        <w:rPr>
          <w:rFonts w:ascii="Arial;sans-serif" w:hAnsi="Arial;sans-serif"/>
          <w:b w:val="false"/>
          <w:i/>
          <w:color w:val="000000"/>
          <w:sz w:val="16"/>
        </w:rPr>
        <w:t>Stock Plans</w:t>
      </w:r>
      <w:r>
        <w:rPr>
          <w:rFonts w:ascii="Arial;sans-serif" w:hAnsi="Arial;sans-serif"/>
          <w:b w:val="false"/>
          <w:color w:val="000000"/>
          <w:sz w:val="16"/>
        </w:rPr>
        <w:t xml:space="preserve">, for more information on our equity compensation programs and share repurchase program and Note 15, </w:t>
      </w:r>
      <w:r>
        <w:rPr>
          <w:rFonts w:ascii="Arial;sans-serif" w:hAnsi="Arial;sans-serif"/>
          <w:b w:val="false"/>
          <w:i/>
          <w:color w:val="000000"/>
          <w:sz w:val="16"/>
        </w:rPr>
        <w:t>Earnings per Share</w:t>
      </w:r>
      <w:r>
        <w:rPr>
          <w:rFonts w:ascii="Arial;sans-serif" w:hAnsi="Arial;sans-serif"/>
          <w:b w:val="false"/>
          <w:color w:val="000000"/>
          <w:sz w:val="16"/>
        </w:rPr>
        <w:t>, for earnings per share weighted-average share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44"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tbl>
      <w:tblPr>
        <w:tblW w:w="9408" w:type="dxa"/>
        <w:jc w:val="left"/>
        <w:tblInd w:w="0" w:type="dxa"/>
        <w:tblLayout w:type="fixed"/>
        <w:tblCellMar>
          <w:top w:w="28" w:type="dxa"/>
          <w:left w:w="28" w:type="dxa"/>
          <w:bottom w:w="28" w:type="dxa"/>
          <w:right w:w="28" w:type="dxa"/>
        </w:tblCellMar>
      </w:tblPr>
      <w:tblGrid>
        <w:gridCol w:w="1652"/>
        <w:gridCol w:w="1275"/>
        <w:gridCol w:w="1288"/>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70"/>
        <w:gridCol w:w="271"/>
        <w:gridCol w:w="563"/>
      </w:tblGrid>
      <w:tr>
        <w:trPr/>
        <w:tc>
          <w:tcPr>
            <w:tcW w:w="16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Net earnings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Diluted earnings per share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Net Revenues</w:t>
      </w:r>
      <w:r>
        <w:rPr>
          <w:color w:val="000000"/>
        </w:rPr>
        <w:t xml:space="preserve"> – </w:t>
      </w:r>
      <w:r>
        <w:rPr>
          <w:rFonts w:ascii="Arial;sans-serif" w:hAnsi="Arial;sans-serif"/>
          <w:b w:val="false"/>
          <w:color w:val="000000"/>
          <w:sz w:val="20"/>
        </w:rPr>
        <w:t xml:space="preserve">Net revenues increased $2,635 million (17.5%) to $17,673 million in the first six months of 2023, and Organic Net Revenue </w:t>
      </w:r>
      <w:r>
        <w:rPr>
          <w:rFonts w:ascii="Arial;sans-serif" w:hAnsi="Arial;sans-serif"/>
          <w:b w:val="false"/>
          <w:color w:val="000000"/>
          <w:sz w:val="13"/>
        </w:rPr>
        <w:t xml:space="preserve">(1) </w:t>
      </w:r>
      <w:r>
        <w:rPr>
          <w:rFonts w:ascii="Arial;sans-serif" w:hAnsi="Arial;sans-serif"/>
          <w:b w:val="false"/>
          <w:color w:val="000000"/>
          <w:sz w:val="20"/>
        </w:rPr>
        <w:t xml:space="preserve">increased $2,653 million (17.7%) to $17,670 million. Emerging markets net revenues increased 19.7% and emerging markets Organic Net Revenue increased 24.3% </w:t>
      </w:r>
      <w:r>
        <w:rPr>
          <w:rFonts w:ascii="Arial;sans-serif" w:hAnsi="Arial;sans-serif"/>
          <w:b w:val="false"/>
          <w:color w:val="000000"/>
          <w:sz w:val="13"/>
        </w:rPr>
        <w:t>(1)</w:t>
      </w:r>
      <w:r>
        <w:rPr>
          <w:rFonts w:ascii="Arial;sans-serif" w:hAnsi="Arial;sans-serif"/>
          <w:b w:val="false"/>
          <w:color w:val="000000"/>
          <w:sz w:val="20"/>
        </w:rPr>
        <w:t xml:space="preserve">. Developed markets net revenues increased 16.2% and developed markets Organic Net Revenue increased 13.6% </w:t>
      </w:r>
      <w:r>
        <w:rPr>
          <w:rFonts w:ascii="Arial;sans-serif" w:hAnsi="Arial;sans-serif"/>
          <w:b w:val="false"/>
          <w:color w:val="000000"/>
          <w:sz w:val="13"/>
        </w:rPr>
        <w:t>(1)</w:t>
      </w:r>
      <w:r>
        <w:rPr>
          <w:rFonts w:ascii="Arial;sans-serif" w:hAnsi="Arial;sans-serif"/>
          <w:b w:val="false"/>
          <w:color w:val="000000"/>
          <w:sz w:val="20"/>
        </w:rPr>
        <w:t>. The underlying changes in net revenues and Organic Net Revenue are detailed below:</w:t>
      </w:r>
    </w:p>
    <w:tbl>
      <w:tblPr>
        <w:tblW w:w="7638" w:type="dxa"/>
        <w:jc w:val="left"/>
        <w:tblInd w:w="0" w:type="dxa"/>
        <w:tblLayout w:type="fixed"/>
        <w:tblCellMar>
          <w:top w:w="28" w:type="dxa"/>
          <w:left w:w="28" w:type="dxa"/>
          <w:bottom w:w="28" w:type="dxa"/>
          <w:right w:w="28" w:type="dxa"/>
        </w:tblCellMar>
      </w:tblPr>
      <w:tblGrid>
        <w:gridCol w:w="1142"/>
        <w:gridCol w:w="1002"/>
        <w:gridCol w:w="1006"/>
        <w:gridCol w:w="211"/>
        <w:gridCol w:w="646"/>
        <w:gridCol w:w="286"/>
        <w:gridCol w:w="109"/>
        <w:gridCol w:w="109"/>
        <w:gridCol w:w="109"/>
        <w:gridCol w:w="211"/>
        <w:gridCol w:w="751"/>
        <w:gridCol w:w="376"/>
        <w:gridCol w:w="109"/>
        <w:gridCol w:w="109"/>
        <w:gridCol w:w="109"/>
        <w:gridCol w:w="211"/>
        <w:gridCol w:w="751"/>
        <w:gridCol w:w="391"/>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Emerging</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Developed</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Mondelēz</w:t>
              <w:br/>
              <w:t>International</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Six Months Ended June 30, 2023</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6,904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10,769</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17,673</w:t>
            </w: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7,146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10,524</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17,670</w:t>
            </w: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Six Months Ended June 30, 2022</w:t>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5,770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9,268</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15,038</w:t>
            </w: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5,749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9,268</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15,017</w:t>
            </w: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 Change</w:t>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w:t>
            </w: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pp</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Vol/Mix</w:t>
            </w:r>
          </w:p>
        </w:tc>
        <w:tc>
          <w:tcPr>
            <w:tcW w:w="11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pp</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(1)Please see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Net revenue increase of 17.5% was driven by our underlying Organic Net Revenue growth of 17.7% and the impact of acquisitions, partially offset by unfavorable currency translation and the impact of divestitures. Overall, we continued to see strong demand for our snack category products across most regions. Organic Net Revenue growth was driven by higher net pricing and favorable volume/mix. Higher net pricing in all regions was due to the benefit of carryover pricing from 2022 as well as the effects of input cost-driven pricing actions taken during the first six months of 2023. Favorable volume/mix was driven by AMEA, North America and Latin America reflecting both improved product mix and volume gains, partially offset by unfavorable volume/mix in Europe reflecting the impact from customer price negotiation disruptions. The November 1, 2022 acquisition of Ricolino added incremental net revenues of $293 million (constant currency basis) and the August 1, 2022 acquisition of Clif Bar added incremental net revenues of $458 million. Unfavorable currency impacts decreased net revenues by $748 million, due primarily to the strength of the U.S. dollar relative to most currencies, including the Argentinean peso, British pound sterling, Indian rupee, Egyptian pound, Turkish lira, Chinese yuan, euro, Australian dollar and South African rand, partially offset by the strength of a few currencies relative to the U.S. dollar, primarily the Mexican peso. The impact of our 2022 divestitures resulted in a year-over-year reduction in net revenues of $21 million. Refer to Note 2, </w:t>
      </w:r>
      <w:r>
        <w:rPr>
          <w:rFonts w:ascii="Arial;sans-serif" w:hAnsi="Arial;sans-serif"/>
          <w:b w:val="false"/>
          <w:i/>
          <w:color w:val="000000"/>
          <w:sz w:val="20"/>
        </w:rPr>
        <w:t xml:space="preserve">Acquisitions and Divestitures, </w:t>
      </w:r>
      <w:r>
        <w:rPr>
          <w:rFonts w:ascii="Arial;sans-serif" w:hAnsi="Arial;sans-serif"/>
          <w:b w:val="false"/>
          <w:color w:val="000000"/>
          <w:sz w:val="20"/>
        </w:rPr>
        <w:t>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45"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Operating Income</w:t>
      </w:r>
      <w:r>
        <w:rPr>
          <w:color w:val="000000"/>
        </w:rPr>
        <w:t xml:space="preserve"> – </w:t>
      </w:r>
      <w:r>
        <w:rPr>
          <w:rFonts w:ascii="Arial;sans-serif" w:hAnsi="Arial;sans-serif"/>
          <w:b w:val="false"/>
          <w:color w:val="000000"/>
          <w:sz w:val="20"/>
        </w:rPr>
        <w:t>Operating income increased $909 million (45.0%) to</w:t>
      </w:r>
      <w:r>
        <w:rPr>
          <w:color w:val="000000"/>
          <w:shd w:fill="FFFFFF" w:val="clear"/>
        </w:rPr>
        <w:t xml:space="preserve"> </w:t>
      </w:r>
      <w:r>
        <w:rPr>
          <w:rFonts w:ascii="Arial;sans-serif" w:hAnsi="Arial;sans-serif"/>
          <w:b w:val="false"/>
          <w:color w:val="000000"/>
          <w:sz w:val="20"/>
          <w:shd w:fill="FFFFFF" w:val="clear"/>
        </w:rPr>
        <w:t>$2,930 million</w:t>
      </w:r>
      <w:r>
        <w:rPr>
          <w:color w:val="000000"/>
        </w:rPr>
        <w:t xml:space="preserve"> </w:t>
      </w:r>
      <w:r>
        <w:rPr>
          <w:rFonts w:ascii="Arial;sans-serif" w:hAnsi="Arial;sans-serif"/>
          <w:b w:val="false"/>
          <w:color w:val="000000"/>
          <w:sz w:val="20"/>
        </w:rPr>
        <w:t xml:space="preserve">in the first six months of 2023. Adjusted Operating Income </w:t>
      </w:r>
      <w:r>
        <w:rPr>
          <w:rFonts w:ascii="Arial;sans-serif" w:hAnsi="Arial;sans-serif"/>
          <w:b w:val="false"/>
          <w:color w:val="000000"/>
          <w:sz w:val="12"/>
        </w:rPr>
        <w:t xml:space="preserve">(1) </w:t>
      </w:r>
      <w:r>
        <w:rPr>
          <w:rFonts w:ascii="Arial;sans-serif" w:hAnsi="Arial;sans-serif"/>
          <w:b w:val="false"/>
          <w:color w:val="000000"/>
          <w:sz w:val="20"/>
        </w:rPr>
        <w:t xml:space="preserve">increased $439 million (17.7%) to $2,913 million and Adjusted Operating Income on a constant currency basis </w:t>
      </w:r>
      <w:r>
        <w:rPr>
          <w:rFonts w:ascii="Arial;sans-serif" w:hAnsi="Arial;sans-serif"/>
          <w:b w:val="false"/>
          <w:color w:val="000000"/>
          <w:sz w:val="12"/>
        </w:rPr>
        <w:t xml:space="preserve">(1) </w:t>
      </w:r>
      <w:r>
        <w:rPr>
          <w:rFonts w:ascii="Arial;sans-serif" w:hAnsi="Arial;sans-serif"/>
          <w:b w:val="false"/>
          <w:color w:val="000000"/>
          <w:sz w:val="20"/>
        </w:rPr>
        <w:t>increased $573 million (23.2%) to $3,047 million due to the following:</w:t>
      </w:r>
    </w:p>
    <w:tbl>
      <w:tblPr>
        <w:tblW w:w="9725" w:type="dxa"/>
        <w:jc w:val="left"/>
        <w:tblInd w:w="0" w:type="dxa"/>
        <w:tblLayout w:type="fixed"/>
        <w:tblCellMar>
          <w:top w:w="28" w:type="dxa"/>
          <w:left w:w="28" w:type="dxa"/>
          <w:bottom w:w="28" w:type="dxa"/>
          <w:right w:w="28" w:type="dxa"/>
        </w:tblCellMar>
      </w:tblPr>
      <w:tblGrid>
        <w:gridCol w:w="1716"/>
        <w:gridCol w:w="1509"/>
        <w:gridCol w:w="1515"/>
        <w:gridCol w:w="211"/>
        <w:gridCol w:w="646"/>
        <w:gridCol w:w="109"/>
        <w:gridCol w:w="109"/>
        <w:gridCol w:w="109"/>
        <w:gridCol w:w="109"/>
        <w:gridCol w:w="211"/>
        <w:gridCol w:w="646"/>
        <w:gridCol w:w="109"/>
        <w:gridCol w:w="109"/>
        <w:gridCol w:w="109"/>
        <w:gridCol w:w="109"/>
        <w:gridCol w:w="225"/>
        <w:gridCol w:w="514"/>
        <w:gridCol w:w="117"/>
        <w:gridCol w:w="109"/>
        <w:gridCol w:w="109"/>
        <w:gridCol w:w="109"/>
        <w:gridCol w:w="270"/>
        <w:gridCol w:w="271"/>
        <w:gridCol w:w="675"/>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909</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w:t>
            </w:r>
            <w:r>
              <w:rPr>
                <w:color w:val="000000"/>
              </w:rPr>
              <w:t>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Intangible asset impairment charge </w:t>
            </w:r>
            <w:r>
              <w:rPr>
                <w:rFonts w:ascii="Arial;sans-serif" w:hAnsi="Arial;sans-serif"/>
                <w:b w:val="false"/>
                <w:color w:val="000000"/>
                <w:sz w:val="13"/>
              </w:rPr>
              <w:t>(3)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Mark-to-market (gains)/losses from derivatives </w:t>
            </w:r>
            <w:r>
              <w:rPr>
                <w:rFonts w:ascii="Arial;sans-serif" w:hAnsi="Arial;sans-serif"/>
                <w:b w:val="false"/>
                <w:color w:val="000000"/>
                <w:sz w:val="13"/>
              </w:rPr>
              <w:t>(4)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bidi w:val="0"/>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 xml:space="preserve">(5)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Acquisition-related costs </w:t>
            </w:r>
            <w:r>
              <w:rPr>
                <w:rFonts w:ascii="Arial;sans-serif" w:hAnsi="Arial;sans-serif"/>
                <w:b w:val="false"/>
                <w:color w:val="000000"/>
                <w:sz w:val="13"/>
              </w:rPr>
              <w:t>(5)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3"/>
              </w:rPr>
              <w:t>(5) (7)</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Operating income from divestitures </w:t>
            </w:r>
            <w:r>
              <w:rPr>
                <w:rFonts w:ascii="Arial;sans-serif" w:hAnsi="Arial;sans-serif"/>
                <w:b w:val="false"/>
                <w:color w:val="000000"/>
                <w:sz w:val="13"/>
              </w:rPr>
              <w:t xml:space="preserve">(5)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Incremental costs due to war in Ukraine </w:t>
            </w:r>
            <w:r>
              <w:rPr>
                <w:rFonts w:ascii="Arial;sans-serif" w:hAnsi="Arial;sans-serif"/>
                <w:b w:val="false"/>
                <w:color w:val="000000"/>
                <w:sz w:val="13"/>
              </w:rPr>
              <w:t>(6)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(6)</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w:t>
            </w:r>
            <w:r>
              <w:rPr>
                <w:rFonts w:ascii="Arial;sans-serif" w:hAnsi="Arial;sans-serif"/>
                <w:b/>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color w:val="000000"/>
                <w:sz w:val="20"/>
              </w:rPr>
            </w:pPr>
            <w:r>
              <w:rPr>
                <w:rFonts w:ascii="Arial;sans-serif" w:hAnsi="Arial;sans-serif"/>
                <w:b/>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currency translation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(constant currency) </w:t>
            </w:r>
            <w:r>
              <w:rPr>
                <w:rFonts w:ascii="Arial;sans-serif" w:hAnsi="Arial;sans-serif"/>
                <w:b/>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w:t>
            </w:r>
            <w:r>
              <w:rPr>
                <w:color w:val="000000"/>
              </w:rPr>
              <w:t>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100" w:after="283"/>
        <w:jc w:val="both"/>
        <w:rPr/>
      </w:pPr>
      <w:r>
        <w:rPr/>
      </w:r>
    </w:p>
    <w:tbl>
      <w:tblPr>
        <w:tblW w:w="8578" w:type="dxa"/>
        <w:jc w:val="left"/>
        <w:tblInd w:w="0" w:type="dxa"/>
        <w:tblLayout w:type="fixed"/>
        <w:tblCellMar>
          <w:top w:w="28" w:type="dxa"/>
          <w:left w:w="28" w:type="dxa"/>
          <w:bottom w:w="28" w:type="dxa"/>
          <w:right w:w="28" w:type="dxa"/>
        </w:tblCellMar>
      </w:tblPr>
      <w:tblGrid>
        <w:gridCol w:w="2071"/>
        <w:gridCol w:w="1815"/>
        <w:gridCol w:w="1829"/>
        <w:gridCol w:w="109"/>
        <w:gridCol w:w="109"/>
        <w:gridCol w:w="109"/>
        <w:gridCol w:w="109"/>
        <w:gridCol w:w="109"/>
        <w:gridCol w:w="109"/>
        <w:gridCol w:w="109"/>
        <w:gridCol w:w="109"/>
        <w:gridCol w:w="109"/>
        <w:gridCol w:w="109"/>
        <w:gridCol w:w="109"/>
        <w:gridCol w:w="109"/>
        <w:gridCol w:w="225"/>
        <w:gridCol w:w="514"/>
        <w:gridCol w:w="117"/>
        <w:gridCol w:w="109"/>
        <w:gridCol w:w="109"/>
        <w:gridCol w:w="109"/>
        <w:gridCol w:w="109"/>
        <w:gridCol w:w="109"/>
        <w:gridCol w:w="154"/>
      </w:tblGrid>
      <w:tr>
        <w:trPr/>
        <w:tc>
          <w:tcPr>
            <w:tcW w:w="2071"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Operating Income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Higher net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Higher input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Favorable volume/mix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Higher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Impact from acquisitions</w:t>
            </w:r>
            <w:r>
              <w:rPr>
                <w:color w:val="000000"/>
              </w:rPr>
              <w:t xml:space="preserve"> </w:t>
            </w:r>
            <w:r>
              <w:rPr>
                <w:rFonts w:ascii="Arial;sans-serif" w:hAnsi="Arial;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Lower 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Higher asset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Total change in Adjusted Operating Income (constant currency) </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w:t>
      </w:r>
    </w:p>
    <w:p>
      <w:pPr>
        <w:pStyle w:val="TextBody"/>
        <w:bidi w:val="0"/>
        <w:spacing w:lineRule="auto" w:line="288" w:before="0" w:after="0"/>
        <w:ind w:left="0" w:right="0" w:hanging="360"/>
        <w:jc w:val="both"/>
        <w:rPr/>
      </w:pPr>
      <w:r>
        <w:rPr>
          <w:rFonts w:ascii="Arial;sans-serif" w:hAnsi="Arial;sans-serif"/>
          <w:b w:val="false"/>
          <w:color w:val="000000"/>
          <w:sz w:val="16"/>
        </w:rPr>
        <w:t xml:space="preserve">(2)Refer to Note 7, </w:t>
      </w:r>
      <w:r>
        <w:rPr>
          <w:rFonts w:ascii="Arial;sans-serif" w:hAnsi="Arial;sans-serif"/>
          <w:b w:val="false"/>
          <w:i/>
          <w:color w:val="000000"/>
          <w:sz w:val="16"/>
        </w:rPr>
        <w:t>Restructuring Program,</w:t>
      </w:r>
      <w:r>
        <w:rPr>
          <w:color w:val="000000"/>
        </w:rPr>
        <w:t xml:space="preserve"> </w:t>
      </w:r>
      <w:r>
        <w:rPr>
          <w:rFonts w:ascii="Arial;sans-serif" w:hAnsi="Arial;sans-serif"/>
          <w:b w:val="false"/>
          <w:color w:val="000000"/>
          <w:sz w:val="16"/>
        </w:rPr>
        <w:t>for more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(3)Refer to Note 5, </w:t>
      </w:r>
      <w:r>
        <w:rPr>
          <w:rFonts w:ascii="Arial;sans-serif" w:hAnsi="Arial;sans-serif"/>
          <w:b w:val="false"/>
          <w:i/>
          <w:color w:val="000000"/>
          <w:sz w:val="16"/>
        </w:rPr>
        <w:t>Goodwill and Intangible Assets</w:t>
      </w:r>
      <w:r>
        <w:rPr>
          <w:rFonts w:ascii="Arial;sans-serif" w:hAnsi="Arial;sans-serif"/>
          <w:b w:val="false"/>
          <w:color w:val="000000"/>
          <w:sz w:val="16"/>
        </w:rPr>
        <w:t>,</w:t>
      </w:r>
      <w:r>
        <w:rPr>
          <w:color w:val="000000"/>
        </w:rPr>
        <w:t xml:space="preserve"> </w:t>
      </w:r>
      <w:r>
        <w:rPr>
          <w:rFonts w:ascii="Arial;sans-serif" w:hAnsi="Arial;sans-serif"/>
          <w:b w:val="false"/>
          <w:color w:val="000000"/>
          <w:sz w:val="16"/>
        </w:rPr>
        <w:t>for more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(4)Refer to Note 9, </w:t>
      </w:r>
      <w:r>
        <w:rPr>
          <w:rFonts w:ascii="Arial;sans-serif" w:hAnsi="Arial;sans-serif"/>
          <w:b w:val="false"/>
          <w:i/>
          <w:color w:val="000000"/>
          <w:sz w:val="16"/>
        </w:rPr>
        <w:t>Financial Instruments</w:t>
      </w:r>
      <w:r>
        <w:rPr>
          <w:rFonts w:ascii="Arial;sans-serif" w:hAnsi="Arial;sans-serif"/>
          <w:b w:val="false"/>
          <w:color w:val="000000"/>
          <w:sz w:val="16"/>
        </w:rPr>
        <w:t>, Note 16,</w:t>
      </w:r>
      <w:r>
        <w:rPr>
          <w:rFonts w:ascii="Arial;sans-serif" w:hAnsi="Arial;sans-serif"/>
          <w:b w:val="false"/>
          <w:i/>
          <w:color w:val="000000"/>
          <w:sz w:val="16"/>
        </w:rPr>
        <w:t>Segment Reporting</w:t>
      </w:r>
      <w:r>
        <w:rPr>
          <w:rFonts w:ascii="Arial;sans-serif" w:hAnsi="Arial;sans-serif"/>
          <w:b w:val="false"/>
          <w:color w:val="000000"/>
          <w:sz w:val="16"/>
        </w:rPr>
        <w:t xml:space="preserve">, and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 for more information on the unrealized gains/losses on commodity and forecasted currency transaction derivatives.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(5)Refer to Note 2, </w:t>
      </w:r>
      <w:r>
        <w:rPr>
          <w:rFonts w:ascii="Arial;sans-serif" w:hAnsi="Arial;sans-serif"/>
          <w:b w:val="false"/>
          <w:i/>
          <w:color w:val="000000"/>
          <w:sz w:val="16"/>
        </w:rPr>
        <w:t>Acquisitions and Divestitures</w:t>
      </w:r>
      <w:r>
        <w:rPr>
          <w:rFonts w:ascii="Arial;sans-serif" w:hAnsi="Arial;sans-serif"/>
          <w:b w:val="false"/>
          <w:color w:val="000000"/>
          <w:sz w:val="16"/>
        </w:rPr>
        <w:t>, for more information on the November 1, 2022 acquisition of Ricolino, August 1, 2022 acquisition of Clif Bar and the January 3, 2022 acquisition of Chipita.</w:t>
      </w:r>
    </w:p>
    <w:p>
      <w:pPr>
        <w:pStyle w:val="TextBody"/>
        <w:bidi w:val="0"/>
        <w:spacing w:lineRule="auto" w:line="288" w:before="0" w:after="0"/>
        <w:ind w:left="0" w:right="0" w:hanging="360"/>
        <w:jc w:val="both"/>
        <w:rPr/>
      </w:pPr>
      <w:r>
        <w:rPr>
          <w:rFonts w:ascii="Arial;sans-serif" w:hAnsi="Arial;sans-serif"/>
          <w:b w:val="false"/>
          <w:color w:val="000000"/>
          <w:sz w:val="16"/>
        </w:rPr>
        <w:t xml:space="preserve">(6)Refer to Note 1, </w:t>
      </w:r>
      <w:r>
        <w:rPr>
          <w:rFonts w:ascii="Arial;sans-serif" w:hAnsi="Arial;sans-serif"/>
          <w:b w:val="false"/>
          <w:i/>
          <w:color w:val="000000"/>
          <w:sz w:val="16"/>
        </w:rPr>
        <w:t>Basis of Presentation</w:t>
      </w:r>
      <w:r>
        <w:rPr>
          <w:rFonts w:ascii="Arial;sans-serif" w:hAnsi="Arial;sans-serif"/>
          <w:b w:val="false"/>
          <w:color w:val="000000"/>
          <w:sz w:val="16"/>
        </w:rPr>
        <w:t>, for information on our accounting for the war in Ukraine and our application of highly inflationary accounting for Argentina and Türkiye.</w:t>
      </w:r>
    </w:p>
    <w:p>
      <w:pPr>
        <w:pStyle w:val="TextBody"/>
        <w:bidi w:val="0"/>
        <w:spacing w:lineRule="auto" w:line="288" w:before="0" w:after="0"/>
        <w:ind w:left="0" w:right="0" w:hanging="360"/>
        <w:jc w:val="both"/>
        <w:rPr/>
      </w:pPr>
      <w:r>
        <w:rPr>
          <w:rFonts w:ascii="Arial;sans-serif" w:hAnsi="Arial;sans-serif"/>
          <w:b w:val="false"/>
          <w:color w:val="000000"/>
          <w:sz w:val="16"/>
        </w:rPr>
        <w:t xml:space="preserve">(7)Divestiture-related costs includes costs incurred associated with our publicly-announced processes to divest our developed markets gum and global </w:t>
      </w:r>
      <w:r>
        <w:rPr>
          <w:rFonts w:ascii="Arial;sans-serif" w:hAnsi="Arial;sans-serif"/>
          <w:b w:val="false"/>
          <w:i/>
          <w:color w:val="000000"/>
          <w:sz w:val="16"/>
        </w:rPr>
        <w:t>Halls</w:t>
      </w:r>
      <w:r>
        <w:rPr>
          <w:color w:val="000000"/>
        </w:rPr>
        <w:t xml:space="preserve"> </w:t>
      </w:r>
      <w:r>
        <w:rPr>
          <w:rFonts w:ascii="Arial;sans-serif" w:hAnsi="Arial;sans-serif"/>
          <w:b w:val="false"/>
          <w:color w:val="000000"/>
          <w:sz w:val="16"/>
        </w:rPr>
        <w:t xml:space="preserve">businesses.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46"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six months of 2023, we realized higher net pricing and favorable volume/mix, which was partially offset by increased input costs. Higher net pricing, which included the carryover impact of pricing actions taken in 2022 as well as the effects of input cost-driven pricing actions taken during the first six months of 2023, was reflected across all regions. Overall, volume/mix benefited from improved product mix and continued strong demand for our snack category products across most regions. Favorable volume/mix was driven by AMEA, Latin America and North America, partially offset by unfavorable volume/mix in Europe reflecting the impact from customer price negotiation disruptions. The increase in input costs was driven by higher raw material costs, partially offset by lower manufacturing costs driven by productivity. Higher raw material costs were in part due to higher energy, dairy, sugar, grains, edible oils, packaging, cocoa, nuts and other ingredients costs as well as unfavorable year-over-year currency exchange transaction costs on imported materials.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selling, general and administrative expenses increased $355 million from the first six months of 2022, due to a number of factors noted in the table above, including in part, the impact of acquisitions, higher divestiture-related costs and higher remeasurement loss of net monetary position, which were partially offset by a favorable currency impact related to expenses, lapping prior-year acquisition-related costs, lapping prior-year incremental costs due to the war in Ukraine, lower implementation costs incurred for the Simplify to Grow program and lower acquisition integration costs and contingent consideration adjustments. Excluding these factors, selling, general and administrative expenses increased $307 million from the first six months of 2022. The increase was driven primarily by higher advertising and consumer promotion costs and higher overhead costs in part due to increased investments in route to market capabilities,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Unfavorable currency changes decreased operating income by $134 million primarily due to the strength of the U.S. dollar relative to most currencies, including the Argentinean peso, British pound sterling, Egyptian pound, Russian ruble, Indian rupee, Chinese yuan, and South African rand, partially offset by the strength of a few currencies relative to the U.S. dollar, primarily the Mexican peso.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margin increased from 13.4% in the first six months of 2022 to 16.6% in the first six months of 2023. The increase in operating income margin was driven primarily by the favorable year-over-year change in mark-to-market gains/(losses) from currency and commodity hedging activities, lapping prior-year incremental costs due to the war in Ukraine, lapping prior-year intangible asset impairment charges, lower costs incurred for the Simplify to Grow program and lapping prior-year acquisition-related costs, partially offset by higher divestiture-related costs, and higher remeasurement loss of net monetary position. Adjusted Operating Income margin of 16.5% for the first six months of 2023 was flat compared to the first six months of 2022, as higher net pricing and overhead cost leverage was offset by higher raw material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7"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100" w:after="283"/>
        <w:jc w:val="both"/>
        <w:rPr/>
      </w:pPr>
      <w:r>
        <w:rPr>
          <w:rFonts w:ascii="Arial;sans-serif" w:hAnsi="Arial;sans-serif"/>
          <w:b w:val="false"/>
          <w:i/>
          <w:color w:val="000000"/>
          <w:sz w:val="20"/>
        </w:rPr>
        <w:t>Net Earnings and Earnings per Share Attributable to Mondelēz International</w:t>
      </w:r>
      <w:r>
        <w:rPr>
          <w:color w:val="000000"/>
        </w:rPr>
        <w:t xml:space="preserve"> – </w:t>
      </w:r>
      <w:r>
        <w:rPr>
          <w:rFonts w:ascii="Arial;sans-serif" w:hAnsi="Arial;sans-serif"/>
          <w:b w:val="false"/>
          <w:color w:val="000000"/>
          <w:sz w:val="20"/>
        </w:rPr>
        <w:t>Net earnings attributable to Mondelēz International of $3,025 million increased by $1,423 million (88.8%) in the first six months of 2023</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Diluted EPS attributable to Mondelēz International was $2.20 in the first six months of 2023, up $1.05 (91.3%) from the first six months of 2022. Adjusted EPS </w:t>
      </w:r>
      <w:r>
        <w:rPr>
          <w:rFonts w:ascii="Arial;sans-serif" w:hAnsi="Arial;sans-serif"/>
          <w:b w:val="false"/>
          <w:color w:val="000000"/>
          <w:sz w:val="13"/>
        </w:rPr>
        <w:t>(1)</w:t>
      </w:r>
      <w:r>
        <w:rPr>
          <w:color w:val="000000"/>
        </w:rPr>
        <w:t> </w:t>
      </w:r>
      <w:r>
        <w:rPr>
          <w:rFonts w:ascii="Arial;sans-serif" w:hAnsi="Arial;sans-serif"/>
          <w:b w:val="false"/>
          <w:color w:val="000000"/>
          <w:sz w:val="20"/>
        </w:rPr>
        <w:t xml:space="preserve">was $1.65 in the first six months of 2023, up $0.19 (13.0%) from the first six months of 2022. Adjusted EPS on a constant currency basis </w:t>
      </w:r>
      <w:r>
        <w:rPr>
          <w:rFonts w:ascii="Arial;sans-serif" w:hAnsi="Arial;sans-serif"/>
          <w:b w:val="false"/>
          <w:color w:val="000000"/>
          <w:sz w:val="13"/>
        </w:rPr>
        <w:t>(1)</w:t>
      </w:r>
      <w:r>
        <w:rPr>
          <w:color w:val="000000"/>
        </w:rPr>
        <w:t> </w:t>
      </w:r>
      <w:r>
        <w:rPr>
          <w:rFonts w:ascii="Arial;sans-serif" w:hAnsi="Arial;sans-serif"/>
          <w:b w:val="false"/>
          <w:color w:val="000000"/>
          <w:sz w:val="20"/>
        </w:rPr>
        <w:t>was $1.75 in the first six months of 2023, up $0.29 (19.9%) from the first six months of 2022.</w:t>
      </w:r>
    </w:p>
    <w:tbl>
      <w:tblPr>
        <w:tblW w:w="9966" w:type="dxa"/>
        <w:jc w:val="left"/>
        <w:tblInd w:w="0" w:type="dxa"/>
        <w:tblLayout w:type="fixed"/>
        <w:tblCellMar>
          <w:top w:w="28" w:type="dxa"/>
          <w:left w:w="28" w:type="dxa"/>
          <w:bottom w:w="28" w:type="dxa"/>
          <w:right w:w="28" w:type="dxa"/>
        </w:tblCellMar>
      </w:tblPr>
      <w:tblGrid>
        <w:gridCol w:w="1875"/>
        <w:gridCol w:w="1649"/>
        <w:gridCol w:w="1651"/>
        <w:gridCol w:w="222"/>
        <w:gridCol w:w="570"/>
        <w:gridCol w:w="114"/>
        <w:gridCol w:w="114"/>
        <w:gridCol w:w="114"/>
        <w:gridCol w:w="114"/>
        <w:gridCol w:w="222"/>
        <w:gridCol w:w="570"/>
        <w:gridCol w:w="114"/>
        <w:gridCol w:w="109"/>
        <w:gridCol w:w="109"/>
        <w:gridCol w:w="109"/>
        <w:gridCol w:w="211"/>
        <w:gridCol w:w="541"/>
        <w:gridCol w:w="109"/>
        <w:gridCol w:w="109"/>
        <w:gridCol w:w="109"/>
        <w:gridCol w:w="109"/>
        <w:gridCol w:w="270"/>
        <w:gridCol w:w="271"/>
        <w:gridCol w:w="581"/>
      </w:tblGrid>
      <w:tr>
        <w:trPr/>
        <w:tc>
          <w:tcPr>
            <w:tcW w:w="187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 attributable to Mondelēz International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91.3</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Intangible asset impairment charge </w:t>
            </w:r>
            <w:r>
              <w:rPr>
                <w:rFonts w:ascii="Arial;sans-serif" w:hAnsi="Arial;sans-serif"/>
                <w:b w:val="false"/>
                <w:color w:val="000000"/>
                <w:sz w:val="13"/>
              </w:rPr>
              <w:t>(2)</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Mark-to-market (gains)/losses from derivatives </w:t>
            </w:r>
            <w:r>
              <w:rPr>
                <w:rFonts w:ascii="Arial;sans-serif" w:hAnsi="Arial;sans-serif"/>
                <w:b w:val="false"/>
                <w:color w:val="000000"/>
                <w:sz w:val="12"/>
              </w:rPr>
              <w:t>(2)</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bidi w:val="0"/>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(2)</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Acquisition-related costs </w:t>
            </w:r>
            <w:r>
              <w:rPr>
                <w:rFonts w:ascii="Arial;sans-serif" w:hAnsi="Arial;sans-serif"/>
                <w:b w:val="false"/>
                <w:color w:val="000000"/>
                <w:sz w:val="13"/>
              </w:rPr>
              <w:t>(2)</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2"/>
              </w:rPr>
              <w:t>(2)</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Net earnings from divestitures </w:t>
            </w:r>
            <w:r>
              <w:rPr>
                <w:rFonts w:ascii="Arial;sans-serif" w:hAnsi="Arial;sans-serif"/>
                <w:b w:val="false"/>
                <w:color w:val="000000"/>
                <w:sz w:val="12"/>
              </w:rPr>
              <w:t>(2)</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Incremental costs due to war in Ukraine </w:t>
            </w:r>
            <w:r>
              <w:rPr>
                <w:rFonts w:ascii="Arial;sans-serif" w:hAnsi="Arial;sans-serif"/>
                <w:b w:val="false"/>
                <w:color w:val="000000"/>
                <w:sz w:val="13"/>
              </w:rPr>
              <w:t>(2)</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(2)</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Loss on debt extinguishment and related expenses </w:t>
            </w:r>
            <w:r>
              <w:rPr>
                <w:rFonts w:ascii="Arial;sans-serif" w:hAnsi="Arial;sans-serif"/>
                <w:b w:val="false"/>
                <w:color w:val="000000"/>
                <w:sz w:val="13"/>
              </w:rPr>
              <w:t>(3)</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Initial impacts from enacted tax law changes </w:t>
            </w:r>
            <w:r>
              <w:rPr>
                <w:rFonts w:ascii="Arial;sans-serif" w:hAnsi="Arial;sans-serif"/>
                <w:b w:val="false"/>
                <w:color w:val="000000"/>
                <w:sz w:val="13"/>
              </w:rPr>
              <w:t>(4)</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Gain on marketable securities </w:t>
            </w:r>
            <w:r>
              <w:rPr>
                <w:rFonts w:ascii="Arial;sans-serif" w:hAnsi="Arial;sans-serif"/>
                <w:b w:val="false"/>
                <w:color w:val="000000"/>
                <w:sz w:val="13"/>
              </w:rPr>
              <w:t>(5)</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(Gain)/loss on equity method investment transactions </w:t>
            </w:r>
            <w:r>
              <w:rPr>
                <w:rFonts w:ascii="Arial;sans-serif" w:hAnsi="Arial;sans-serif"/>
                <w:b w:val="false"/>
                <w:color w:val="000000"/>
                <w:sz w:val="13"/>
              </w:rPr>
              <w:t>(5)</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Equity method investee items </w:t>
            </w:r>
            <w:r>
              <w:rPr>
                <w:rFonts w:ascii="Arial;sans-serif" w:hAnsi="Arial;sans-serif"/>
                <w:b w:val="false"/>
                <w:color w:val="000000"/>
                <w:sz w:val="13"/>
              </w:rPr>
              <w:t>(6)</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EPS </w:t>
            </w:r>
            <w:r>
              <w:rPr>
                <w:rFonts w:ascii="Arial;sans-serif" w:hAnsi="Arial;sans-serif"/>
                <w:b/>
                <w:color w:val="000000"/>
                <w:sz w:val="13"/>
              </w:rPr>
              <w:t>(1)</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w:t>
            </w: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currency translation</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EPS (constant currency)</w:t>
            </w:r>
            <w:r>
              <w:rPr>
                <w:color w:val="000000"/>
              </w:rPr>
              <w:t xml:space="preserve"> </w:t>
            </w:r>
            <w:r>
              <w:rPr>
                <w:rFonts w:ascii="Arial;sans-serif" w:hAnsi="Arial;sans-serif"/>
                <w:b/>
                <w:color w:val="000000"/>
                <w:sz w:val="13"/>
              </w:rPr>
              <w:t>(1)</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w:t>
            </w: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100" w:after="283"/>
        <w:jc w:val="both"/>
        <w:rPr/>
      </w:pPr>
      <w:r>
        <w:rPr/>
      </w:r>
    </w:p>
    <w:tbl>
      <w:tblPr>
        <w:tblW w:w="7938" w:type="dxa"/>
        <w:jc w:val="left"/>
        <w:tblInd w:w="0" w:type="dxa"/>
        <w:tblLayout w:type="fixed"/>
        <w:tblCellMar>
          <w:top w:w="28" w:type="dxa"/>
          <w:left w:w="28" w:type="dxa"/>
          <w:bottom w:w="28" w:type="dxa"/>
          <w:right w:w="28" w:type="dxa"/>
        </w:tblCellMar>
      </w:tblPr>
      <w:tblGrid>
        <w:gridCol w:w="1838"/>
        <w:gridCol w:w="1613"/>
        <w:gridCol w:w="1619"/>
        <w:gridCol w:w="109"/>
        <w:gridCol w:w="109"/>
        <w:gridCol w:w="109"/>
        <w:gridCol w:w="109"/>
        <w:gridCol w:w="109"/>
        <w:gridCol w:w="109"/>
        <w:gridCol w:w="109"/>
        <w:gridCol w:w="109"/>
        <w:gridCol w:w="109"/>
        <w:gridCol w:w="109"/>
        <w:gridCol w:w="109"/>
        <w:gridCol w:w="109"/>
        <w:gridCol w:w="211"/>
        <w:gridCol w:w="541"/>
        <w:gridCol w:w="109"/>
        <w:gridCol w:w="109"/>
        <w:gridCol w:w="109"/>
        <w:gridCol w:w="109"/>
        <w:gridCol w:w="109"/>
        <w:gridCol w:w="109"/>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EPS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Increase in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Impact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Change in benefit plan non-service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 xml:space="preserve">Change in interest and other expense, net </w:t>
            </w:r>
            <w:r>
              <w:rPr>
                <w:rFonts w:ascii="Arial;sans-serif" w:hAnsi="Arial;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Dividend income from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 xml:space="preserve">Change in equity method investment net earnings </w:t>
            </w:r>
            <w:r>
              <w:rPr>
                <w:rFonts w:ascii="Arial;sans-serif" w:hAnsi="Arial;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Change in income taxes</w:t>
            </w:r>
            <w:r>
              <w:rPr>
                <w:color w:val="000000"/>
              </w:rPr>
              <w:t xml:space="preserve">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 xml:space="preserve">Change in shares outstanding </w:t>
            </w:r>
            <w:r>
              <w:rPr>
                <w:rFonts w:ascii="Arial;sans-serif" w:hAnsi="Arial;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EPS (constant currency) </w:t>
            </w:r>
            <w:r>
              <w:rPr>
                <w:rFonts w:ascii="Arial;sans-serif" w:hAnsi="Arial;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 xml:space="preserve">(1)Refer to the </w:t>
      </w:r>
      <w:r>
        <w:rPr>
          <w:rFonts w:ascii="Arial;sans-serif" w:hAnsi="Arial;sans-serif"/>
          <w:b w:val="false"/>
          <w:i/>
          <w:color w:val="000000"/>
          <w:sz w:val="16"/>
          <w:shd w:fill="FFFFFF" w:val="clear"/>
        </w:rPr>
        <w:t xml:space="preserve">Non-GAAP Financial Measures </w:t>
      </w:r>
      <w:r>
        <w:rPr>
          <w:rFonts w:ascii="Arial;sans-serif" w:hAnsi="Arial;sans-serif"/>
          <w:b w:val="false"/>
          <w:color w:val="000000"/>
          <w:sz w:val="16"/>
          <w:shd w:fill="FFFFFF" w:val="clear"/>
        </w:rPr>
        <w:t>section appearing later in this section. The tax expense/(benefit) of each of the pre-tax items excluded from our U.S. GAAP results was computed based on the facts and tax assumptions associated with each item, and such impacts have also been excluded from Adjusted EPS.</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16"/>
        </w:rPr>
        <w:t>For the six months ended June 30, 2023, taxes for the: Simplify to Grow Program were $(7) million, mark-to-market gains from derivatives were $29 million, acquisition integration costs and contingent consideration adjustments were $(22) million, divestiture-related costs were $(8) million, net earnings from divestitures were $4 million, remeasurement of net monetary position were zero, initial impacts from enacted tax law changes were $2 million, gain on marketable securities were $156 million, gain on equity method investment transactions were $124 million and equity method investee items were zero.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six months ended June 30, 2022, taxes for the: Simplify to Grow Program were $(13) million, intangible asset impairment charge was $(19) million, mark-to-market losses from derivatives were $(19) million, acquisition integration costs and contingent consideration adjustments were $(51) million, acquisition-related costs were $(3) million, net earnings from divestitures were $17 million, incremental costs due to the war in Ukraine were $2 million, remeasurement of net monetary position were zero, loss on debt extinguishment and related expenses were $(31) million, initial impacts from enacted tax law changes were $9 million and loss on equity method investment transactions were zero.</w:t>
      </w:r>
    </w:p>
    <w:p>
      <w:pPr>
        <w:pStyle w:val="TextBody"/>
        <w:bidi w:val="0"/>
        <w:spacing w:lineRule="auto" w:line="288" w:before="0" w:after="0"/>
        <w:ind w:left="0" w:right="0" w:hanging="360"/>
        <w:jc w:val="both"/>
        <w:rPr/>
      </w:pPr>
      <w:r>
        <w:rPr>
          <w:rFonts w:ascii="Arial;sans-serif" w:hAnsi="Arial;sans-serif"/>
          <w:b w:val="false"/>
          <w:color w:val="000000"/>
          <w:sz w:val="16"/>
        </w:rPr>
        <w:t xml:space="preserve">(2)See the </w:t>
      </w:r>
      <w:r>
        <w:rPr>
          <w:rFonts w:ascii="Arial;sans-serif" w:hAnsi="Arial;sans-serif"/>
          <w:b w:val="false"/>
          <w:i/>
          <w:color w:val="000000"/>
          <w:sz w:val="16"/>
        </w:rPr>
        <w:t>Operating Income</w:t>
      </w:r>
      <w:r>
        <w:rPr>
          <w:color w:val="000000"/>
        </w:rPr>
        <w:t xml:space="preserve"> </w:t>
      </w:r>
      <w:r>
        <w:rPr>
          <w:rFonts w:ascii="Arial;sans-serif" w:hAnsi="Arial;sans-serif"/>
          <w:b w:val="false"/>
          <w:color w:val="000000"/>
          <w:sz w:val="16"/>
        </w:rPr>
        <w:t>table above and the related footnotes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8"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76" w:before="0" w:after="0"/>
        <w:ind w:left="0" w:right="0" w:hanging="360"/>
        <w:jc w:val="both"/>
        <w:rPr/>
      </w:pPr>
      <w:r>
        <w:rPr>
          <w:rFonts w:ascii="Arial;sans-serif" w:hAnsi="Arial;sans-serif"/>
          <w:b w:val="false"/>
          <w:color w:val="000000"/>
          <w:sz w:val="16"/>
        </w:rPr>
        <w:t xml:space="preserve">(3)Refer to Note 8, </w:t>
      </w:r>
      <w:r>
        <w:rPr>
          <w:rFonts w:ascii="Arial;sans-serif" w:hAnsi="Arial;sans-serif"/>
          <w:b w:val="false"/>
          <w:i/>
          <w:color w:val="000000"/>
          <w:sz w:val="16"/>
        </w:rPr>
        <w:t>Debt and Borrowing Arrangements</w:t>
      </w:r>
      <w:r>
        <w:rPr>
          <w:rFonts w:ascii="Arial;sans-serif" w:hAnsi="Arial;sans-serif"/>
          <w:b w:val="false"/>
          <w:color w:val="000000"/>
          <w:sz w:val="16"/>
        </w:rPr>
        <w:t>, for more information on the loss on debt extinguishment and related expenses.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(4)Refer to Note 14, </w:t>
      </w:r>
      <w:r>
        <w:rPr>
          <w:rFonts w:ascii="Arial;sans-serif" w:hAnsi="Arial;sans-serif"/>
          <w:b w:val="false"/>
          <w:i/>
          <w:color w:val="000000"/>
          <w:sz w:val="16"/>
        </w:rPr>
        <w:t>Income Taxes</w:t>
      </w:r>
      <w:r>
        <w:rPr>
          <w:rFonts w:ascii="Arial;sans-serif" w:hAnsi="Arial;sans-serif"/>
          <w:b w:val="false"/>
          <w:color w:val="000000"/>
          <w:sz w:val="16"/>
        </w:rPr>
        <w:t>, on the items affecting income taxes.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(5)Refer to Note 6, </w:t>
      </w:r>
      <w:r>
        <w:rPr>
          <w:rFonts w:ascii="Arial;sans-serif" w:hAnsi="Arial;sans-serif"/>
          <w:b w:val="false"/>
          <w:i/>
          <w:color w:val="000000"/>
          <w:sz w:val="16"/>
        </w:rPr>
        <w:t>Investments</w:t>
      </w:r>
      <w:r>
        <w:rPr>
          <w:rFonts w:ascii="Arial;sans-serif" w:hAnsi="Arial;sans-serif"/>
          <w:b w:val="false"/>
          <w:color w:val="000000"/>
          <w:sz w:val="16"/>
        </w:rPr>
        <w:t>, for more information on the gain/(loss) on equity method investment transactions and marketable securities.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(6)Includes our proportionate share of significant operating and non-operating items recorded by our JDE Peet's equity method investee, such as acquisition and divestiture-related costs and restructuring program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(7)Excludes the currency impact on interest expense related to our non-U.S. dollar-denominated debt, which is included in currency translation.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(8)Refer to Note 11, </w:t>
      </w:r>
      <w:r>
        <w:rPr>
          <w:rFonts w:ascii="Arial;sans-serif" w:hAnsi="Arial;sans-serif"/>
          <w:b w:val="false"/>
          <w:i/>
          <w:color w:val="000000"/>
          <w:sz w:val="16"/>
        </w:rPr>
        <w:t>Stock Plans</w:t>
      </w:r>
      <w:r>
        <w:rPr>
          <w:rFonts w:ascii="Arial;sans-serif" w:hAnsi="Arial;sans-serif"/>
          <w:b w:val="false"/>
          <w:color w:val="000000"/>
          <w:sz w:val="16"/>
        </w:rPr>
        <w:t xml:space="preserve">, for more information on our equity compensation programs and share repurchase program and Note 15, </w:t>
      </w:r>
      <w:r>
        <w:rPr>
          <w:rFonts w:ascii="Arial;sans-serif" w:hAnsi="Arial;sans-serif"/>
          <w:b w:val="false"/>
          <w:i/>
          <w:color w:val="000000"/>
          <w:sz w:val="16"/>
        </w:rPr>
        <w:t>Earnings per Share</w:t>
      </w:r>
      <w:r>
        <w:rPr>
          <w:rFonts w:ascii="Arial;sans-serif" w:hAnsi="Arial;sans-serif"/>
          <w:b w:val="false"/>
          <w:color w:val="000000"/>
          <w:sz w:val="16"/>
        </w:rPr>
        <w:t>, for earnings per share weighted-average share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9"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Results of Operations by Reportable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operations and management structure are organized into four operating segments: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Latin America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AMEA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Europe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North America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use segment operating income to evaluate segment performance and allocate resources. We believe it is appropriate to disclose this measure to help investors analyze segment performance and trends. See Note 16, </w:t>
      </w:r>
      <w:r>
        <w:rPr>
          <w:rFonts w:ascii="Arial;sans-serif" w:hAnsi="Arial;sans-serif"/>
          <w:b w:val="false"/>
          <w:i/>
          <w:color w:val="000000"/>
          <w:sz w:val="20"/>
        </w:rPr>
        <w:t>Segment Reporting,</w:t>
      </w:r>
      <w:r>
        <w:rPr>
          <w:color w:val="000000"/>
        </w:rPr>
        <w:t xml:space="preserve"> </w:t>
      </w:r>
      <w:r>
        <w:rPr>
          <w:rFonts w:ascii="Arial;sans-serif" w:hAnsi="Arial;sans-serif"/>
          <w:b w:val="false"/>
          <w:color w:val="000000"/>
          <w:sz w:val="20"/>
        </w:rPr>
        <w:t xml:space="preserve">for additional information on our segments and </w:t>
      </w:r>
      <w:r>
        <w:rPr>
          <w:rFonts w:ascii="Arial;sans-serif" w:hAnsi="Arial;sans-serif"/>
          <w:b w:val="false"/>
          <w:i/>
          <w:color w:val="000000"/>
          <w:sz w:val="20"/>
        </w:rPr>
        <w:t>Items Affecting Comparability of Financial Results</w:t>
      </w:r>
      <w:r>
        <w:rPr>
          <w:color w:val="000000"/>
        </w:rPr>
        <w:t xml:space="preserve"> </w:t>
      </w:r>
      <w:r>
        <w:rPr>
          <w:rFonts w:ascii="Arial;sans-serif" w:hAnsi="Arial;sans-serif"/>
          <w:b w:val="false"/>
          <w:color w:val="000000"/>
          <w:sz w:val="20"/>
        </w:rPr>
        <w:t>earlier in this section for items affecting our segment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segment net revenues and earnings were:</w:t>
      </w:r>
    </w:p>
    <w:tbl>
      <w:tblPr>
        <w:tblW w:w="9364" w:type="dxa"/>
        <w:jc w:val="left"/>
        <w:tblInd w:w="0" w:type="dxa"/>
        <w:tblLayout w:type="fixed"/>
        <w:tblCellMar>
          <w:top w:w="28" w:type="dxa"/>
          <w:left w:w="28" w:type="dxa"/>
          <w:bottom w:w="28" w:type="dxa"/>
          <w:right w:w="28" w:type="dxa"/>
        </w:tblCellMar>
      </w:tblPr>
      <w:tblGrid>
        <w:gridCol w:w="1508"/>
        <w:gridCol w:w="1319"/>
        <w:gridCol w:w="1328"/>
        <w:gridCol w:w="221"/>
        <w:gridCol w:w="678"/>
        <w:gridCol w:w="114"/>
        <w:gridCol w:w="114"/>
        <w:gridCol w:w="114"/>
        <w:gridCol w:w="114"/>
        <w:gridCol w:w="221"/>
        <w:gridCol w:w="678"/>
        <w:gridCol w:w="114"/>
        <w:gridCol w:w="109"/>
        <w:gridCol w:w="109"/>
        <w:gridCol w:w="109"/>
        <w:gridCol w:w="211"/>
        <w:gridCol w:w="751"/>
        <w:gridCol w:w="109"/>
        <w:gridCol w:w="109"/>
        <w:gridCol w:w="109"/>
        <w:gridCol w:w="109"/>
        <w:gridCol w:w="211"/>
        <w:gridCol w:w="751"/>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sz w:val="20"/>
              </w:rPr>
              <w:br/>
            </w:r>
            <w:r>
              <w:rPr>
                <w:rFonts w:ascii="Arial;sans-serif" w:hAnsi="Arial;sans-serif"/>
                <w:b w:val="false"/>
                <w:color w:val="000000"/>
                <w:sz w:val="20"/>
              </w:rPr>
              <w:t>Earnings before income taxes:</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gains/(losses) on hedging activities</w:t>
              <w:br/>
              <w:t>   (mark-to-market impacts)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costs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(Loss)/gain on marketable securities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50"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Latin America</w:t>
      </w:r>
    </w:p>
    <w:tbl>
      <w:tblPr>
        <w:tblW w:w="7396"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17"/>
        <w:gridCol w:w="496"/>
        <w:gridCol w:w="113"/>
        <w:gridCol w:w="109"/>
        <w:gridCol w:w="109"/>
        <w:gridCol w:w="109"/>
        <w:gridCol w:w="270"/>
        <w:gridCol w:w="271"/>
        <w:gridCol w:w="563"/>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20" w:after="283"/>
        <w:ind w:left="0" w:right="0" w:hanging="27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$352 million (40.2%), due to higher net pricing (35.1 pp), the impact of an acquisition (15.9 pp) and favorable volume/mix (2.6 pp), partially offset by unfavorable currency (11.5 pp) and the impact of divestitures (1.9 pp). Higher net pricing, driven by input cost-driven pricing actions, was reflected across all categories, primarily in Argentina, Brazil and Mexico. The November 1, 2022 acquisition of Ricolino added incremental net revenues of $137 million (constant currency basis) in the second quarter of 2023. Favorable volume/mix reflected continued strong demand for our snack category products. Favorable volume/mix was driven by gains in gum, biscuits &amp; baked snacks and candy, partially offset by declines in chocolate, refreshment beverages and cheese &amp; grocery. Unfavorable currency impacts were primarily due to the strength of the U.S. dollar relative to several currencies in the region, primarily the Argentinean peso, Colombian peso and Brazilian real, partially offset by the strength of several currencies relative to the U.S. dollar, primarily the Mexican peso. The impact of divestitures resulted in a year-over-year decline in net revenues of $12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$44 million (48.9%), primarily due to higher net pricing, the impact of our Ricolino acquisition and favorable volume/mix. These favorable items were partially offset by higher raw material costs, higher other selling, general and administrative expenses, higher advertising and consumer promotion costs, unfavorable currency and acquisition integration costs incurred in the second quarter of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$737 million (43.3%), due to higher net pricing (33.4 pp), the impact of an acquisition (17.4 pp) and favorable volume/mix (5.0 pp), partially offset by unfavorable currency (10.7 pp) and the impact of divestitures (1.8 pp). Higher net pricing, driven by input cost-driven pricing actions, was reflected across all categories, primarily in Argentina, Brazil and Mexico. The November 1, 2022 acquisition of Ricolino added incremental net revenues of $293 million (constant currency basis) in the first six months of 2023. Favorable volume/mix reflected strong volume growth as the region continued to see increased demand for our snack category products. Favorable volume/mix was driven by gains in gum, biscuits &amp; baked snacks, candy and cheese &amp; grocery, partially offset by declines in refreshment beverages and chocolate. Unfavorable currency impacts were primarily due to the strength of the U.S. dollar relative to several currencies in the region, primarily the Argentinean peso and Colombian peso, partially offset by the strength of several currencies relative to the U.S. dollar, primarily the Mexican peso. The impact of divestitures resulted in a year-over-year decline in net revenues of $21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$80 million (41.5%), primarily due to higher net pricing, favorable volume/mix and the impact of our Ricolino acquisition. These favorable items were partially offset by higher raw material costs, higher other selling, general and administrative expenses, higher advertising and consumer promotion costs, acquisition integration costs incurred in the first six months of 2023, unfavorable currency and higher remeasurement loss on net monetary position.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1" name="Frame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AMEA</w:t>
      </w:r>
    </w:p>
    <w:tbl>
      <w:tblPr>
        <w:tblW w:w="7396"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17"/>
        <w:gridCol w:w="496"/>
        <w:gridCol w:w="113"/>
        <w:gridCol w:w="109"/>
        <w:gridCol w:w="109"/>
        <w:gridCol w:w="109"/>
        <w:gridCol w:w="270"/>
        <w:gridCol w:w="271"/>
        <w:gridCol w:w="563"/>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$74 million (4.8%), due to higher net pricing (9.9 pp) and favorable volume/mix (3.3 pp), partially offset by unfavorable currency (8.4 pp). Higher net pricing, driven by input cost-driven pricing actions, was reflected across all categories. Favorable volume/mix reflected continued strong demand for our snack category products. Favorable volume/mix was driven by gains in chocolate, gum, candy and refreshment beverages, partially offset by declines in biscuits &amp; baked snacks and cheese &amp; grocery. Unfavorable currency impacts were due to the strength of the U.S. dollar relative to most currencies in the region, including the Chinese yuan, Indian rupee, Egyptian pound, South African Rand and Australian dollar.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Segment operating income decreased $4 million (1.9%), primarily due to higher raw material costs, higher other selling, general and administrative expenses, higher advertising and consumer promotion costs and unfavorable currency. These unfavorable items were partially offset by higher net pricing, favorable volume/mix and lower manufacturing costs driven by productivity.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$146 million (4.3%), due to higher net pricing (8.9 pp) and favorable volume/mix (4.6 pp), partially offset by unfavorable currency (9.2 pp). Higher net pricing, driven by input cost-driven pricing actions, was reflected across all categories. Favorable volume/mix reflected overall volume gains from increased demand for our snack category products. Favorable volume/mix was driven by gains in chocolate, refreshment beverages, gum, candy and biscuits &amp; baked snacks, partially offset by a decline in cheese &amp; grocery. Unfavorable currency impacts were due to the strength of the U.S. dollar relative to most currencies in the region, including the Indian rupee, Egyptian pound, Chinese yuan, Australian dollar, South African Rand and Pakistan rupee.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Segment operating income increased $84 million (17.4%), primarily due to higher net pricing, favorable volume/mix, lapping prior-year intangible asset impairment charges and lower manufacturing costs driven by productivity. These favorable items were partially offset by higher raw material costs, unfavorable currency, higher advertising and consumer promotion costs, higher other selling, general and administrative expenses and higher fixed asset impairment charges.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52" name="Frame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Europe</w:t>
      </w:r>
    </w:p>
    <w:tbl>
      <w:tblPr>
        <w:tblW w:w="7396"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17"/>
        <w:gridCol w:w="496"/>
        <w:gridCol w:w="113"/>
        <w:gridCol w:w="109"/>
        <w:gridCol w:w="109"/>
        <w:gridCol w:w="109"/>
        <w:gridCol w:w="270"/>
        <w:gridCol w:w="271"/>
        <w:gridCol w:w="563"/>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increased $300 million (11.4%), due to higher net pricing (17.6 pp), partially offset by unfavorable volume/mix (4.5 pp) and unfavorable currency (1.7 pp). Higher net pricing, driven by input cost-driven pricing actions, was reflected across all categories. Overall, unfavorable volume/mix reflected volume declines due to the impact from customer price negotiation disruptions. Unfavorable volume/mix was driven by declines in biscuits &amp; baked snacks, cheese &amp; grocery, chocolate and candy, partially offset by gains in gum and refreshment beverages. Unfavorable currency impacts reflected the strength of the U.S. dollar relative to several currencies across the region, including the Russian ruble and Turkish lira, partially offset by the strength of several currencies relative to the U.S. dollar, primarily the euro.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$69 million (18.2%), primarily due to higher net pricing, lower other selling, general and administrative expenses, lower acquisition integration costs, lower manufacturing costs driven by productivity and lower costs incurred for the Simplify to Grow program. These favorable items were partially offset by higher raw material costs, unfavorable volume/mix, unfavorable currency, remeasurement loss on monetary position, lapping the prior-year decrease in estimated allowances and reserves associated with incremental costs incurred due to the war in Ukraine, divestiture-related costs incurred in the second quarter of 2023, and higher advertising and consumer promotion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$672 million (12.1%), due to higher net pricing (17.7 pp), partially offset by unfavorable currency (4.1 pp) and unfavorable volume/mix (1.5 pp). Higher net pricing, driven by input cost-driven pricing actions, was reflected across all categories. Unfavorable currency impacts reflected the strength of the U.S. dollar relative to most currencies across the region, including the British pound sterling, Turkish lira, euro, Ukrainian hryvnya, Norwegian krone, Russian ruble and Swedish krona. Overall, unfavorable volume/mix reflected volume declines due to the impact from customer price negotiation disruptions. Unfavorable volume/mix was driven by declines in biscuits &amp; baked snacks, cheese &amp; grocery and chocolate, partially offset by gains in gum, candy and refreshment beverages.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$199 million (26.3%), primarily due to higher net pricing, lapping the prior-year incremental costs incurred due to the war in Ukraine, lower other selling, general and administrative expenses and lower acquisition integration costs. These favorable items were partially offset by higher raw material costs, unfavorable currency, divestiture-related costs incurred in the first six months of 2023, higher advertising and consumer promotion costs, unfavorable volume/mix, higher manufacturing costs, remeasurement loss on net monetary position and higher costs incurred for the Simplify to Grow program.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53" name="Frame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North America</w:t>
      </w:r>
    </w:p>
    <w:tbl>
      <w:tblPr>
        <w:tblW w:w="7536"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11"/>
        <w:gridCol w:w="646"/>
        <w:gridCol w:w="109"/>
        <w:gridCol w:w="109"/>
        <w:gridCol w:w="109"/>
        <w:gridCol w:w="109"/>
        <w:gridCol w:w="270"/>
        <w:gridCol w:w="271"/>
        <w:gridCol w:w="563"/>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$507 million (22.7%), due to the impact of an acquisition (10.8 pp), higher net pricing (10.4 pp) and favorable volume/mix (2.0 pp), partially offset by unfavorable currency (0.5 pp). The August 1, 2022 acquisition of Clif Bar added incremental net revenues of $240 million in the second quarter of 2023. Higher net pricing, driven by input cost-driven pricing actions, was reflected across all categories. Overall, favorable volume/mix reflected volume gains from increased demand for our snack category products. Favorable volume/mix was driven by gains in biscuits &amp; baked snacks and gum, partially offset by declines in candy and chocolate. Unfavorable currency impact was due to the strength of the U.S. dollar relative to the Canadian dollar.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$126 million (27.8%), primarily due to higher net pricing, the impact of our Clif Bar acquisition, lower manufacturing costs driven by productivity, favorable volume/mix and lower costs incurred for the Simplify to Grow Program. These favorable items were partially offset by higher raw material costs, higher other selling, general and administrative expenses, higher advertising and consumer promotion costs, higher acquisition integration costs and contingent consideration adjustments, higher divestiture-related costs and higher fixed asset impairment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Six Months Ended June 30: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$1,080 million (24.7%), due to higher net pricing (12.7 pp), the impact of an acquisition (10.5 pp) and favorable volume/mix (2.1 pp), partially offset by unfavorable currency (0.6 pp). Higher net pricing, driven by input cost-driven pricing actions, was reflected across all categories. The August 1, 2022 acquisition of Clif Bar added incremental net revenues of $458 million in the first six months of 2023. Overall, favorable volume/mix reflected volume gains from increased demand for our snack category products. Favorable volume/mix was driven by gains in biscuits &amp; baked snacks and gum, partially offset by declines in candy and chocolate. Unfavorable currency impact was due to the strength of the U.S. dollar relative to the Canadian dollar.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$274 million (31.4%), primarily due to higher net pricing, the impact of our Clif Bar acquisition, favorable volume/mix, lower costs incurred for the Simplify to Grow Program and lower manufacturing costs driven by productivity. These favorable items were partially offset by higher raw material costs, higher advertising and consumer promotion costs, higher other selling, general and administrative expenses, higher acquisition integration costs and contingent consideration adjustments, higher fixed asset impairment charges, higher divestiture-related costs and unfavorable currency.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54" name="Frame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Our investment in JDE Peet's also provides us additional flexibility. Overall, we do not expect negative effects to our funding sources that would have a material effect on our liquidity, and we continue to monitor our operations in Europe and related effects from the war in Ukraine.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one-time non-operating items.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Long-term cash requirements primarily relate to funding long-term debt repayments (refer to Note 8, </w:t>
      </w:r>
      <w:r>
        <w:rPr>
          <w:rFonts w:ascii="Arial;sans-serif" w:hAnsi="Arial;sans-serif"/>
          <w:b w:val="false"/>
          <w:i/>
          <w:color w:val="000000"/>
          <w:sz w:val="20"/>
        </w:rPr>
        <w:t>Debt and Borrowing Arrangements</w:t>
      </w:r>
      <w:r>
        <w:rPr>
          <w:rFonts w:ascii="Arial;sans-serif" w:hAnsi="Arial;sans-serif"/>
          <w:b w:val="false"/>
          <w:color w:val="000000"/>
          <w:sz w:val="20"/>
        </w:rPr>
        <w:t xml:space="preserve">), our U.S. tax reform transition tax liability and deferred taxes (refer to Note 16,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in our Annual Report on Form 10-K for the year ended December 31, 2022), our long-term benefit plan obligations (refer to Note 10, </w:t>
      </w:r>
      <w:r>
        <w:rPr>
          <w:rFonts w:ascii="Arial;sans-serif" w:hAnsi="Arial;sans-serif"/>
          <w:b w:val="false"/>
          <w:i/>
          <w:color w:val="000000"/>
          <w:sz w:val="20"/>
        </w:rPr>
        <w:t xml:space="preserve">Benefit Plans,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Note 11</w:t>
      </w:r>
      <w:r>
        <w:rPr>
          <w:rFonts w:ascii="Arial;sans-serif" w:hAnsi="Arial;sans-serif"/>
          <w:b w:val="false"/>
          <w:i/>
          <w:color w:val="000000"/>
          <w:sz w:val="20"/>
        </w:rPr>
        <w:t>, Benefit Plans,</w:t>
      </w:r>
      <w:r>
        <w:rPr>
          <w:color w:val="000000"/>
        </w:rPr>
        <w:t xml:space="preserve"> </w:t>
      </w:r>
      <w:r>
        <w:rPr>
          <w:rFonts w:ascii="Arial;sans-serif" w:hAnsi="Arial;sans-serif"/>
          <w:b w:val="false"/>
          <w:color w:val="000000"/>
          <w:sz w:val="20"/>
        </w:rPr>
        <w:t xml:space="preserve">in our Annual report on Form 10-K for the year ended December 31, 2022) and commodity-related purchase commitments and derivative contracts (refer to Note 9, </w:t>
      </w:r>
      <w:r>
        <w:rPr>
          <w:rFonts w:ascii="Arial;sans-serif" w:hAnsi="Arial;sans-serif"/>
          <w:b w:val="false"/>
          <w:i/>
          <w:color w:val="000000"/>
          <w:sz w:val="20"/>
        </w:rPr>
        <w:t>Financial Instruments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generally fund short- and long-term cash requirements with cash from operating activities as well as cash proceeds from short- and long-term debt financing (refer to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below). We generally do not use equity to fund our ongoing obligations.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pStyle w:val="TextBody"/>
        <w:bidi w:val="0"/>
        <w:spacing w:before="0" w:after="0"/>
        <w:jc w:val="both"/>
        <w:rPr/>
      </w:pPr>
      <w:r>
        <w:rPr/>
      </w:r>
    </w:p>
    <w:tbl>
      <w:tblPr>
        <w:tblW w:w="7016" w:type="dxa"/>
        <w:jc w:val="left"/>
        <w:tblInd w:w="0" w:type="dxa"/>
        <w:tblLayout w:type="fixed"/>
        <w:tblCellMar>
          <w:top w:w="28" w:type="dxa"/>
          <w:left w:w="28" w:type="dxa"/>
          <w:bottom w:w="28" w:type="dxa"/>
          <w:right w:w="28" w:type="dxa"/>
        </w:tblCellMar>
      </w:tblPr>
      <w:tblGrid>
        <w:gridCol w:w="1615"/>
        <w:gridCol w:w="1417"/>
        <w:gridCol w:w="1423"/>
        <w:gridCol w:w="211"/>
        <w:gridCol w:w="706"/>
        <w:gridCol w:w="109"/>
        <w:gridCol w:w="109"/>
        <w:gridCol w:w="109"/>
        <w:gridCol w:w="109"/>
        <w:gridCol w:w="251"/>
        <w:gridCol w:w="770"/>
        <w:gridCol w:w="187"/>
      </w:tblGrid>
      <w:tr>
        <w:trPr/>
        <w:tc>
          <w:tcPr>
            <w:tcW w:w="161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Six Months Ended June 30,</w:t>
            </w:r>
          </w:p>
        </w:tc>
        <w:tc>
          <w:tcPr>
            <w:tcW w:w="1026" w:type="dxa"/>
            <w:gridSpan w:val="3"/>
            <w:tcBorders/>
            <w:tcMar>
              <w:top w:w="0" w:type="dxa"/>
              <w:left w:w="0" w:type="dxa"/>
              <w:bottom w:w="0" w:type="dxa"/>
              <w:right w:w="0" w:type="dxa"/>
            </w:tcMar>
            <w:vAlign w:val="center"/>
          </w:tcPr>
          <w:p>
            <w:pPr>
              <w:pStyle w:val="TableContents"/>
              <w:bidi w:val="0"/>
              <w:spacing w:lineRule="auto" w:line="223" w:before="0" w:after="0"/>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23" w:before="0" w:after="0"/>
              <w:ind w:left="0" w:right="0" w:firstLine="637"/>
              <w:jc w:val="center"/>
              <w:rPr>
                <w:rFonts w:ascii="Arial;sans-serif" w:hAnsi="Arial;sans-serif"/>
                <w:b/>
                <w:color w:val="000000"/>
                <w:sz w:val="20"/>
              </w:rPr>
            </w:pPr>
            <w:r>
              <w:rPr>
                <w:rFonts w:ascii="Arial;sans-serif" w:hAnsi="Arial;sans-serif"/>
                <w:b/>
                <w:color w:val="000000"/>
                <w:sz w:val="20"/>
              </w:rPr>
              <w:t>2022</w:t>
            </w:r>
          </w:p>
        </w:tc>
      </w:tr>
      <w:tr>
        <w:trPr/>
        <w:tc>
          <w:tcPr>
            <w:tcW w:w="4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25"/>
              <w:jc w:val="center"/>
              <w:rPr>
                <w:rFonts w:ascii="Arial;sans-serif" w:hAnsi="Arial;sans-serif"/>
                <w:b/>
                <w:color w:val="000000"/>
                <w:sz w:val="16"/>
              </w:rPr>
            </w:pPr>
            <w:r>
              <w:rPr>
                <w:rFonts w:ascii="Arial;sans-serif" w:hAnsi="Arial;sans-serif"/>
                <w:b/>
                <w:color w:val="000000"/>
                <w:sz w:val="16"/>
              </w:rPr>
              <w:t>(in millions)</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cash provided by/(used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Provided by Operating Activities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change in net cash provided by operating activities was essentially flat primarily due to an increase in cash-basis net earnings partially offset by increased year-over-year working capital requirements. This is largely a result of business growth and acquisitions completed during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in)/Provided by Investing Activities</w:t>
      </w:r>
    </w:p>
    <w:p>
      <w:pPr>
        <w:pStyle w:val="TextBody"/>
        <w:bidi w:val="0"/>
        <w:spacing w:lineRule="auto" w:line="288" w:before="0" w:after="0"/>
        <w:jc w:val="both"/>
        <w:rPr/>
      </w:pPr>
      <w:r>
        <w:rPr>
          <w:rFonts w:ascii="Arial;sans-serif" w:hAnsi="Arial;sans-serif"/>
          <w:b w:val="false"/>
          <w:color w:val="000000"/>
          <w:sz w:val="20"/>
        </w:rPr>
        <w:t xml:space="preserve">The improvement in net cash provided by/used in investing activities was largely driven by higher proceeds from the current year KDP and JDEP share sales compared to the prior year JDEP share sale (refer to Note 6, </w:t>
      </w:r>
      <w:r>
        <w:rPr>
          <w:rFonts w:ascii="Arial;sans-serif" w:hAnsi="Arial;sans-serif"/>
          <w:b w:val="false"/>
          <w:i/>
          <w:color w:val="000000"/>
          <w:sz w:val="20"/>
        </w:rPr>
        <w:t>Investments</w:t>
      </w:r>
      <w:r>
        <w:rPr>
          <w:rFonts w:ascii="Arial;sans-serif" w:hAnsi="Arial;sans-serif"/>
          <w:b w:val="false"/>
          <w:color w:val="000000"/>
          <w:sz w:val="20"/>
        </w:rPr>
        <w:t xml:space="preserve">) and lapping prior-year cash consideration paid for the Chipita acquisition (refer to Note 2, </w:t>
      </w:r>
      <w:r>
        <w:rPr>
          <w:rFonts w:ascii="Arial;sans-serif" w:hAnsi="Arial;sans-serif"/>
          <w:b w:val="false"/>
          <w:i/>
          <w:color w:val="000000"/>
          <w:sz w:val="20"/>
        </w:rPr>
        <w:t>Acquisitions and Divestitures</w:t>
      </w:r>
      <w:r>
        <w:rPr>
          <w:rFonts w:ascii="Arial;sans-serif" w:hAnsi="Arial;sans-serif"/>
          <w:b w:val="false"/>
          <w:color w:val="000000"/>
          <w:sz w:val="20"/>
        </w:rPr>
        <w:t>). We continue to make capital expenditures primarily to modernize manufacturing facilities, implement new product manufacturing and support productivity initiatives. We expect 2023 capital expenditures to be up to $1.2 billion, including capital expenditures in connection with our Simplify to Grow Program and for funding our strategic priorities. We expect to continue to fund these expenditures with cash from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5" name="Frame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 Financing Activities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increase in cash used in financing activities was primarily due to lower debt proceeds, partially offset by lower share repurchases in the first six months of 2023 compared to the same prior-year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paid dividends of $1,055 million in the first six months of 2023 and $977 million in the first six months of 2022. The second quarter 2023 dividend of $0.385 per share, declared on May 17, 2023 for shareholders of record as of June 30, 2023, was paid on July 14, 2023. On July 27, 2023, the Audit Committee, with authorization delegated from our Board of Directors, declared a quarterly cash dividend of $0.425 per share of Class A Common Stock, an increase of 10 percent. This dividend is payable on October 13, 2023, to shareholders of record as of September 29, 2023.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anticipate that the 2023 distributions will be characterized as dividends under U.S. federal income tax rules. The final determination will be made on an IRS Form 1099–DIV issued in early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Guarantees</w:t>
      </w:r>
    </w:p>
    <w:p>
      <w:pPr>
        <w:pStyle w:val="TextBody"/>
        <w:bidi w:val="0"/>
        <w:spacing w:lineRule="auto" w:line="288" w:before="0" w:after="0"/>
        <w:jc w:val="both"/>
        <w:rPr/>
      </w:pPr>
      <w:r>
        <w:rPr>
          <w:rFonts w:ascii="Arial;sans-serif" w:hAnsi="Arial;sans-serif"/>
          <w:b w:val="false"/>
          <w:color w:val="000000"/>
          <w:sz w:val="20"/>
        </w:rPr>
        <w:t xml:space="preserve">As discussed in Note 12, </w:t>
      </w:r>
      <w:r>
        <w:rPr>
          <w:rFonts w:ascii="Arial;sans-serif" w:hAnsi="Arial;sans-serif"/>
          <w:b w:val="false"/>
          <w:i/>
          <w:color w:val="000000"/>
          <w:sz w:val="20"/>
        </w:rPr>
        <w:t>Commitments and Contingencies</w:t>
      </w:r>
      <w:r>
        <w:rPr>
          <w:rFonts w:ascii="Arial;sans-serif" w:hAnsi="Arial;sans-serif"/>
          <w:b w:val="false"/>
          <w:color w:val="000000"/>
          <w:sz w:val="20"/>
        </w:rPr>
        <w:t>, we enter into third-party guarantees primarily to cover the long-term obligations of our vendors. As part of these transactions, we guarantee that third parties will make contractual payments or achieve performance measures. As of June 30, 2023 and December 31, 2022, we had no material third-party guarantees recorded on our condensed consolidated balance sheet. Guarantees do not have, and we do not expect them to have, a material effect on our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short-term working capital or other financing needs.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its July 2022 meeting, the Board of Directors approved a new $2 billion long-term financing authorization that replaced the prior long-term financing authorization of $7 billion. As of June 30, 2023, $1.5 billion of the long-term financing authorization remained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total debt was $21.2 billion at June 30, 2023 and $22.9 billion at December 31, 2022. Our debt-to-capitalization ratio was 0.43 at June 30, 2023 and 0.46 at December 31, 2022. At June 30, 2023, the weighted-average term of our outstanding long-term debt was 8.3 years. Our average daily commercial paper borrowings outstanding were $3 billion in the first six months of 2023 and $1.2 billion in the first six months of 2022.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One of our subsidiaries, Mondelez International Holdings Netherlands B.V. (“MIHN”), has outstanding debt. The operations held by MIHN generated approximately 71.2% (or $12.6 billion) of the $17.7 billion of consolidated net revenue in the six months ended June 30, 2023. The operations held by MIHN represented approximately 83.6% (or $24.0 billion) of the $28.7 billion of net assets as of June 30, 2023.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Refer to Note 8, </w:t>
      </w:r>
      <w:r>
        <w:rPr>
          <w:rFonts w:ascii="Arial;sans-serif" w:hAnsi="Arial;sans-serif"/>
          <w:b w:val="false"/>
          <w:i/>
          <w:color w:val="000000"/>
          <w:sz w:val="20"/>
        </w:rPr>
        <w:t xml:space="preserve">Debt and Borrowing Arrangements, </w:t>
      </w:r>
      <w:r>
        <w:rPr>
          <w:rFonts w:ascii="Arial;sans-serif" w:hAnsi="Arial;sans-serif"/>
          <w:b w:val="false"/>
          <w:color w:val="000000"/>
          <w:sz w:val="20"/>
        </w:rPr>
        <w:t>for more information on our debt and debt covenants.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Commodity Trends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regularly monitor worldwide supply, commodity cost and currency trends so we can cost-effectively secure ingredients, packaging and fuel required for production. During the first six months of 2023, the primary drivers of the increase in our aggregate commodity costs were higher energy, dairy, sugar, grains, edible oils, packaging, cocoa, nuts and other ingredient costs, as well as unfavorable year-over-year currency exchange transaction costs on imported materials.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number of external factors such as the current macroeconomic environment, including global inflation, effects of the war in Ukraine, climate and weather conditions, commodity, transportation and labor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6"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result of international supply chain, transportation and labor market disruptions and generally higher commodity, transportation and labor costs in the first six months of 2023, we expect price volatility and a higher aggregate cost environment to continue. While the costs of our principal raw materials fluctuate, we believe there will continue to be an adequate supply of the raw materials we use and that they will generally remain available.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Significant Accounting Estimates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2022. Our significant accounting estimates are described in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 xml:space="preserve">in our Annual Report on Form 10-K for the year ended December 31, 2022. See also Note 1, </w:t>
      </w:r>
      <w:r>
        <w:rPr>
          <w:rFonts w:ascii="Arial;sans-serif" w:hAnsi="Arial;sans-serif"/>
          <w:b w:val="false"/>
          <w:i/>
          <w:color w:val="000000"/>
          <w:sz w:val="20"/>
        </w:rPr>
        <w:t>Basis of Presentation</w:t>
      </w:r>
      <w:r>
        <w:rPr>
          <w:rFonts w:ascii="Arial;sans-serif" w:hAnsi="Arial;sans-serif"/>
          <w:b w:val="false"/>
          <w:color w:val="000000"/>
          <w:sz w:val="20"/>
        </w:rPr>
        <w:t>,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or performance to differ materially from those contained in or implied by our forward-looking statements include, but are not limited to,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weakness in macroeconomic conditions in our markets, including as a result of inflation (and related monetary policy actions by governments in response to inflation), instability of certain financial institutions, volatility of commodity and other input costs and availability of commodities;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geopolitical uncertainty, including the impact of ongoing or new developments in the war in Ukraine, related current and future sanctions imposed by governments and other authorities and related impacts, including on our business operations, employees, reputation, brands,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global or regional health pandemics or epidemics;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competition and our response to channel shifts and pricing and other competitive pressures;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pricing actions and customer and consumer responses to such actions;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promotion and protection of our reputation and brand image;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weakness in consumer spending and/or changes in consumer preferences and demand and our ability to predict, identify, interpret and meet these changes;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risks from operating globally, including in emerging markets, such as political, economic and regulatory risks;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outcome and effects on us of legal and tax proceedings and government investigations, including the European Commission legal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7"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use of information technology and third party service providers;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unanticipated disruptions to our business, such as malware incidents, cyberattacks or other security breaches, and supply, commodity, labor and transportation constraints;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ability to identify, complete, manage and realize the full extent of the benefits, cost savings or synergies presented by strategic transactions, including our recently completed acquisitions of Ricolino, Clif Bar, Chipita, Gourmet Food, Grenade and Hu, and the anticipated closing of our planned divestiture of our developed market gum business in North America and Europe;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investments and our ownership interests in those investments, including JDE Peet's;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restructuring program and our other transformation initiatives not yielding the anticipated benefits;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the assumptions on which the restructuring program is based;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impact of climate change on our supply chain and operations;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consolidation of retail customers and competition with retailer and other economy brands;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our relationships with customers, suppliers or distributors;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management of our workforce and shifts in labor availability or labor costs;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compliance with legal, regulatory, tax and benefit laws and related changes, claims or actions;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perceived or actual product quality issues or product recalls;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failure to maintain effective internal control over financial reporting or disclosure controls and procedures;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protect our intellectual property and intangible assets;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tax matters including changes in tax laws and rates, disagreements with taxing authorities and imposition of new taxes;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currency exchange rates, controls and restrictions;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volatility of and access to capital or other markets, rising interest rates, the effectiveness of our cash management programs and our liquidity;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pension costs;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significant changes in valuation factors that may adversely affect our impairment testing of goodwill and intangible assets;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risks and uncertainties, as they may be amended from time to time, set forth in our filings with the U.S. Securities and Exchange Commission, including our Annual Report on Form 10-K for the year ended December 31, 2022 and subsequent Quarterly Reports on Form 10-Q.</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U.S. GAAP and non-GAAP financial measures below, and we also discuss our underlying U.S. GAAP results throughout our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in this Form 10-Q.</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sans-serif" w:hAnsi="Arial;sans-serif"/>
          <w:b w:val="false"/>
          <w:color w:val="000000"/>
          <w:sz w:val="12"/>
        </w:rPr>
        <w:t>(1)</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Organic Net Revenue” is defined as net revenues (the most comparable U.S. GAAP financial measure) excluding the impacts of acquisitions, divestitures </w:t>
      </w:r>
      <w:r>
        <w:rPr>
          <w:rFonts w:ascii="Arial;sans-serif" w:hAnsi="Arial;sans-serif"/>
          <w:b w:val="false"/>
          <w:color w:val="000000"/>
          <w:sz w:val="13"/>
        </w:rPr>
        <w:t xml:space="preserve">(2) </w:t>
      </w:r>
      <w:r>
        <w:rPr>
          <w:rFonts w:ascii="Arial;sans-serif" w:hAnsi="Arial;sans-serif"/>
          <w:b w:val="false"/>
          <w:color w:val="000000"/>
          <w:sz w:val="20"/>
        </w:rPr>
        <w:t xml:space="preserve">and currency rate fluctuations </w:t>
      </w:r>
      <w:r>
        <w:rPr>
          <w:rFonts w:ascii="Arial;sans-serif" w:hAnsi="Arial;sans-serif"/>
          <w:b w:val="false"/>
          <w:color w:val="000000"/>
          <w:sz w:val="13"/>
        </w:rPr>
        <w:t>(3)</w:t>
      </w:r>
      <w:r>
        <w:rPr>
          <w:rFonts w:ascii="Arial;sans-serif" w:hAnsi="Arial;sans-serif"/>
          <w:b w:val="false"/>
          <w:color w:val="000000"/>
          <w:sz w:val="20"/>
        </w:rPr>
        <w:t xml:space="preserve">. We believe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Organic net revenue reflects the underlying growth from the ongoing activities of our business and provides improved comparability of results. We also evaluate Organic Net Revenue growth from emerging markets and developed markets, and these underlying measures are also reconciled to U.S. GAAP above.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developed markets include the entire North America region, the Europe region excluding the countries included in the emerging markets definition, and Australia, New Zealand and Japan from the AMEA region.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Operating Income” is defined as operating income (the most comparable U.S. GAAP financial measure) excluding the impacts of the Simplify to Grow Program </w:t>
      </w:r>
      <w:r>
        <w:rPr>
          <w:rFonts w:ascii="Arial;sans-serif" w:hAnsi="Arial;sans-serif"/>
          <w:b w:val="false"/>
          <w:color w:val="000000"/>
          <w:sz w:val="13"/>
        </w:rPr>
        <w:t>(4)</w:t>
      </w:r>
      <w:r>
        <w:rPr>
          <w:rFonts w:ascii="Arial;sans-serif" w:hAnsi="Arial;sans-serif"/>
          <w:b w:val="false"/>
          <w:color w:val="000000"/>
          <w:sz w:val="20"/>
        </w:rPr>
        <w:t>; gains or losses (including non-cash impairment charges) on goodwill and intangible assets; divestiture </w:t>
      </w:r>
      <w:r>
        <w:rPr>
          <w:rFonts w:ascii="Arial;sans-serif" w:hAnsi="Arial;sans-serif"/>
          <w:b w:val="false"/>
          <w:color w:val="000000"/>
          <w:sz w:val="13"/>
        </w:rPr>
        <w:t>(2)</w:t>
      </w:r>
      <w:r>
        <w:rPr>
          <w:color w:val="000000"/>
        </w:rPr>
        <w:t> </w:t>
      </w:r>
      <w:r>
        <w:rPr>
          <w:rFonts w:ascii="Arial;sans-serif" w:hAnsi="Arial;sans-serif"/>
          <w:b w:val="false"/>
          <w:color w:val="000000"/>
          <w:sz w:val="20"/>
        </w:rPr>
        <w:t xml:space="preserve">or acquisition gains or losses, divestiture-related costs </w:t>
      </w:r>
      <w:r>
        <w:rPr>
          <w:rFonts w:ascii="Arial;sans-serif" w:hAnsi="Arial;sans-serif"/>
          <w:b w:val="false"/>
          <w:color w:val="000000"/>
          <w:sz w:val="13"/>
        </w:rPr>
        <w:t>(5)</w:t>
      </w:r>
      <w:r>
        <w:rPr>
          <w:rFonts w:ascii="Arial;sans-serif" w:hAnsi="Arial;sans-serif"/>
          <w:b w:val="false"/>
          <w:color w:val="000000"/>
          <w:sz w:val="20"/>
        </w:rPr>
        <w:t xml:space="preserve">, acquisition-related costs </w:t>
      </w:r>
      <w:r>
        <w:rPr>
          <w:rFonts w:ascii="Arial;sans-serif" w:hAnsi="Arial;sans-serif"/>
          <w:b w:val="false"/>
          <w:color w:val="000000"/>
          <w:sz w:val="13"/>
        </w:rPr>
        <w:t>(6)</w:t>
      </w:r>
      <w:r>
        <w:rPr>
          <w:rFonts w:ascii="Arial;sans-serif" w:hAnsi="Arial;sans-serif"/>
          <w:b w:val="false"/>
          <w:color w:val="000000"/>
          <w:sz w:val="20"/>
        </w:rPr>
        <w:t xml:space="preserve">, and acquisition integration costs and contingent consideration adjustments </w:t>
      </w:r>
      <w:r>
        <w:rPr>
          <w:rFonts w:ascii="Arial;sans-serif" w:hAnsi="Arial;sans-serif"/>
          <w:b w:val="false"/>
          <w:color w:val="000000"/>
          <w:sz w:val="13"/>
        </w:rPr>
        <w:t>(7)</w:t>
      </w:r>
      <w:r>
        <w:rPr>
          <w:rFonts w:ascii="Arial;sans-serif" w:hAnsi="Arial;sans-serif"/>
          <w:b w:val="false"/>
          <w:color w:val="000000"/>
          <w:sz w:val="20"/>
        </w:rPr>
        <w:t xml:space="preserve">; inventory step-up charges </w:t>
      </w:r>
      <w:r>
        <w:rPr>
          <w:rFonts w:ascii="Arial;sans-serif" w:hAnsi="Arial;sans-serif"/>
          <w:b w:val="false"/>
          <w:color w:val="000000"/>
          <w:sz w:val="13"/>
        </w:rPr>
        <w:t>(8)</w:t>
      </w:r>
      <w:r>
        <w:rPr>
          <w:rFonts w:ascii="Arial;sans-serif" w:hAnsi="Arial;sans-serif"/>
          <w:b w:val="false"/>
          <w:color w:val="000000"/>
          <w:sz w:val="20"/>
        </w:rPr>
        <w:t xml:space="preserve">; the operating results of divestitures </w:t>
      </w:r>
      <w:r>
        <w:rPr>
          <w:rFonts w:ascii="Arial;sans-serif" w:hAnsi="Arial;sans-serif"/>
          <w:b w:val="false"/>
          <w:color w:val="000000"/>
          <w:sz w:val="13"/>
        </w:rPr>
        <w:t>(2)</w:t>
      </w:r>
      <w:r>
        <w:rPr>
          <w:rFonts w:ascii="Arial;sans-serif" w:hAnsi="Arial;sans-serif"/>
          <w:b w:val="false"/>
          <w:color w:val="000000"/>
          <w:sz w:val="20"/>
        </w:rPr>
        <w:t xml:space="preserve">; remeasurement of net monetary position </w:t>
      </w:r>
      <w:r>
        <w:rPr>
          <w:rFonts w:ascii="Arial;sans-serif" w:hAnsi="Arial;sans-serif"/>
          <w:b w:val="false"/>
          <w:color w:val="000000"/>
          <w:sz w:val="13"/>
        </w:rPr>
        <w:t>(9)</w:t>
      </w:r>
      <w:r>
        <w:rPr>
          <w:rFonts w:ascii="Arial;sans-serif" w:hAnsi="Arial;sans-serif"/>
          <w:b w:val="false"/>
          <w:color w:val="000000"/>
          <w:sz w:val="20"/>
        </w:rPr>
        <w:t xml:space="preserve">; mark-to-market impacts from commodity, forecasted currency and equity method investment transaction derivative contracts </w:t>
      </w:r>
      <w:r>
        <w:rPr>
          <w:rFonts w:ascii="Arial;sans-serif" w:hAnsi="Arial;sans-serif"/>
          <w:b w:val="false"/>
          <w:color w:val="000000"/>
          <w:sz w:val="13"/>
        </w:rPr>
        <w:t>(10)</w:t>
      </w:r>
      <w:r>
        <w:rPr>
          <w:rFonts w:ascii="Arial;sans-serif" w:hAnsi="Arial;sans-serif"/>
          <w:b w:val="false"/>
          <w:color w:val="000000"/>
          <w:sz w:val="20"/>
        </w:rPr>
        <w:t xml:space="preserve">; impact from resolution of tax matters </w:t>
      </w:r>
      <w:r>
        <w:rPr>
          <w:rFonts w:ascii="Arial;sans-serif" w:hAnsi="Arial;sans-serif"/>
          <w:b w:val="false"/>
          <w:color w:val="000000"/>
          <w:sz w:val="13"/>
        </w:rPr>
        <w:t>(11)</w:t>
      </w:r>
      <w:r>
        <w:rPr>
          <w:rFonts w:ascii="Arial;sans-serif" w:hAnsi="Arial;sans-serif"/>
          <w:b w:val="false"/>
          <w:color w:val="000000"/>
          <w:sz w:val="20"/>
        </w:rPr>
        <w:t xml:space="preserve">; 2017 malware incident net recoveries; incremental costs due to the war in Ukraine </w:t>
      </w:r>
      <w:r>
        <w:rPr>
          <w:rFonts w:ascii="Arial;sans-serif" w:hAnsi="Arial;sans-serif"/>
          <w:b w:val="false"/>
          <w:color w:val="000000"/>
          <w:sz w:val="13"/>
        </w:rPr>
        <w:t>(12)</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impact from the European Commission legal matter </w:t>
      </w:r>
      <w:r>
        <w:rPr>
          <w:rFonts w:ascii="Arial;sans-serif" w:hAnsi="Arial;sans-serif"/>
          <w:b w:val="false"/>
          <w:color w:val="000000"/>
          <w:sz w:val="13"/>
        </w:rPr>
        <w:t>(13)</w:t>
      </w:r>
      <w:r>
        <w:rPr>
          <w:rFonts w:ascii="Arial;sans-serif" w:hAnsi="Arial;sans-serif"/>
          <w:b w:val="false"/>
          <w:color w:val="000000"/>
          <w:sz w:val="20"/>
        </w:rPr>
        <w:t xml:space="preserve">; and impact from pension participation changes </w:t>
      </w:r>
      <w:r>
        <w:rPr>
          <w:rFonts w:ascii="Arial;sans-serif" w:hAnsi="Arial;sans-serif"/>
          <w:b w:val="false"/>
          <w:color w:val="000000"/>
          <w:sz w:val="13"/>
        </w:rPr>
        <w:t>(14)</w:t>
      </w:r>
      <w:r>
        <w:rPr>
          <w:rFonts w:ascii="Arial;sans-serif" w:hAnsi="Arial;sans-serif"/>
          <w:b w:val="false"/>
          <w:color w:val="000000"/>
          <w:sz w:val="20"/>
        </w:rPr>
        <w:t xml:space="preserve">. We also present “Adjusted Operating Income margin,” which is subject to the same adjustments as Adjusted Operating Income. We also evaluate growth in our Adjusted Operating Income on a constant currency basis </w:t>
      </w:r>
      <w:r>
        <w:rPr>
          <w:rFonts w:ascii="Arial;sans-serif" w:hAnsi="Arial;sans-serif"/>
          <w:b w:val="false"/>
          <w:color w:val="000000"/>
          <w:sz w:val="13"/>
        </w:rPr>
        <w:t>(3)</w:t>
      </w:r>
      <w:r>
        <w:rPr>
          <w:rFonts w:ascii="Arial;sans-serif" w:hAnsi="Arial;sans-serif"/>
          <w:b w:val="false"/>
          <w:color w:val="000000"/>
          <w:sz w:val="20"/>
        </w:rPr>
        <w:t>. We believe these measures provide improved comparability of underlying operating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is defined as diluted EPS attributable to Mondelēz International (the most comparable U.S. GAAP financial measure)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net earnings from divestitures </w:t>
      </w:r>
      <w:r>
        <w:rPr>
          <w:rFonts w:ascii="Arial;sans-serif" w:hAnsi="Arial;sans-serif"/>
          <w:b w:val="false"/>
          <w:color w:val="000000"/>
          <w:sz w:val="13"/>
        </w:rPr>
        <w:t>(2)</w:t>
      </w:r>
      <w:r>
        <w:rPr>
          <w:rFonts w:ascii="Arial;sans-serif" w:hAnsi="Arial;sans-serif"/>
          <w:b w:val="false"/>
          <w:color w:val="000000"/>
          <w:sz w:val="20"/>
        </w:rPr>
        <w:t xml:space="preserve">; mark-to-market unrealized gains or losses and realized gains or losses from marketable securities </w:t>
      </w:r>
      <w:r>
        <w:rPr>
          <w:rFonts w:ascii="Arial;sans-serif" w:hAnsi="Arial;sans-serif"/>
          <w:b w:val="false"/>
          <w:color w:val="000000"/>
          <w:sz w:val="13"/>
        </w:rPr>
        <w:t>(15)</w:t>
      </w:r>
      <w:r>
        <w:rPr>
          <w:rFonts w:ascii="Arial;sans-serif" w:hAnsi="Arial;sans-serif"/>
          <w:b w:val="false"/>
          <w:color w:val="000000"/>
          <w:sz w:val="20"/>
        </w:rPr>
        <w:t xml:space="preserve">; initial impacts from enacted tax law changes </w:t>
      </w:r>
      <w:r>
        <w:rPr>
          <w:rFonts w:ascii="Arial;sans-serif" w:hAnsi="Arial;sans-serif"/>
          <w:b w:val="false"/>
          <w:color w:val="000000"/>
          <w:sz w:val="13"/>
        </w:rPr>
        <w:t>(16)</w:t>
      </w:r>
      <w:r>
        <w:rPr>
          <w:rFonts w:ascii="Arial;sans-serif" w:hAnsi="Arial;sans-serif"/>
          <w:b w:val="false"/>
          <w:color w:val="000000"/>
          <w:sz w:val="20"/>
        </w:rPr>
        <w:t xml:space="preserve">; and gains or losses on equity method investment transactions. Similarly, within Adjusted EPS, our equity method investment net earnings exclude our proportionate share of our investees’ significant operating and non-operating items </w:t>
      </w:r>
      <w:r>
        <w:rPr>
          <w:rFonts w:ascii="Arial;sans-serif" w:hAnsi="Arial;sans-serif"/>
          <w:b w:val="false"/>
          <w:color w:val="000000"/>
          <w:sz w:val="13"/>
        </w:rPr>
        <w:t>(15)</w:t>
      </w:r>
      <w:r>
        <w:rPr>
          <w:rFonts w:ascii="Arial;sans-serif" w:hAnsi="Arial;sans-serif"/>
          <w:b w:val="false"/>
          <w:color w:val="000000"/>
          <w:sz w:val="20"/>
        </w:rPr>
        <w:t xml:space="preserve">. We also evaluate growth in our Adjusted EPS on a constant currency basis </w:t>
      </w:r>
      <w:r>
        <w:rPr>
          <w:rFonts w:ascii="Arial;sans-serif" w:hAnsi="Arial;sans-serif"/>
          <w:b w:val="false"/>
          <w:color w:val="000000"/>
          <w:sz w:val="13"/>
        </w:rPr>
        <w:t>(3)</w:t>
      </w:r>
      <w:r>
        <w:rPr>
          <w:rFonts w:ascii="Arial;sans-serif" w:hAnsi="Arial;sans-serif"/>
          <w:b w:val="false"/>
          <w:color w:val="000000"/>
          <w:sz w:val="20"/>
        </w:rPr>
        <w:t>. We believe Adjusted EPS provides improved comparability of underlying operating results.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(1)When items no longer impact our current or future presentation of non-GAAP operating results, we remove these items from our non-GAAP definitions. In the first quarter of 2023, we added to the non-GAAP definition for divestitures the inclusion of changes from equity method investment accounting to accounting for equity interests with readily determinable fair values (“marketable securities”; refer to footnote (2) below). In addition, we added to the non-GAAP definitions the exclusion of gains or losses associated with marketable securities (see footnote (15) below).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(2)Divestitures include completed sales of businesses, exits of major product lines upon completion of a sale or licensing agreement, the partial or full sale of an equity method investment and changes from equity method investment accounting to accounting for marketable securities. As we record our share of JDE Peet’s ongoing earnings on a one-quarter lag basis, any JDE Peet’s ownership reductions are reflected as divestitures within our non-GAAP results the following quarter.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(4)Non-GAAP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(5)Divestiture-related costs, which includes costs incurred in relation to the preparation and completion (including one-time costs such as severance related to elimination of stranded costs) of our divestitures as defined in footnote (2), also includes costs incurred associated with our publicly-announced processes to sell businesses. We exclude these items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(6)Acquisition-related costs, which includes transaction costs such as third party advisor, investment banking and legal fees, also includes one-time compensation expense related to the buyout of non-vested ESOP shares. We exclude these items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(7)Acquisition integration costs and contingent consideration adjustments include one-time costs related to the integration of acquisitions as well as any adjustments made to the fair market value of contingent compensation liabilities that have been previously booked for earn-outs related to acquisitions that do not relate to employee compensation expense. We exclude these items to better facilitate comparisons of our underlying operating performance across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9"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(8)In the third quarter of 2022, we began to exclude the one-time inventory step-up charges associated with acquired companies related to the fair market valuation of the acquired inventory. We exclude this item to better facilitate comparisons of our underlying operating performance across periods.</w:t>
      </w:r>
    </w:p>
    <w:p>
      <w:pPr>
        <w:pStyle w:val="TextBody"/>
        <w:bidi w:val="0"/>
        <w:spacing w:lineRule="auto" w:line="288" w:before="0" w:after="0"/>
        <w:ind w:left="0" w:right="0" w:hanging="360"/>
        <w:jc w:val="both"/>
        <w:rPr/>
      </w:pPr>
      <w:r>
        <w:rPr>
          <w:rFonts w:ascii="Arial;sans-serif" w:hAnsi="Arial;sans-serif"/>
          <w:b w:val="false"/>
          <w:color w:val="000000"/>
          <w:sz w:val="16"/>
        </w:rPr>
        <w:t xml:space="preserve">(9)In connection with our applying highly inflationary accounting (refer to Note 1, </w:t>
      </w:r>
      <w:r>
        <w:rPr>
          <w:rFonts w:ascii="Arial;sans-serif" w:hAnsi="Arial;sans-serif"/>
          <w:b w:val="false"/>
          <w:i/>
          <w:color w:val="000000"/>
          <w:sz w:val="16"/>
        </w:rPr>
        <w:t>Basis of Presentation</w:t>
      </w:r>
      <w:r>
        <w:rPr>
          <w:rFonts w:ascii="Arial;sans-serif" w:hAnsi="Arial;sans-serif"/>
          <w:b w:val="false"/>
          <w:color w:val="000000"/>
          <w:sz w:val="16"/>
        </w:rPr>
        <w:t>) for Argentina (beginning in the third quarter of 2018) and Türkiye (beginning in the second quarter of 2022), we exclude the related remeasurement gains or losses related to remeasuring net monetary assets or liabilities denominated in the local currency to the U.S. dollar during the periods presented.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(10)We exclude unrealized gains and losses (mark-to-market impacts) from outstanding commodity and forecasted currency and equity method investment transaction derivative contracts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(11)Refer to Note 12, </w:t>
      </w:r>
      <w:r>
        <w:rPr>
          <w:rFonts w:ascii="Arial;sans-serif" w:hAnsi="Arial;sans-serif"/>
          <w:b w:val="false"/>
          <w:i/>
          <w:color w:val="000000"/>
          <w:sz w:val="16"/>
        </w:rPr>
        <w:t>Commitments and Contingencies – Tax Matters</w:t>
      </w:r>
      <w:r>
        <w:rPr>
          <w:rFonts w:ascii="Arial;sans-serif" w:hAnsi="Arial;sans-serif"/>
          <w:b w:val="false"/>
          <w:color w:val="000000"/>
          <w:sz w:val="16"/>
        </w:rPr>
        <w:t>, in this report,</w:t>
      </w:r>
      <w:r>
        <w:rPr>
          <w:color w:val="000000"/>
        </w:rPr>
        <w:t xml:space="preserve"> </w:t>
      </w:r>
      <w:r>
        <w:rPr>
          <w:rFonts w:ascii="Arial;sans-serif" w:hAnsi="Arial;sans-serif"/>
          <w:b w:val="false"/>
          <w:color w:val="000000"/>
          <w:sz w:val="16"/>
        </w:rPr>
        <w:t xml:space="preserve">and Note 14, </w:t>
      </w:r>
      <w:r>
        <w:rPr>
          <w:rFonts w:ascii="Arial;sans-serif" w:hAnsi="Arial;sans-serif"/>
          <w:b w:val="false"/>
          <w:i/>
          <w:color w:val="000000"/>
          <w:sz w:val="16"/>
        </w:rPr>
        <w:t>Commitments and Contingencies –Tax Matters</w:t>
      </w:r>
      <w:r>
        <w:rPr>
          <w:rFonts w:ascii="Arial;sans-serif" w:hAnsi="Arial;sans-serif"/>
          <w:b w:val="false"/>
          <w:color w:val="000000"/>
          <w:sz w:val="16"/>
        </w:rPr>
        <w:t xml:space="preserve">, in our Annual Report on Form 10-K for the year ended December 31, 2022.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(12)In February 2022, Russia began a military invasion of Ukraine and we stopped our production and closed our facilities in Ukraine for a period of time due to damage incurred to our facilities during the invasion.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as well as subsequent recoveries from our operating results to facilitate evaluation and comparisons of our ongoing results. Incremental costs related to increasing operations in other primarily European facilities are not included with these costs. </w:t>
      </w:r>
    </w:p>
    <w:p>
      <w:pPr>
        <w:pStyle w:val="TextBody"/>
        <w:bidi w:val="0"/>
        <w:spacing w:lineRule="auto" w:line="288" w:before="0" w:after="0"/>
        <w:ind w:left="0" w:right="0" w:hanging="360"/>
        <w:jc w:val="both"/>
        <w:rPr/>
      </w:pPr>
      <w:r>
        <w:rPr>
          <w:rFonts w:ascii="Arial;sans-serif" w:hAnsi="Arial;sans-serif"/>
          <w:b w:val="false"/>
          <w:color w:val="000000"/>
          <w:sz w:val="16"/>
        </w:rPr>
        <w:t xml:space="preserve">(13)In the fourth quarter of 2022, we began to exclude the impact from the European Commission legal matter.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been cooperating with the investigation and are currently engaged in discussions with the European Commission in an effort to reach a negotiated, proportionate resolution to this matter. As of December 31. 2022, we recorded an estimate of the possible cost to resolve this matter. Due to the unique nature of this matter, we believe it to be infrequent and unusual and therefore exclude it to better facilitate comparisons of our underlying operating performance across periods. Refer to Note 12, </w:t>
      </w:r>
      <w:r>
        <w:rPr>
          <w:rFonts w:ascii="Arial;sans-serif" w:hAnsi="Arial;sans-serif"/>
          <w:b w:val="false"/>
          <w:i/>
          <w:color w:val="000000"/>
          <w:sz w:val="16"/>
        </w:rPr>
        <w:t>Commitments and Contingencies</w:t>
      </w:r>
      <w:r>
        <w:rPr>
          <w:rFonts w:ascii="Arial;sans-serif" w:hAnsi="Arial;sans-serif"/>
          <w:b w:val="false"/>
          <w:color w:val="000000"/>
          <w:sz w:val="16"/>
        </w:rPr>
        <w:t>.</w:t>
      </w:r>
    </w:p>
    <w:p>
      <w:pPr>
        <w:pStyle w:val="TextBody"/>
        <w:bidi w:val="0"/>
        <w:spacing w:lineRule="auto" w:line="288" w:before="0" w:after="0"/>
        <w:ind w:left="0" w:right="0" w:hanging="360"/>
        <w:jc w:val="both"/>
        <w:rPr/>
      </w:pPr>
      <w:r>
        <w:rPr>
          <w:rFonts w:ascii="Arial;sans-serif" w:hAnsi="Arial;sans-serif"/>
          <w:b w:val="false"/>
          <w:color w:val="000000"/>
          <w:sz w:val="16"/>
        </w:rPr>
        <w:t xml:space="preserve">(14)The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sans-serif" w:hAnsi="Arial;sans-serif"/>
          <w:b w:val="false"/>
          <w:i/>
          <w:color w:val="000000"/>
          <w:sz w:val="16"/>
        </w:rPr>
        <w:t>Benefit Plans</w:t>
      </w:r>
      <w:r>
        <w:rPr>
          <w:rFonts w:ascii="Arial;sans-serif" w:hAnsi="Arial;sans-serif"/>
          <w:b w:val="false"/>
          <w:color w:val="000000"/>
          <w:sz w:val="16"/>
        </w:rPr>
        <w:t>, for more information on the multiemployer pension plan withdrawal.</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(15)In the first quarter of 2023, we began to exclude mark-to-market unrealized gains or losses, as well as realized gains or losses, associated with our marketable securities from our non-GAAP earnings measures. These marketable securities gains or losses are not indicative of underlying operations and are excluded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(16)We have excluded the initial impacts from enacted tax law changes. Initial impacts include items such as the remeasurement of deferred tax balances and the transition tax from the 2017 U.S. tax reform. We exclude initial impacts from enacted tax law changes from our Adjusted EPS as they do not reflect our ongoing tax obligations under the enacted tax law changes.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(17)We have excluded our proportionate share of our equity method investees’ significant operating and non-operating items such as acquisition and divestiture-related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U.S. GAAP “diluted EPS attributable to Mondelēz International from continuing operations” includes all of the investees’ significant operating and non-operating items.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believe that the presentation of these non-GAAP financial measures, when considered together with our U.S. GAAP financial measures and the reconciliations to the corresponding U.S. GAAP financial measures, provides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that have an impact on our U.S. GAAP reported results. The best way this limitation can be addressed is by evaluating our non-GAAP financial measures in combination with our U.S. GAAP reported results and carefully evaluating the tables that reconcile U.S. GAAP reported figures to the non-GAAP financial measures in this Form 10-Q, which can be found above under </w:t>
      </w:r>
      <w:r>
        <w:rPr>
          <w:rFonts w:ascii="Arial;sans-serif" w:hAnsi="Arial;sans-serif"/>
          <w:b w:val="false"/>
          <w:i/>
          <w:color w:val="000000"/>
          <w:sz w:val="20"/>
        </w:rPr>
        <w:t>Consolidated Results of Operations</w:t>
      </w:r>
      <w:r>
        <w:rPr>
          <w:rFonts w:ascii="Arial;sans-serif" w:hAnsi="Arial;sans-serif"/>
          <w:b w:val="false"/>
          <w:color w:val="000000"/>
          <w:sz w:val="20"/>
        </w:rPr>
        <w:t>.</w:t>
      </w:r>
    </w:p>
    <w:p>
      <w:pPr>
        <w:pStyle w:val="TextBody"/>
        <w:bidi w:val="0"/>
        <w:spacing w:before="0" w:after="0"/>
        <w:jc w:val="both"/>
        <w:rPr/>
      </w:pPr>
      <w:r>
        <w:rPr/>
      </w:r>
    </w:p>
    <w:p>
      <w:pPr>
        <w:pStyle w:val="TextBody"/>
        <w:bidi w:val="0"/>
        <w:spacing w:before="10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60"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sans-serif" w:hAnsi="Arial;sans-serif"/>
          <w:b w:val="false"/>
          <w:i/>
          <w:color w:val="000000"/>
          <w:sz w:val="20"/>
        </w:rPr>
        <w:t>Financial Instruments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sans-serif" w:hAnsi="Arial;sans-serif"/>
          <w:b w:val="false"/>
          <w:i/>
          <w:color w:val="000000"/>
          <w:sz w:val="20"/>
        </w:rPr>
        <w:t>Consolidated Results of Operations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Results of Operations by Reportable Segment</w:t>
      </w:r>
      <w:r>
        <w:rPr>
          <w:color w:val="000000"/>
        </w:rPr>
        <w:t xml:space="preserve"> </w:t>
      </w:r>
      <w:r>
        <w:rPr>
          <w:rFonts w:ascii="Arial;sans-serif" w:hAnsi="Arial;sans-serif"/>
          <w:b w:val="false"/>
          <w:color w:val="000000"/>
          <w:sz w:val="20"/>
        </w:rPr>
        <w:t xml:space="preserve">under </w:t>
      </w:r>
      <w:r>
        <w:rPr>
          <w:rFonts w:ascii="Arial;sans-serif" w:hAnsi="Arial;sans-serif"/>
          <w:b w:val="false"/>
          <w:i/>
          <w:color w:val="000000"/>
          <w:sz w:val="20"/>
        </w:rPr>
        <w:t>Discussion and Analysis of Historical Results</w:t>
      </w:r>
      <w:r>
        <w:rPr>
          <w:color w:val="000000"/>
        </w:rPr>
        <w:t xml:space="preserve"> </w:t>
      </w:r>
      <w:r>
        <w:rPr>
          <w:rFonts w:ascii="Arial;sans-serif" w:hAnsi="Arial;sans-serif"/>
          <w:b w:val="false"/>
          <w:color w:val="000000"/>
          <w:sz w:val="20"/>
        </w:rPr>
        <w:t>for currency exchange effects on our financial results during the six months ended June 30, 2023. Throughout our discussion and analysis of results, we isolate currency impacts and supplementally provide net revenues, operating income and diluted earnings per share on a constant currency basis.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also continually monitor the market for commodities that we use in our products. Input costs may fluctuate widely due to international demand, weather conditions, government policy and regulation and the macroeconomic environment. Refer to </w:t>
      </w:r>
      <w:r>
        <w:rPr>
          <w:rFonts w:ascii="Arial;sans-serif" w:hAnsi="Arial;sans-serif"/>
          <w:b w:val="false"/>
          <w:i/>
          <w:color w:val="000000"/>
          <w:sz w:val="20"/>
        </w:rPr>
        <w:t xml:space="preserve">Recent Developments and Significant Items Affecting Comparability </w:t>
      </w:r>
      <w:r>
        <w:rPr>
          <w:rFonts w:ascii="Arial;sans-serif" w:hAnsi="Arial;sans-serif"/>
          <w:b w:val="false"/>
          <w:color w:val="000000"/>
          <w:sz w:val="20"/>
        </w:rPr>
        <w:t>above for updates on recent supply chain, transportation, labor and other disruptions that are increasing operating costs and impacting our results. To manage input cost volatility and inflation, we enter into forward purchase agreements, options and other derivative financial instruments. We also pursue productivity and cost saving measures and take pricing actions when necessary to mitigate the impact of higher input costs on earnings.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regularly evaluate our variable and fixed-rate debt as well as current and expected interest rates in the markets in which we raise capital. Our primary exposures include movements in U.S. Treasury rates, corporate credit spreads and commercial paper rates. We periodically use interest rate swaps and forward interest rate contracts to achieve a desired proportion of variable versus fixed rate debt based on current and projected market conditions. For more information on our debt activity, see Note 8, </w:t>
      </w:r>
      <w:r>
        <w:rPr>
          <w:rFonts w:ascii="Arial;sans-serif" w:hAnsi="Arial;sans-serif"/>
          <w:b w:val="false"/>
          <w:i/>
          <w:color w:val="000000"/>
          <w:sz w:val="20"/>
        </w:rPr>
        <w:t>Debt and Borrowing Arrangements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additional information on our currency, debt and hedging strategies, policies and practices on an ongoing basis, also refer to our Annual Report on Form 10-K for the year ended December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June 30, 2023. Based on this evaluation, the CEO and CFO concluded that our disclosure controls and procedures were effective as of June 30,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together with our CEO and CFO, evaluated the changes in our internal control over financial reporting during the quarter ended June 30, 2023. There were no material changes in our internal control over financial reporting during the quarter ended June 30, 2023, that have materially affected, or are reasonably likely to materially affect, our internal control over financial reporting.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Information regarding legal proceedings is available in Note 12, </w:t>
      </w:r>
      <w:r>
        <w:rPr>
          <w:rFonts w:ascii="Arial;sans-serif" w:hAnsi="Arial;sans-serif"/>
          <w:b w:val="false"/>
          <w:i/>
          <w:color w:val="000000"/>
          <w:sz w:val="20"/>
        </w:rPr>
        <w:t>Commitments and Contingencies</w:t>
      </w:r>
      <w:r>
        <w:rPr>
          <w:rFonts w:ascii="Arial;sans-serif" w:hAnsi="Arial;sans-serif"/>
          <w:b w:val="false"/>
          <w:color w:val="000000"/>
          <w:sz w:val="20"/>
        </w:rPr>
        <w:t>, to the condensed consolidated financial statements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There were no material changes to the risk factors disclosed in our Annual Report on Form 10-K for the year ended December 31,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stock repurchase activity for each of the three months in the quarter ended June 30, 2023 was:</w:t>
      </w:r>
    </w:p>
    <w:tbl>
      <w:tblPr>
        <w:tblW w:w="10205" w:type="dxa"/>
        <w:jc w:val="left"/>
        <w:tblInd w:w="0" w:type="dxa"/>
        <w:tblLayout w:type="fixed"/>
        <w:tblCellMar>
          <w:top w:w="28" w:type="dxa"/>
          <w:left w:w="28" w:type="dxa"/>
          <w:bottom w:w="28" w:type="dxa"/>
          <w:right w:w="28" w:type="dxa"/>
        </w:tblCellMar>
      </w:tblPr>
      <w:tblGrid>
        <w:gridCol w:w="702"/>
        <w:gridCol w:w="620"/>
        <w:gridCol w:w="566"/>
        <w:gridCol w:w="510"/>
        <w:gridCol w:w="511"/>
        <w:gridCol w:w="328"/>
        <w:gridCol w:w="109"/>
        <w:gridCol w:w="109"/>
        <w:gridCol w:w="109"/>
        <w:gridCol w:w="217"/>
        <w:gridCol w:w="666"/>
        <w:gridCol w:w="113"/>
        <w:gridCol w:w="109"/>
        <w:gridCol w:w="109"/>
        <w:gridCol w:w="109"/>
        <w:gridCol w:w="510"/>
        <w:gridCol w:w="511"/>
        <w:gridCol w:w="511"/>
        <w:gridCol w:w="109"/>
        <w:gridCol w:w="109"/>
        <w:gridCol w:w="109"/>
        <w:gridCol w:w="720"/>
        <w:gridCol w:w="2206"/>
        <w:gridCol w:w="533"/>
      </w:tblGrid>
      <w:tr>
        <w:trPr/>
        <w:tc>
          <w:tcPr>
            <w:tcW w:w="70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Period</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of Shares</w:t>
            </w:r>
          </w:p>
          <w:p>
            <w:pPr>
              <w:pStyle w:val="TableContents"/>
              <w:bidi w:val="0"/>
              <w:spacing w:lineRule="auto" w:line="240" w:before="0" w:after="0"/>
              <w:jc w:val="center"/>
              <w:rPr/>
            </w:pPr>
            <w:r>
              <w:rPr>
                <w:rFonts w:ascii="Arial;sans-serif" w:hAnsi="Arial;sans-serif"/>
                <w:b/>
                <w:color w:val="000000"/>
                <w:sz w:val="16"/>
              </w:rPr>
              <w:t xml:space="preserve">Purchased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Price Paid</w:t>
            </w:r>
          </w:p>
          <w:p>
            <w:pPr>
              <w:pStyle w:val="TableContents"/>
              <w:bidi w:val="0"/>
              <w:spacing w:lineRule="auto" w:line="240" w:before="0" w:after="0"/>
              <w:jc w:val="center"/>
              <w:rPr/>
            </w:pPr>
            <w:r>
              <w:rPr>
                <w:rFonts w:ascii="Arial;sans-serif" w:hAnsi="Arial;sans-serif"/>
                <w:b/>
                <w:color w:val="000000"/>
                <w:sz w:val="16"/>
              </w:rPr>
              <w:t>per Share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Number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Shares Purchased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Part of Publicly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Announced Plans</w:t>
            </w:r>
          </w:p>
          <w:p>
            <w:pPr>
              <w:pStyle w:val="TableContents"/>
              <w:bidi w:val="0"/>
              <w:spacing w:lineRule="auto" w:line="240" w:before="0" w:after="0"/>
              <w:jc w:val="center"/>
              <w:rPr/>
            </w:pPr>
            <w:r>
              <w:rPr>
                <w:rFonts w:ascii="Arial;sans-serif" w:hAnsi="Arial;sans-serif"/>
                <w:b/>
                <w:color w:val="000000"/>
                <w:sz w:val="16"/>
              </w:rPr>
              <w:t xml:space="preserve">or Programs </w:t>
            </w:r>
            <w:r>
              <w:rPr>
                <w:rFonts w:ascii="Arial;sans-serif" w:hAnsi="Arial;sans-serif"/>
                <w:b/>
                <w:color w:val="000000"/>
                <w:sz w:val="10"/>
              </w:rPr>
              <w:t>(2)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Approximate Dollar Value of Shares That May Yet Be Purchased Under the Plans or Programs </w:t>
            </w:r>
            <w:r>
              <w:rPr>
                <w:rFonts w:ascii="Arial;sans-serif" w:hAnsi="Arial;sans-serif"/>
                <w:b/>
                <w:color w:val="000000"/>
                <w:sz w:val="10"/>
              </w:rPr>
              <w:t>(2)</w:t>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1-30, 2023</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1,058,791 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1,053,956 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5,518 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1-31, 2023</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746,606 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745,069 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5,461 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1-30, 2023</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860,642 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860,233 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5,398 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 Ended June 30, 2023</w:t>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2,666,039 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2,659,258 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4,835 shares, 1,537 shares and 409 shares for the fiscal months of April, May and June 2023, respectively.</w:t>
      </w:r>
    </w:p>
    <w:p>
      <w:pPr>
        <w:pStyle w:val="TextBody"/>
        <w:bidi w:val="0"/>
        <w:spacing w:lineRule="auto" w:line="288" w:before="0" w:after="0"/>
        <w:ind w:left="0" w:right="0" w:hanging="360"/>
        <w:jc w:val="both"/>
        <w:rPr/>
      </w:pPr>
      <w:r>
        <w:rPr>
          <w:rFonts w:ascii="Arial;sans-serif" w:hAnsi="Arial;sans-serif"/>
          <w:b w:val="false"/>
          <w:color w:val="000000"/>
          <w:sz w:val="16"/>
        </w:rPr>
        <w:t xml:space="preserve">(2)Dollar values stated in millions. Effective January 1, 2023, our Board of Directors authorized a program for the repurchase of up to $6.0 billion of our Common Stock through December 31, 2025, excluding excise tax. Since the program inception on January 1, 2023 through June 30, 2023, we have repurchased $602 million. As of June 30, 2023, we had approximately $5.4 billion share repurchase authorization remaining. See related information in Note 11, </w:t>
      </w:r>
      <w:r>
        <w:rPr>
          <w:rFonts w:ascii="Arial;sans-serif" w:hAnsi="Arial;sans-serif"/>
          <w:b w:val="false"/>
          <w:i/>
          <w:color w:val="000000"/>
          <w:sz w:val="16"/>
        </w:rPr>
        <w:t>Stock Plans</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(3)As of January 1, 2023, our share repurchases in excess of issuances are subject to a 1% excise tax enacted by the Inflation Reduction Act. Any excise tax incurred on share repurchases is recognized as part of the cost basis of the shares acquired in the consolidated statements of equity.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 Submission of Matters to a Vote of Security Holders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line with the recommendation by our shareholders at our Annual Meeting of Shareholders on May 17, 2023, the Board of Directors has decided that it will include an advisory shareholder vote on executive compensation in its proxy materials every year until the next required advisory vote on the frequency of shareholder votes on executive compensation, which will occur no later than our Annual Meeting of Shareholders in 2029.</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 Insider Trading Arrangements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June 30, 2023, no such plans or other arrangements were adopted or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3"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2737"/>
        <w:gridCol w:w="2610"/>
        <w:gridCol w:w="3735"/>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r>
      <w:tr>
        <w:trPr/>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FF"/>
                  <w:sz w:val="20"/>
                  <w:u w:val="single"/>
                </w:rPr>
                <w:t>Revolving Credit Agreement, dated April 6, 2023, by and among Mondelēz International, Inc., the lenders named therein and Mizuho Bank, Ltd., as Administrative Agent (incorporated by reference to Exhibit 10.1 to the Registrant’s Current Report on Form 8-K filed with the SEC on April 6, 2023)</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_63023.htm">
              <w:r>
                <w:rPr>
                  <w:rStyle w:val="InternetLink"/>
                  <w:rFonts w:ascii="Arial;sans-serif" w:hAnsi="Arial;sans-serif"/>
                  <w:b w:val="false"/>
                  <w:color w:val="0000FF"/>
                  <w:sz w:val="20"/>
                  <w:u w:val="single"/>
                </w:rPr>
                <w:t>Certification of Chief Executive Officer pursuant to Rule 13a-14(a)/15d-14(a) of the Securities Exchange Act of 1934, as amended.</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_63023.htm">
              <w:r>
                <w:rPr>
                  <w:rStyle w:val="InternetLink"/>
                  <w:rFonts w:ascii="Arial;sans-serif" w:hAnsi="Arial;sans-serif"/>
                  <w:b w:val="false"/>
                  <w:color w:val="0000FF"/>
                  <w:sz w:val="20"/>
                  <w:u w:val="single"/>
                </w:rPr>
                <w:t>Certification of Chief Financial Officer pursuant to Rule 13a-14(a)/15d-14(a) of the Securities Exchange Act of 1934, as amended.</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_63023.htm">
              <w:r>
                <w:rPr>
                  <w:rStyle w:val="InternetLink"/>
                  <w:rFonts w:ascii="Arial;sans-serif" w:hAnsi="Arial;sans-serif"/>
                  <w:b w:val="false"/>
                  <w:color w:val="0000FF"/>
                  <w:sz w:val="20"/>
                  <w:u w:val="single"/>
                </w:rPr>
                <w:t>Certifications of Chief Executive Officer and Chief Financial Officer pursuant to 18 U.S.C. 1350, as adopted pursuant to Section 906 of the Sarbanes-Oxley Act of 2002.</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The following materials from Mondelēz International’s Quarterly Report on Form 10-Q for the quarter ended June 30, 2023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(vi) Notes to Condensed Consolidated Financial Statements and (vii) Part II, Item 5. </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cover page from Mondelēz International’s Quarterly Report on Form 10-Q for the quarter ended June 30, 2023, formatted in Inline XBRL (included as Exhibit 101).</w:t>
            </w:r>
          </w:p>
        </w:tc>
      </w:tr>
    </w:tbl>
    <w:p>
      <w:pPr>
        <w:pStyle w:val="TextBody"/>
        <w:bidi w:val="0"/>
        <w:spacing w:before="10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855"/>
        <w:jc w:val="left"/>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0520"/>
                <wp:effectExtent l="0" t="0" r="0" b="0"/>
                <wp:wrapNone/>
                <wp:docPr id="64"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254fca08f2247059609a72d470f168d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3376" w:type="dxa"/>
        <w:jc w:val="left"/>
        <w:tblInd w:w="0" w:type="dxa"/>
        <w:tblLayout w:type="fixed"/>
        <w:tblCellMar>
          <w:top w:w="28" w:type="dxa"/>
          <w:left w:w="28" w:type="dxa"/>
          <w:bottom w:w="28" w:type="dxa"/>
          <w:right w:w="28" w:type="dxa"/>
        </w:tblCellMar>
      </w:tblPr>
      <w:tblGrid>
        <w:gridCol w:w="1081"/>
        <w:gridCol w:w="950"/>
        <w:gridCol w:w="1345"/>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MONDELĒZ INTERNATIONAL, INC.</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 LUCA ZARAMELLA</w:t>
            </w:r>
          </w:p>
        </w:tc>
      </w:tr>
      <w:tr>
        <w:trPr/>
        <w:tc>
          <w:tcPr>
            <w:tcW w:w="3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(Duly Authorized Officer)</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27, 2023</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5" name="Frame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Dirk Van de Put,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July 27, 2023</w:t>
      </w:r>
    </w:p>
    <w:p>
      <w:pPr>
        <w:pStyle w:val="TextBody"/>
        <w:bidi w:val="0"/>
        <w:spacing w:lineRule="auto" w:line="288" w:before="0" w:after="0"/>
        <w:jc w:val="left"/>
        <w:rPr>
          <w:color w:val="000000"/>
        </w:rPr>
      </w:pPr>
      <w:r>
        <w:rPr>
          <w:color w:val="000000"/>
        </w:rPr>
        <w:t> </w:t>
      </w:r>
    </w:p>
    <w:tbl>
      <w:tblPr>
        <w:tblW w:w="3450" w:type="dxa"/>
        <w:jc w:val="right"/>
        <w:tblInd w:w="0" w:type="dxa"/>
        <w:tblLayout w:type="fixed"/>
        <w:tblCellMar>
          <w:top w:w="28" w:type="dxa"/>
          <w:left w:w="28" w:type="dxa"/>
          <w:bottom w:w="28" w:type="dxa"/>
          <w:right w:w="28" w:type="dxa"/>
        </w:tblCellMar>
      </w:tblPr>
      <w:tblGrid>
        <w:gridCol w:w="1099"/>
        <w:gridCol w:w="967"/>
        <w:gridCol w:w="1384"/>
      </w:tblGrid>
      <w:tr>
        <w:trPr/>
        <w:tc>
          <w:tcPr>
            <w:tcW w:w="109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b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Luca Zaramella,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July 27, 2023</w:t>
      </w:r>
    </w:p>
    <w:p>
      <w:pPr>
        <w:pStyle w:val="TextBody"/>
        <w:bidi w:val="0"/>
        <w:spacing w:lineRule="auto" w:line="288" w:before="0" w:after="0"/>
        <w:jc w:val="left"/>
        <w:rPr>
          <w:color w:val="000000"/>
        </w:rPr>
      </w:pPr>
      <w:r>
        <w:rPr>
          <w:color w:val="000000"/>
        </w:rPr>
        <w:t> </w:t>
      </w:r>
    </w:p>
    <w:tbl>
      <w:tblPr>
        <w:tblW w:w="2744" w:type="dxa"/>
        <w:jc w:val="right"/>
        <w:tblInd w:w="0" w:type="dxa"/>
        <w:tblLayout w:type="fixed"/>
        <w:tblCellMar>
          <w:top w:w="28" w:type="dxa"/>
          <w:left w:w="28" w:type="dxa"/>
          <w:bottom w:w="28" w:type="dxa"/>
          <w:right w:w="28" w:type="dxa"/>
        </w:tblCellMar>
      </w:tblPr>
      <w:tblGrid>
        <w:gridCol w:w="879"/>
        <w:gridCol w:w="772"/>
        <w:gridCol w:w="1093"/>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br/>
              <w:t>Executive Vice President and</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CHIEF EXECUTIVE OFFICER AND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June 30, 2023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3450" w:type="dxa"/>
        <w:jc w:val="left"/>
        <w:tblInd w:w="0" w:type="dxa"/>
        <w:tblLayout w:type="fixed"/>
        <w:tblCellMar>
          <w:top w:w="28" w:type="dxa"/>
          <w:left w:w="28" w:type="dxa"/>
          <w:bottom w:w="28" w:type="dxa"/>
          <w:right w:w="28" w:type="dxa"/>
        </w:tblCellMar>
      </w:tblPr>
      <w:tblGrid>
        <w:gridCol w:w="1104"/>
        <w:gridCol w:w="968"/>
        <w:gridCol w:w="1378"/>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27, 2023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June 30, 2023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2744" w:type="dxa"/>
        <w:jc w:val="left"/>
        <w:tblInd w:w="0" w:type="dxa"/>
        <w:tblLayout w:type="fixed"/>
        <w:tblCellMar>
          <w:top w:w="28" w:type="dxa"/>
          <w:left w:w="28" w:type="dxa"/>
          <w:bottom w:w="28" w:type="dxa"/>
          <w:right w:w="28" w:type="dxa"/>
        </w:tblCellMar>
      </w:tblPr>
      <w:tblGrid>
        <w:gridCol w:w="879"/>
        <w:gridCol w:w="772"/>
        <w:gridCol w:w="1093"/>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27, 2023</w:t>
            </w:r>
          </w:p>
        </w:tc>
      </w:tr>
    </w:tbl>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03982/000119312523094173/d451281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30704</Words>
  <Characters>169637</Characters>
  <CharactersWithSpaces>198244</CharactersWithSpaces>
  <Paragraphs>4702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