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8" w:lineRule="exact"/>
        <w:rPr>
          <w:sz w:val="24"/>
          <w:szCs w:val="24"/>
          <w:color w:val="auto"/>
        </w:rPr>
      </w:pPr>
    </w:p>
    <w:p>
      <w:pPr>
        <w:ind w:left="360" w:hanging="236"/>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3"/>
          <w:szCs w:val="13"/>
          <w:b w:val="1"/>
          <w:bCs w:val="1"/>
          <w:color w:val="auto"/>
        </w:rPr>
        <w:t>ANNUAL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95" w:lineRule="exact"/>
        <w:rPr>
          <w:sz w:val="24"/>
          <w:szCs w:val="24"/>
          <w:color w:val="auto"/>
        </w:rPr>
      </w:pPr>
    </w:p>
    <w:p>
      <w:pPr>
        <w:ind w:left="360" w:hanging="236"/>
        <w:spacing w:after="0"/>
        <w:tabs>
          <w:tab w:leader="none" w:pos="360" w:val="left"/>
        </w:tabs>
        <w:numPr>
          <w:ilvl w:val="0"/>
          <w:numId w:val="2"/>
        </w:numPr>
        <w:rPr>
          <w:rFonts w:ascii="MS PGothic" w:cs="MS PGothic" w:eastAsia="MS PGothic" w:hAnsi="MS PGothic"/>
          <w:sz w:val="11"/>
          <w:szCs w:val="1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89" w:lineRule="exact"/>
        <w:rPr>
          <w:sz w:val="24"/>
          <w:szCs w:val="24"/>
          <w:color w:val="auto"/>
        </w:rPr>
      </w:pPr>
    </w:p>
    <w:p>
      <w:pPr>
        <w:ind w:left="3940"/>
        <w:spacing w:after="0"/>
        <w:rPr>
          <w:sz w:val="20"/>
          <w:szCs w:val="20"/>
          <w:color w:val="auto"/>
        </w:rPr>
      </w:pPr>
      <w:r>
        <w:rPr>
          <w:rFonts w:ascii="Arial" w:cs="Arial" w:eastAsia="Arial" w:hAnsi="Arial"/>
          <w:sz w:val="11"/>
          <w:szCs w:val="11"/>
          <w:b w:val="1"/>
          <w:bCs w:val="1"/>
          <w:color w:val="auto"/>
        </w:rPr>
        <w:t>For the transition period from ___________ to 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3222625</wp:posOffset>
            </wp:positionH>
            <wp:positionV relativeFrom="paragraph">
              <wp:posOffset>40640</wp:posOffset>
            </wp:positionV>
            <wp:extent cx="722630" cy="177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630" cy="17716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Mondelēz International,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3880" w:type="dxa"/>
            <w:vAlign w:val="bottom"/>
          </w:tcPr>
          <w:p>
            <w:pPr>
              <w:jc w:val="center"/>
              <w:ind w:left="1703"/>
              <w:spacing w:after="0"/>
              <w:rPr>
                <w:sz w:val="20"/>
                <w:szCs w:val="20"/>
                <w:color w:val="auto"/>
              </w:rPr>
            </w:pPr>
            <w:r>
              <w:rPr>
                <w:rFonts w:ascii="Arial" w:cs="Arial" w:eastAsia="Arial" w:hAnsi="Arial"/>
                <w:sz w:val="11"/>
                <w:szCs w:val="11"/>
                <w:b w:val="1"/>
                <w:bCs w:val="1"/>
                <w:color w:val="auto"/>
                <w:w w:val="99"/>
              </w:rPr>
              <w:t>Virginia</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0" w:type="dxa"/>
            <w:vAlign w:val="bottom"/>
          </w:tcPr>
          <w:p>
            <w:pPr>
              <w:jc w:val="right"/>
              <w:ind w:right="2443"/>
              <w:spacing w:after="0"/>
              <w:rPr>
                <w:sz w:val="20"/>
                <w:szCs w:val="20"/>
                <w:color w:val="auto"/>
              </w:rPr>
            </w:pPr>
            <w:r>
              <w:rPr>
                <w:rFonts w:ascii="Arial" w:cs="Arial" w:eastAsia="Arial" w:hAnsi="Arial"/>
                <w:sz w:val="11"/>
                <w:szCs w:val="11"/>
                <w:b w:val="1"/>
                <w:bCs w:val="1"/>
                <w:color w:val="auto"/>
              </w:rPr>
              <w:t>52-2284372</w:t>
            </w:r>
          </w:p>
        </w:tc>
      </w:tr>
      <w:tr>
        <w:trPr>
          <w:trHeight w:val="155"/>
        </w:trPr>
        <w:tc>
          <w:tcPr>
            <w:tcW w:w="7460" w:type="dxa"/>
            <w:vAlign w:val="bottom"/>
            <w:gridSpan w:val="6"/>
          </w:tcPr>
          <w:p>
            <w:pPr>
              <w:jc w:val="center"/>
              <w:ind w:right="1820"/>
              <w:spacing w:after="0"/>
              <w:rPr>
                <w:sz w:val="20"/>
                <w:szCs w:val="20"/>
                <w:color w:val="auto"/>
              </w:rPr>
            </w:pPr>
            <w:r>
              <w:rPr>
                <w:rFonts w:ascii="Arial" w:cs="Arial" w:eastAsia="Arial" w:hAnsi="Arial"/>
                <w:sz w:val="11"/>
                <w:szCs w:val="11"/>
                <w:color w:val="auto"/>
              </w:rPr>
              <w:t>(State or other jurisdiction of incorporation or organization)</w:t>
            </w:r>
          </w:p>
        </w:tc>
        <w:tc>
          <w:tcPr>
            <w:tcW w:w="3800" w:type="dxa"/>
            <w:vAlign w:val="bottom"/>
          </w:tcPr>
          <w:p>
            <w:pPr>
              <w:jc w:val="center"/>
              <w:ind w:right="1743"/>
              <w:spacing w:after="0"/>
              <w:rPr>
                <w:sz w:val="20"/>
                <w:szCs w:val="20"/>
                <w:color w:val="auto"/>
              </w:rPr>
            </w:pPr>
            <w:r>
              <w:rPr>
                <w:rFonts w:ascii="Arial" w:cs="Arial" w:eastAsia="Arial" w:hAnsi="Arial"/>
                <w:sz w:val="11"/>
                <w:szCs w:val="11"/>
                <w:color w:val="auto"/>
              </w:rPr>
              <w:t>(I.R.S. Employer Identification No.)</w:t>
            </w:r>
          </w:p>
        </w:tc>
      </w:tr>
      <w:tr>
        <w:trPr>
          <w:trHeight w:val="210"/>
        </w:trPr>
        <w:tc>
          <w:tcPr>
            <w:tcW w:w="3880" w:type="dxa"/>
            <w:vAlign w:val="bottom"/>
          </w:tcPr>
          <w:p>
            <w:pPr>
              <w:jc w:val="center"/>
              <w:ind w:left="1703"/>
              <w:spacing w:after="0"/>
              <w:rPr>
                <w:sz w:val="20"/>
                <w:szCs w:val="20"/>
                <w:color w:val="auto"/>
              </w:rPr>
            </w:pPr>
            <w:r>
              <w:rPr>
                <w:rFonts w:ascii="Arial" w:cs="Arial" w:eastAsia="Arial" w:hAnsi="Arial"/>
                <w:sz w:val="11"/>
                <w:szCs w:val="11"/>
                <w:b w:val="1"/>
                <w:bCs w:val="1"/>
                <w:color w:val="auto"/>
              </w:rPr>
              <w:t>905 West Fulton Market, Suite 200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161"/>
        </w:trPr>
        <w:tc>
          <w:tcPr>
            <w:tcW w:w="3880" w:type="dxa"/>
            <w:vAlign w:val="bottom"/>
          </w:tcPr>
          <w:p>
            <w:pPr>
              <w:ind w:left="2320"/>
              <w:spacing w:after="0"/>
              <w:rPr>
                <w:sz w:val="20"/>
                <w:szCs w:val="20"/>
                <w:color w:val="auto"/>
              </w:rPr>
            </w:pPr>
            <w:r>
              <w:rPr>
                <w:rFonts w:ascii="Arial" w:cs="Arial" w:eastAsia="Arial" w:hAnsi="Arial"/>
                <w:sz w:val="11"/>
                <w:szCs w:val="11"/>
                <w:b w:val="1"/>
                <w:bCs w:val="1"/>
                <w:color w:val="auto"/>
              </w:rPr>
              <w:t>Chicago, Illinois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0" w:type="dxa"/>
            <w:vAlign w:val="bottom"/>
          </w:tcPr>
          <w:p>
            <w:pPr>
              <w:jc w:val="right"/>
              <w:ind w:right="2583"/>
              <w:spacing w:after="0"/>
              <w:rPr>
                <w:sz w:val="20"/>
                <w:szCs w:val="20"/>
                <w:color w:val="auto"/>
              </w:rPr>
            </w:pPr>
            <w:r>
              <w:rPr>
                <w:rFonts w:ascii="Arial" w:cs="Arial" w:eastAsia="Arial" w:hAnsi="Arial"/>
                <w:sz w:val="11"/>
                <w:szCs w:val="11"/>
                <w:b w:val="1"/>
                <w:bCs w:val="1"/>
                <w:color w:val="auto"/>
              </w:rPr>
              <w:t>60607</w:t>
            </w:r>
          </w:p>
        </w:tc>
      </w:tr>
      <w:tr>
        <w:trPr>
          <w:trHeight w:val="155"/>
        </w:trPr>
        <w:tc>
          <w:tcPr>
            <w:tcW w:w="3880" w:type="dxa"/>
            <w:vAlign w:val="bottom"/>
          </w:tcPr>
          <w:p>
            <w:pPr>
              <w:jc w:val="center"/>
              <w:ind w:left="1703"/>
              <w:spacing w:after="0"/>
              <w:rPr>
                <w:sz w:val="20"/>
                <w:szCs w:val="20"/>
                <w:color w:val="auto"/>
              </w:rPr>
            </w:pPr>
            <w:r>
              <w:rPr>
                <w:rFonts w:ascii="Arial" w:cs="Arial" w:eastAsia="Arial" w:hAnsi="Arial"/>
                <w:sz w:val="11"/>
                <w:szCs w:val="11"/>
                <w:color w:val="auto"/>
              </w:rPr>
              <w:t>(Address of principal executive offices)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0" w:type="dxa"/>
            <w:vAlign w:val="bottom"/>
          </w:tcPr>
          <w:p>
            <w:pPr>
              <w:jc w:val="center"/>
              <w:ind w:right="1763"/>
              <w:spacing w:after="0"/>
              <w:rPr>
                <w:sz w:val="20"/>
                <w:szCs w:val="20"/>
                <w:color w:val="auto"/>
              </w:rPr>
            </w:pPr>
            <w:r>
              <w:rPr>
                <w:rFonts w:ascii="Arial" w:cs="Arial" w:eastAsia="Arial" w:hAnsi="Arial"/>
                <w:sz w:val="11"/>
                <w:szCs w:val="11"/>
                <w:color w:val="auto"/>
              </w:rPr>
              <w:t>(Zip Code)</w:t>
            </w:r>
          </w:p>
        </w:tc>
      </w:tr>
      <w:tr>
        <w:trPr>
          <w:trHeight w:val="205"/>
        </w:trPr>
        <w:tc>
          <w:tcPr>
            <w:tcW w:w="3880" w:type="dxa"/>
            <w:vAlign w:val="bottom"/>
          </w:tcPr>
          <w:p>
            <w:pPr>
              <w:spacing w:after="0"/>
              <w:rPr>
                <w:sz w:val="17"/>
                <w:szCs w:val="17"/>
                <w:color w:val="auto"/>
              </w:rPr>
            </w:pPr>
          </w:p>
        </w:tc>
        <w:tc>
          <w:tcPr>
            <w:tcW w:w="3580" w:type="dxa"/>
            <w:vAlign w:val="bottom"/>
            <w:gridSpan w:val="5"/>
          </w:tcPr>
          <w:p>
            <w:pPr>
              <w:jc w:val="center"/>
              <w:ind w:right="40"/>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847-943-4000</w:t>
            </w:r>
          </w:p>
        </w:tc>
        <w:tc>
          <w:tcPr>
            <w:tcW w:w="3800" w:type="dxa"/>
            <w:vAlign w:val="bottom"/>
          </w:tcPr>
          <w:p>
            <w:pPr>
              <w:spacing w:after="0"/>
              <w:rPr>
                <w:sz w:val="17"/>
                <w:szCs w:val="17"/>
                <w:color w:val="auto"/>
              </w:rPr>
            </w:pPr>
          </w:p>
        </w:tc>
      </w:tr>
      <w:tr>
        <w:trPr>
          <w:trHeight w:val="150"/>
        </w:trPr>
        <w:tc>
          <w:tcPr>
            <w:tcW w:w="3880" w:type="dxa"/>
            <w:vAlign w:val="bottom"/>
          </w:tcPr>
          <w:p>
            <w:pPr>
              <w:spacing w:after="0"/>
              <w:rPr>
                <w:sz w:val="13"/>
                <w:szCs w:val="13"/>
                <w:color w:val="auto"/>
              </w:rPr>
            </w:pPr>
          </w:p>
        </w:tc>
        <w:tc>
          <w:tcPr>
            <w:tcW w:w="3580" w:type="dxa"/>
            <w:vAlign w:val="bottom"/>
            <w:gridSpan w:val="5"/>
          </w:tcPr>
          <w:p>
            <w:pPr>
              <w:jc w:val="center"/>
              <w:ind w:right="40"/>
              <w:spacing w:after="0"/>
              <w:rPr>
                <w:sz w:val="20"/>
                <w:szCs w:val="20"/>
                <w:color w:val="auto"/>
              </w:rPr>
            </w:pPr>
            <w:r>
              <w:rPr>
                <w:rFonts w:ascii="Arial" w:cs="Arial" w:eastAsia="Arial" w:hAnsi="Arial"/>
                <w:sz w:val="11"/>
                <w:szCs w:val="11"/>
                <w:color w:val="auto"/>
              </w:rPr>
              <w:t>Securities registered pursuant to Section 12(b) of the Act:</w:t>
            </w:r>
          </w:p>
        </w:tc>
        <w:tc>
          <w:tcPr>
            <w:tcW w:w="3800" w:type="dxa"/>
            <w:vAlign w:val="bottom"/>
          </w:tcPr>
          <w:p>
            <w:pPr>
              <w:spacing w:after="0"/>
              <w:rPr>
                <w:sz w:val="13"/>
                <w:szCs w:val="13"/>
                <w:color w:val="auto"/>
              </w:rPr>
            </w:pPr>
          </w:p>
        </w:tc>
      </w:tr>
      <w:tr>
        <w:trPr>
          <w:trHeight w:val="253"/>
        </w:trPr>
        <w:tc>
          <w:tcPr>
            <w:tcW w:w="3880" w:type="dxa"/>
            <w:vAlign w:val="bottom"/>
            <w:tcBorders>
              <w:bottom w:val="single" w:sz="8" w:color="auto"/>
            </w:tcBorders>
          </w:tcPr>
          <w:p>
            <w:pPr>
              <w:jc w:val="center"/>
              <w:ind w:left="683"/>
              <w:spacing w:after="0"/>
              <w:rPr>
                <w:sz w:val="20"/>
                <w:szCs w:val="20"/>
                <w:color w:val="auto"/>
              </w:rPr>
            </w:pPr>
            <w:r>
              <w:rPr>
                <w:rFonts w:ascii="Arial" w:cs="Arial" w:eastAsia="Arial" w:hAnsi="Arial"/>
                <w:sz w:val="11"/>
                <w:szCs w:val="11"/>
                <w:b w:val="1"/>
                <w:bCs w:val="1"/>
                <w:color w:val="auto"/>
              </w:rPr>
              <w:t>Title of each class</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1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jc w:val="center"/>
              <w:ind w:right="763"/>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5"/>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Class A Common Stock, no par value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3"/>
          </w:tcPr>
          <w:p>
            <w:pPr>
              <w:jc w:val="center"/>
              <w:ind w:right="900"/>
              <w:spacing w:after="0"/>
              <w:rPr>
                <w:sz w:val="20"/>
                <w:szCs w:val="20"/>
                <w:color w:val="auto"/>
              </w:rPr>
            </w:pPr>
            <w:r>
              <w:rPr>
                <w:rFonts w:ascii="Arial" w:cs="Arial" w:eastAsia="Arial" w:hAnsi="Arial"/>
                <w:sz w:val="11"/>
                <w:szCs w:val="11"/>
                <w:color w:val="auto"/>
              </w:rPr>
              <w:t>MDLZ</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Global Select Market</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1.625% Notes due 2027</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MDLZ27</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0.250% Notes due 2028</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MDLZ28</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0.750% Notes due 2033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MDLZ33</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2.375% Notes due 2035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MDLZ35</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4.500% Notes due 2035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00"/>
              <w:spacing w:after="0"/>
              <w:rPr>
                <w:sz w:val="20"/>
                <w:szCs w:val="20"/>
                <w:color w:val="auto"/>
              </w:rPr>
            </w:pPr>
            <w:r>
              <w:rPr>
                <w:rFonts w:ascii="Arial" w:cs="Arial" w:eastAsia="Arial" w:hAnsi="Arial"/>
                <w:sz w:val="11"/>
                <w:szCs w:val="11"/>
                <w:color w:val="auto"/>
              </w:rPr>
              <w:t>MDLZ35A</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1.375% Notes due 2041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MDLZ41</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r>
        <w:trPr>
          <w:trHeight w:val="161"/>
        </w:trPr>
        <w:tc>
          <w:tcPr>
            <w:tcW w:w="3880" w:type="dxa"/>
            <w:vAlign w:val="bottom"/>
          </w:tcPr>
          <w:p>
            <w:pPr>
              <w:jc w:val="center"/>
              <w:ind w:left="683"/>
              <w:spacing w:after="0"/>
              <w:rPr>
                <w:sz w:val="20"/>
                <w:szCs w:val="20"/>
                <w:color w:val="auto"/>
              </w:rPr>
            </w:pPr>
            <w:r>
              <w:rPr>
                <w:rFonts w:ascii="Arial" w:cs="Arial" w:eastAsia="Arial" w:hAnsi="Arial"/>
                <w:sz w:val="11"/>
                <w:szCs w:val="11"/>
                <w:color w:val="auto"/>
              </w:rPr>
              <w:t>3.875% Notes due 2045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3"/>
          </w:tcPr>
          <w:p>
            <w:pPr>
              <w:jc w:val="center"/>
              <w:ind w:right="920"/>
              <w:spacing w:after="0"/>
              <w:rPr>
                <w:sz w:val="20"/>
                <w:szCs w:val="20"/>
                <w:color w:val="auto"/>
              </w:rPr>
            </w:pPr>
            <w:r>
              <w:rPr>
                <w:rFonts w:ascii="Arial" w:cs="Arial" w:eastAsia="Arial" w:hAnsi="Arial"/>
                <w:sz w:val="11"/>
                <w:szCs w:val="11"/>
                <w:color w:val="auto"/>
              </w:rPr>
              <w:t>MDLZ45</w:t>
            </w:r>
          </w:p>
        </w:tc>
        <w:tc>
          <w:tcPr>
            <w:tcW w:w="3800" w:type="dxa"/>
            <w:vAlign w:val="bottom"/>
          </w:tcPr>
          <w:p>
            <w:pPr>
              <w:jc w:val="center"/>
              <w:ind w:right="743"/>
              <w:spacing w:after="0"/>
              <w:rPr>
                <w:sz w:val="20"/>
                <w:szCs w:val="20"/>
                <w:color w:val="auto"/>
              </w:rPr>
            </w:pPr>
            <w:r>
              <w:rPr>
                <w:rFonts w:ascii="Arial" w:cs="Arial" w:eastAsia="Arial" w:hAnsi="Arial"/>
                <w:sz w:val="11"/>
                <w:szCs w:val="11"/>
                <w:color w:val="auto"/>
              </w:rPr>
              <w:t>The Nasdaq Stock Market LLC</w:t>
            </w:r>
          </w:p>
        </w:tc>
      </w:tr>
    </w:tbl>
    <w:p>
      <w:pPr>
        <w:spacing w:after="0" w:line="63" w:lineRule="exact"/>
        <w:rPr>
          <w:sz w:val="24"/>
          <w:szCs w:val="24"/>
          <w:color w:val="auto"/>
        </w:rPr>
      </w:pPr>
    </w:p>
    <w:p>
      <w:pPr>
        <w:ind w:left="404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25" w:lineRule="exact"/>
        <w:rPr>
          <w:sz w:val="24"/>
          <w:szCs w:val="24"/>
          <w:color w:val="auto"/>
        </w:rPr>
      </w:pPr>
    </w:p>
    <w:p>
      <w:pPr>
        <w:ind w:left="260"/>
        <w:spacing w:after="0" w:line="127" w:lineRule="exact"/>
        <w:tabs>
          <w:tab w:leader="none" w:pos="6280" w:val="left"/>
          <w:tab w:leader="none" w:pos="6780"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tab/>
        <w:t xml:space="preserve">Yes </w:t>
      </w:r>
      <w:r>
        <w:rPr>
          <w:rFonts w:ascii="Wingdings" w:cs="Wingdings" w:eastAsia="Wingdings" w:hAnsi="Wingdings"/>
          <w:sz w:val="11"/>
          <w:szCs w:val="11"/>
          <w:b w:val="1"/>
          <w:bCs w:val="1"/>
          <w:color w:val="auto"/>
        </w:rPr>
        <w:t>x</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13" w:lineRule="exact"/>
        <w:rPr>
          <w:sz w:val="24"/>
          <w:szCs w:val="24"/>
          <w:color w:val="auto"/>
        </w:rPr>
      </w:pPr>
    </w:p>
    <w:p>
      <w:pPr>
        <w:ind w:left="260"/>
        <w:spacing w:after="0" w:line="127" w:lineRule="exact"/>
        <w:tabs>
          <w:tab w:leader="none" w:pos="6340" w:val="left"/>
          <w:tab w:leader="none" w:pos="6840" w:val="left"/>
        </w:tabs>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Wingdings" w:cs="Wingdings" w:eastAsia="Wingdings" w:hAnsi="Wingdings"/>
          <w:sz w:val="11"/>
          <w:szCs w:val="11"/>
          <w:b w:val="1"/>
          <w:bCs w:val="1"/>
          <w:color w:val="auto"/>
        </w:rPr>
        <w:t>x</w:t>
      </w:r>
    </w:p>
    <w:p>
      <w:pPr>
        <w:spacing w:after="0" w:line="13" w:lineRule="exact"/>
        <w:rPr>
          <w:sz w:val="24"/>
          <w:szCs w:val="24"/>
          <w:color w:val="auto"/>
        </w:rPr>
      </w:pPr>
    </w:p>
    <w:p>
      <w:pPr>
        <w:ind w:left="26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Checking the box above will not relieve any registrant required to file reports pursuant to Section 13 or 15(d) of the Exchange Act from their obligations under those Sections.</w:t>
      </w:r>
    </w:p>
    <w:p>
      <w:pPr>
        <w:spacing w:after="0" w:line="13" w:lineRule="exact"/>
        <w:rPr>
          <w:sz w:val="24"/>
          <w:szCs w:val="24"/>
          <w:color w:val="auto"/>
        </w:rPr>
      </w:pPr>
    </w:p>
    <w:p>
      <w:pPr>
        <w:ind w:firstLine="258"/>
        <w:spacing w:after="0" w:line="13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firstLine="258"/>
        <w:spacing w:after="0" w:line="14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7520" w:type="dxa"/>
            <w:vAlign w:val="bottom"/>
            <w:gridSpan w:val="2"/>
          </w:tcPr>
          <w:p>
            <w:pPr>
              <w:spacing w:after="0"/>
              <w:rPr>
                <w:sz w:val="20"/>
                <w:szCs w:val="20"/>
                <w:color w:val="auto"/>
              </w:rPr>
            </w:pPr>
            <w:r>
              <w:rPr>
                <w:rFonts w:ascii="Arial" w:cs="Arial" w:eastAsia="Arial" w:hAnsi="Arial"/>
                <w:sz w:val="11"/>
                <w:szCs w:val="11"/>
                <w:color w:val="auto"/>
              </w:rPr>
              <w:t>accelerated filer,” “accelerated filer,” “smaller reporting company,” and “emerging growth company” in Rule 12b-2 of the Exchange Act.</w:t>
            </w: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1"/>
        </w:trPr>
        <w:tc>
          <w:tcPr>
            <w:tcW w:w="1640" w:type="dxa"/>
            <w:vAlign w:val="bottom"/>
          </w:tcPr>
          <w:p>
            <w:pPr>
              <w:ind w:left="20"/>
              <w:spacing w:after="0"/>
              <w:rPr>
                <w:sz w:val="20"/>
                <w:szCs w:val="20"/>
                <w:color w:val="auto"/>
              </w:rPr>
            </w:pPr>
            <w:r>
              <w:rPr>
                <w:rFonts w:ascii="Arial" w:cs="Arial" w:eastAsia="Arial" w:hAnsi="Arial"/>
                <w:sz w:val="11"/>
                <w:szCs w:val="11"/>
                <w:color w:val="auto"/>
              </w:rPr>
              <w:t>Large accelerated filer</w:t>
            </w:r>
          </w:p>
        </w:tc>
        <w:tc>
          <w:tcPr>
            <w:tcW w:w="5880" w:type="dxa"/>
            <w:vAlign w:val="bottom"/>
          </w:tcPr>
          <w:p>
            <w:pPr>
              <w:ind w:left="500"/>
              <w:spacing w:after="0"/>
              <w:rPr>
                <w:sz w:val="20"/>
                <w:szCs w:val="20"/>
                <w:color w:val="auto"/>
              </w:rPr>
            </w:pPr>
            <w:r>
              <w:rPr>
                <w:rFonts w:ascii="Wingdings" w:cs="Wingdings" w:eastAsia="Wingdings" w:hAnsi="Wingdings"/>
                <w:sz w:val="11"/>
                <w:szCs w:val="11"/>
                <w:b w:val="1"/>
                <w:bCs w:val="1"/>
                <w:color w:val="auto"/>
              </w:rPr>
              <w:t>x</w:t>
            </w:r>
          </w:p>
        </w:tc>
        <w:tc>
          <w:tcPr>
            <w:tcW w:w="2820" w:type="dxa"/>
            <w:vAlign w:val="bottom"/>
          </w:tcPr>
          <w:p>
            <w:pPr>
              <w:ind w:left="720"/>
              <w:spacing w:after="0"/>
              <w:rPr>
                <w:sz w:val="20"/>
                <w:szCs w:val="20"/>
                <w:color w:val="auto"/>
              </w:rPr>
            </w:pPr>
            <w:r>
              <w:rPr>
                <w:rFonts w:ascii="Arial" w:cs="Arial" w:eastAsia="Arial" w:hAnsi="Arial"/>
                <w:sz w:val="11"/>
                <w:szCs w:val="11"/>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1"/>
        </w:trPr>
        <w:tc>
          <w:tcPr>
            <w:tcW w:w="1640" w:type="dxa"/>
            <w:vAlign w:val="bottom"/>
          </w:tcPr>
          <w:p>
            <w:pPr>
              <w:ind w:left="20"/>
              <w:spacing w:after="0"/>
              <w:rPr>
                <w:sz w:val="20"/>
                <w:szCs w:val="20"/>
                <w:color w:val="auto"/>
              </w:rPr>
            </w:pPr>
            <w:r>
              <w:rPr>
                <w:rFonts w:ascii="Arial" w:cs="Arial" w:eastAsia="Arial" w:hAnsi="Arial"/>
                <w:sz w:val="11"/>
                <w:szCs w:val="11"/>
                <w:color w:val="auto"/>
              </w:rPr>
              <w:t>Non-accelerated filer</w:t>
            </w:r>
          </w:p>
        </w:tc>
        <w:tc>
          <w:tcPr>
            <w:tcW w:w="588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2820" w:type="dxa"/>
            <w:vAlign w:val="bottom"/>
          </w:tcPr>
          <w:p>
            <w:pPr>
              <w:ind w:left="720"/>
              <w:spacing w:after="0"/>
              <w:rPr>
                <w:sz w:val="20"/>
                <w:szCs w:val="20"/>
                <w:color w:val="auto"/>
              </w:rPr>
            </w:pPr>
            <w:r>
              <w:rPr>
                <w:rFonts w:ascii="Arial" w:cs="Arial" w:eastAsia="Arial" w:hAnsi="Arial"/>
                <w:sz w:val="11"/>
                <w:szCs w:val="11"/>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6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820" w:type="dxa"/>
            <w:vAlign w:val="bottom"/>
          </w:tcPr>
          <w:p>
            <w:pPr>
              <w:ind w:left="720"/>
              <w:spacing w:after="0"/>
              <w:rPr>
                <w:sz w:val="20"/>
                <w:szCs w:val="20"/>
                <w:color w:val="auto"/>
              </w:rPr>
            </w:pPr>
            <w:r>
              <w:rPr>
                <w:rFonts w:ascii="Arial" w:cs="Arial" w:eastAsia="Arial" w:hAnsi="Arial"/>
                <w:sz w:val="11"/>
                <w:szCs w:val="11"/>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0" w:lineRule="exact"/>
        <w:rPr>
          <w:sz w:val="24"/>
          <w:szCs w:val="24"/>
          <w:color w:val="auto"/>
        </w:rPr>
      </w:pPr>
    </w:p>
    <w:p>
      <w:pPr>
        <w:ind w:firstLine="258"/>
        <w:spacing w:after="0" w:line="13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firstLine="258"/>
        <w:spacing w:after="0" w:line="129"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firstLine="258"/>
        <w:spacing w:after="0" w:line="140"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 w:lineRule="exact"/>
        <w:rPr>
          <w:sz w:val="24"/>
          <w:szCs w:val="24"/>
          <w:color w:val="auto"/>
        </w:rPr>
      </w:pPr>
    </w:p>
    <w:p>
      <w:pPr>
        <w:ind w:firstLine="258"/>
        <w:spacing w:after="0" w:line="133"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ind w:left="260"/>
        <w:spacing w:after="0" w:line="127" w:lineRule="exact"/>
        <w:tabs>
          <w:tab w:leader="none" w:pos="5540" w:val="left"/>
          <w:tab w:leader="none" w:pos="604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Wingdings" w:cs="Wingdings" w:eastAsia="Wingdings" w:hAnsi="Wingdings"/>
          <w:sz w:val="11"/>
          <w:szCs w:val="11"/>
          <w:b w:val="1"/>
          <w:bCs w:val="1"/>
          <w:color w:val="auto"/>
        </w:rPr>
        <w:t>x</w:t>
      </w:r>
    </w:p>
    <w:p>
      <w:pPr>
        <w:spacing w:after="0" w:line="16" w:lineRule="exact"/>
        <w:rPr>
          <w:sz w:val="24"/>
          <w:szCs w:val="24"/>
          <w:color w:val="auto"/>
        </w:rPr>
      </w:pPr>
    </w:p>
    <w:p>
      <w:pPr>
        <w:ind w:firstLine="258"/>
        <w:spacing w:after="0" w:line="264" w:lineRule="auto"/>
        <w:rPr>
          <w:sz w:val="20"/>
          <w:szCs w:val="20"/>
          <w:color w:val="auto"/>
        </w:rPr>
      </w:pPr>
      <w:r>
        <w:rPr>
          <w:rFonts w:ascii="Arial" w:cs="Arial" w:eastAsia="Arial" w:hAnsi="Arial"/>
          <w:sz w:val="11"/>
          <w:szCs w:val="11"/>
          <w:color w:val="auto"/>
        </w:rPr>
        <w:t>The aggregate market value of the shares of Class A Common Stock held by non-affiliates of the registrant, computed by reference to the closing price of such stock on June 30, 2024, was $87.4 billion. At January 31, 2025, there were 1,293,525,167 shares of the registrant’s Class A Common Stock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2" w:lineRule="exact"/>
        <w:rPr>
          <w:sz w:val="24"/>
          <w:szCs w:val="24"/>
          <w:color w:val="auto"/>
        </w:rPr>
      </w:pPr>
    </w:p>
    <w:p>
      <w:pPr>
        <w:ind w:firstLine="258"/>
        <w:spacing w:after="0" w:line="289" w:lineRule="auto"/>
        <w:rPr>
          <w:sz w:val="20"/>
          <w:szCs w:val="20"/>
          <w:color w:val="auto"/>
        </w:rPr>
      </w:pPr>
      <w:r>
        <w:rPr>
          <w:rFonts w:ascii="Arial" w:cs="Arial" w:eastAsia="Arial" w:hAnsi="Arial"/>
          <w:sz w:val="11"/>
          <w:szCs w:val="11"/>
          <w:color w:val="auto"/>
        </w:rPr>
        <w:t>Portions of the registrant’s definitive proxy statement to be filed with the Securities and Exchange Commission in connection with its annual meeting of shareholders expected to be held on May 21, 2025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105410</wp:posOffset>
            </wp:positionV>
            <wp:extent cx="7185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11"/>
          </w:tcPr>
          <w:p>
            <w:pPr>
              <w:ind w:left="140"/>
              <w:spacing w:after="0"/>
              <w:rPr>
                <w:sz w:val="20"/>
                <w:szCs w:val="20"/>
                <w:color w:val="auto"/>
              </w:rPr>
            </w:pPr>
            <w:r>
              <w:rPr>
                <w:rFonts w:ascii="Arial" w:cs="Arial" w:eastAsia="Arial" w:hAnsi="Arial"/>
                <w:sz w:val="17"/>
                <w:szCs w:val="17"/>
                <w:b w:val="1"/>
                <w:bCs w:val="1"/>
                <w:color w:val="auto"/>
              </w:rPr>
              <w:t>Mondelēz International, Inc.</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Page No.</w:t>
            </w:r>
          </w:p>
        </w:tc>
        <w:tc>
          <w:tcPr>
            <w:tcW w:w="0" w:type="dxa"/>
            <w:vAlign w:val="bottom"/>
          </w:tcPr>
          <w:p>
            <w:pPr>
              <w:spacing w:after="0"/>
              <w:rPr>
                <w:sz w:val="1"/>
                <w:szCs w:val="1"/>
                <w:color w:val="auto"/>
              </w:rPr>
            </w:pPr>
          </w:p>
        </w:tc>
      </w:tr>
      <w:tr>
        <w:trPr>
          <w:trHeight w:val="110"/>
        </w:trPr>
        <w:tc>
          <w:tcPr>
            <w:tcW w:w="900" w:type="dxa"/>
            <w:vAlign w:val="bottom"/>
            <w:gridSpan w:val="3"/>
          </w:tcPr>
          <w:p>
            <w:pPr>
              <w:spacing w:after="0" w:line="110" w:lineRule="exact"/>
              <w:rPr>
                <w:sz w:val="20"/>
                <w:szCs w:val="20"/>
                <w:color w:val="auto"/>
              </w:rPr>
            </w:pPr>
            <w:r>
              <w:rPr>
                <w:rFonts w:ascii="Arial" w:cs="Arial" w:eastAsia="Arial" w:hAnsi="Arial"/>
                <w:sz w:val="11"/>
                <w:szCs w:val="11"/>
                <w:b w:val="1"/>
                <w:bCs w:val="1"/>
                <w:color w:val="3051F2"/>
              </w:rPr>
              <w:t>Part I</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w:t>
            </w:r>
          </w:p>
        </w:tc>
        <w:tc>
          <w:tcPr>
            <w:tcW w:w="480" w:type="dxa"/>
            <w:vAlign w:val="bottom"/>
            <w:tcBorders>
              <w:bottom w:val="single" w:sz="8" w:color="3051F2"/>
            </w:tcBorders>
            <w:gridSpan w:val="2"/>
          </w:tcPr>
          <w:p>
            <w:pPr>
              <w:spacing w:after="0"/>
              <w:rPr>
                <w:sz w:val="20"/>
                <w:szCs w:val="20"/>
                <w:color w:val="auto"/>
              </w:rPr>
            </w:pPr>
            <w:r>
              <w:rPr>
                <w:rFonts w:ascii="Arial" w:cs="Arial" w:eastAsia="Arial" w:hAnsi="Arial"/>
                <w:sz w:val="11"/>
                <w:szCs w:val="11"/>
                <w:color w:val="3051F2"/>
              </w:rPr>
              <w:t>Business</w:t>
            </w:r>
          </w:p>
        </w:tc>
        <w:tc>
          <w:tcPr>
            <w:tcW w:w="8880" w:type="dxa"/>
            <w:vAlign w:val="bottom"/>
            <w:gridSpan w:val="37"/>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1A.</w:t>
            </w:r>
          </w:p>
        </w:tc>
        <w:tc>
          <w:tcPr>
            <w:tcW w:w="9360" w:type="dxa"/>
            <w:vAlign w:val="bottom"/>
            <w:gridSpan w:val="39"/>
          </w:tcPr>
          <w:p>
            <w:pPr>
              <w:spacing w:after="0"/>
              <w:rPr>
                <w:sz w:val="20"/>
                <w:szCs w:val="20"/>
                <w:color w:val="auto"/>
              </w:rPr>
            </w:pPr>
            <w:r>
              <w:rPr>
                <w:rFonts w:ascii="Arial" w:cs="Arial" w:eastAsia="Arial" w:hAnsi="Arial"/>
                <w:sz w:val="11"/>
                <w:szCs w:val="11"/>
                <w:color w:val="3051F2"/>
              </w:rPr>
              <w:t>Risk Factors</w:t>
            </w:r>
          </w:p>
        </w:tc>
        <w:tc>
          <w:tcPr>
            <w:tcW w:w="96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1B.</w:t>
            </w:r>
          </w:p>
        </w:tc>
        <w:tc>
          <w:tcPr>
            <w:tcW w:w="1440" w:type="dxa"/>
            <w:vAlign w:val="bottom"/>
            <w:tcBorders>
              <w:bottom w:val="single" w:sz="8" w:color="3051F2"/>
            </w:tcBorders>
            <w:gridSpan w:val="16"/>
          </w:tcPr>
          <w:p>
            <w:pPr>
              <w:spacing w:after="0"/>
              <w:rPr>
                <w:sz w:val="20"/>
                <w:szCs w:val="20"/>
                <w:color w:val="auto"/>
              </w:rPr>
            </w:pPr>
            <w:r>
              <w:rPr>
                <w:rFonts w:ascii="Arial" w:cs="Arial" w:eastAsia="Arial" w:hAnsi="Arial"/>
                <w:sz w:val="11"/>
                <w:szCs w:val="11"/>
                <w:color w:val="3051F2"/>
              </w:rPr>
              <w:t>Unresolved Staff Comments</w:t>
            </w:r>
          </w:p>
        </w:tc>
        <w:tc>
          <w:tcPr>
            <w:tcW w:w="7920" w:type="dxa"/>
            <w:vAlign w:val="bottom"/>
            <w:gridSpan w:val="23"/>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1C.</w:t>
            </w:r>
          </w:p>
        </w:tc>
        <w:tc>
          <w:tcPr>
            <w:tcW w:w="9360" w:type="dxa"/>
            <w:vAlign w:val="bottom"/>
            <w:gridSpan w:val="39"/>
          </w:tcPr>
          <w:p>
            <w:pPr>
              <w:spacing w:after="0"/>
              <w:rPr>
                <w:sz w:val="20"/>
                <w:szCs w:val="20"/>
                <w:color w:val="auto"/>
              </w:rPr>
            </w:pPr>
            <w:r>
              <w:rPr>
                <w:rFonts w:ascii="Arial" w:cs="Arial" w:eastAsia="Arial" w:hAnsi="Arial"/>
                <w:sz w:val="11"/>
                <w:szCs w:val="11"/>
                <w:color w:val="3051F2"/>
              </w:rPr>
              <w:t>Cybersecurity</w:t>
            </w:r>
          </w:p>
        </w:tc>
        <w:tc>
          <w:tcPr>
            <w:tcW w:w="96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2.</w:t>
            </w:r>
          </w:p>
        </w:tc>
        <w:tc>
          <w:tcPr>
            <w:tcW w:w="540" w:type="dxa"/>
            <w:vAlign w:val="bottom"/>
            <w:tcBorders>
              <w:top w:val="single" w:sz="8" w:color="3051F2"/>
              <w:bottom w:val="single" w:sz="8" w:color="3051F2"/>
            </w:tcBorders>
            <w:gridSpan w:val="4"/>
          </w:tcPr>
          <w:p>
            <w:pPr>
              <w:spacing w:after="0"/>
              <w:rPr>
                <w:sz w:val="20"/>
                <w:szCs w:val="20"/>
                <w:color w:val="auto"/>
              </w:rPr>
            </w:pPr>
            <w:r>
              <w:rPr>
                <w:rFonts w:ascii="Arial" w:cs="Arial" w:eastAsia="Arial" w:hAnsi="Arial"/>
                <w:sz w:val="11"/>
                <w:szCs w:val="11"/>
                <w:color w:val="3051F2"/>
              </w:rPr>
              <w:t>Properties</w:t>
            </w:r>
          </w:p>
        </w:tc>
        <w:tc>
          <w:tcPr>
            <w:tcW w:w="160" w:type="dxa"/>
            <w:vAlign w:val="bottom"/>
            <w:tcBorders>
              <w:top w:val="single" w:sz="8" w:color="3051F2"/>
            </w:tcBorders>
            <w:gridSpan w:val="3"/>
          </w:tcPr>
          <w:p>
            <w:pPr>
              <w:spacing w:after="0"/>
              <w:rPr>
                <w:sz w:val="12"/>
                <w:szCs w:val="12"/>
                <w:color w:val="auto"/>
              </w:rPr>
            </w:pPr>
          </w:p>
        </w:tc>
        <w:tc>
          <w:tcPr>
            <w:tcW w:w="8660" w:type="dxa"/>
            <w:vAlign w:val="bottom"/>
            <w:gridSpan w:val="32"/>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3.</w:t>
            </w:r>
          </w:p>
        </w:tc>
        <w:tc>
          <w:tcPr>
            <w:tcW w:w="960" w:type="dxa"/>
            <w:vAlign w:val="bottom"/>
            <w:tcBorders>
              <w:bottom w:val="single" w:sz="8" w:color="3051F2"/>
            </w:tcBorders>
            <w:gridSpan w:val="9"/>
          </w:tcPr>
          <w:p>
            <w:pPr>
              <w:spacing w:after="0"/>
              <w:rPr>
                <w:sz w:val="20"/>
                <w:szCs w:val="20"/>
                <w:color w:val="auto"/>
              </w:rPr>
            </w:pPr>
            <w:r>
              <w:rPr>
                <w:rFonts w:ascii="Arial" w:cs="Arial" w:eastAsia="Arial" w:hAnsi="Arial"/>
                <w:sz w:val="11"/>
                <w:szCs w:val="11"/>
                <w:color w:val="3051F2"/>
              </w:rPr>
              <w:t>Legal Proceedings</w:t>
            </w:r>
          </w:p>
        </w:tc>
        <w:tc>
          <w:tcPr>
            <w:tcW w:w="8400" w:type="dxa"/>
            <w:vAlign w:val="bottom"/>
            <w:gridSpan w:val="30"/>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4.</w:t>
            </w:r>
          </w:p>
        </w:tc>
        <w:tc>
          <w:tcPr>
            <w:tcW w:w="9360" w:type="dxa"/>
            <w:vAlign w:val="bottom"/>
            <w:gridSpan w:val="39"/>
          </w:tcPr>
          <w:p>
            <w:pPr>
              <w:spacing w:after="0"/>
              <w:rPr>
                <w:sz w:val="20"/>
                <w:szCs w:val="20"/>
                <w:color w:val="auto"/>
              </w:rPr>
            </w:pPr>
            <w:r>
              <w:rPr>
                <w:rFonts w:ascii="Arial" w:cs="Arial" w:eastAsia="Arial" w:hAnsi="Arial"/>
                <w:sz w:val="11"/>
                <w:szCs w:val="11"/>
                <w:color w:val="3051F2"/>
              </w:rPr>
              <w:t>Mine Safety Disclosures</w:t>
            </w:r>
          </w:p>
        </w:tc>
        <w:tc>
          <w:tcPr>
            <w:tcW w:w="960" w:type="dxa"/>
            <w:vAlign w:val="bottom"/>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84"/>
        </w:trPr>
        <w:tc>
          <w:tcPr>
            <w:tcW w:w="900" w:type="dxa"/>
            <w:vAlign w:val="bottom"/>
            <w:gridSpan w:val="3"/>
          </w:tcPr>
          <w:p>
            <w:pPr>
              <w:spacing w:after="0"/>
              <w:rPr>
                <w:sz w:val="20"/>
                <w:szCs w:val="20"/>
                <w:color w:val="auto"/>
              </w:rPr>
            </w:pPr>
            <w:r>
              <w:rPr>
                <w:rFonts w:ascii="Arial" w:cs="Arial" w:eastAsia="Arial" w:hAnsi="Arial"/>
                <w:sz w:val="11"/>
                <w:szCs w:val="11"/>
                <w:b w:val="1"/>
                <w:bCs w:val="1"/>
                <w:color w:val="3051F2"/>
              </w:rPr>
              <w:t>Part II</w:t>
            </w:r>
          </w:p>
        </w:tc>
        <w:tc>
          <w:tcPr>
            <w:tcW w:w="260" w:type="dxa"/>
            <w:vAlign w:val="bottom"/>
            <w:tcBorders>
              <w:top w:val="single" w:sz="8" w:color="3051F2"/>
            </w:tcBorders>
          </w:tcPr>
          <w:p>
            <w:pPr>
              <w:spacing w:after="0"/>
              <w:rPr>
                <w:sz w:val="16"/>
                <w:szCs w:val="16"/>
                <w:color w:val="auto"/>
              </w:rPr>
            </w:pPr>
          </w:p>
        </w:tc>
        <w:tc>
          <w:tcPr>
            <w:tcW w:w="2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00" w:type="dxa"/>
            <w:vAlign w:val="bottom"/>
            <w:gridSpan w:val="3"/>
          </w:tcPr>
          <w:p>
            <w:pPr>
              <w:spacing w:after="0"/>
              <w:rPr>
                <w:sz w:val="20"/>
                <w:szCs w:val="20"/>
                <w:color w:val="auto"/>
              </w:rPr>
            </w:pPr>
            <w:r>
              <w:rPr>
                <w:rFonts w:ascii="Arial" w:cs="Arial" w:eastAsia="Arial" w:hAnsi="Arial"/>
                <w:sz w:val="11"/>
                <w:szCs w:val="11"/>
                <w:color w:val="auto"/>
              </w:rPr>
              <w:t>Item 5.</w:t>
            </w:r>
          </w:p>
        </w:tc>
        <w:tc>
          <w:tcPr>
            <w:tcW w:w="5660" w:type="dxa"/>
            <w:vAlign w:val="bottom"/>
            <w:tcBorders>
              <w:bottom w:val="single" w:sz="8" w:color="3051F2"/>
            </w:tcBorders>
            <w:gridSpan w:val="37"/>
          </w:tcPr>
          <w:p>
            <w:pPr>
              <w:spacing w:after="0"/>
              <w:rPr>
                <w:sz w:val="20"/>
                <w:szCs w:val="20"/>
                <w:color w:val="auto"/>
              </w:rPr>
            </w:pPr>
            <w:r>
              <w:rPr>
                <w:rFonts w:ascii="Arial" w:cs="Arial" w:eastAsia="Arial" w:hAnsi="Arial"/>
                <w:sz w:val="11"/>
                <w:szCs w:val="11"/>
                <w:color w:val="3051F2"/>
              </w:rPr>
              <w:t>Market for Registrant’s Common Equity, Related Stockholder Matters and Issuer Purchases of Equity Securities</w:t>
            </w:r>
          </w:p>
        </w:tc>
        <w:tc>
          <w:tcPr>
            <w:tcW w:w="3700" w:type="dxa"/>
            <w:vAlign w:val="bottom"/>
            <w:gridSpan w:val="2"/>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6.</w:t>
            </w:r>
          </w:p>
        </w:tc>
        <w:tc>
          <w:tcPr>
            <w:tcW w:w="500" w:type="dxa"/>
            <w:vAlign w:val="bottom"/>
            <w:tcBorders>
              <w:bottom w:val="single" w:sz="8" w:color="3051F2"/>
            </w:tcBorders>
            <w:gridSpan w:val="3"/>
          </w:tcPr>
          <w:p>
            <w:pPr>
              <w:spacing w:after="0"/>
              <w:rPr>
                <w:sz w:val="20"/>
                <w:szCs w:val="20"/>
                <w:color w:val="auto"/>
              </w:rPr>
            </w:pPr>
            <w:r>
              <w:rPr>
                <w:rFonts w:ascii="Arial" w:cs="Arial" w:eastAsia="Arial" w:hAnsi="Arial"/>
                <w:sz w:val="11"/>
                <w:szCs w:val="11"/>
                <w:color w:val="3051F2"/>
              </w:rPr>
              <w:t>Reserved</w:t>
            </w:r>
          </w:p>
        </w:tc>
        <w:tc>
          <w:tcPr>
            <w:tcW w:w="8860" w:type="dxa"/>
            <w:vAlign w:val="bottom"/>
            <w:gridSpan w:val="36"/>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7.</w:t>
            </w:r>
          </w:p>
        </w:tc>
        <w:tc>
          <w:tcPr>
            <w:tcW w:w="9360" w:type="dxa"/>
            <w:vAlign w:val="bottom"/>
            <w:gridSpan w:val="39"/>
          </w:tcPr>
          <w:p>
            <w:pPr>
              <w:spacing w:after="0"/>
              <w:rPr>
                <w:sz w:val="20"/>
                <w:szCs w:val="20"/>
                <w:color w:val="auto"/>
              </w:rPr>
            </w:pPr>
            <w:r>
              <w:rPr>
                <w:rFonts w:ascii="Arial" w:cs="Arial" w:eastAsia="Arial" w:hAnsi="Arial"/>
                <w:sz w:val="11"/>
                <w:szCs w:val="11"/>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Borders>
              <w:top w:val="single" w:sz="8" w:color="3051F2"/>
            </w:tcBorders>
          </w:tcPr>
          <w:p>
            <w:pPr>
              <w:spacing w:after="0"/>
              <w:rPr>
                <w:sz w:val="12"/>
                <w:szCs w:val="12"/>
                <w:color w:val="auto"/>
              </w:rPr>
            </w:pPr>
          </w:p>
        </w:tc>
        <w:tc>
          <w:tcPr>
            <w:tcW w:w="3440" w:type="dxa"/>
            <w:vAlign w:val="bottom"/>
            <w:tcBorders>
              <w:top w:val="single" w:sz="8" w:color="3051F2"/>
              <w:bottom w:val="single" w:sz="8" w:color="3051F2"/>
            </w:tcBorders>
            <w:gridSpan w:val="29"/>
          </w:tcPr>
          <w:p>
            <w:pPr>
              <w:spacing w:after="0"/>
              <w:rPr>
                <w:sz w:val="20"/>
                <w:szCs w:val="20"/>
                <w:color w:val="auto"/>
              </w:rPr>
            </w:pPr>
            <w:r>
              <w:rPr>
                <w:rFonts w:ascii="Arial" w:cs="Arial" w:eastAsia="Arial" w:hAnsi="Arial"/>
                <w:sz w:val="11"/>
                <w:szCs w:val="11"/>
                <w:color w:val="3051F2"/>
              </w:rPr>
              <w:t>Recent Developments and Significant Items Affecting Comparability</w:t>
            </w:r>
          </w:p>
        </w:tc>
        <w:tc>
          <w:tcPr>
            <w:tcW w:w="840" w:type="dxa"/>
            <w:vAlign w:val="bottom"/>
            <w:tcBorders>
              <w:top w:val="single" w:sz="8" w:color="3051F2"/>
            </w:tcBorders>
            <w:gridSpan w:val="2"/>
          </w:tcPr>
          <w:p>
            <w:pPr>
              <w:spacing w:after="0"/>
              <w:rPr>
                <w:sz w:val="12"/>
                <w:szCs w:val="12"/>
                <w:color w:val="auto"/>
              </w:rPr>
            </w:pPr>
          </w:p>
        </w:tc>
        <w:tc>
          <w:tcPr>
            <w:tcW w:w="4820" w:type="dxa"/>
            <w:vAlign w:val="bottom"/>
            <w:gridSpan w:val="7"/>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3051F2"/>
            </w:tcBorders>
            <w:gridSpan w:val="10"/>
          </w:tcPr>
          <w:p>
            <w:pPr>
              <w:spacing w:after="0"/>
              <w:rPr>
                <w:sz w:val="20"/>
                <w:szCs w:val="20"/>
                <w:color w:val="auto"/>
              </w:rPr>
            </w:pPr>
            <w:r>
              <w:rPr>
                <w:rFonts w:ascii="Arial" w:cs="Arial" w:eastAsia="Arial" w:hAnsi="Arial"/>
                <w:sz w:val="11"/>
                <w:szCs w:val="11"/>
                <w:color w:val="3051F2"/>
              </w:rPr>
              <w:t>Financial Outlook</w:t>
            </w:r>
          </w:p>
        </w:tc>
        <w:tc>
          <w:tcPr>
            <w:tcW w:w="8200" w:type="dxa"/>
            <w:vAlign w:val="bottom"/>
            <w:gridSpan w:val="28"/>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3051F2"/>
            </w:tcBorders>
            <w:gridSpan w:val="14"/>
          </w:tcPr>
          <w:p>
            <w:pPr>
              <w:spacing w:after="0"/>
              <w:rPr>
                <w:sz w:val="20"/>
                <w:szCs w:val="20"/>
                <w:color w:val="auto"/>
              </w:rPr>
            </w:pPr>
            <w:r>
              <w:rPr>
                <w:rFonts w:ascii="Arial" w:cs="Arial" w:eastAsia="Arial" w:hAnsi="Arial"/>
                <w:sz w:val="11"/>
                <w:szCs w:val="11"/>
                <w:color w:val="3051F2"/>
              </w:rPr>
              <w:t>Summary of Results</w:t>
            </w:r>
          </w:p>
        </w:tc>
        <w:tc>
          <w:tcPr>
            <w:tcW w:w="8060" w:type="dxa"/>
            <w:vAlign w:val="bottom"/>
            <w:gridSpan w:val="24"/>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100" w:type="dxa"/>
            <w:vAlign w:val="bottom"/>
            <w:gridSpan w:val="38"/>
          </w:tcPr>
          <w:p>
            <w:pPr>
              <w:spacing w:after="0"/>
              <w:rPr>
                <w:sz w:val="20"/>
                <w:szCs w:val="20"/>
                <w:color w:val="auto"/>
              </w:rPr>
            </w:pPr>
            <w:r>
              <w:rPr>
                <w:rFonts w:ascii="Arial" w:cs="Arial" w:eastAsia="Arial" w:hAnsi="Arial"/>
                <w:sz w:val="11"/>
                <w:szCs w:val="11"/>
                <w:color w:val="3051F2"/>
              </w:rPr>
              <w:t>Discussion and Analysis of Historical Results</w:t>
            </w:r>
          </w:p>
        </w:tc>
        <w:tc>
          <w:tcPr>
            <w:tcW w:w="96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top w:val="single" w:sz="8" w:color="3051F2"/>
              <w:bottom w:val="single" w:sz="8" w:color="3051F2"/>
            </w:tcBorders>
            <w:gridSpan w:val="18"/>
          </w:tcPr>
          <w:p>
            <w:pPr>
              <w:spacing w:after="0"/>
              <w:rPr>
                <w:sz w:val="20"/>
                <w:szCs w:val="20"/>
                <w:color w:val="auto"/>
              </w:rPr>
            </w:pPr>
            <w:r>
              <w:rPr>
                <w:rFonts w:ascii="Arial" w:cs="Arial" w:eastAsia="Arial" w:hAnsi="Arial"/>
                <w:sz w:val="11"/>
                <w:szCs w:val="11"/>
                <w:color w:val="3051F2"/>
              </w:rPr>
              <w:t>Liquidity and Capital Resources</w:t>
            </w:r>
          </w:p>
        </w:tc>
        <w:tc>
          <w:tcPr>
            <w:tcW w:w="660" w:type="dxa"/>
            <w:vAlign w:val="bottom"/>
            <w:tcBorders>
              <w:top w:val="single" w:sz="8" w:color="3051F2"/>
            </w:tcBorders>
            <w:gridSpan w:val="5"/>
          </w:tcPr>
          <w:p>
            <w:pPr>
              <w:spacing w:after="0"/>
              <w:rPr>
                <w:sz w:val="12"/>
                <w:szCs w:val="12"/>
                <w:color w:val="auto"/>
              </w:rPr>
            </w:pPr>
          </w:p>
        </w:tc>
        <w:tc>
          <w:tcPr>
            <w:tcW w:w="6820" w:type="dxa"/>
            <w:vAlign w:val="bottom"/>
            <w:gridSpan w:val="15"/>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100" w:type="dxa"/>
            <w:vAlign w:val="bottom"/>
            <w:gridSpan w:val="38"/>
          </w:tcPr>
          <w:p>
            <w:pPr>
              <w:spacing w:after="0"/>
              <w:rPr>
                <w:sz w:val="20"/>
                <w:szCs w:val="20"/>
                <w:color w:val="auto"/>
              </w:rPr>
            </w:pPr>
            <w:r>
              <w:rPr>
                <w:rFonts w:ascii="Arial" w:cs="Arial" w:eastAsia="Arial" w:hAnsi="Arial"/>
                <w:sz w:val="11"/>
                <w:szCs w:val="11"/>
                <w:color w:val="3051F2"/>
              </w:rPr>
              <w:t>Commodity Trends</w:t>
            </w:r>
          </w:p>
        </w:tc>
        <w:tc>
          <w:tcPr>
            <w:tcW w:w="960" w:type="dxa"/>
            <w:vAlign w:val="bottom"/>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4"/>
            <w:shd w:val="clear" w:color="auto" w:fill="3051F2"/>
          </w:tcPr>
          <w:p>
            <w:pPr>
              <w:spacing w:after="0" w:line="20" w:lineRule="exact"/>
              <w:rPr>
                <w:sz w:val="1"/>
                <w:szCs w:val="1"/>
                <w:color w:val="auto"/>
              </w:rPr>
            </w:pPr>
          </w:p>
        </w:tc>
        <w:tc>
          <w:tcPr>
            <w:tcW w:w="340" w:type="dxa"/>
            <w:vAlign w:val="bottom"/>
            <w:gridSpan w:val="3"/>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Borders>
              <w:bottom w:val="single" w:sz="8" w:color="3051F2"/>
            </w:tcBorders>
            <w:gridSpan w:val="17"/>
          </w:tcPr>
          <w:p>
            <w:pPr>
              <w:spacing w:after="0"/>
              <w:rPr>
                <w:sz w:val="20"/>
                <w:szCs w:val="20"/>
                <w:color w:val="auto"/>
              </w:rPr>
            </w:pPr>
            <w:r>
              <w:rPr>
                <w:rFonts w:ascii="Arial" w:cs="Arial" w:eastAsia="Arial" w:hAnsi="Arial"/>
                <w:sz w:val="11"/>
                <w:szCs w:val="11"/>
                <w:color w:val="3051F2"/>
              </w:rPr>
              <w:t>Non-GAAP Financial Measures</w:t>
            </w:r>
          </w:p>
        </w:tc>
        <w:tc>
          <w:tcPr>
            <w:tcW w:w="7500" w:type="dxa"/>
            <w:vAlign w:val="bottom"/>
            <w:gridSpan w:val="21"/>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100" w:type="dxa"/>
            <w:vAlign w:val="bottom"/>
            <w:gridSpan w:val="38"/>
          </w:tcPr>
          <w:p>
            <w:pPr>
              <w:spacing w:after="0"/>
              <w:rPr>
                <w:sz w:val="20"/>
                <w:szCs w:val="20"/>
                <w:color w:val="auto"/>
              </w:rPr>
            </w:pPr>
            <w:r>
              <w:rPr>
                <w:rFonts w:ascii="Arial" w:cs="Arial" w:eastAsia="Arial" w:hAnsi="Arial"/>
                <w:sz w:val="11"/>
                <w:szCs w:val="11"/>
                <w:color w:val="3051F2"/>
              </w:rPr>
              <w:t>Critical Accounting Estimates</w:t>
            </w:r>
          </w:p>
        </w:tc>
        <w:tc>
          <w:tcPr>
            <w:tcW w:w="96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4"/>
            <w:shd w:val="clear" w:color="auto" w:fill="3051F2"/>
          </w:tcPr>
          <w:p>
            <w:pPr>
              <w:spacing w:after="0" w:line="20" w:lineRule="exact"/>
              <w:rPr>
                <w:sz w:val="1"/>
                <w:szCs w:val="1"/>
                <w:color w:val="auto"/>
              </w:rPr>
            </w:pPr>
          </w:p>
        </w:tc>
        <w:tc>
          <w:tcPr>
            <w:tcW w:w="340" w:type="dxa"/>
            <w:vAlign w:val="bottom"/>
            <w:gridSpan w:val="3"/>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0" w:type="dxa"/>
            <w:vAlign w:val="bottom"/>
            <w:gridSpan w:val="4"/>
            <w:shd w:val="clear" w:color="auto" w:fill="3051F2"/>
          </w:tcPr>
          <w:p>
            <w:pPr>
              <w:spacing w:after="0" w:line="20" w:lineRule="exact"/>
              <w:rPr>
                <w:sz w:val="1"/>
                <w:szCs w:val="1"/>
                <w:color w:val="auto"/>
              </w:rPr>
            </w:pPr>
          </w:p>
        </w:tc>
        <w:tc>
          <w:tcPr>
            <w:tcW w:w="460" w:type="dxa"/>
            <w:vAlign w:val="bottom"/>
            <w:gridSpan w:val="3"/>
            <w:shd w:val="clear" w:color="auto" w:fill="3051F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7A.</w:t>
            </w:r>
          </w:p>
        </w:tc>
        <w:tc>
          <w:tcPr>
            <w:tcW w:w="3000" w:type="dxa"/>
            <w:vAlign w:val="bottom"/>
            <w:tcBorders>
              <w:bottom w:val="single" w:sz="8" w:color="3051F2"/>
            </w:tcBorders>
            <w:gridSpan w:val="26"/>
          </w:tcPr>
          <w:p>
            <w:pPr>
              <w:spacing w:after="0"/>
              <w:rPr>
                <w:sz w:val="20"/>
                <w:szCs w:val="20"/>
                <w:color w:val="auto"/>
              </w:rPr>
            </w:pPr>
            <w:r>
              <w:rPr>
                <w:rFonts w:ascii="Arial" w:cs="Arial" w:eastAsia="Arial" w:hAnsi="Arial"/>
                <w:sz w:val="11"/>
                <w:szCs w:val="11"/>
                <w:color w:val="3051F2"/>
              </w:rPr>
              <w:t>Quantitative and Qualitative Disclosures about Market Risk</w:t>
            </w:r>
          </w:p>
        </w:tc>
        <w:tc>
          <w:tcPr>
            <w:tcW w:w="6360" w:type="dxa"/>
            <w:vAlign w:val="bottom"/>
            <w:gridSpan w:val="13"/>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8.</w:t>
            </w:r>
          </w:p>
        </w:tc>
        <w:tc>
          <w:tcPr>
            <w:tcW w:w="9360" w:type="dxa"/>
            <w:vAlign w:val="bottom"/>
            <w:gridSpan w:val="39"/>
          </w:tcPr>
          <w:p>
            <w:pPr>
              <w:spacing w:after="0"/>
              <w:rPr>
                <w:sz w:val="20"/>
                <w:szCs w:val="20"/>
                <w:color w:val="auto"/>
              </w:rPr>
            </w:pPr>
            <w:r>
              <w:rPr>
                <w:rFonts w:ascii="Arial" w:cs="Arial" w:eastAsia="Arial" w:hAnsi="Arial"/>
                <w:sz w:val="11"/>
                <w:szCs w:val="11"/>
                <w:color w:val="3051F2"/>
              </w:rPr>
              <w:t>Financial Statements and Supplementary Data:</w:t>
            </w:r>
          </w:p>
        </w:tc>
        <w:tc>
          <w:tcPr>
            <w:tcW w:w="960" w:type="dxa"/>
            <w:vAlign w:val="bottom"/>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00" w:type="dxa"/>
            <w:vAlign w:val="bottom"/>
            <w:gridSpan w:val="4"/>
            <w:shd w:val="clear" w:color="auto" w:fill="3051F2"/>
          </w:tcPr>
          <w:p>
            <w:pPr>
              <w:spacing w:after="0" w:line="20" w:lineRule="exact"/>
              <w:rPr>
                <w:sz w:val="1"/>
                <w:szCs w:val="1"/>
                <w:color w:val="auto"/>
              </w:rPr>
            </w:pPr>
          </w:p>
        </w:tc>
        <w:tc>
          <w:tcPr>
            <w:tcW w:w="340" w:type="dxa"/>
            <w:vAlign w:val="bottom"/>
            <w:gridSpan w:val="3"/>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0" w:type="dxa"/>
            <w:vAlign w:val="bottom"/>
            <w:gridSpan w:val="4"/>
            <w:shd w:val="clear" w:color="auto" w:fill="3051F2"/>
          </w:tcPr>
          <w:p>
            <w:pPr>
              <w:spacing w:after="0" w:line="20" w:lineRule="exact"/>
              <w:rPr>
                <w:sz w:val="1"/>
                <w:szCs w:val="1"/>
                <w:color w:val="auto"/>
              </w:rPr>
            </w:pPr>
          </w:p>
        </w:tc>
        <w:tc>
          <w:tcPr>
            <w:tcW w:w="760" w:type="dxa"/>
            <w:vAlign w:val="bottom"/>
            <w:gridSpan w:val="6"/>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tcBorders>
              <w:bottom w:val="single" w:sz="8" w:color="3051F2"/>
            </w:tcBorders>
            <w:gridSpan w:val="26"/>
          </w:tcPr>
          <w:p>
            <w:pPr>
              <w:spacing w:after="0"/>
              <w:rPr>
                <w:sz w:val="20"/>
                <w:szCs w:val="20"/>
                <w:color w:val="auto"/>
              </w:rPr>
            </w:pPr>
            <w:r>
              <w:rPr>
                <w:rFonts w:ascii="Arial" w:cs="Arial" w:eastAsia="Arial" w:hAnsi="Arial"/>
                <w:sz w:val="11"/>
                <w:szCs w:val="11"/>
                <w:color w:val="3051F2"/>
              </w:rPr>
              <w:t>Report of Independent Registered Public Accounting Firm</w:t>
            </w:r>
          </w:p>
        </w:tc>
        <w:tc>
          <w:tcPr>
            <w:tcW w:w="6160" w:type="dxa"/>
            <w:vAlign w:val="bottom"/>
            <w:gridSpan w:val="12"/>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100" w:type="dxa"/>
            <w:vAlign w:val="bottom"/>
            <w:gridSpan w:val="38"/>
          </w:tcPr>
          <w:p>
            <w:pPr>
              <w:spacing w:after="0"/>
              <w:rPr>
                <w:sz w:val="20"/>
                <w:szCs w:val="20"/>
                <w:color w:val="auto"/>
              </w:rPr>
            </w:pPr>
            <w:r>
              <w:rPr>
                <w:rFonts w:ascii="Arial" w:cs="Arial" w:eastAsia="Arial" w:hAnsi="Arial"/>
                <w:sz w:val="11"/>
                <w:szCs w:val="11"/>
                <w:color w:val="3051F2"/>
              </w:rPr>
              <w:t>Consolidated Statements of Earnings for the Years Ended December 31, 2024, 2023 and 2022</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4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8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20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120" w:type="dxa"/>
            <w:vAlign w:val="bottom"/>
            <w:tcBorders>
              <w:top w:val="single" w:sz="8" w:color="3051F2"/>
            </w:tcBorders>
          </w:tcPr>
          <w:p>
            <w:pPr>
              <w:spacing w:after="0"/>
              <w:rPr>
                <w:sz w:val="4"/>
                <w:szCs w:val="4"/>
                <w:color w:val="auto"/>
              </w:rPr>
            </w:pPr>
          </w:p>
        </w:tc>
        <w:tc>
          <w:tcPr>
            <w:tcW w:w="8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4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140" w:type="dxa"/>
            <w:vAlign w:val="bottom"/>
            <w:tcBorders>
              <w:top w:val="single" w:sz="8" w:color="3051F2"/>
            </w:tcBorders>
          </w:tcPr>
          <w:p>
            <w:pPr>
              <w:spacing w:after="0"/>
              <w:rPr>
                <w:sz w:val="4"/>
                <w:szCs w:val="4"/>
                <w:color w:val="auto"/>
              </w:rPr>
            </w:pPr>
          </w:p>
        </w:tc>
        <w:tc>
          <w:tcPr>
            <w:tcW w:w="300" w:type="dxa"/>
            <w:vAlign w:val="bottom"/>
            <w:tcBorders>
              <w:top w:val="single" w:sz="8" w:color="3051F2"/>
            </w:tcBorders>
          </w:tcPr>
          <w:p>
            <w:pPr>
              <w:spacing w:after="0"/>
              <w:rPr>
                <w:sz w:val="4"/>
                <w:szCs w:val="4"/>
                <w:color w:val="auto"/>
              </w:rPr>
            </w:pPr>
          </w:p>
        </w:tc>
        <w:tc>
          <w:tcPr>
            <w:tcW w:w="12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160" w:type="dxa"/>
            <w:vAlign w:val="bottom"/>
            <w:tcBorders>
              <w:top w:val="single" w:sz="8" w:color="3051F2"/>
            </w:tcBorders>
          </w:tcPr>
          <w:p>
            <w:pPr>
              <w:spacing w:after="0"/>
              <w:rPr>
                <w:sz w:val="4"/>
                <w:szCs w:val="4"/>
                <w:color w:val="auto"/>
              </w:rPr>
            </w:pPr>
          </w:p>
        </w:tc>
        <w:tc>
          <w:tcPr>
            <w:tcW w:w="200" w:type="dxa"/>
            <w:vAlign w:val="bottom"/>
            <w:tcBorders>
              <w:top w:val="single" w:sz="8" w:color="3051F2"/>
            </w:tcBorders>
          </w:tcPr>
          <w:p>
            <w:pPr>
              <w:spacing w:after="0"/>
              <w:rPr>
                <w:sz w:val="4"/>
                <w:szCs w:val="4"/>
                <w:color w:val="auto"/>
              </w:rPr>
            </w:pPr>
          </w:p>
        </w:tc>
        <w:tc>
          <w:tcPr>
            <w:tcW w:w="160" w:type="dxa"/>
            <w:vAlign w:val="bottom"/>
            <w:tcBorders>
              <w:top w:val="single" w:sz="8" w:color="3051F2"/>
            </w:tcBorders>
          </w:tcPr>
          <w:p>
            <w:pPr>
              <w:spacing w:after="0"/>
              <w:rPr>
                <w:sz w:val="4"/>
                <w:szCs w:val="4"/>
                <w:color w:val="auto"/>
              </w:rPr>
            </w:pPr>
          </w:p>
        </w:tc>
        <w:tc>
          <w:tcPr>
            <w:tcW w:w="100" w:type="dxa"/>
            <w:vAlign w:val="bottom"/>
            <w:tcBorders>
              <w:top w:val="single" w:sz="8" w:color="3051F2"/>
            </w:tcBorders>
          </w:tcPr>
          <w:p>
            <w:pPr>
              <w:spacing w:after="0"/>
              <w:rPr>
                <w:sz w:val="4"/>
                <w:szCs w:val="4"/>
                <w:color w:val="auto"/>
              </w:rPr>
            </w:pPr>
          </w:p>
        </w:tc>
        <w:tc>
          <w:tcPr>
            <w:tcW w:w="40" w:type="dxa"/>
            <w:vAlign w:val="bottom"/>
            <w:tcBorders>
              <w:top w:val="single" w:sz="8" w:color="3051F2"/>
            </w:tcBorders>
          </w:tcPr>
          <w:p>
            <w:pPr>
              <w:spacing w:after="0"/>
              <w:rPr>
                <w:sz w:val="4"/>
                <w:szCs w:val="4"/>
                <w:color w:val="auto"/>
              </w:rPr>
            </w:pPr>
          </w:p>
        </w:tc>
        <w:tc>
          <w:tcPr>
            <w:tcW w:w="320" w:type="dxa"/>
            <w:vAlign w:val="bottom"/>
            <w:tcBorders>
              <w:top w:val="single" w:sz="8" w:color="3051F2"/>
            </w:tcBorders>
          </w:tcPr>
          <w:p>
            <w:pPr>
              <w:spacing w:after="0"/>
              <w:rPr>
                <w:sz w:val="4"/>
                <w:szCs w:val="4"/>
                <w:color w:val="auto"/>
              </w:rPr>
            </w:pPr>
          </w:p>
        </w:tc>
        <w:tc>
          <w:tcPr>
            <w:tcW w:w="140" w:type="dxa"/>
            <w:vAlign w:val="bottom"/>
            <w:tcBorders>
              <w:top w:val="single" w:sz="8" w:color="3051F2"/>
            </w:tcBorders>
          </w:tcPr>
          <w:p>
            <w:pPr>
              <w:spacing w:after="0"/>
              <w:rPr>
                <w:sz w:val="4"/>
                <w:szCs w:val="4"/>
                <w:color w:val="auto"/>
              </w:rPr>
            </w:pPr>
          </w:p>
        </w:tc>
        <w:tc>
          <w:tcPr>
            <w:tcW w:w="200" w:type="dxa"/>
            <w:vAlign w:val="bottom"/>
            <w:tcBorders>
              <w:top w:val="single" w:sz="8" w:color="3051F2"/>
            </w:tcBorders>
          </w:tcPr>
          <w:p>
            <w:pPr>
              <w:spacing w:after="0"/>
              <w:rPr>
                <w:sz w:val="4"/>
                <w:szCs w:val="4"/>
                <w:color w:val="auto"/>
              </w:rPr>
            </w:pPr>
          </w:p>
        </w:tc>
        <w:tc>
          <w:tcPr>
            <w:tcW w:w="240" w:type="dxa"/>
            <w:vAlign w:val="bottom"/>
            <w:tcBorders>
              <w:top w:val="single" w:sz="8" w:color="3051F2"/>
            </w:tcBorders>
          </w:tcPr>
          <w:p>
            <w:pPr>
              <w:spacing w:after="0"/>
              <w:rPr>
                <w:sz w:val="4"/>
                <w:szCs w:val="4"/>
                <w:color w:val="auto"/>
              </w:rPr>
            </w:pPr>
          </w:p>
        </w:tc>
        <w:tc>
          <w:tcPr>
            <w:tcW w:w="160" w:type="dxa"/>
            <w:vAlign w:val="bottom"/>
            <w:tcBorders>
              <w:top w:val="single" w:sz="8" w:color="3051F2"/>
            </w:tcBorders>
          </w:tcPr>
          <w:p>
            <w:pPr>
              <w:spacing w:after="0"/>
              <w:rPr>
                <w:sz w:val="4"/>
                <w:szCs w:val="4"/>
                <w:color w:val="auto"/>
              </w:rPr>
            </w:pPr>
          </w:p>
        </w:tc>
        <w:tc>
          <w:tcPr>
            <w:tcW w:w="100" w:type="dxa"/>
            <w:vAlign w:val="bottom"/>
            <w:tcBorders>
              <w:top w:val="single" w:sz="8" w:color="3051F2"/>
            </w:tcBorders>
          </w:tcPr>
          <w:p>
            <w:pPr>
              <w:spacing w:after="0"/>
              <w:rPr>
                <w:sz w:val="4"/>
                <w:szCs w:val="4"/>
                <w:color w:val="auto"/>
              </w:rPr>
            </w:pPr>
          </w:p>
        </w:tc>
        <w:tc>
          <w:tcPr>
            <w:tcW w:w="180" w:type="dxa"/>
            <w:vAlign w:val="bottom"/>
            <w:tcBorders>
              <w:top w:val="single" w:sz="8" w:color="3051F2"/>
            </w:tcBorders>
          </w:tcPr>
          <w:p>
            <w:pPr>
              <w:spacing w:after="0"/>
              <w:rPr>
                <w:sz w:val="4"/>
                <w:szCs w:val="4"/>
                <w:color w:val="auto"/>
              </w:rPr>
            </w:pPr>
          </w:p>
        </w:tc>
        <w:tc>
          <w:tcPr>
            <w:tcW w:w="660" w:type="dxa"/>
            <w:vAlign w:val="bottom"/>
            <w:tcBorders>
              <w:top w:val="single" w:sz="8" w:color="3051F2"/>
            </w:tcBorders>
          </w:tcPr>
          <w:p>
            <w:pPr>
              <w:spacing w:after="0"/>
              <w:rPr>
                <w:sz w:val="4"/>
                <w:szCs w:val="4"/>
                <w:color w:val="auto"/>
              </w:rPr>
            </w:pPr>
          </w:p>
        </w:tc>
        <w:tc>
          <w:tcPr>
            <w:tcW w:w="380" w:type="dxa"/>
            <w:vAlign w:val="bottom"/>
            <w:tcBorders>
              <w:top w:val="single" w:sz="8" w:color="3051F2"/>
            </w:tcBorders>
          </w:tcPr>
          <w:p>
            <w:pPr>
              <w:spacing w:after="0"/>
              <w:rPr>
                <w:sz w:val="4"/>
                <w:szCs w:val="4"/>
                <w:color w:val="auto"/>
              </w:rPr>
            </w:pPr>
          </w:p>
        </w:tc>
        <w:tc>
          <w:tcPr>
            <w:tcW w:w="140" w:type="dxa"/>
            <w:vAlign w:val="bottom"/>
            <w:tcBorders>
              <w:top w:val="single" w:sz="8" w:color="3051F2"/>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Borders>
              <w:bottom w:val="single" w:sz="8" w:color="3051F2"/>
            </w:tcBorders>
            <w:gridSpan w:val="37"/>
          </w:tcPr>
          <w:p>
            <w:pPr>
              <w:spacing w:after="0"/>
              <w:rPr>
                <w:sz w:val="20"/>
                <w:szCs w:val="20"/>
                <w:color w:val="auto"/>
              </w:rPr>
            </w:pPr>
            <w:r>
              <w:rPr>
                <w:rFonts w:ascii="Arial" w:cs="Arial" w:eastAsia="Arial" w:hAnsi="Arial"/>
                <w:sz w:val="11"/>
                <w:szCs w:val="11"/>
                <w:color w:val="3051F2"/>
              </w:rPr>
              <w:t>Consolidated Statements of Comprehensive Earnings for the Years Ended December 31, 2024, 2023 and 2022</w:t>
            </w:r>
          </w:p>
        </w:tc>
        <w:tc>
          <w:tcPr>
            <w:tcW w:w="3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40" w:type="dxa"/>
            <w:vAlign w:val="bottom"/>
            <w:tcBorders>
              <w:bottom w:val="single" w:sz="8" w:color="3051F2"/>
            </w:tcBorders>
            <w:gridSpan w:val="28"/>
          </w:tcPr>
          <w:p>
            <w:pPr>
              <w:spacing w:after="0"/>
              <w:rPr>
                <w:sz w:val="20"/>
                <w:szCs w:val="20"/>
                <w:color w:val="auto"/>
              </w:rPr>
            </w:pPr>
            <w:r>
              <w:rPr>
                <w:rFonts w:ascii="Arial" w:cs="Arial" w:eastAsia="Arial" w:hAnsi="Arial"/>
                <w:sz w:val="11"/>
                <w:szCs w:val="11"/>
                <w:color w:val="3051F2"/>
              </w:rPr>
              <w:t>Consolidated Balance Sheets as of December 31, 2024 and 2023</w:t>
            </w:r>
          </w:p>
        </w:tc>
        <w:tc>
          <w:tcPr>
            <w:tcW w:w="5760" w:type="dxa"/>
            <w:vAlign w:val="bottom"/>
            <w:gridSpan w:val="10"/>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100" w:type="dxa"/>
            <w:vAlign w:val="bottom"/>
            <w:gridSpan w:val="38"/>
          </w:tcPr>
          <w:p>
            <w:pPr>
              <w:spacing w:after="0"/>
              <w:rPr>
                <w:sz w:val="20"/>
                <w:szCs w:val="20"/>
                <w:color w:val="auto"/>
              </w:rPr>
            </w:pPr>
            <w:r>
              <w:rPr>
                <w:rFonts w:ascii="Arial" w:cs="Arial" w:eastAsia="Arial" w:hAnsi="Arial"/>
                <w:sz w:val="11"/>
                <w:szCs w:val="11"/>
                <w:color w:val="3051F2"/>
              </w:rPr>
              <w:t>Consolidated Statements of Equity for the Years Ended December 31, 2024, 2023 and 2022</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6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100" w:type="dxa"/>
            <w:vAlign w:val="bottom"/>
            <w:gridSpan w:val="38"/>
            <w:vMerge w:val="restart"/>
          </w:tcPr>
          <w:p>
            <w:pPr>
              <w:spacing w:after="0"/>
              <w:rPr>
                <w:sz w:val="20"/>
                <w:szCs w:val="20"/>
                <w:color w:val="auto"/>
              </w:rPr>
            </w:pPr>
            <w:r>
              <w:rPr>
                <w:rFonts w:ascii="Arial" w:cs="Arial" w:eastAsia="Arial" w:hAnsi="Arial"/>
                <w:sz w:val="11"/>
                <w:szCs w:val="11"/>
                <w:color w:val="3051F2"/>
              </w:rPr>
              <w:t>Consolidated Statements of Cash Flows for the Years Ended December 31, 2024, 2023 and 2022</w:t>
            </w: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100" w:type="dxa"/>
            <w:vAlign w:val="bottom"/>
            <w:gridSpan w:val="38"/>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940" w:type="dxa"/>
            <w:vAlign w:val="bottom"/>
            <w:tcBorders>
              <w:top w:val="single" w:sz="8" w:color="3051F2"/>
            </w:tcBorders>
            <w:gridSpan w:val="35"/>
            <w:vMerge w:val="restart"/>
          </w:tcPr>
          <w:p>
            <w:pPr>
              <w:spacing w:after="0"/>
              <w:rPr>
                <w:sz w:val="20"/>
                <w:szCs w:val="20"/>
                <w:color w:val="auto"/>
              </w:rPr>
            </w:pPr>
            <w:r>
              <w:rPr>
                <w:rFonts w:ascii="Arial" w:cs="Arial" w:eastAsia="Arial" w:hAnsi="Arial"/>
                <w:sz w:val="11"/>
                <w:szCs w:val="11"/>
                <w:color w:val="3051F2"/>
              </w:rPr>
              <w:t>Notes to Consolidated Financial Statements</w:t>
            </w:r>
          </w:p>
        </w:tc>
        <w:tc>
          <w:tcPr>
            <w:tcW w:w="4160" w:type="dxa"/>
            <w:vAlign w:val="bottom"/>
            <w:gridSpan w:val="3"/>
            <w:vMerge w:val="restart"/>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940" w:type="dxa"/>
            <w:vAlign w:val="bottom"/>
            <w:gridSpan w:val="35"/>
            <w:vMerge w:val="continue"/>
          </w:tcPr>
          <w:p>
            <w:pPr>
              <w:spacing w:after="0"/>
              <w:rPr>
                <w:sz w:val="11"/>
                <w:szCs w:val="11"/>
                <w:color w:val="auto"/>
              </w:rPr>
            </w:pPr>
          </w:p>
        </w:tc>
        <w:tc>
          <w:tcPr>
            <w:tcW w:w="416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4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8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20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120" w:type="dxa"/>
            <w:vAlign w:val="bottom"/>
            <w:tcBorders>
              <w:top w:val="single" w:sz="8" w:color="3051F2"/>
            </w:tcBorders>
          </w:tcPr>
          <w:p>
            <w:pPr>
              <w:spacing w:after="0"/>
              <w:rPr>
                <w:sz w:val="4"/>
                <w:szCs w:val="4"/>
                <w:color w:val="auto"/>
              </w:rPr>
            </w:pPr>
          </w:p>
        </w:tc>
        <w:tc>
          <w:tcPr>
            <w:tcW w:w="80" w:type="dxa"/>
            <w:vAlign w:val="bottom"/>
            <w:tcBorders>
              <w:top w:val="single" w:sz="8" w:color="3051F2"/>
            </w:tcBorders>
          </w:tcPr>
          <w:p>
            <w:pPr>
              <w:spacing w:after="0"/>
              <w:rPr>
                <w:sz w:val="4"/>
                <w:szCs w:val="4"/>
                <w:color w:val="auto"/>
              </w:rPr>
            </w:pPr>
          </w:p>
        </w:tc>
        <w:tc>
          <w:tcPr>
            <w:tcW w:w="6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4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140" w:type="dxa"/>
            <w:vAlign w:val="bottom"/>
            <w:tcBorders>
              <w:top w:val="single" w:sz="8" w:color="3051F2"/>
            </w:tcBorders>
          </w:tcPr>
          <w:p>
            <w:pPr>
              <w:spacing w:after="0"/>
              <w:rPr>
                <w:sz w:val="4"/>
                <w:szCs w:val="4"/>
                <w:color w:val="auto"/>
              </w:rPr>
            </w:pPr>
          </w:p>
        </w:tc>
        <w:tc>
          <w:tcPr>
            <w:tcW w:w="300" w:type="dxa"/>
            <w:vAlign w:val="bottom"/>
            <w:tcBorders>
              <w:top w:val="single" w:sz="8" w:color="3051F2"/>
            </w:tcBorders>
          </w:tcPr>
          <w:p>
            <w:pPr>
              <w:spacing w:after="0"/>
              <w:rPr>
                <w:sz w:val="4"/>
                <w:szCs w:val="4"/>
                <w:color w:val="auto"/>
              </w:rPr>
            </w:pPr>
          </w:p>
        </w:tc>
        <w:tc>
          <w:tcPr>
            <w:tcW w:w="120" w:type="dxa"/>
            <w:vAlign w:val="bottom"/>
            <w:tcBorders>
              <w:top w:val="single" w:sz="8" w:color="3051F2"/>
            </w:tcBorders>
          </w:tcPr>
          <w:p>
            <w:pPr>
              <w:spacing w:after="0"/>
              <w:rPr>
                <w:sz w:val="4"/>
                <w:szCs w:val="4"/>
                <w:color w:val="auto"/>
              </w:rPr>
            </w:pPr>
          </w:p>
        </w:tc>
        <w:tc>
          <w:tcPr>
            <w:tcW w:w="20" w:type="dxa"/>
            <w:vAlign w:val="bottom"/>
            <w:tcBorders>
              <w:top w:val="single" w:sz="8" w:color="3051F2"/>
            </w:tcBorders>
          </w:tcPr>
          <w:p>
            <w:pPr>
              <w:spacing w:after="0"/>
              <w:rPr>
                <w:sz w:val="4"/>
                <w:szCs w:val="4"/>
                <w:color w:val="auto"/>
              </w:rPr>
            </w:pPr>
          </w:p>
        </w:tc>
        <w:tc>
          <w:tcPr>
            <w:tcW w:w="160" w:type="dxa"/>
            <w:vAlign w:val="bottom"/>
            <w:tcBorders>
              <w:top w:val="single" w:sz="8" w:color="3051F2"/>
            </w:tcBorders>
          </w:tcPr>
          <w:p>
            <w:pPr>
              <w:spacing w:after="0"/>
              <w:rPr>
                <w:sz w:val="4"/>
                <w:szCs w:val="4"/>
                <w:color w:val="auto"/>
              </w:rPr>
            </w:pPr>
          </w:p>
        </w:tc>
        <w:tc>
          <w:tcPr>
            <w:tcW w:w="200" w:type="dxa"/>
            <w:vAlign w:val="bottom"/>
            <w:tcBorders>
              <w:top w:val="single" w:sz="8" w:color="3051F2"/>
            </w:tcBorders>
          </w:tcPr>
          <w:p>
            <w:pPr>
              <w:spacing w:after="0"/>
              <w:rPr>
                <w:sz w:val="4"/>
                <w:szCs w:val="4"/>
                <w:color w:val="auto"/>
              </w:rPr>
            </w:pPr>
          </w:p>
        </w:tc>
        <w:tc>
          <w:tcPr>
            <w:tcW w:w="160" w:type="dxa"/>
            <w:vAlign w:val="bottom"/>
            <w:tcBorders>
              <w:top w:val="single" w:sz="8" w:color="3051F2"/>
            </w:tcBorders>
          </w:tcPr>
          <w:p>
            <w:pPr>
              <w:spacing w:after="0"/>
              <w:rPr>
                <w:sz w:val="4"/>
                <w:szCs w:val="4"/>
                <w:color w:val="auto"/>
              </w:rPr>
            </w:pPr>
          </w:p>
        </w:tc>
        <w:tc>
          <w:tcPr>
            <w:tcW w:w="100" w:type="dxa"/>
            <w:vAlign w:val="bottom"/>
            <w:tcBorders>
              <w:top w:val="single" w:sz="8" w:color="3051F2"/>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gridSpan w:val="3"/>
          </w:tcPr>
          <w:p>
            <w:pPr>
              <w:spacing w:after="0"/>
              <w:rPr>
                <w:sz w:val="20"/>
                <w:szCs w:val="20"/>
                <w:color w:val="auto"/>
              </w:rPr>
            </w:pPr>
            <w:r>
              <w:rPr>
                <w:rFonts w:ascii="Arial" w:cs="Arial" w:eastAsia="Arial" w:hAnsi="Arial"/>
                <w:sz w:val="11"/>
                <w:szCs w:val="11"/>
                <w:color w:val="auto"/>
              </w:rPr>
              <w:t>Item 9.</w:t>
            </w:r>
          </w:p>
        </w:tc>
        <w:tc>
          <w:tcPr>
            <w:tcW w:w="9360" w:type="dxa"/>
            <w:vAlign w:val="bottom"/>
            <w:gridSpan w:val="39"/>
          </w:tcPr>
          <w:p>
            <w:pPr>
              <w:spacing w:after="0"/>
              <w:rPr>
                <w:sz w:val="20"/>
                <w:szCs w:val="20"/>
                <w:color w:val="auto"/>
              </w:rPr>
            </w:pPr>
            <w:r>
              <w:rPr>
                <w:rFonts w:ascii="Arial" w:cs="Arial" w:eastAsia="Arial" w:hAnsi="Arial"/>
                <w:sz w:val="11"/>
                <w:szCs w:val="11"/>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9A.</w:t>
            </w:r>
          </w:p>
        </w:tc>
        <w:tc>
          <w:tcPr>
            <w:tcW w:w="1280" w:type="dxa"/>
            <w:vAlign w:val="bottom"/>
            <w:tcBorders>
              <w:top w:val="single" w:sz="8" w:color="3051F2"/>
              <w:bottom w:val="single" w:sz="8" w:color="3051F2"/>
            </w:tcBorders>
            <w:gridSpan w:val="14"/>
          </w:tcPr>
          <w:p>
            <w:pPr>
              <w:spacing w:after="0"/>
              <w:rPr>
                <w:sz w:val="20"/>
                <w:szCs w:val="20"/>
                <w:color w:val="auto"/>
              </w:rPr>
            </w:pPr>
            <w:r>
              <w:rPr>
                <w:rFonts w:ascii="Arial" w:cs="Arial" w:eastAsia="Arial" w:hAnsi="Arial"/>
                <w:sz w:val="11"/>
                <w:szCs w:val="11"/>
                <w:color w:val="3051F2"/>
              </w:rPr>
              <w:t>Controls and Procedures</w:t>
            </w:r>
          </w:p>
        </w:tc>
        <w:tc>
          <w:tcPr>
            <w:tcW w:w="3260" w:type="dxa"/>
            <w:vAlign w:val="bottom"/>
            <w:tcBorders>
              <w:top w:val="single" w:sz="8" w:color="3051F2"/>
            </w:tcBorders>
            <w:gridSpan w:val="18"/>
          </w:tcPr>
          <w:p>
            <w:pPr>
              <w:spacing w:after="0"/>
              <w:rPr>
                <w:sz w:val="12"/>
                <w:szCs w:val="12"/>
                <w:color w:val="auto"/>
              </w:rPr>
            </w:pPr>
          </w:p>
        </w:tc>
        <w:tc>
          <w:tcPr>
            <w:tcW w:w="4820" w:type="dxa"/>
            <w:vAlign w:val="bottom"/>
            <w:gridSpan w:val="7"/>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9B.</w:t>
            </w:r>
          </w:p>
        </w:tc>
        <w:tc>
          <w:tcPr>
            <w:tcW w:w="900" w:type="dxa"/>
            <w:vAlign w:val="bottom"/>
            <w:tcBorders>
              <w:bottom w:val="single" w:sz="8" w:color="3051F2"/>
            </w:tcBorders>
            <w:gridSpan w:val="8"/>
          </w:tcPr>
          <w:p>
            <w:pPr>
              <w:spacing w:after="0"/>
              <w:rPr>
                <w:sz w:val="20"/>
                <w:szCs w:val="20"/>
                <w:color w:val="auto"/>
              </w:rPr>
            </w:pPr>
            <w:r>
              <w:rPr>
                <w:rFonts w:ascii="Arial" w:cs="Arial" w:eastAsia="Arial" w:hAnsi="Arial"/>
                <w:sz w:val="11"/>
                <w:szCs w:val="11"/>
                <w:color w:val="3051F2"/>
              </w:rPr>
              <w:t>Other Information</w:t>
            </w:r>
          </w:p>
        </w:tc>
        <w:tc>
          <w:tcPr>
            <w:tcW w:w="8460" w:type="dxa"/>
            <w:vAlign w:val="bottom"/>
            <w:gridSpan w:val="31"/>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9C.</w:t>
            </w:r>
          </w:p>
        </w:tc>
        <w:tc>
          <w:tcPr>
            <w:tcW w:w="9360" w:type="dxa"/>
            <w:vAlign w:val="bottom"/>
            <w:gridSpan w:val="39"/>
          </w:tcPr>
          <w:p>
            <w:pPr>
              <w:spacing w:after="0"/>
              <w:rPr>
                <w:sz w:val="20"/>
                <w:szCs w:val="20"/>
                <w:color w:val="auto"/>
              </w:rPr>
            </w:pPr>
            <w:r>
              <w:rPr>
                <w:rFonts w:ascii="Arial" w:cs="Arial" w:eastAsia="Arial" w:hAnsi="Arial"/>
                <w:sz w:val="11"/>
                <w:szCs w:val="11"/>
                <w:color w:val="3051F2"/>
              </w:rPr>
              <w:t>Disclosure Regarding Foreign Jurisdictions that Prevent Inspections</w:t>
            </w:r>
          </w:p>
        </w:tc>
        <w:tc>
          <w:tcPr>
            <w:tcW w:w="96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84"/>
        </w:trPr>
        <w:tc>
          <w:tcPr>
            <w:tcW w:w="360" w:type="dxa"/>
            <w:vAlign w:val="bottom"/>
            <w:tcBorders>
              <w:bottom w:val="single" w:sz="8" w:color="3051F2"/>
            </w:tcBorders>
            <w:gridSpan w:val="2"/>
          </w:tcPr>
          <w:p>
            <w:pPr>
              <w:spacing w:after="0"/>
              <w:rPr>
                <w:sz w:val="20"/>
                <w:szCs w:val="20"/>
                <w:color w:val="auto"/>
              </w:rPr>
            </w:pPr>
            <w:r>
              <w:rPr>
                <w:rFonts w:ascii="Arial" w:cs="Arial" w:eastAsia="Arial" w:hAnsi="Arial"/>
                <w:sz w:val="11"/>
                <w:szCs w:val="11"/>
                <w:b w:val="1"/>
                <w:bCs w:val="1"/>
                <w:color w:val="3051F2"/>
              </w:rPr>
              <w:t>Part III</w:t>
            </w:r>
          </w:p>
        </w:tc>
        <w:tc>
          <w:tcPr>
            <w:tcW w:w="540" w:type="dxa"/>
            <w:vAlign w:val="bottom"/>
          </w:tcPr>
          <w:p>
            <w:pPr>
              <w:spacing w:after="0"/>
              <w:rPr>
                <w:sz w:val="16"/>
                <w:szCs w:val="16"/>
                <w:color w:val="auto"/>
              </w:rPr>
            </w:pPr>
          </w:p>
        </w:tc>
        <w:tc>
          <w:tcPr>
            <w:tcW w:w="260" w:type="dxa"/>
            <w:vAlign w:val="bottom"/>
            <w:tcBorders>
              <w:top w:val="single" w:sz="8" w:color="3051F2"/>
            </w:tcBorders>
          </w:tcPr>
          <w:p>
            <w:pPr>
              <w:spacing w:after="0"/>
              <w:rPr>
                <w:sz w:val="16"/>
                <w:szCs w:val="16"/>
                <w:color w:val="auto"/>
              </w:rPr>
            </w:pPr>
          </w:p>
        </w:tc>
        <w:tc>
          <w:tcPr>
            <w:tcW w:w="2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30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160" w:type="dxa"/>
            <w:vAlign w:val="bottom"/>
            <w:tcBorders>
              <w:top w:val="single" w:sz="8" w:color="3051F2"/>
            </w:tcBorders>
          </w:tcPr>
          <w:p>
            <w:pPr>
              <w:spacing w:after="0"/>
              <w:rPr>
                <w:sz w:val="16"/>
                <w:szCs w:val="16"/>
                <w:color w:val="auto"/>
              </w:rPr>
            </w:pPr>
          </w:p>
        </w:tc>
        <w:tc>
          <w:tcPr>
            <w:tcW w:w="200" w:type="dxa"/>
            <w:vAlign w:val="bottom"/>
            <w:tcBorders>
              <w:top w:val="single" w:sz="8" w:color="3051F2"/>
            </w:tcBorders>
          </w:tcPr>
          <w:p>
            <w:pPr>
              <w:spacing w:after="0"/>
              <w:rPr>
                <w:sz w:val="16"/>
                <w:szCs w:val="16"/>
                <w:color w:val="auto"/>
              </w:rPr>
            </w:pPr>
          </w:p>
        </w:tc>
        <w:tc>
          <w:tcPr>
            <w:tcW w:w="160" w:type="dxa"/>
            <w:vAlign w:val="bottom"/>
            <w:tcBorders>
              <w:top w:val="single" w:sz="8" w:color="3051F2"/>
            </w:tcBorders>
          </w:tcPr>
          <w:p>
            <w:pPr>
              <w:spacing w:after="0"/>
              <w:rPr>
                <w:sz w:val="16"/>
                <w:szCs w:val="16"/>
                <w:color w:val="auto"/>
              </w:rPr>
            </w:pPr>
          </w:p>
        </w:tc>
        <w:tc>
          <w:tcPr>
            <w:tcW w:w="10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320" w:type="dxa"/>
            <w:vAlign w:val="bottom"/>
            <w:tcBorders>
              <w:top w:val="single" w:sz="8" w:color="3051F2"/>
            </w:tcBorders>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200" w:type="dxa"/>
            <w:vAlign w:val="bottom"/>
            <w:tcBorders>
              <w:top w:val="single" w:sz="8" w:color="3051F2"/>
            </w:tcBorders>
          </w:tcPr>
          <w:p>
            <w:pPr>
              <w:spacing w:after="0"/>
              <w:rPr>
                <w:sz w:val="16"/>
                <w:szCs w:val="16"/>
                <w:color w:val="auto"/>
              </w:rPr>
            </w:pPr>
          </w:p>
        </w:tc>
        <w:tc>
          <w:tcPr>
            <w:tcW w:w="240" w:type="dxa"/>
            <w:vAlign w:val="bottom"/>
            <w:tcBorders>
              <w:top w:val="single" w:sz="8" w:color="3051F2"/>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10.</w:t>
            </w:r>
          </w:p>
        </w:tc>
        <w:tc>
          <w:tcPr>
            <w:tcW w:w="9360" w:type="dxa"/>
            <w:vAlign w:val="bottom"/>
            <w:gridSpan w:val="39"/>
          </w:tcPr>
          <w:p>
            <w:pPr>
              <w:spacing w:after="0"/>
              <w:rPr>
                <w:sz w:val="20"/>
                <w:szCs w:val="20"/>
                <w:color w:val="auto"/>
              </w:rPr>
            </w:pPr>
            <w:r>
              <w:rPr>
                <w:rFonts w:ascii="Arial" w:cs="Arial" w:eastAsia="Arial" w:hAnsi="Arial"/>
                <w:sz w:val="11"/>
                <w:szCs w:val="11"/>
                <w:color w:val="3051F2"/>
              </w:rPr>
              <w:t>Directors, Executive Officers and Corporate Governance</w:t>
            </w:r>
          </w:p>
        </w:tc>
        <w:tc>
          <w:tcPr>
            <w:tcW w:w="9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11.</w:t>
            </w:r>
          </w:p>
        </w:tc>
        <w:tc>
          <w:tcPr>
            <w:tcW w:w="1280" w:type="dxa"/>
            <w:vAlign w:val="bottom"/>
            <w:tcBorders>
              <w:top w:val="single" w:sz="8" w:color="3051F2"/>
              <w:bottom w:val="single" w:sz="8" w:color="3051F2"/>
            </w:tcBorders>
            <w:gridSpan w:val="14"/>
          </w:tcPr>
          <w:p>
            <w:pPr>
              <w:spacing w:after="0"/>
              <w:rPr>
                <w:sz w:val="20"/>
                <w:szCs w:val="20"/>
                <w:color w:val="auto"/>
              </w:rPr>
            </w:pPr>
            <w:r>
              <w:rPr>
                <w:rFonts w:ascii="Arial" w:cs="Arial" w:eastAsia="Arial" w:hAnsi="Arial"/>
                <w:sz w:val="11"/>
                <w:szCs w:val="11"/>
                <w:color w:val="3051F2"/>
              </w:rPr>
              <w:t>Executive Compensation</w:t>
            </w:r>
          </w:p>
        </w:tc>
        <w:tc>
          <w:tcPr>
            <w:tcW w:w="1580" w:type="dxa"/>
            <w:vAlign w:val="bottom"/>
            <w:tcBorders>
              <w:top w:val="single" w:sz="8" w:color="3051F2"/>
            </w:tcBorders>
            <w:gridSpan w:val="11"/>
          </w:tcPr>
          <w:p>
            <w:pPr>
              <w:spacing w:after="0"/>
              <w:rPr>
                <w:sz w:val="12"/>
                <w:szCs w:val="12"/>
                <w:color w:val="auto"/>
              </w:rPr>
            </w:pPr>
          </w:p>
        </w:tc>
        <w:tc>
          <w:tcPr>
            <w:tcW w:w="6500" w:type="dxa"/>
            <w:vAlign w:val="bottom"/>
            <w:gridSpan w:val="14"/>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84"/>
        </w:trPr>
        <w:tc>
          <w:tcPr>
            <w:tcW w:w="900" w:type="dxa"/>
            <w:vAlign w:val="bottom"/>
            <w:gridSpan w:val="3"/>
          </w:tcPr>
          <w:p>
            <w:pPr>
              <w:spacing w:after="0"/>
              <w:rPr>
                <w:sz w:val="20"/>
                <w:szCs w:val="20"/>
                <w:color w:val="auto"/>
              </w:rPr>
            </w:pPr>
            <w:r>
              <w:rPr>
                <w:rFonts w:ascii="Arial" w:cs="Arial" w:eastAsia="Arial" w:hAnsi="Arial"/>
                <w:sz w:val="11"/>
                <w:szCs w:val="11"/>
                <w:color w:val="auto"/>
              </w:rPr>
              <w:t>Item 12.</w:t>
            </w:r>
          </w:p>
        </w:tc>
        <w:tc>
          <w:tcPr>
            <w:tcW w:w="9360" w:type="dxa"/>
            <w:vAlign w:val="bottom"/>
            <w:gridSpan w:val="39"/>
          </w:tcPr>
          <w:p>
            <w:pPr>
              <w:spacing w:after="0"/>
              <w:rPr>
                <w:sz w:val="20"/>
                <w:szCs w:val="20"/>
                <w:color w:val="auto"/>
              </w:rPr>
            </w:pPr>
            <w:r>
              <w:rPr>
                <w:rFonts w:ascii="Arial" w:cs="Arial" w:eastAsia="Arial" w:hAnsi="Arial"/>
                <w:sz w:val="11"/>
                <w:szCs w:val="11"/>
                <w:color w:val="3051F2"/>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13.</w:t>
            </w:r>
          </w:p>
        </w:tc>
        <w:tc>
          <w:tcPr>
            <w:tcW w:w="3880" w:type="dxa"/>
            <w:vAlign w:val="bottom"/>
            <w:tcBorders>
              <w:top w:val="single" w:sz="8" w:color="3051F2"/>
              <w:bottom w:val="single" w:sz="8" w:color="3051F2"/>
            </w:tcBorders>
            <w:gridSpan w:val="31"/>
          </w:tcPr>
          <w:p>
            <w:pPr>
              <w:spacing w:after="0"/>
              <w:rPr>
                <w:sz w:val="20"/>
                <w:szCs w:val="20"/>
                <w:color w:val="auto"/>
              </w:rPr>
            </w:pPr>
            <w:r>
              <w:rPr>
                <w:rFonts w:ascii="Arial" w:cs="Arial" w:eastAsia="Arial" w:hAnsi="Arial"/>
                <w:sz w:val="11"/>
                <w:szCs w:val="11"/>
                <w:color w:val="3051F2"/>
              </w:rPr>
              <w:t>Certain Relationships and Related Transactions, and Director Independence</w:t>
            </w:r>
          </w:p>
        </w:tc>
        <w:tc>
          <w:tcPr>
            <w:tcW w:w="1220" w:type="dxa"/>
            <w:vAlign w:val="bottom"/>
            <w:tcBorders>
              <w:top w:val="single" w:sz="8" w:color="3051F2"/>
            </w:tcBorders>
            <w:gridSpan w:val="4"/>
          </w:tcPr>
          <w:p>
            <w:pPr>
              <w:spacing w:after="0"/>
              <w:rPr>
                <w:sz w:val="12"/>
                <w:szCs w:val="12"/>
                <w:color w:val="auto"/>
              </w:rPr>
            </w:pPr>
          </w:p>
        </w:tc>
        <w:tc>
          <w:tcPr>
            <w:tcW w:w="4260" w:type="dxa"/>
            <w:vAlign w:val="bottom"/>
            <w:gridSpan w:val="4"/>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14.</w:t>
            </w:r>
          </w:p>
        </w:tc>
        <w:tc>
          <w:tcPr>
            <w:tcW w:w="9360" w:type="dxa"/>
            <w:vAlign w:val="bottom"/>
            <w:gridSpan w:val="39"/>
          </w:tcPr>
          <w:p>
            <w:pPr>
              <w:spacing w:after="0"/>
              <w:rPr>
                <w:sz w:val="20"/>
                <w:szCs w:val="20"/>
                <w:color w:val="auto"/>
              </w:rPr>
            </w:pPr>
            <w:r>
              <w:rPr>
                <w:rFonts w:ascii="Arial" w:cs="Arial" w:eastAsia="Arial" w:hAnsi="Arial"/>
                <w:sz w:val="11"/>
                <w:szCs w:val="11"/>
                <w:color w:val="3051F2"/>
              </w:rPr>
              <w:t>Principal Accountant Fees and Services</w:t>
            </w:r>
          </w:p>
        </w:tc>
        <w:tc>
          <w:tcPr>
            <w:tcW w:w="9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84"/>
        </w:trPr>
        <w:tc>
          <w:tcPr>
            <w:tcW w:w="900" w:type="dxa"/>
            <w:vAlign w:val="bottom"/>
            <w:gridSpan w:val="3"/>
          </w:tcPr>
          <w:p>
            <w:pPr>
              <w:spacing w:after="0"/>
              <w:rPr>
                <w:sz w:val="20"/>
                <w:szCs w:val="20"/>
                <w:color w:val="auto"/>
              </w:rPr>
            </w:pPr>
            <w:r>
              <w:rPr>
                <w:rFonts w:ascii="Arial" w:cs="Arial" w:eastAsia="Arial" w:hAnsi="Arial"/>
                <w:sz w:val="11"/>
                <w:szCs w:val="11"/>
                <w:b w:val="1"/>
                <w:bCs w:val="1"/>
                <w:color w:val="3051F2"/>
              </w:rPr>
              <w:t>Part IV</w:t>
            </w:r>
          </w:p>
        </w:tc>
        <w:tc>
          <w:tcPr>
            <w:tcW w:w="260" w:type="dxa"/>
            <w:vAlign w:val="bottom"/>
            <w:tcBorders>
              <w:top w:val="single" w:sz="8" w:color="3051F2"/>
            </w:tcBorders>
          </w:tcPr>
          <w:p>
            <w:pPr>
              <w:spacing w:after="0"/>
              <w:rPr>
                <w:sz w:val="16"/>
                <w:szCs w:val="16"/>
                <w:color w:val="auto"/>
              </w:rPr>
            </w:pPr>
          </w:p>
        </w:tc>
        <w:tc>
          <w:tcPr>
            <w:tcW w:w="2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80" w:type="dxa"/>
            <w:vAlign w:val="bottom"/>
            <w:tcBorders>
              <w:top w:val="single" w:sz="8" w:color="3051F2"/>
            </w:tcBorders>
          </w:tcPr>
          <w:p>
            <w:pPr>
              <w:spacing w:after="0"/>
              <w:rPr>
                <w:sz w:val="16"/>
                <w:szCs w:val="16"/>
                <w:color w:val="auto"/>
              </w:rPr>
            </w:pPr>
          </w:p>
        </w:tc>
        <w:tc>
          <w:tcPr>
            <w:tcW w:w="6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4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30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160" w:type="dxa"/>
            <w:vAlign w:val="bottom"/>
            <w:tcBorders>
              <w:top w:val="single" w:sz="8" w:color="3051F2"/>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712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gridSpan w:val="3"/>
          </w:tcPr>
          <w:p>
            <w:pPr>
              <w:spacing w:after="0"/>
              <w:rPr>
                <w:sz w:val="20"/>
                <w:szCs w:val="20"/>
                <w:color w:val="auto"/>
              </w:rPr>
            </w:pPr>
            <w:r>
              <w:rPr>
                <w:rFonts w:ascii="Arial" w:cs="Arial" w:eastAsia="Arial" w:hAnsi="Arial"/>
                <w:sz w:val="11"/>
                <w:szCs w:val="11"/>
                <w:color w:val="auto"/>
              </w:rPr>
              <w:t>Item 15.</w:t>
            </w:r>
          </w:p>
        </w:tc>
        <w:tc>
          <w:tcPr>
            <w:tcW w:w="9360" w:type="dxa"/>
            <w:vAlign w:val="bottom"/>
            <w:gridSpan w:val="39"/>
          </w:tcPr>
          <w:p>
            <w:pPr>
              <w:spacing w:after="0"/>
              <w:rPr>
                <w:sz w:val="20"/>
                <w:szCs w:val="20"/>
                <w:color w:val="auto"/>
              </w:rPr>
            </w:pPr>
            <w:r>
              <w:rPr>
                <w:rFonts w:ascii="Arial" w:cs="Arial" w:eastAsia="Arial" w:hAnsi="Arial"/>
                <w:sz w:val="11"/>
                <w:szCs w:val="11"/>
                <w:color w:val="3051F2"/>
              </w:rPr>
              <w:t>Exhibits and Financial Statement Schedules</w:t>
            </w:r>
          </w:p>
        </w:tc>
        <w:tc>
          <w:tcPr>
            <w:tcW w:w="960" w:type="dxa"/>
            <w:vAlign w:val="bottom"/>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84"/>
        </w:trPr>
        <w:tc>
          <w:tcPr>
            <w:tcW w:w="900" w:type="dxa"/>
            <w:vAlign w:val="bottom"/>
            <w:gridSpan w:val="3"/>
          </w:tcPr>
          <w:p>
            <w:pPr>
              <w:spacing w:after="0"/>
              <w:rPr>
                <w:sz w:val="20"/>
                <w:szCs w:val="20"/>
                <w:color w:val="auto"/>
              </w:rPr>
            </w:pPr>
            <w:r>
              <w:rPr>
                <w:rFonts w:ascii="Arial" w:cs="Arial" w:eastAsia="Arial" w:hAnsi="Arial"/>
                <w:sz w:val="11"/>
                <w:szCs w:val="11"/>
                <w:color w:val="auto"/>
              </w:rPr>
              <w:t>Item 16.</w:t>
            </w:r>
          </w:p>
        </w:tc>
        <w:tc>
          <w:tcPr>
            <w:tcW w:w="1080" w:type="dxa"/>
            <w:vAlign w:val="bottom"/>
            <w:tcBorders>
              <w:top w:val="single" w:sz="8" w:color="3051F2"/>
              <w:bottom w:val="single" w:sz="8" w:color="3051F2"/>
            </w:tcBorders>
            <w:gridSpan w:val="10"/>
          </w:tcPr>
          <w:p>
            <w:pPr>
              <w:spacing w:after="0"/>
              <w:rPr>
                <w:sz w:val="20"/>
                <w:szCs w:val="20"/>
                <w:color w:val="auto"/>
              </w:rPr>
            </w:pPr>
            <w:r>
              <w:rPr>
                <w:rFonts w:ascii="Arial" w:cs="Arial" w:eastAsia="Arial" w:hAnsi="Arial"/>
                <w:sz w:val="11"/>
                <w:szCs w:val="11"/>
                <w:color w:val="3051F2"/>
              </w:rPr>
              <w:t>Form 10-K Summary</w:t>
            </w:r>
          </w:p>
        </w:tc>
        <w:tc>
          <w:tcPr>
            <w:tcW w:w="1160" w:type="dxa"/>
            <w:vAlign w:val="bottom"/>
            <w:tcBorders>
              <w:top w:val="single" w:sz="8" w:color="3051F2"/>
            </w:tcBorders>
            <w:gridSpan w:val="11"/>
          </w:tcPr>
          <w:p>
            <w:pPr>
              <w:spacing w:after="0"/>
              <w:rPr>
                <w:sz w:val="16"/>
                <w:szCs w:val="16"/>
                <w:color w:val="auto"/>
              </w:rPr>
            </w:pPr>
          </w:p>
        </w:tc>
        <w:tc>
          <w:tcPr>
            <w:tcW w:w="7120" w:type="dxa"/>
            <w:vAlign w:val="bottom"/>
            <w:gridSpan w:val="18"/>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Borders>
              <w:bottom w:val="single" w:sz="8" w:color="3051F2"/>
            </w:tcBorders>
            <w:gridSpan w:val="5"/>
          </w:tcPr>
          <w:p>
            <w:pPr>
              <w:spacing w:after="0"/>
              <w:rPr>
                <w:sz w:val="20"/>
                <w:szCs w:val="20"/>
                <w:color w:val="auto"/>
              </w:rPr>
            </w:pPr>
            <w:r>
              <w:rPr>
                <w:rFonts w:ascii="Arial" w:cs="Arial" w:eastAsia="Arial" w:hAnsi="Arial"/>
                <w:sz w:val="11"/>
                <w:szCs w:val="11"/>
                <w:color w:val="3051F2"/>
              </w:rPr>
              <w:t>Signatures</w:t>
            </w:r>
          </w:p>
        </w:tc>
        <w:tc>
          <w:tcPr>
            <w:tcW w:w="8800" w:type="dxa"/>
            <w:vAlign w:val="bottom"/>
            <w:gridSpan w:val="34"/>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7185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69215</wp:posOffset>
            </wp:positionV>
            <wp:extent cx="224790" cy="149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160" w:lineRule="exact"/>
        <w:rPr>
          <w:sz w:val="20"/>
          <w:szCs w:val="20"/>
          <w:color w:val="auto"/>
        </w:rPr>
      </w:pPr>
    </w:p>
    <w:p>
      <w:pPr>
        <w:ind w:left="520" w:hanging="256"/>
        <w:spacing w:after="0" w:line="26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weakness in macroeconomic conditions in our markets, including as a result of inflation (and related monetary policy actions by governments in response to inflation) and the instability of certain financial institutions;</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from operating globally including geopolitical, trade, tariff and regulatory uncertainties affecting developed and emerging markets;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volatility of cocoa and other commodity input costs, our ability to effectively hedge such costs and the availability of commodities;</w:t>
      </w:r>
    </w:p>
    <w:p>
      <w:pPr>
        <w:spacing w:after="0" w:line="10" w:lineRule="exact"/>
        <w:rPr>
          <w:rFonts w:ascii="Arial" w:cs="Arial" w:eastAsia="Arial" w:hAnsi="Arial"/>
          <w:sz w:val="14"/>
          <w:szCs w:val="14"/>
          <w:color w:val="auto"/>
        </w:rPr>
      </w:pPr>
    </w:p>
    <w:p>
      <w:pPr>
        <w:jc w:val="both"/>
        <w:ind w:left="520" w:hanging="256"/>
        <w:spacing w:after="0" w:line="25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competition and our response to channel shifts and pricing and other competitive pressures;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pricing actions and customer and consumer responses to such actions;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promotion and protection of our reputation and brand image;</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weakness in consumer spending and/or changes in consumer preferences and demand and our ability to predict, identify, interpret and meet these changes;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outcome and effects on us of legal and tax proceedings and government investigations;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use of information technology and third party service providers;</w:t>
      </w:r>
    </w:p>
    <w:p>
      <w:pPr>
        <w:spacing w:after="0" w:line="10" w:lineRule="exact"/>
        <w:rPr>
          <w:rFonts w:ascii="Arial" w:cs="Arial" w:eastAsia="Arial" w:hAnsi="Arial"/>
          <w:sz w:val="14"/>
          <w:szCs w:val="14"/>
          <w:color w:val="auto"/>
        </w:rPr>
      </w:pPr>
    </w:p>
    <w:p>
      <w:pPr>
        <w:ind w:left="520" w:hanging="256"/>
        <w:spacing w:after="0" w:line="25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unanticipated disruptions to our business, such as malware incidents, cyberattacks or other security breaches, and supply, commodity, labor and transportation constraints;</w:t>
      </w:r>
    </w:p>
    <w:p>
      <w:pPr>
        <w:spacing w:after="0" w:line="171" w:lineRule="exact"/>
        <w:rPr>
          <w:rFonts w:ascii="Arial" w:cs="Arial" w:eastAsia="Arial" w:hAnsi="Arial"/>
          <w:sz w:val="14"/>
          <w:szCs w:val="14"/>
          <w:color w:val="auto"/>
        </w:rPr>
      </w:pPr>
    </w:p>
    <w:p>
      <w:pPr>
        <w:ind w:left="520" w:hanging="256"/>
        <w:spacing w:after="0" w:line="25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investments and our ownership interests in those investments;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climate change on our supply chain and operations;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global or regional health pandemics or epidemics;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consolidation of retail customers and competition with retailer and other economy brands;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our relationships with customers, suppliers or distributors;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management of our workforce and shifts in labor availability or labor costs;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compliance with legal, regulatory, tax and benefit laws and related changes, claims or actions;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perceived or actual product quality issues or product recalls;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maintain effective internal control over financial reporting or disclosure controls and procedures;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protect our intellectual property and intangible assets;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tax matters including changes in tax laws and rates, disagreements with taxing authorities and imposition of new taxes;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currency exchange rates, controls and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150495</wp:posOffset>
            </wp:positionV>
            <wp:extent cx="224790" cy="14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106045</wp:posOffset>
            </wp:positionV>
            <wp:extent cx="718566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of and access to capital or other markets, interest rates, the effectiveness of our cash management programs and our liquidity;</w:t>
      </w:r>
    </w:p>
    <w:p>
      <w:pPr>
        <w:spacing w:after="0" w:line="24"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pension costs;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changes in valuation factors that may adversely affect our impairment testing of goodwill and intangible assets; and</w:t>
      </w:r>
    </w:p>
    <w:p>
      <w:pPr>
        <w:spacing w:after="0" w:line="10" w:lineRule="exact"/>
        <w:rPr>
          <w:rFonts w:ascii="Arial" w:cs="Arial" w:eastAsia="Arial" w:hAnsi="Arial"/>
          <w:sz w:val="14"/>
          <w:szCs w:val="14"/>
          <w:color w:val="auto"/>
        </w:rPr>
      </w:pPr>
    </w:p>
    <w:p>
      <w:pPr>
        <w:ind w:left="520" w:hanging="256"/>
        <w:spacing w:after="0" w:line="27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risks and uncertainties, as they may be amended from time to time, set forth in our filings with the U.S. Securities and Exchange Commission, including this Annual Report on Form 10-K and subsequent Quarterly Reports on Form 10-Q.</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497205</wp:posOffset>
            </wp:positionV>
            <wp:extent cx="224790"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106045</wp:posOffset>
            </wp:positionV>
            <wp:extent cx="718566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Mondelēz International’s purpose is to empower people to snack right. We sell our products in over 150 countries around the world. We are one of the world’s largest snack companies with global net revenues of $36.4 billion and net earnings of $4.6 billion in 2024. Our core business is making and selling chocolate, biscuits and baked snacks. We also have additional businesses in adjacent, locally relevant categories including gum &amp; candy, cheese &amp; grocery and powdered beverages. Our portfolio includes iconic global and local brands such as </w:t>
      </w:r>
      <w:r>
        <w:rPr>
          <w:rFonts w:ascii="Arial" w:cs="Arial" w:eastAsia="Arial" w:hAnsi="Arial"/>
          <w:sz w:val="14"/>
          <w:szCs w:val="14"/>
          <w:i w:val="1"/>
          <w:iCs w:val="1"/>
          <w:color w:val="auto"/>
        </w:rPr>
        <w:t>Oreo, Ritz, LU, Clif Bar</w:t>
      </w:r>
      <w:r>
        <w:rPr>
          <w:rFonts w:ascii="Arial" w:cs="Arial" w:eastAsia="Arial" w:hAnsi="Arial"/>
          <w:sz w:val="14"/>
          <w:szCs w:val="14"/>
          <w:color w:val="auto"/>
        </w:rPr>
        <w:t xml:space="preserve"> and </w:t>
      </w:r>
      <w:r>
        <w:rPr>
          <w:rFonts w:ascii="Arial" w:cs="Arial" w:eastAsia="Arial" w:hAnsi="Arial"/>
          <w:sz w:val="14"/>
          <w:szCs w:val="14"/>
          <w:i w:val="1"/>
          <w:iCs w:val="1"/>
          <w:color w:val="auto"/>
        </w:rPr>
        <w:t>Tate’s Bake Shop</w:t>
      </w:r>
      <w:r>
        <w:rPr>
          <w:rFonts w:ascii="Arial" w:cs="Arial" w:eastAsia="Arial" w:hAnsi="Arial"/>
          <w:sz w:val="14"/>
          <w:szCs w:val="14"/>
          <w:color w:val="auto"/>
        </w:rPr>
        <w:t xml:space="preserve"> biscuits and baked snacks, as well as </w:t>
      </w:r>
      <w:r>
        <w:rPr>
          <w:rFonts w:ascii="Arial" w:cs="Arial" w:eastAsia="Arial" w:hAnsi="Arial"/>
          <w:sz w:val="14"/>
          <w:szCs w:val="14"/>
          <w:i w:val="1"/>
          <w:iCs w:val="1"/>
          <w:color w:val="auto"/>
        </w:rPr>
        <w:t>Cadbury Dairy Milk, Milka</w:t>
      </w:r>
      <w:r>
        <w:rPr>
          <w:rFonts w:ascii="Arial" w:cs="Arial" w:eastAsia="Arial" w:hAnsi="Arial"/>
          <w:sz w:val="14"/>
          <w:szCs w:val="14"/>
          <w:color w:val="auto"/>
        </w:rPr>
        <w:t xml:space="preserve"> and </w:t>
      </w:r>
      <w:r>
        <w:rPr>
          <w:rFonts w:ascii="Arial" w:cs="Arial" w:eastAsia="Arial" w:hAnsi="Arial"/>
          <w:sz w:val="14"/>
          <w:szCs w:val="14"/>
          <w:i w:val="1"/>
          <w:iCs w:val="1"/>
          <w:color w:val="auto"/>
        </w:rPr>
        <w:t>Toblerone</w:t>
      </w:r>
      <w:r>
        <w:rPr>
          <w:rFonts w:ascii="Arial" w:cs="Arial" w:eastAsia="Arial" w:hAnsi="Arial"/>
          <w:sz w:val="14"/>
          <w:szCs w:val="14"/>
          <w:color w:val="auto"/>
        </w:rPr>
        <w:t xml:space="preserve"> chocolate.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strive to create a positive impact on the world and communities in which we operate while driving business performance. Our goal is to lead the future of snacking around the world by offering the right snack, for the right moment, made the right way. We aim to deliver a broad range of delicious, high-quality snacks that nourish life’s moments, made with sustainable ingredients and packaging.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aim to be the global leader in snacking by focusing on growth, execution, culture and sustainability. We are optimizing our portfolio of leading brands and have refined our strategy to accelerate growth, prioritizing our fast-growing core categories of chocolate, biscuits and baked snacks. Our strategic plan builds on our strong foundations, including leadership in attractive categories, an attractive global footprint, a strong core of iconic global and local brands, marketing, sales, distribution and cost excellence capabilities and top talent with a growth mindset.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Our plan to drive long-term growth includes four strategic priorities:</w:t>
      </w:r>
    </w:p>
    <w:p>
      <w:pPr>
        <w:spacing w:after="0" w:line="204" w:lineRule="exact"/>
        <w:rPr>
          <w:sz w:val="20"/>
          <w:szCs w:val="20"/>
          <w:color w:val="auto"/>
        </w:rPr>
      </w:pPr>
    </w:p>
    <w:p>
      <w:pPr>
        <w:jc w:val="both"/>
        <w:ind w:left="520" w:hanging="256"/>
        <w:spacing w:after="0" w:line="26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Accelerate consumer-centric growth. </w:t>
      </w:r>
      <w:r>
        <w:rPr>
          <w:rFonts w:ascii="Arial" w:cs="Arial" w:eastAsia="Arial" w:hAnsi="Arial"/>
          <w:sz w:val="14"/>
          <w:szCs w:val="14"/>
          <w:color w:val="auto"/>
        </w:rPr>
        <w:t>Our consumers are the reason we want to be the best snacking company in the world, and we put them at the heart of everything we</w:t>
      </w:r>
      <w:r>
        <w:rPr>
          <w:rFonts w:ascii="Arial" w:cs="Arial" w:eastAsia="Arial" w:hAnsi="Arial"/>
          <w:sz w:val="14"/>
          <w:szCs w:val="14"/>
          <w:i w:val="1"/>
          <w:iCs w:val="1"/>
          <w:color w:val="auto"/>
        </w:rPr>
        <w:t xml:space="preserve"> </w:t>
      </w:r>
      <w:r>
        <w:rPr>
          <w:rFonts w:ascii="Arial" w:cs="Arial" w:eastAsia="Arial" w:hAnsi="Arial"/>
          <w:sz w:val="14"/>
          <w:szCs w:val="14"/>
          <w:color w:val="auto"/>
        </w:rPr>
        <w:t>do. With our consumers in mind, we are focused on accelerating and increasing our focus on chocolate, biscuits and baked snacks by investing in both our global and local brands. We are working to deliver multi-category growth in key geographies, expand our presence in high growth channels and increase our presence in under-represented segments and price tiers. As demands on consumers’ time increase and consumer eating habits evolve, we aim to meet consumers' snacking needs. We plan to test, learn and scale new product offerings quickly to meet diverse and evolving local and global snacking demand.</w:t>
      </w:r>
    </w:p>
    <w:p>
      <w:pPr>
        <w:spacing w:after="0" w:line="160" w:lineRule="exact"/>
        <w:rPr>
          <w:rFonts w:ascii="Arial" w:cs="Arial" w:eastAsia="Arial" w:hAnsi="Arial"/>
          <w:sz w:val="14"/>
          <w:szCs w:val="14"/>
          <w:color w:val="auto"/>
        </w:rPr>
      </w:pPr>
    </w:p>
    <w:p>
      <w:pPr>
        <w:jc w:val="both"/>
        <w:ind w:left="520" w:hanging="256"/>
        <w:spacing w:after="0" w:line="26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Drive operational excellence. </w:t>
      </w:r>
      <w:r>
        <w:rPr>
          <w:rFonts w:ascii="Arial" w:cs="Arial" w:eastAsia="Arial" w:hAnsi="Arial"/>
          <w:sz w:val="14"/>
          <w:szCs w:val="14"/>
          <w:color w:val="auto"/>
        </w:rPr>
        <w:t>Our operational excellence and continuous improvement plans include a special focus on the consumer-facing areas of our business and</w:t>
      </w:r>
      <w:r>
        <w:rPr>
          <w:rFonts w:ascii="Arial" w:cs="Arial" w:eastAsia="Arial" w:hAnsi="Arial"/>
          <w:sz w:val="14"/>
          <w:szCs w:val="14"/>
          <w:i w:val="1"/>
          <w:iCs w:val="1"/>
          <w:color w:val="auto"/>
        </w:rPr>
        <w:t xml:space="preserve"> </w:t>
      </w:r>
      <w:r>
        <w:rPr>
          <w:rFonts w:ascii="Arial" w:cs="Arial" w:eastAsia="Arial" w:hAnsi="Arial"/>
          <w:sz w:val="14"/>
          <w:szCs w:val="14"/>
          <w:color w:val="auto"/>
        </w:rPr>
        <w:t>optimizing our sales, marketing and customer service efforts. To drive productivity gains and cost improvements across our business, we also plan to continue leveraging our global shared services platform, driving greater efficiencies in our supply chain informed by a consumer-centric approach and applying strong cost discipline across our operations. We expect the improvements and efficiencies we drive will fuel our growth and continue to expand profit dollars. We are also focused on boosting digital commerce and on our digital transformation program that will help us to meet consumer demand and generate incremental sales opportunities.</w:t>
      </w:r>
    </w:p>
    <w:p>
      <w:pPr>
        <w:spacing w:after="0" w:line="160" w:lineRule="exact"/>
        <w:rPr>
          <w:rFonts w:ascii="Arial" w:cs="Arial" w:eastAsia="Arial" w:hAnsi="Arial"/>
          <w:sz w:val="14"/>
          <w:szCs w:val="14"/>
          <w:color w:val="auto"/>
        </w:rPr>
      </w:pPr>
    </w:p>
    <w:p>
      <w:pPr>
        <w:jc w:val="both"/>
        <w:ind w:left="520" w:hanging="256"/>
        <w:spacing w:after="0" w:line="264"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Build a winning growth culture. </w:t>
      </w:r>
      <w:r>
        <w:rPr>
          <w:rFonts w:ascii="Arial" w:cs="Arial" w:eastAsia="Arial" w:hAnsi="Arial"/>
          <w:sz w:val="14"/>
          <w:szCs w:val="14"/>
          <w:color w:val="auto"/>
        </w:rPr>
        <w:t>To support the acceleration of our growth, we are becoming more agile, digital and local-consumer focused. We are committed to investing</w:t>
      </w:r>
      <w:r>
        <w:rPr>
          <w:rFonts w:ascii="Arial" w:cs="Arial" w:eastAsia="Arial" w:hAnsi="Arial"/>
          <w:sz w:val="14"/>
          <w:szCs w:val="14"/>
          <w:i w:val="1"/>
          <w:iCs w:val="1"/>
          <w:color w:val="auto"/>
        </w:rPr>
        <w:t xml:space="preserve"> </w:t>
      </w:r>
      <w:r>
        <w:rPr>
          <w:rFonts w:ascii="Arial" w:cs="Arial" w:eastAsia="Arial" w:hAnsi="Arial"/>
          <w:sz w:val="14"/>
          <w:szCs w:val="14"/>
          <w:color w:val="auto"/>
        </w:rPr>
        <w:t>in a diverse and talented workforce that helps our business move forward with greater speed and agility along with future-forward growth capabilities. We empower our local teams to innovate and deliver consumers’ snacking needs while continuing to leverage our global scale to efficiently support our growth strategy. We have given our local teams more autonomy to drive commercial and innovation plans as they are closer to the needs and desires of consumers. We will continue to leverage the efficiency and scale of our regional operating units while empowering our local and commercial operations to respond faster to changing consumer preferences and capitalize on growth opportunities. We believe our efforts to continue advancing a winning growth culture will help drive profitable top-line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255270</wp:posOffset>
            </wp:positionV>
            <wp:extent cx="224790"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106045</wp:posOffset>
            </wp:positionV>
            <wp:extent cx="718566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ind w:left="520" w:hanging="256"/>
        <w:spacing w:after="0" w:line="26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Scale sustainable snacking</w:t>
      </w:r>
      <w:r>
        <w:rPr>
          <w:rFonts w:ascii="Arial" w:cs="Arial" w:eastAsia="Arial" w:hAnsi="Arial"/>
          <w:sz w:val="14"/>
          <w:szCs w:val="14"/>
          <w:color w:val="auto"/>
        </w:rPr>
        <w:t>. We continue to focus significant efforts to drive progress against our core initiatives for more sustainable and mindful snacking. We have 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clear strategic approach to focus on the areas where we believe we can drive the most impact with a sustainable snacking strategy, with environmental, social and governance (“ESG”) goals and initiatives that include significant involvement and oversight by our leadership and Board of Directors. This includes ongoing efforts to sustainably source key ingredients, reduce our end-to-end environmental impact and innovate our processes and packaging to reduce waste and promote recycling. Please see our </w:t>
      </w:r>
      <w:r>
        <w:rPr>
          <w:rFonts w:ascii="Arial" w:cs="Arial" w:eastAsia="Arial" w:hAnsi="Arial"/>
          <w:sz w:val="14"/>
          <w:szCs w:val="14"/>
          <w:i w:val="1"/>
          <w:iCs w:val="1"/>
          <w:color w:val="auto"/>
        </w:rPr>
        <w:t>Sustainability and Mindful Snacking</w:t>
      </w:r>
      <w:r>
        <w:rPr>
          <w:rFonts w:ascii="Arial" w:cs="Arial" w:eastAsia="Arial" w:hAnsi="Arial"/>
          <w:sz w:val="14"/>
          <w:szCs w:val="14"/>
          <w:color w:val="auto"/>
        </w:rPr>
        <w:t xml:space="preserve"> section below.</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run our business with a long-term perspective and we believe the successful delivery of our strategic plan will drive consistent top- and bottom-line growth and enable us to create long-term value for our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Operations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We sell our products in over 150 countries and have operations in approximately 80 countries, including 147 principal manufacturing and processing facilities across 46 countries. The portion of our net revenues generated outside the United States was 74.0% in 2024, 73.4% in 2023 and 73.6% in 2022. For more information on our U.S. and non-U.S. operations, refer to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on our manufacturing and other facilities, refer to Item 2, </w:t>
      </w:r>
      <w:r>
        <w:rPr>
          <w:rFonts w:ascii="Arial" w:cs="Arial" w:eastAsia="Arial" w:hAnsi="Arial"/>
          <w:sz w:val="14"/>
          <w:szCs w:val="14"/>
          <w:i w:val="1"/>
          <w:iCs w:val="1"/>
          <w:color w:val="auto"/>
        </w:rPr>
        <w:t>Properties</w:t>
      </w:r>
      <w:r>
        <w:rPr>
          <w:rFonts w:ascii="Arial" w:cs="Arial" w:eastAsia="Arial" w:hAnsi="Arial"/>
          <w:sz w:val="14"/>
          <w:szCs w:val="14"/>
          <w:color w:val="auto"/>
        </w:rPr>
        <w:t xml:space="preserve">; and on risks related to our operations outside the United States, see Item 1A,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We also monitor our revenue growth across emerging markets and developed markets:</w:t>
      </w:r>
    </w:p>
    <w:p>
      <w:pPr>
        <w:spacing w:after="0" w:line="25" w:lineRule="exact"/>
        <w:rPr>
          <w:sz w:val="20"/>
          <w:szCs w:val="20"/>
          <w:color w:val="auto"/>
        </w:rPr>
      </w:pPr>
    </w:p>
    <w:p>
      <w:pPr>
        <w:jc w:val="both"/>
        <w:ind w:left="520" w:hanging="256"/>
        <w:spacing w:after="0" w:line="25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emerging markets include our Latin America region in its entirety; the Asia, Middle East and Africa (“AMEA”) region, excluding Australia, New Zealand and Japan; and the following countries from the Europe region: Russia, Ukraine, Türkiye, Kazakhstan, Georgia, Poland, Czech Republic, Slovak Republic, Hungary, Bulgaria, Romania, the Baltics and the East Adriatic countries.</w:t>
      </w:r>
    </w:p>
    <w:p>
      <w:pPr>
        <w:ind w:left="520" w:hanging="256"/>
        <w:spacing w:after="0" w:line="277"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developed markets include the entire North America region, the Europe region excluding the countries included in the emerging markets definition, and Australia, New Zealand and Japan from the AMEA region.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operations and management structure are organized into four operating segments:</w:t>
      </w:r>
    </w:p>
    <w:p>
      <w:pPr>
        <w:spacing w:after="0" w:line="25" w:lineRule="exact"/>
        <w:rPr>
          <w:sz w:val="20"/>
          <w:szCs w:val="20"/>
          <w:color w:val="auto"/>
        </w:rPr>
      </w:pPr>
    </w:p>
    <w:p>
      <w:pPr>
        <w:ind w:left="520" w:hanging="25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Latin America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AMEA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Europe</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North America</w:t>
      </w:r>
    </w:p>
    <w:p>
      <w:pPr>
        <w:spacing w:after="0" w:line="190"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see Note 18, </w:t>
      </w:r>
      <w:r>
        <w:rPr>
          <w:rFonts w:ascii="Arial" w:cs="Arial" w:eastAsia="Arial" w:hAnsi="Arial"/>
          <w:sz w:val="14"/>
          <w:szCs w:val="14"/>
          <w:i w:val="1"/>
          <w:iCs w:val="1"/>
          <w:color w:val="auto"/>
        </w:rPr>
        <w:t>Segment Reporting and Management’s Discussion and Analysis of Financial Condition and Results of Operations</w:t>
      </w:r>
      <w:r>
        <w:rPr>
          <w:rFonts w:ascii="Arial" w:cs="Arial" w:eastAsia="Arial" w:hAnsi="Arial"/>
          <w:sz w:val="14"/>
          <w:szCs w:val="14"/>
          <w:color w:val="auto"/>
        </w:rPr>
        <w:t xml:space="preserve">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Categories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brands span five product categories:</w:t>
      </w:r>
    </w:p>
    <w:p>
      <w:pPr>
        <w:spacing w:after="0" w:line="25" w:lineRule="exact"/>
        <w:rPr>
          <w:sz w:val="20"/>
          <w:szCs w:val="20"/>
          <w:color w:val="auto"/>
        </w:rPr>
      </w:pPr>
    </w:p>
    <w:p>
      <w:pPr>
        <w:ind w:left="640" w:hanging="24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Biscuits &amp; Baked Snacks (including cookies, crackers, salted snacks, snack bars and cakes &amp; pastries)</w:t>
      </w:r>
    </w:p>
    <w:p>
      <w:pPr>
        <w:spacing w:after="0" w:line="10" w:lineRule="exact"/>
        <w:rPr>
          <w:rFonts w:ascii="Arial" w:cs="Arial" w:eastAsia="Arial" w:hAnsi="Arial"/>
          <w:sz w:val="14"/>
          <w:szCs w:val="14"/>
          <w:color w:val="auto"/>
        </w:rPr>
      </w:pPr>
    </w:p>
    <w:p>
      <w:pPr>
        <w:ind w:left="640" w:hanging="24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Chocolate</w:t>
      </w:r>
    </w:p>
    <w:p>
      <w:pPr>
        <w:spacing w:after="0" w:line="10" w:lineRule="exact"/>
        <w:rPr>
          <w:rFonts w:ascii="Arial" w:cs="Arial" w:eastAsia="Arial" w:hAnsi="Arial"/>
          <w:sz w:val="14"/>
          <w:szCs w:val="14"/>
          <w:color w:val="auto"/>
        </w:rPr>
      </w:pPr>
    </w:p>
    <w:p>
      <w:pPr>
        <w:ind w:left="640" w:hanging="24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Gum &amp; candy</w:t>
      </w:r>
    </w:p>
    <w:p>
      <w:pPr>
        <w:spacing w:after="0" w:line="10" w:lineRule="exact"/>
        <w:rPr>
          <w:rFonts w:ascii="Arial" w:cs="Arial" w:eastAsia="Arial" w:hAnsi="Arial"/>
          <w:sz w:val="14"/>
          <w:szCs w:val="14"/>
          <w:color w:val="auto"/>
        </w:rPr>
      </w:pPr>
    </w:p>
    <w:p>
      <w:pPr>
        <w:ind w:left="640" w:hanging="24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Beverages</w:t>
      </w:r>
    </w:p>
    <w:p>
      <w:pPr>
        <w:spacing w:after="0" w:line="10" w:lineRule="exact"/>
        <w:rPr>
          <w:rFonts w:ascii="Arial" w:cs="Arial" w:eastAsia="Arial" w:hAnsi="Arial"/>
          <w:sz w:val="14"/>
          <w:szCs w:val="14"/>
          <w:color w:val="auto"/>
        </w:rPr>
      </w:pPr>
    </w:p>
    <w:p>
      <w:pPr>
        <w:ind w:left="640" w:hanging="24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Cheese &amp; grocery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4" w:lineRule="exact"/>
        <w:rPr>
          <w:sz w:val="20"/>
          <w:szCs w:val="20"/>
          <w:color w:val="auto"/>
        </w:rPr>
      </w:pPr>
    </w:p>
    <w:p>
      <w:pPr>
        <w:ind w:right="180"/>
        <w:spacing w:after="0" w:line="298" w:lineRule="auto"/>
        <w:rPr>
          <w:sz w:val="20"/>
          <w:szCs w:val="20"/>
          <w:color w:val="auto"/>
        </w:rPr>
      </w:pPr>
      <w:r>
        <w:rPr>
          <w:rFonts w:ascii="Arial" w:cs="Arial" w:eastAsia="Arial" w:hAnsi="Arial"/>
          <w:sz w:val="14"/>
          <w:szCs w:val="14"/>
          <w:color w:val="auto"/>
        </w:rPr>
        <w:t>Demand for our products is generally balanced throughout the year, with increases in the fourth quarter primarily because of holidays and other seasonal events. Depending on the timing of Easter, the holiday sales may shift between and affect net revenue in the first and second quarter.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We generally sell our products to supermarket chains, wholesalers, supercenters, club stores, mass merchandisers, distributors, convenience stores, gasoline stations, drug stores, value stores and other retail food outlets. We also sell products directly to businesses and consumers through various pure play e-retail platforms, retailer digital platforms, our direct-to-consumer websites and social media platforms. No single customer accounted for 10% or more of our net revenues from continuing operations in 2024. For a discussion of long-term demographics, consumer trends and demand, refer to our </w:t>
      </w:r>
      <w:r>
        <w:rPr>
          <w:rFonts w:ascii="Arial" w:cs="Arial" w:eastAsia="Arial" w:hAnsi="Arial"/>
          <w:sz w:val="14"/>
          <w:szCs w:val="14"/>
          <w:i w:val="1"/>
          <w:iCs w:val="1"/>
          <w:color w:val="auto"/>
        </w:rPr>
        <w:t>Financial Outlook</w:t>
      </w:r>
      <w:r>
        <w:rPr>
          <w:rFonts w:ascii="Arial" w:cs="Arial" w:eastAsia="Arial" w:hAnsi="Arial"/>
          <w:sz w:val="14"/>
          <w:szCs w:val="14"/>
          <w:color w:val="auto"/>
        </w:rPr>
        <w:t xml:space="preserve"> within </w:t>
      </w:r>
      <w:r>
        <w:rPr>
          <w:rFonts w:ascii="Arial" w:cs="Arial" w:eastAsia="Arial" w:hAnsi="Arial"/>
          <w:sz w:val="14"/>
          <w:szCs w:val="14"/>
          <w:i w:val="1"/>
          <w:iCs w:val="1"/>
          <w:color w:val="auto"/>
        </w:rPr>
        <w:t>Management’s Discussion and Analysis of Financial Condition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Results of Operations</w:t>
      </w:r>
      <w:r>
        <w:rPr>
          <w:rFonts w:ascii="Arial" w:cs="Arial" w:eastAsia="Arial" w:hAnsi="Arial"/>
          <w:sz w:val="14"/>
          <w:szCs w:val="14"/>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and Marketing</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product distribution network encompasses direct store delivery, company-owned and satellite warehouses, distribution centers, third party distributors and other facilities. Additionally, we leverage the services of independent sales offices and agents in various international locations. Through our global digital commerce organization and capabilities, we pursue online growth with partners in key markets around the world, including both pure e-tailers and omni-channel retailers. We continue to invest in advertising and consumer promotions, talent and digital capabilities. Our digital commerce channel strategies play a critical role in our ambition to be the global leader in snacking.</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marketing initiatives are categorized in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Development and Innovation</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innovation and new product development objectives include continuous improvement in food safety and quality, growth through new products, superior consumer satisfaction and reduced production costs. We have established a robust framework for innovation to drive a technology pipeline supporting the creation of new product bundles across short-, medium- and long-term horizons. These bundles enhance our portfolio to address evolving consumer preferences and market trends, nutritional needs as well as reduce our environmental impact. We work to test and learn new ideas and implement successful ones into other areas of our business. To drive growth, creativity, greater effectiveness, improved efficiency and accelerated project delivery, we are focusing our technical research and development resources at technical centers around the globe.</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Mindful snacking and sustainability are a significant focus of our current research and development initiatives. We work to introduce new varieties of our core products, including new taste or nutrition profiles that cater to evolving consumer preferences, such as the launch in the UK of </w:t>
      </w:r>
      <w:r>
        <w:rPr>
          <w:rFonts w:ascii="Arial" w:cs="Arial" w:eastAsia="Arial" w:hAnsi="Arial"/>
          <w:sz w:val="14"/>
          <w:szCs w:val="14"/>
          <w:i w:val="1"/>
          <w:iCs w:val="1"/>
          <w:color w:val="auto"/>
        </w:rPr>
        <w:t>Cadbury Dairy Milk &amp; MORE</w:t>
      </w:r>
      <w:r>
        <w:rPr>
          <w:rFonts w:ascii="Arial" w:cs="Arial" w:eastAsia="Arial" w:hAnsi="Arial"/>
          <w:sz w:val="14"/>
          <w:szCs w:val="14"/>
          <w:color w:val="auto"/>
        </w:rPr>
        <w:t xml:space="preserve">, a multi-dimensional tablet designed to deliver a richer, more indulgent eating experience, zero-sugar </w:t>
      </w:r>
      <w:r>
        <w:rPr>
          <w:rFonts w:ascii="Arial" w:cs="Arial" w:eastAsia="Arial" w:hAnsi="Arial"/>
          <w:sz w:val="14"/>
          <w:szCs w:val="14"/>
          <w:i w:val="1"/>
          <w:iCs w:val="1"/>
          <w:color w:val="auto"/>
        </w:rPr>
        <w:t>Oreo’s</w:t>
      </w:r>
      <w:r>
        <w:rPr>
          <w:rFonts w:ascii="Arial" w:cs="Arial" w:eastAsia="Arial" w:hAnsi="Arial"/>
          <w:sz w:val="14"/>
          <w:szCs w:val="14"/>
          <w:color w:val="auto"/>
        </w:rPr>
        <w:t xml:space="preserve"> in China and reduced sugar candies under </w:t>
      </w:r>
      <w:r>
        <w:rPr>
          <w:rFonts w:ascii="Arial" w:cs="Arial" w:eastAsia="Arial" w:hAnsi="Arial"/>
          <w:sz w:val="14"/>
          <w:szCs w:val="14"/>
          <w:i w:val="1"/>
          <w:iCs w:val="1"/>
          <w:color w:val="auto"/>
        </w:rPr>
        <w:t>The Natural Confectionary Company</w:t>
      </w:r>
      <w:r>
        <w:rPr>
          <w:rFonts w:ascii="Arial" w:cs="Arial" w:eastAsia="Arial" w:hAnsi="Arial"/>
          <w:sz w:val="14"/>
          <w:szCs w:val="14"/>
          <w:color w:val="auto"/>
        </w:rPr>
        <w:t xml:space="preserve"> brand in Australia. We continue to expand our portfolio of cakes and pastries in new markets and with updated formats including </w:t>
      </w:r>
      <w:r>
        <w:rPr>
          <w:rFonts w:ascii="Arial" w:cs="Arial" w:eastAsia="Arial" w:hAnsi="Arial"/>
          <w:sz w:val="14"/>
          <w:szCs w:val="14"/>
          <w:i w:val="1"/>
          <w:iCs w:val="1"/>
          <w:color w:val="auto"/>
        </w:rPr>
        <w:t>Milka</w:t>
      </w:r>
      <w:r>
        <w:rPr>
          <w:rFonts w:ascii="Arial" w:cs="Arial" w:eastAsia="Arial" w:hAnsi="Arial"/>
          <w:sz w:val="14"/>
          <w:szCs w:val="14"/>
          <w:color w:val="auto"/>
        </w:rPr>
        <w:t xml:space="preserve"> brownies </w:t>
      </w:r>
      <w:r>
        <w:rPr>
          <w:rFonts w:ascii="Arial" w:cs="Arial" w:eastAsia="Arial" w:hAnsi="Arial"/>
          <w:sz w:val="14"/>
          <w:szCs w:val="14"/>
          <w:i w:val="1"/>
          <w:iCs w:val="1"/>
          <w:color w:val="auto"/>
        </w:rPr>
        <w:t>a</w:t>
      </w:r>
      <w:r>
        <w:rPr>
          <w:rFonts w:ascii="Arial" w:cs="Arial" w:eastAsia="Arial" w:hAnsi="Arial"/>
          <w:sz w:val="14"/>
          <w:szCs w:val="14"/>
          <w:color w:val="auto"/>
        </w:rPr>
        <w:t xml:space="preserve">nd </w:t>
      </w:r>
      <w:r>
        <w:rPr>
          <w:rFonts w:ascii="Arial" w:cs="Arial" w:eastAsia="Arial" w:hAnsi="Arial"/>
          <w:sz w:val="14"/>
          <w:szCs w:val="14"/>
          <w:i w:val="1"/>
          <w:iCs w:val="1"/>
          <w:color w:val="auto"/>
        </w:rPr>
        <w:t>Oreo</w:t>
      </w:r>
      <w:r>
        <w:rPr>
          <w:rFonts w:ascii="Arial" w:cs="Arial" w:eastAsia="Arial" w:hAnsi="Arial"/>
          <w:sz w:val="14"/>
          <w:szCs w:val="14"/>
          <w:color w:val="auto"/>
        </w:rPr>
        <w:t xml:space="preserve"> cakes</w:t>
      </w:r>
      <w:r>
        <w:rPr>
          <w:rFonts w:ascii="Arial" w:cs="Arial" w:eastAsia="Arial" w:hAnsi="Arial"/>
          <w:sz w:val="14"/>
          <w:szCs w:val="14"/>
          <w:i w:val="1"/>
          <w:iCs w:val="1"/>
          <w:color w:val="auto"/>
        </w:rPr>
        <w:t>.</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also have a dedicated innovation and venture hub, SnackFutures, specifically tailored to leverage emerging consumer trends and growth opportunities in mindful snacking. The core objectives of this group are aligned with three key strategic areas: invent new brands and businesses, invest in early-stage entrepreneurs and amplify SnackFutures’ influence through the CoLab start-up engagement and mentoring programs built to equip start-ups with essential tools, technologies and expertise that can help them learn, grow and succeed.</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operate in highly competitive markets that are comprised of global, regional and local competitors, including new start-up brands and businesses.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our digital and other sales and marketing strategies, routes to market and distribution networks, promotional activities and price. Our advantaged global footprint, operating scale and portfolio of brands have all significantly contributed to building our market-leading positions across most of the product categories in which we sell. To grow and maintain our market positions, we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focus on meeting consumer needs and preferences through a local-first commercial focus with a broad array of product formats, pack sizes and price points, new digital and other sales and marketing initiatives, product innovation and high standards of product quality. We also continue to optimize our manufacturing and supply chain networks and invest in our brands through ongoing research and development, advertising, marketing and consumer promotions.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 and Packaging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purchase and use large quantities of commodities, including cocoa, dairy, wheat, edible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number of external factors such as the current macroeconomic environment, including global inflation and the effects of geopolitical uncertainty, climate and weather conditions, trade and regulatory uncertainty, commodity, transportation and labor market conditions, supply chain disruptions,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additional information, refer to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Commodity Trends</w:t>
      </w:r>
      <w:r>
        <w:rPr>
          <w:rFonts w:ascii="Arial" w:cs="Arial" w:eastAsia="Arial" w:hAnsi="Arial"/>
          <w:sz w:val="14"/>
          <w:szCs w:val="14"/>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We believe the strength of our workforce is one of the significant contributors to our success as a purpose-led, global company. All our employees contribute to our success and help us drive strong financial performance. </w:t>
      </w:r>
      <w:r>
        <w:rPr>
          <w:rFonts w:ascii="Arial" w:cs="Arial" w:eastAsia="Arial" w:hAnsi="Arial"/>
          <w:sz w:val="14"/>
          <w:szCs w:val="14"/>
          <w:color w:val="333333"/>
        </w:rPr>
        <w:t>Attracting, developing and retaining global talent with the right skills to drive our business is central to our purpose, mission and long-term growth strategy.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Workforce Profile</w:t>
      </w:r>
      <w:r>
        <w:rPr>
          <w:rFonts w:ascii="Arial" w:cs="Arial" w:eastAsia="Arial" w:hAnsi="Arial"/>
          <w:sz w:val="14"/>
          <w:szCs w:val="14"/>
          <w:color w:val="auto"/>
        </w:rPr>
        <w:t>: At December 31, 2024, we had approximately 90,000 employees. At December 31, 2024, we had approximately 12,000 U.S. employees and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78,000 employees outside the United States, with employees represented by labor unions or workers’ councils representing approximately 20% of our U.S. employees and approximately 60% of our employees outside the United States.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Workplace Safety and Wellness</w:t>
      </w:r>
      <w:r>
        <w:rPr>
          <w:rFonts w:ascii="Arial" w:cs="Arial" w:eastAsia="Arial" w:hAnsi="Arial"/>
          <w:sz w:val="14"/>
          <w:szCs w:val="14"/>
          <w:color w:val="auto"/>
        </w:rPr>
        <w:t>: We promote a strong culture of safety and prioritize keeping all our employees, contractors and visitors safe. To accomplish this, we employ</w:t>
      </w:r>
      <w:r>
        <w:rPr>
          <w:rFonts w:ascii="Arial" w:cs="Arial" w:eastAsia="Arial" w:hAnsi="Arial"/>
          <w:sz w:val="14"/>
          <w:szCs w:val="14"/>
          <w:i w:val="1"/>
          <w:iCs w:val="1"/>
          <w:color w:val="auto"/>
        </w:rPr>
        <w:t xml:space="preserve"> </w:t>
      </w:r>
      <w:r>
        <w:rPr>
          <w:rFonts w:ascii="Arial" w:cs="Arial" w:eastAsia="Arial" w:hAnsi="Arial"/>
          <w:sz w:val="14"/>
          <w:szCs w:val="14"/>
          <w:color w:val="auto"/>
        </w:rPr>
        <w:t>comprehensive health, safety and environment management policies and standards throughout the organization. In addition, we strive to continuously improve our work processes, tools and metrics to mitigate and prevent workplace injuries and enhance safety.</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remain committed to providing a modern and flexible approach to how and where we work. Our hybrid work model allows our office-based employees to engage with colleagues, customers and suppliers in-person on a regular basis while also leveraging innovative technology to optimize collaboration across geographically dispersed teams.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Talent Management and Development: </w:t>
      </w:r>
      <w:r>
        <w:rPr>
          <w:rFonts w:ascii="Arial" w:cs="Arial" w:eastAsia="Arial" w:hAnsi="Arial"/>
          <w:sz w:val="14"/>
          <w:szCs w:val="14"/>
          <w:color w:val="auto"/>
        </w:rPr>
        <w:t>Maintaining a robust pipeline of talent is crucial to our ongoing success and to our succession planning efforts across the organization. Our</w:t>
      </w:r>
      <w:r>
        <w:rPr>
          <w:rFonts w:ascii="Arial" w:cs="Arial" w:eastAsia="Arial" w:hAnsi="Arial"/>
          <w:sz w:val="14"/>
          <w:szCs w:val="14"/>
          <w:i w:val="1"/>
          <w:iCs w:val="1"/>
          <w:color w:val="auto"/>
        </w:rPr>
        <w:t xml:space="preserve"> </w:t>
      </w:r>
      <w:r>
        <w:rPr>
          <w:rFonts w:ascii="Arial" w:cs="Arial" w:eastAsia="Arial" w:hAnsi="Arial"/>
          <w:sz w:val="14"/>
          <w:szCs w:val="14"/>
          <w:color w:val="auto"/>
        </w:rPr>
        <w:t>leadership and people teams are responsible for attracting and retaining top talent by facilitating an environment where employees feel supported and encouraged in their professional and personal development.</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Specifically, we review strategic positions regularly and identify potential internal candidates to fill those roles, evaluating job skill sets to identify competency gaps and creating developmental plans to facilitate employee professional growth. We believe in supporting a healthy balance between development and advancement of internal talent and infusion of new talent and capabilities to enhance our teams.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invest in our employees through training and development programs, on the job experiences, coaching, as well as tuition reimbursement, for a majority of our employees in the United States to promote continued professional growth. We provide access to technical and leadership development programs to enable colleagues to grow skills and capabilities to become more successful. We also have dedicated talent programs that support and accelerate leadership development and strengthen our succession plans. We have expanded and increased global participation in our Talent Marketplace, a development solution that helps connect employees to short-term ‘gig’ opportunities. Additionally, coaching, mentoring and team-based development solutions are provided to colleagues across all levels to support leadership, team effectiveness and performance.</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 xml:space="preserve">Culture and Employee Engagement: </w:t>
      </w:r>
      <w:r>
        <w:rPr>
          <w:rFonts w:ascii="Arial" w:cs="Arial" w:eastAsia="Arial" w:hAnsi="Arial"/>
          <w:sz w:val="14"/>
          <w:szCs w:val="14"/>
          <w:color w:val="auto"/>
        </w:rPr>
        <w:t>We believe that a diverse workforce with a range of experiences and perspectives is a significant driver of sustainable innovation and growth.</w:t>
      </w:r>
      <w:r>
        <w:rPr>
          <w:rFonts w:ascii="Arial" w:cs="Arial" w:eastAsia="Arial" w:hAnsi="Arial"/>
          <w:sz w:val="14"/>
          <w:szCs w:val="14"/>
          <w:i w:val="1"/>
          <w:iCs w:val="1"/>
          <w:color w:val="auto"/>
        </w:rPr>
        <w:t xml:space="preserve"> </w:t>
      </w:r>
      <w:r>
        <w:rPr>
          <w:rFonts w:ascii="Arial" w:cs="Arial" w:eastAsia="Arial" w:hAnsi="Arial"/>
          <w:sz w:val="14"/>
          <w:szCs w:val="14"/>
          <w:color w:val="auto"/>
        </w:rPr>
        <w:t>We continue to focus on creating an inclusive culture for employees, providing all employees with opportunities through our development programs and policies. We believe a culture where employees feel heard and managers take action is key to building a highly-engaged workforce that can deliver sustainable business growth. We conduct confidential engagement surveys of our global workforce annually that are administered and analyzed by an independent third party. Aggregate survey results include external benchmark comparisons and are reviewed by executive officers and the Board of Directors. Based on the results, we create action plans at global, regional, functional and managerial levels. By acting on results both at an aggregate enterprise level and a department/business/work group level, we have been able to enhance our culture and improve our overall engagement.</w:t>
      </w: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Total Rewards</w:t>
      </w:r>
      <w:r>
        <w:rPr>
          <w:rFonts w:ascii="Arial" w:cs="Arial" w:eastAsia="Arial" w:hAnsi="Arial"/>
          <w:sz w:val="14"/>
          <w:szCs w:val="14"/>
          <w:color w:val="auto"/>
        </w:rPr>
        <w:t>: As part of our total rewards philosophy, we offer competitive compensation and benefits to attract and retain top talent. Our compensation programs are designed</w:t>
      </w:r>
      <w:r>
        <w:rPr>
          <w:rFonts w:ascii="Arial" w:cs="Arial" w:eastAsia="Arial" w:hAnsi="Arial"/>
          <w:sz w:val="14"/>
          <w:szCs w:val="14"/>
          <w:i w:val="1"/>
          <w:iCs w:val="1"/>
          <w:color w:val="auto"/>
        </w:rPr>
        <w:t xml:space="preserve"> </w:t>
      </w:r>
      <w:r>
        <w:rPr>
          <w:rFonts w:ascii="Arial" w:cs="Arial" w:eastAsia="Arial" w:hAnsi="Arial"/>
          <w:sz w:val="14"/>
          <w:szCs w:val="14"/>
          <w:color w:val="auto"/>
        </w:rPr>
        <w:t>to reinforce our growth agenda and talent strategy as well as drive a strong connection between the contributions of our employees and their pay. We believe the structure of our compensation packages provides the appropriate incentives to attract, retain and motivate our employees. Further, to foster a strong sense of ownership and align the interests of employees with shareholders, we grant stock-based incentives to most senior-level employees.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also continue to evolve our programs to meet our employees’ health and wellness needs. We provide access to medical and welfare benefits and offer programs to all employees that support work-life balance, including paid parental leave, as well as financial, physical and mental health resources, including employee assistance programs that reach all global colleagues.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committed to equal pay for equal work, regardless of gender, race, ethnicity or other personal characteristics. To 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With the support of an independent third-party expert in this field, we conduct global pay equity reviews for salaried employees based on gender and, in the United States, race (as permitted by local country law). Our last global analysis in 2024 encompassed 82 countries and over 36,000 employees. From this analysis, our pay gap between male and female employees was less than 1% when performing substantially similar work at Mondelēz. In the United States, we also review pay for salaried employees in the same pay grade by race/ethnicity (Asian, Black and Hispanic). The 2024 independent analysis found no systemic issues and no negative pay gap between non-white and white employees when performing substantially similar work at Mondelēz.</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Sustainability and Mindful Snacking</w:t>
      </w:r>
    </w:p>
    <w:p>
      <w:pPr>
        <w:spacing w:after="0" w:line="19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Snacking Made Right is the lens through which we determine our ESG priorities to deliver on our mission of leading the future of snacking by offering the right snack, for the right moment, made the right way. We have a clear strategic approach to making snacking right, so we can drive innovative, more sustainable business growth.</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focus in key areas where we believe we can deliver greater long-term positive impact. Our strategy and goals in these key focus areas are central to supporting our growth around the world and underpinned by our focus on promoting a culture of safety, quality and inclusivity. Our goals include more sustainable sourcing of key ingredients, reducing our environmental footprint, promoting the rights of people across our value chain, and evolving our portfolio to offer a broader range of high-quality snacks addressing consumer needs while encouraging consumers to snack mindfully. In 2024, we made progress against these goals, such as receiving validation for our 2030 near-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term and 2050 long-term Net Zero goal from the Science Based Targets Initiative and continuing to increase the ratio of renewable energy used within several of our owned manufacturing facilities across the world.</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Governance, Membership and Sustainability Committee of our Board of Directors oversees our ESG policies and programs related to corporate citizenship, social responsibility, and public policy issues significant to us such as sustainability and environmental responsibility; food labeling, marketing and packaging; philanthropic and political activities and contributions; and Board of Directors’ ESG education and capabilities. The People and Compensation Committee of our Board of Directors oversees our human capital priorities, as well as workplace safety and employee wellness, pay equity, talent sourcing strategies, talent management and development programs and KPIs for incentive plans. The Audit Committee of our Board of Directors oversees our safety priorities, goals and performance, as well as our ESG-related disclosure in SEC filings, including controls and assurance. Our ESG goals are part of our risk and strategic planning processes and are also embedded across our organization and within our annual incentive compensation program for our leadership. Business leadership teams and our Board of Directors regularly review progress toward these programs and priorities.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discuss our ESG goals and programs in detail in our annual Snacking Made Right report available on our website. We also publish an ESG disclosure data sheet and are aligned with the Sustainability Accounting Standards Board and Task Force on Climate-related Financial Disclosures reporting frameworks. We also provide our annual CDP Climate Change, Water Security and Forests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intellectual property rights (including trademarks, patents, copyrights, registered designs, proprietary trade secrets, recipes, technology and know-how) are material to our business.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 in 2012.</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food products and ingredients are subject to local, national and multinational laws and regulations related to labeling, health and nutrition claims, packaging, pricing, marketing and advertising,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 In addition, increased attention to environmental and social issues in industry supply chains has led to the development of differences in government rules across jurisdictions. The lack of a harmonized approach can lead to uneven scrutiny or enforcement, which can impact our operations.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Examples of laws and regulations that affect our business include, without limitation, workplace safety regulations; selective food taxes; data privacy and cybersecurity; ingredients, products, processing or other food-related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restrictions, labeling requirements such as front-of-pack labeling based on nutrient profiles or environmental claims; sales or media and marketing restrictions such as those on promotions or advertising products with specified nutrient profiles on certain channels or platforms or during certain hours of the day; sanctions; export controls on sales or sourcing of raw materials; cross-border trade concessions or border barriers; corporate tax policies of the United States and other countries; and packaging taxes. In addition, many Member States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In addition, the European Union has adopted its Packaging and Packaging Waste Directive. EPR policies are being implemented or contemplated in other jurisdictions around the world, including India, Vietnam and certain states in the United States. Single-use plastic bans or plastic taxes are being implemented or considered in Europe as well as countries in Southeast Asia.</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continue to monitor developments in laws and regulations. Also refer to Item 1A,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our executive officers as of February 5,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169"/>
        </w:trPr>
        <w:tc>
          <w:tcPr>
            <w:tcW w:w="3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Dirk Van de Put</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7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Chief Executive Officer</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Luca Zaramella</w:t>
            </w:r>
          </w:p>
        </w:tc>
        <w:tc>
          <w:tcPr>
            <w:tcW w:w="640" w:type="dxa"/>
            <w:vAlign w:val="bottom"/>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Vinzenz P. Gruber</w:t>
            </w:r>
          </w:p>
        </w:tc>
        <w:tc>
          <w:tcPr>
            <w:tcW w:w="640" w:type="dxa"/>
            <w:vAlign w:val="bottom"/>
          </w:tcPr>
          <w:p>
            <w:pPr>
              <w:jc w:val="center"/>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President, Europe</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Deepak D. Iyer</w:t>
            </w:r>
          </w:p>
        </w:tc>
        <w:tc>
          <w:tcPr>
            <w:tcW w:w="640" w:type="dxa"/>
            <w:vAlign w:val="bottom"/>
          </w:tcPr>
          <w:p>
            <w:pPr>
              <w:jc w:val="center"/>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President, Asia Pacific, Middle East and Africa</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Stephanie Lilak</w:t>
            </w:r>
          </w:p>
        </w:tc>
        <w:tc>
          <w:tcPr>
            <w:tcW w:w="640" w:type="dxa"/>
            <w:vAlign w:val="bottom"/>
          </w:tcPr>
          <w:p>
            <w:pPr>
              <w:jc w:val="center"/>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Chief People Officer</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Mariano C. Lozano</w:t>
            </w:r>
          </w:p>
        </w:tc>
        <w:tc>
          <w:tcPr>
            <w:tcW w:w="640" w:type="dxa"/>
            <w:vAlign w:val="bottom"/>
          </w:tcPr>
          <w:p>
            <w:pPr>
              <w:jc w:val="center"/>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President, Latin America</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Martin Renaud</w:t>
            </w:r>
          </w:p>
        </w:tc>
        <w:tc>
          <w:tcPr>
            <w:tcW w:w="640" w:type="dxa"/>
            <w:vAlign w:val="bottom"/>
          </w:tcPr>
          <w:p>
            <w:pPr>
              <w:jc w:val="center"/>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 Chief Marketing and Sales Officer</w:t>
            </w: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Laura Stein</w:t>
            </w:r>
          </w:p>
        </w:tc>
        <w:tc>
          <w:tcPr>
            <w:tcW w:w="640" w:type="dxa"/>
            <w:vAlign w:val="bottom"/>
          </w:tcPr>
          <w:p>
            <w:pPr>
              <w:jc w:val="center"/>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Corporate &amp; Legal Affairs, General Counsel and Corporate Secretary</w:t>
            </w:r>
          </w:p>
        </w:tc>
      </w:tr>
      <w:tr>
        <w:trPr>
          <w:trHeight w:val="190"/>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Gustavo C. Valle</w:t>
            </w:r>
          </w:p>
        </w:tc>
        <w:tc>
          <w:tcPr>
            <w:tcW w:w="640" w:type="dxa"/>
            <w:vAlign w:val="bottom"/>
          </w:tcPr>
          <w:p>
            <w:pPr>
              <w:jc w:val="center"/>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Executive Vice President and President, North America</w:t>
            </w: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Mr. Van de Put </w:t>
      </w:r>
      <w:r>
        <w:rPr>
          <w:rFonts w:ascii="Arial" w:cs="Arial" w:eastAsia="Arial" w:hAnsi="Arial"/>
          <w:sz w:val="14"/>
          <w:szCs w:val="14"/>
          <w:color w:val="auto"/>
        </w:rPr>
        <w:t>became Chief Executive Officer and a director in November 2017 and became Chairman of the Board of Directors in April 2018. He formerly served as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Mr. Zaramella </w:t>
      </w:r>
      <w:r>
        <w:rPr>
          <w:rFonts w:ascii="Arial" w:cs="Arial" w:eastAsia="Arial" w:hAnsi="Arial"/>
          <w:sz w:val="14"/>
          <w:szCs w:val="14"/>
          <w:color w:val="auto"/>
        </w:rPr>
        <w:t>became Executive Vice President and Chief Financial Officer in August 2018. He previously served as Senior Vice President Corporate Finance, CFO Commercial</w:t>
      </w:r>
      <w:r>
        <w:rPr>
          <w:rFonts w:ascii="Arial" w:cs="Arial" w:eastAsia="Arial" w:hAnsi="Arial"/>
          <w:sz w:val="14"/>
          <w:szCs w:val="14"/>
          <w:i w:val="1"/>
          <w:iCs w:val="1"/>
          <w:color w:val="auto"/>
        </w:rPr>
        <w:t xml:space="preserve"> </w:t>
      </w:r>
      <w:r>
        <w:rPr>
          <w:rFonts w:ascii="Arial" w:cs="Arial" w:eastAsia="Arial" w:hAnsi="Arial"/>
          <w:sz w:val="14"/>
          <w:szCs w:val="14"/>
          <w:color w:val="auto"/>
        </w:rPr>
        <w:t>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Mr. Gruber </w:t>
      </w:r>
      <w:r>
        <w:rPr>
          <w:rFonts w:ascii="Arial" w:cs="Arial" w:eastAsia="Arial" w:hAnsi="Arial"/>
          <w:sz w:val="14"/>
          <w:szCs w:val="14"/>
          <w:color w:val="auto"/>
        </w:rPr>
        <w:t>became Executive Vice President and President, Europe in January 2019. He previously served as President, Western Europe from October 2016 to December 2018</w:t>
      </w:r>
      <w:r>
        <w:rPr>
          <w:rFonts w:ascii="Arial" w:cs="Arial" w:eastAsia="Arial" w:hAnsi="Arial"/>
          <w:sz w:val="14"/>
          <w:szCs w:val="14"/>
          <w:i w:val="1"/>
          <w:iCs w:val="1"/>
          <w:color w:val="auto"/>
        </w:rPr>
        <w:t xml:space="preserve"> </w:t>
      </w:r>
      <w:r>
        <w:rPr>
          <w:rFonts w:ascii="Arial" w:cs="Arial" w:eastAsia="Arial" w:hAnsi="Arial"/>
          <w:sz w:val="14"/>
          <w:szCs w:val="14"/>
          <w:color w:val="auto"/>
        </w:rPr>
        <w:t>and President, Chocolate, Europe from August 2011 to September 2016. Mr. Gruber was formerly employed by Mondelēz International, in various capacities, from 1989 until 2000 and resumed his employment in September 2007.</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Mr. Iyer </w:t>
      </w:r>
      <w:r>
        <w:rPr>
          <w:rFonts w:ascii="Arial" w:cs="Arial" w:eastAsia="Arial" w:hAnsi="Arial"/>
          <w:sz w:val="14"/>
          <w:szCs w:val="14"/>
          <w:color w:val="auto"/>
        </w:rPr>
        <w:t>became Executive Vice President and President, Asia Pacific, Middle East and Africa in June 2023. He previously served as President India from August 2016 to June</w:t>
      </w:r>
      <w:r>
        <w:rPr>
          <w:rFonts w:ascii="Arial" w:cs="Arial" w:eastAsia="Arial" w:hAnsi="Arial"/>
          <w:sz w:val="14"/>
          <w:szCs w:val="14"/>
          <w:i w:val="1"/>
          <w:iCs w:val="1"/>
          <w:color w:val="auto"/>
        </w:rPr>
        <w:t xml:space="preserve"> </w:t>
      </w:r>
      <w:r>
        <w:rPr>
          <w:rFonts w:ascii="Arial" w:cs="Arial" w:eastAsia="Arial" w:hAnsi="Arial"/>
          <w:sz w:val="14"/>
          <w:szCs w:val="14"/>
          <w:color w:val="auto"/>
        </w:rPr>
        <w:t>2023. Prior to that, Mr. Iyer held various leadership positions of increasing responsibility at PepsiCo, Wrigley India Pvt Ltd and Bharti AXA General Insurance Company, India. Mr. Iyer joined Mondelēz International in 2016.</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Ms. Lilak </w:t>
      </w:r>
      <w:r>
        <w:rPr>
          <w:rFonts w:ascii="Arial" w:cs="Arial" w:eastAsia="Arial" w:hAnsi="Arial"/>
          <w:sz w:val="14"/>
          <w:szCs w:val="14"/>
          <w:color w:val="auto"/>
        </w:rPr>
        <w:t>became Executive Vice President and Chief People Officer in January 2024. She formerly served as the Chief People Officer of Bumble Inc., a social networking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from November 2021 to January 2023. Previously, Ms. Lilak was Senior Vice President, Chief Human Resources Officer at Dunkin’ Brands Group Inc., a multinational coffee and doughnut company, from July 2019 to November 2021. Prior to Dunkin’ Brands, Ms. Lilak spent 23 years with General Mills Inc., a global consumer foods manufacturer and marketer, in roles of increasing responsibility. She served as Vice President, Human Resources for the North America Retail Segment from January 2016 to July 2019.</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Mr. Lozano </w:t>
      </w:r>
      <w:r>
        <w:rPr>
          <w:rFonts w:ascii="Arial" w:cs="Arial" w:eastAsia="Arial" w:hAnsi="Arial"/>
          <w:sz w:val="14"/>
          <w:szCs w:val="14"/>
          <w:color w:val="auto"/>
        </w:rPr>
        <w:t>became Executive Vice President and President, Latin America in May 2022. He previously served as CEO of Danone North America, a business unit of Danone SA,</w:t>
      </w:r>
      <w:r>
        <w:rPr>
          <w:rFonts w:ascii="Arial" w:cs="Arial" w:eastAsia="Arial" w:hAnsi="Arial"/>
          <w:sz w:val="14"/>
          <w:szCs w:val="14"/>
          <w:i w:val="1"/>
          <w:iCs w:val="1"/>
          <w:color w:val="auto"/>
        </w:rPr>
        <w:t xml:space="preserve"> </w:t>
      </w:r>
      <w:r>
        <w:rPr>
          <w:rFonts w:ascii="Arial" w:cs="Arial" w:eastAsia="Arial" w:hAnsi="Arial"/>
          <w:sz w:val="14"/>
          <w:szCs w:val="14"/>
          <w:color w:val="auto"/>
        </w:rPr>
        <w:t>a global food and beverage company, from January 2014 until April 2017 and CEO Danone North America from September 2017 until December 2022. Mr. Lozano spent more than 24 years at Danone in various leadership roles across Latin America including President, Danone Brazil.</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i w:val="1"/>
          <w:iCs w:val="1"/>
          <w:color w:val="auto"/>
        </w:rPr>
        <w:t xml:space="preserve">Mr. Renaud </w:t>
      </w:r>
      <w:r>
        <w:rPr>
          <w:rFonts w:ascii="Arial" w:cs="Arial" w:eastAsia="Arial" w:hAnsi="Arial"/>
          <w:sz w:val="14"/>
          <w:szCs w:val="14"/>
          <w:color w:val="auto"/>
        </w:rPr>
        <w:t>became Executive Vice President and Chief Marketing &amp; Sales Officer in February 2022 and served as Executive Vice President and Chief Marketing Officer from</w:t>
      </w:r>
      <w:r>
        <w:rPr>
          <w:rFonts w:ascii="Arial" w:cs="Arial" w:eastAsia="Arial" w:hAnsi="Arial"/>
          <w:sz w:val="14"/>
          <w:szCs w:val="14"/>
          <w:i w:val="1"/>
          <w:iCs w:val="1"/>
          <w:color w:val="auto"/>
        </w:rPr>
        <w:t xml:space="preserve"> </w:t>
      </w:r>
      <w:r>
        <w:rPr>
          <w:rFonts w:ascii="Arial" w:cs="Arial" w:eastAsia="Arial" w:hAnsi="Arial"/>
          <w:sz w:val="14"/>
          <w:szCs w:val="14"/>
          <w:color w:val="auto"/>
        </w:rPr>
        <w:t>January 2018 until February 2022. Prior to joining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Mondelēz International, Mr. Renaud spend more than 28 years at Danone SA, a global food and beverage company, in a variety of roles with increasing responsibility. Most recently, he served as President, Fresh Dairy Europe, from January 2015 to July 2017 after working as Vice President Danone Waters Asia Pacific, from October 2014 to December 2014.</w:t>
      </w:r>
    </w:p>
    <w:p>
      <w:pPr>
        <w:spacing w:after="0" w:line="32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Ms. Stein </w:t>
      </w:r>
      <w:r>
        <w:rPr>
          <w:rFonts w:ascii="Arial" w:cs="Arial" w:eastAsia="Arial" w:hAnsi="Arial"/>
          <w:sz w:val="14"/>
          <w:szCs w:val="14"/>
          <w:color w:val="auto"/>
        </w:rPr>
        <w:t>became Executive Vice President, Corporate &amp; Legal Affairs, General Counsel and Corporate Secretary in September 2023 and was Executive Vice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Corporate &amp; Legal Affairs and General Counsel from January 2021 until September 2023. Before joining Mondelēz International, Ms. Stein spent 16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Mr. Valle </w:t>
      </w:r>
      <w:r>
        <w:rPr>
          <w:rFonts w:ascii="Arial" w:cs="Arial" w:eastAsia="Arial" w:hAnsi="Arial"/>
          <w:sz w:val="14"/>
          <w:szCs w:val="14"/>
          <w:color w:val="auto"/>
        </w:rPr>
        <w:t>became Executive Vice President and President, North America in March 2022 and was Executive Vice President and President, Latin America from February 2020 to</w:t>
      </w:r>
      <w:r>
        <w:rPr>
          <w:rFonts w:ascii="Arial" w:cs="Arial" w:eastAsia="Arial" w:hAnsi="Arial"/>
          <w:sz w:val="14"/>
          <w:szCs w:val="14"/>
          <w:i w:val="1"/>
          <w:iCs w:val="1"/>
          <w:color w:val="auto"/>
        </w:rPr>
        <w:t xml:space="preserve"> </w:t>
      </w:r>
      <w:r>
        <w:rPr>
          <w:rFonts w:ascii="Arial" w:cs="Arial" w:eastAsia="Arial" w:hAnsi="Arial"/>
          <w:sz w:val="14"/>
          <w:szCs w:val="14"/>
          <w:color w:val="auto"/>
        </w:rPr>
        <w:t>February 2022. Before joining Mondelēz International, Mr. Valle served as Chief Executive Officer of Axia Plus, LLC, a management consulting firm, from February 2018 to January 2020. Prior to that he spent more than 20 years at Danone SA, a global food and beverage company, in a variety of leadership positions, most recently as Executive Vice President, Dairy Division Worldwide, from January 2015 to January 2018, and Vice President Dairy Division Europe, from January 2014 until December 2014.</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Ethics and Governance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We have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4"/>
          <w:szCs w:val="14"/>
          <w:u w:val="single" w:color="auto"/>
          <w:color w:val="auto"/>
        </w:rPr>
        <w:t>www.mondelezinternational.com/Investors/Corporate-Governance</w:t>
      </w:r>
      <w:r>
        <w:rPr>
          <w:rFonts w:ascii="Arial" w:cs="Arial" w:eastAsia="Arial" w:hAnsi="Arial"/>
          <w:sz w:val="14"/>
          <w:szCs w:val="14"/>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4"/>
          <w:szCs w:val="14"/>
          <w:u w:val="single" w:color="auto"/>
          <w:color w:val="auto"/>
        </w:rPr>
        <w:t>www.mondelezinternational.com/Investors/Corporate-Governance</w:t>
      </w:r>
      <w:r>
        <w:rPr>
          <w:rFonts w:ascii="Arial" w:cs="Arial" w:eastAsia="Arial" w:hAnsi="Arial"/>
          <w:sz w:val="14"/>
          <w:szCs w:val="14"/>
          <w:color w:val="auto"/>
        </w:rPr>
        <w: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In addition, we have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4"/>
          <w:szCs w:val="14"/>
          <w:u w:val="single" w:color="auto"/>
          <w:color w:val="auto"/>
        </w:rPr>
        <w:t>www.mondelezinternational.com/Investors/Corporate-Governance</w:t>
      </w:r>
      <w:r>
        <w:rPr>
          <w:rFonts w:ascii="Arial" w:cs="Arial" w:eastAsia="Arial" w:hAnsi="Arial"/>
          <w:sz w:val="14"/>
          <w:szCs w:val="14"/>
          <w:color w:val="auto"/>
        </w:rPr>
        <w:t xml:space="preserve"> and will be provided free of charge to any shareholder requesting a copy by writing to: Corporate Secretary, Mondelēz International, Inc., 905 West Fulton Market, Suite 200, Chicago, IL 60607.</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u w:val="single" w:color="auto"/>
          <w:color w:val="auto"/>
        </w:rPr>
        <w:t>www.mondelezinternational.com</w:t>
      </w:r>
      <w:r>
        <w:rPr>
          <w:rFonts w:ascii="Arial" w:cs="Arial" w:eastAsia="Arial" w:hAnsi="Arial"/>
          <w:sz w:val="14"/>
          <w:szCs w:val="14"/>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www.sec.gov or our website: </w:t>
      </w:r>
      <w:r>
        <w:rPr>
          <w:rFonts w:ascii="Arial" w:cs="Arial" w:eastAsia="Arial" w:hAnsi="Arial"/>
          <w:sz w:val="14"/>
          <w:szCs w:val="14"/>
          <w:u w:val="single" w:color="auto"/>
          <w:color w:val="auto"/>
        </w:rPr>
        <w:t>ir.mondelezinternational.com/sec-filings</w:t>
      </w:r>
      <w:r>
        <w:rPr>
          <w:rFonts w:ascii="Arial" w:cs="Arial" w:eastAsia="Arial" w:hAnsi="Arial"/>
          <w:sz w:val="14"/>
          <w:szCs w:val="14"/>
          <w:color w:val="auto"/>
        </w:rPr>
        <w:t>. The information on our web 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 In addition to the effects of current and potential trade and tariff policies and resulting global impacts on our business and operations discussed in Item 7 of this Form 10-K and in the risk factors below, additional or unforeseen effects from these policies may give rise to or amplify many of these risks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and Operational Risks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and other input prices are volatile and may increase or decrease significantly or availability of commodities may become constrained.</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purchase and use large quantities of commodities, including cocoa, dairy, wheat, edible oils, sugar and other sweeteners, flavoring agents and nuts. In addition, we purchase and use significant quantities of product packaging materials, natural gas, fuel and electricity for our factories and warehouses, and we also incur expenses in connection with labor and the transportation and delivery of our products. Costs of raw materials, energy and other supplies and services are volatile and fluctuate due to conditions that are difficult to predict. These conditions include global competition for resources; tariffs or other trade barriers; currency fluctuations; geopolitical conditions or conflicts (including the ongoing war in Ukraine and international sanctions imposed on Russia for its invasion of Ukraine, conflicts in the Middle East and rising tensions between China and Taiwan); inflationary pressures related to domestic and global economic conditions or supply chain issues; transportation and labor disruptions; government intervention to introduce living income premiums or similar requirements; changes in environmental or trade policy and regulations, alternative energy and agricultural programs; severe weather; agricultural productivity; crop disease or pests; water risk; health pandemics; forest fires and other natural disasters; acts of terrorism; geopolitical regional conflicts; cybersecurity incidents; supplier capacity; and consumer or industrial demand. During 2024, price volatility and higher aggregate costs were driven by a confluence of factors: disrupted international supply chains, labor market challenges, soaring commodity prices (especially for cocoa beans) and increased transportation and labor costs. For additional information, see </w:t>
      </w:r>
      <w:r>
        <w:rPr>
          <w:rFonts w:ascii="Arial" w:cs="Arial" w:eastAsia="Arial" w:hAnsi="Arial"/>
          <w:sz w:val="14"/>
          <w:szCs w:val="14"/>
          <w:i w:val="1"/>
          <w:iCs w:val="1"/>
          <w:color w:val="auto"/>
        </w:rPr>
        <w:t>Item</w:t>
      </w:r>
      <w:r>
        <w:rPr>
          <w:rFonts w:ascii="Arial" w:cs="Arial" w:eastAsia="Arial" w:hAnsi="Arial"/>
          <w:sz w:val="14"/>
          <w:szCs w:val="14"/>
          <w:color w:val="auto"/>
        </w:rPr>
        <w:t xml:space="preserve"> </w:t>
      </w:r>
      <w:r>
        <w:rPr>
          <w:rFonts w:ascii="Arial" w:cs="Arial" w:eastAsia="Arial" w:hAnsi="Arial"/>
          <w:sz w:val="14"/>
          <w:szCs w:val="14"/>
          <w:i w:val="1"/>
          <w:iCs w:val="1"/>
          <w:color w:val="auto"/>
        </w:rPr>
        <w:t>7, Commodity Trends</w:t>
      </w:r>
      <w:r>
        <w:rPr>
          <w:rFonts w:ascii="Arial" w:cs="Arial" w:eastAsia="Arial" w:hAnsi="Arial"/>
          <w:sz w:val="14"/>
          <w:szCs w:val="14"/>
          <w:color w:val="auto"/>
        </w:rPr>
        <w:t>.</w:t>
      </w:r>
    </w:p>
    <w:p>
      <w:pPr>
        <w:spacing w:after="0" w:line="3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Many of these conditions are or could be exacerbated or worsened by climate change.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efforts to monitor our exposure to commodity prices and hedge against price increases cannot fully protect us from changes in input costs, including due to factors like changing import duties and tariffs, market illiquidity, specific local regulations and downstream costs. Thus, our hedging strategies have not always protected and will not in the future always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inflation and higher input, packaging and transportation costs, may result in lower sales volumes or customer delistings, while decreases in input costs could require us to lower our prices and thereby affect our revenues, profits or margins. Likewise, constraints in the supply or availability of key commodities and necessary services like transportation may limit our ability to grow our net revenues and earnings. If our mitigation activities are not effective, if we are unable to price to cover increased costs (including if we are delayed in our ability to raise prices or unable to raise the prices of our products enough to keep up with the rate of inflation), if we must reduce our prices, if increased prices affect demand for our products (including if consumers forego purchasing certain of our products or switch to “private label” or lower-priced product offerings), or if we are limited by supply or distribution constraints, our financial condition, results of operations, cash flows and stock price can be materially adversely affected.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b w:val="1"/>
          <w:bCs w:val="1"/>
          <w:color w:val="auto"/>
        </w:rPr>
        <w:t>We are subject to risks from operating globally, including potential cost impacts of any tariffs that may be enacted by governments as well as other trade and regulatory uncertainty.</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a global company and generated 74.0% of our 2024 net revenues, 73.4% of our 2023 net revenues and 73.6% of our 2022 net revenues outside the United States. We market our products in over 150 countries and have operations in approximately 80 countries. Therefore, we are subject to risks inherent in global operations. Those risks include:</w:t>
      </w:r>
    </w:p>
    <w:p>
      <w:pPr>
        <w:spacing w:after="0" w:line="146" w:lineRule="exact"/>
        <w:rPr>
          <w:sz w:val="20"/>
          <w:szCs w:val="20"/>
          <w:color w:val="auto"/>
        </w:rPr>
      </w:pPr>
    </w:p>
    <w:p>
      <w:pPr>
        <w:jc w:val="both"/>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imposition of increased or new tariffs, sanctions, export controls, quotas, trade barriers, price floors or similar restrictions on our sales or key commodities like cocoa, potential changes in U.S. trade programs and trade relations with other countries, or regulations, taxes or policies that affect our operations, sales or profitability. Also see “</w:t>
      </w:r>
      <w:r>
        <w:rPr>
          <w:rFonts w:ascii="Arial" w:cs="Arial" w:eastAsia="Arial" w:hAnsi="Arial"/>
          <w:sz w:val="14"/>
          <w:szCs w:val="14"/>
          <w:i w:val="1"/>
          <w:iCs w:val="1"/>
          <w:color w:val="auto"/>
        </w:rPr>
        <w:t>We are subject to risks from changes to the trade policies and tariff and import/export regulations by the U.S. and/or other foreign government</w:t>
      </w:r>
      <w:r>
        <w:rPr>
          <w:rFonts w:ascii="Arial" w:cs="Arial" w:eastAsia="Arial" w:hAnsi="Arial"/>
          <w:sz w:val="14"/>
          <w:szCs w:val="14"/>
          <w:color w:val="auto"/>
        </w:rPr>
        <w:t>s”;</w:t>
      </w:r>
    </w:p>
    <w:p>
      <w:pPr>
        <w:jc w:val="both"/>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changing macroeconomic conditions in our markets, including as a result of inflation (and related monetary policy actions by governments in response to inflation), volatile commodity prices, the ongoing longer-term impact of changes in international trade policies (including Brexit) and increases in the cost of raw and packaging materials, labor, energy and transportation;</w:t>
      </w: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U.S. laws affecting operations outside of the United States, including anti-bribery laws such as the Foreign Corrupt Practices Act (“FCPA”);</w:t>
      </w:r>
    </w:p>
    <w:p>
      <w:pPr>
        <w:spacing w:after="0" w:line="10" w:lineRule="exact"/>
        <w:rPr>
          <w:rFonts w:ascii="Arial" w:cs="Arial" w:eastAsia="Arial" w:hAnsi="Arial"/>
          <w:sz w:val="14"/>
          <w:szCs w:val="14"/>
          <w:color w:val="auto"/>
        </w:rPr>
      </w:pPr>
    </w:p>
    <w:p>
      <w:pPr>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antitrust and competition laws, trade laws, data privacy laws, anti-bribery laws, human rights laws, new regulations intended to address increasing global concerns around forced labor, and a variety of other local, national and multinational regulations and laws in multiple regimes;</w:t>
      </w:r>
    </w:p>
    <w:p>
      <w:pPr>
        <w:jc w:val="both"/>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currency devaluations or fluctuations in currency values, including in developed and emerging markets. This includes events like applying highly inflationary accounting as we did for our Argentinean subsidiaries beginning in the third quarter of 2018, Türkiye beginning in the second quarter of 2022 and both Egypt and Nigeria beginning in the fourth quarter of 2024;</w:t>
      </w:r>
    </w:p>
    <w:p>
      <w:pPr>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capital controls, including currency exchange controls, government currency policies or other limits on our ability to import raw materials or finished products into various countries or repatriate cash from outside the United States;</w:t>
      </w: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sovereign risk, such as defaults by or deterioration in the economies and credit ratings of governments, particularly in emerging markets;</w:t>
      </w:r>
    </w:p>
    <w:p>
      <w:pPr>
        <w:spacing w:after="0" w:line="10" w:lineRule="exact"/>
        <w:rPr>
          <w:rFonts w:ascii="Arial" w:cs="Arial" w:eastAsia="Arial" w:hAnsi="Arial"/>
          <w:sz w:val="14"/>
          <w:szCs w:val="14"/>
          <w:color w:val="auto"/>
        </w:rPr>
      </w:pPr>
    </w:p>
    <w:p>
      <w:pPr>
        <w:ind w:left="520" w:hanging="256"/>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varying abilities to enforce intellectual property and contractual rights;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discriminatory or conflicting fiscal policies;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greater risk of uncollectible accounts and longer collection cycles; and</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design, implementation and use of effective control environment processes across our diverse operations and employee base.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addition, increased political and economic changes or volatility, geopolitical regional conflicts, terrorist activity, political unrest, civil strife, acts of war, government shutdowns, product boycotts, travel or immigration restrictions, tariffs and other trade restrictions, public health risks or pandemics, energy policy or restrictions, public corruption, expropriation and other economic or political uncertainties, including inaccuracies in our assumptions about these factors, could interrupt and negatively affect our business operations or customer demand. For example, the ongoing conflicts in the Middle East could impact demand for our products or result in increased supply chain costs or other cost impacts. High unemployment or the slowdown in economic growth in some markets could constrain consumer spending. Declining consumer purchasing power could result in loss of market share and adversely impact our profitability. The nature and degree of the various risks we face can also differ significantly among our regions and businesses.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All of these factors could result in increased costs or decreased revenues and could materially and adversely affect our product sales, financial condition, results of operations, cash flows, stock price, and our relationships with customers, suppliers and employees in the short- or long-term.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risks from changes to the trade policies and tariff and import/export regulations by the U.S. and/or other foreign governments.</w:t>
      </w:r>
    </w:p>
    <w:p>
      <w:pPr>
        <w:spacing w:after="0" w:line="19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Changes in the import and export policies, including trade restrictions, new or increased tariffs or quotas, embargoes, sanctions and countersanctions, safeguards or customs restrictions by the U.S. and/or other foreign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governments, could require us to change the way we conduct business and adversely affect our financial condition, results of operations, reputation and our relationships with customers, suppliers and employees in the short- or long-term. Likewise, changes in laws and policies governing foreign trade, manufacturing, development and investment in the territories or countries where we currently sell our products or conduct our business could adversely affect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an example, on February 1, 2025, the U.S. government announced a 25% tariff on product imports from certain countries, including Mexico and Canada, and 10% tariffs on</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product imports from certain countries, including China. These actions are expected to result in retaliatory measures on U.S. goods. If maintained, the newly announced tariffs and the potential escalation of trade disputes could pose a significant risk to our business and would affect our revenue and cost of goods sold. The extent and duration of the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Further, actions we take to adapt to new tariffs or trade restrictions may cause us to modify our operations or forgo business opportunities. For additional information, see </w:t>
      </w:r>
      <w:r>
        <w:rPr>
          <w:rFonts w:ascii="Arial" w:cs="Arial" w:eastAsia="Arial" w:hAnsi="Arial"/>
          <w:sz w:val="14"/>
          <w:szCs w:val="14"/>
          <w:i w:val="1"/>
          <w:iCs w:val="1"/>
          <w:color w:val="auto"/>
        </w:rPr>
        <w:t>Financial Outlook</w:t>
      </w:r>
      <w:r>
        <w:rPr>
          <w:rFonts w:ascii="Arial" w:cs="Arial" w:eastAsia="Arial" w:hAnsi="Arial"/>
          <w:sz w:val="14"/>
          <w:szCs w:val="14"/>
          <w:color w:val="auto"/>
        </w:rPr>
        <w:t xml:space="preserve"> – </w:t>
      </w:r>
      <w:r>
        <w:rPr>
          <w:rFonts w:ascii="Arial" w:cs="Arial" w:eastAsia="Arial" w:hAnsi="Arial"/>
          <w:sz w:val="14"/>
          <w:szCs w:val="14"/>
          <w:i w:val="1"/>
          <w:iCs w:val="1"/>
          <w:color w:val="auto"/>
        </w:rPr>
        <w:t>Trade and Regulatory Uncertainty</w:t>
      </w:r>
      <w:r>
        <w:rPr>
          <w:rFonts w:ascii="Arial" w:cs="Arial" w:eastAsia="Arial" w:hAnsi="Arial"/>
          <w:sz w:val="14"/>
          <w:szCs w:val="14"/>
          <w:color w:val="auto"/>
        </w:rPr>
        <w:t xml:space="preserve"> under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w:t>
      </w:r>
      <w:r>
        <w:rPr>
          <w:rFonts w:ascii="Arial" w:cs="Arial" w:eastAsia="Arial" w:hAnsi="Arial"/>
          <w:sz w:val="14"/>
          <w:szCs w:val="14"/>
          <w:color w:val="auto"/>
        </w:rPr>
        <w:t>.</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war in Ukraine has impacted and could continue to impact our business operations, financial performance and results of operations.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war in Ukraine has impacted and could continue to impact our business operations, financial performance and results of operations (as discussed below in </w:t>
      </w:r>
      <w:r>
        <w:rPr>
          <w:rFonts w:ascii="Arial" w:cs="Arial" w:eastAsia="Arial" w:hAnsi="Arial"/>
          <w:sz w:val="14"/>
          <w:szCs w:val="14"/>
          <w:i w:val="1"/>
          <w:iCs w:val="1"/>
          <w:color w:val="auto"/>
        </w:rPr>
        <w:t>Recent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Developments and Significant Items Affecting Comparability – War in Ukraine </w:t>
      </w:r>
      <w:r>
        <w:rPr>
          <w:rFonts w:ascii="Arial" w:cs="Arial" w:eastAsia="Arial" w:hAnsi="Arial"/>
          <w:sz w:val="14"/>
          <w:szCs w:val="14"/>
          <w:color w:val="auto"/>
        </w:rPr>
        <w:t>under</w:t>
      </w:r>
      <w:r>
        <w:rPr>
          <w:rFonts w:ascii="Arial" w:cs="Arial" w:eastAsia="Arial" w:hAnsi="Arial"/>
          <w:sz w:val="14"/>
          <w:szCs w:val="14"/>
          <w:i w:val="1"/>
          <w:iCs w:val="1"/>
          <w:color w:val="auto"/>
        </w:rPr>
        <w:t xml:space="preserve"> Management’s Discussion and Analysis of Financial Condition and Results of Operations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scope and duration of the war in Ukraine is uncertain and rapidly changing, and we are unable to predict the full extent to which the war in Ukraine will impact our business operations, financial performance, results of operations and stock price in the future. We have discontinued new capital investments and suspended our advertising spending in Russia. As the business and geopolitical environment continues to change, our operations and activity in Russia, which accounted for 2.9% of 2024 consolidated net revenues, or Ukraine, which accounted for 0.4% of 2024 consolidated net revenues, may decline or be further scaled back. International sanctions, export controls and other measures, including restrictions on the transfer of funds to and from Russia, that have been imposed on Russian entities make it more difficult to operate in Russia, and failure to comply with applicable sanctions and measures could subject us to regulatory penalties and reputational risk. The war could also result in the temporary or permanent loss of assets due to expropriation or further curtailment of our ability to conduct business operations in Russia, and our Russian assets may become partially or fully impaired or our operations may be deconsolidated in future periods, or our business operations terminated, based on actions taken by Russia, other parties or us. In addition, our operations may be subject to increased disruptions to our information systems, including through network failures, malicious or disruptive software or cyberattacks by hackers, criminal groups or nation-state organizations. There is a possibility of loss of life and physical damage and destruction of property. We may not be able to operate in certain areas due to damage and safety concerns. We might also face questions or negative scrutiny from stakeholders about our operations in Russia despite our role as a food company and our public statements about Ukraine and Russia.</w:t>
      </w:r>
    </w:p>
    <w:p>
      <w:pPr>
        <w:spacing w:after="0" w:line="34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war in Ukraine has continued to result in worldwide geopolitical and macroeconomic uncertainty. The war continues to disrupt commodity markets, including for wheat, energy and energy-related commodities, and continues to contribute to supply chain disruption and inflation. Other ongoing consequences of the war have included increased volatility of input prices, including for packaging materials, energy, commodities, other raw materials, labor and transportation; adverse changes in international trade policies and relations; increased exposure to foreign currency fluctuations, including volatility of the Russian ruble; constraints, volatility or disruptions in the credit and capital markets; increased costs to ensure compliance with global and local laws and regulations; difficulty protecting and enforcing our intellectual property rights; and heightened risk to employee safety including health and safety risks related to securing and maintaining facilities. We expect continued volatility with respect to commodity and other input prices, and our hedging activities might not sufficiently offset this volatility.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These and other impacts of the war in Ukraine could have the effect of heightening many of the other risks described in the risk factors presented in this filing, including those relating to our reputation, brands, product sales, sanctions, trade relations in countries in which we operate, input price inflation and volatility, results of operations and financial condition. We might not be able to predict or respond to all impacts on a timely basis to prevent near-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or long-term adverse impacts to our results. The ultimate impact of these disruptions also depends on events beyond our knowledge or control, including the scope and duration of the war and actions taken by parties other than us to respond to them. Any of these disruptions could have a negative impact on our business operations, financial performance, results of operations and stock price, and this impact could be material. Additionally, the war in Ukraine, or related developments in Russia, Europe or elsewhere, may also materially adversely affect our operating results and financial position in a manner that is not currently known to us or that we do not currently consider to be a significant risk.</w:t>
      </w:r>
    </w:p>
    <w:p>
      <w:pPr>
        <w:spacing w:after="0" w:line="333" w:lineRule="exact"/>
        <w:rPr>
          <w:sz w:val="20"/>
          <w:szCs w:val="20"/>
          <w:color w:val="auto"/>
        </w:rPr>
      </w:pPr>
    </w:p>
    <w:p>
      <w:pPr>
        <w:jc w:val="both"/>
        <w:spacing w:after="0" w:line="307" w:lineRule="auto"/>
        <w:rPr>
          <w:sz w:val="20"/>
          <w:szCs w:val="20"/>
          <w:color w:val="auto"/>
        </w:rPr>
      </w:pPr>
      <w:r>
        <w:rPr>
          <w:rFonts w:ascii="Arial" w:cs="Arial" w:eastAsia="Arial" w:hAnsi="Arial"/>
          <w:sz w:val="14"/>
          <w:szCs w:val="14"/>
          <w:b w:val="1"/>
          <w:bCs w:val="1"/>
          <w:color w:val="auto"/>
        </w:rPr>
        <w:t>We operate in a highly competitive industry where we face risks related to the execution of our strategy as well as our ability or willingness to respond, timely or otherwise, to channel shifts, pricing and other competitive pressures.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food and snacking industry is highly competitive. Our principal competitors are food, snack and beverage companies that operate globally, regionally and locally, and, in many markets, include retailers with their own branded and private label products. Failure to effectively respond to actions, innovations or other challenges from our competitors could adversely affect our business.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Competitor and customer pressures require that we timely and effectively respond to changes in relevant markets, including changes to distribution channels and technological developments. These pressures could affect our prices, including our ability to price in response to commodity and other cost increases. Our ability to succeed depends on our ability to adapt to changing market conditions, which includes identifying and responding to new or developing trends, technological advancements (including advancements such as artificial intelligence, machine learning and augmented reality) which are increasingly important for understanding evolving consumer preferences. Our ability to adjust distribution methods and pricing, including adapting to fluctuating inflation, new or increased tariffs and/or trade barriers, economic conditions and recessions, as well as implementing effective trade incentives is also critical to advancing our priorities. Failure in these areas could negatively impact availability of or demand for our products, our operating results, achievement of our strategic and financial goals and our ability to capitalize on new revenue or value-producing opportunities.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rapid growth of some channels, such as discounters and digital commerce, may impact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maintain or increase revenues, market share and brand significance. These expenditures may not be successful, including those related to our digital commerce and other technology-focused efforts, and might not result in trade and consumer acceptance of our efforts, which could materially and adversely affect our product sales, financial condition, results of operations and cash flows. We will be disadvantaged if we are not able to effectively leverage developing online channels such as direct-to-consumer and electronic business-to-business commerce. New distribution channels, as well as growing opportunities to utilize external manufacturers, lower the barriers to entry and allow smaller competitors to gain market share more effectively. Additionally, if we adjust pricing but cannot maintain or increase sales volumes, or our labor or other costs increase but we cannot increase prices to offset those changes, our financial condition and results of operations will suffer.</w:t>
      </w:r>
    </w:p>
    <w:p>
      <w:pPr>
        <w:spacing w:after="0" w:line="3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Further, our ability to compete may be limited by an inability to secure new retailers or maintain or add shelf and/or retail space for our products. There can be no assurance that retailers will provide sufficient, or any, shelf space, nor that online retailers will provide online access to, or adequate product visibility on, their platform. Unattractive placement or pricing may put our products at a disadvantage compared to those of our competitors. Even if we obtain shelf space or preferable shelf placement, our new and existing products may fail to achieve the sales or pricing expectations set by our retailers, potentially causing these retailers to remove our products from their shelves.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2024, we continued to operate under our strategy to drive long-term growth by focusing on four strategic priorities: accelerating consumer-centric growth, driving operational excellence, creating a winning growth culture and scaling sustainable snacking. If our strategy is not effective, we fail to achieve our goals and objectives or identify or prioritize the areas most important to achieving our goals, or we fail to effectively operate under our strategy in a way that minimizes disruptions to our business, it could materially and adversely affect our financial condition, results of operations, cash flows and stock price.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Promoting and protecting our reputation and brand image is essential to our business success.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success depends on our ability to maintain and enhance our brands, expand to new geographies and new distribution platforms such as digital commerce, and evolve our portfolio with new product offerings that meet consumer needs and expectations.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seek to strengthen our brands through investments in our product quality, product renovation, innovation and marketing investments, including consumer-relevant advertising, digital communication and consumer promotions. Actual or perceived failure to effectively address the continuing global focus on well-being, including changing consumer acceptance of certain ingredients, industrial manufacturing and processing, nutritional expectations of our products, the sustainability of our ingredients, our supply chain (including human rights and animal welfare issues) and our packaging (including plastic packaging and its ability to be recycled and other environmental impacts) could adversely affect our brands. Increased negative attention from the media, academics and online influencers, governments, shareholders and other stakeholders in these areas as well as on the role of food marketing, our response to political and social issues or catastrophic events, and other environmental, social, human capital or governance practices could adversely affect our brand image. Undue caution or our failure to react timely in addressing these challenges and trends could weaken our competitive position. Such pressures could also lead to stricter regulations, industry self-regulation that is unevenly adopted among companies, increased transparency in public disclosures, and increased focus on food and snacking, including marketing and labeling practices. Increasing and disparate legal or regulatory restrictions on our labeling, advertising and consumer promotions, or our response to those restrictions, could limit our efforts to maintain, extend and expand our brands. This includes regulations such as front-of-pack labeling and selective food taxes in multiple jurisdictions as well as age-based restrictions on sales of products with certain nutritional profiles. For example, in the United Kingdom, a ban on specific types of TV and online advertising of food containing levels of fat, sugar or salt above specified thresholds is expected to go into effect in October 2025, and new measures restricting certain promotions and in-store placement of some of those products recently went into effect. Moreover, adverse publicity, regulatory developments or legal action against us, our employees, licensees, or other actors in our supply chain related to product quality and safety, where and how we manufacture our products, environmental concerns including climate change and waste management, human and workplace rights across our supply chain, alleged health implications of certain food products or processing methods, labor relations,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as well as our own policies and participation in industry self-regulation initiatives limit how and to whom we market our products. These restrictions may limit our brand renovation, innovation, marketing and promotion plans, particularly as social media and the communications environment continue to evolve. The social media platforms we use to market our products may change their marketing rules or algorithms or may fall out of favor with certain consumer groups, and we may fail to effectively adapt our marketing strategies or may decide to no longer utilize certain platforms for marketing. We might also fail to sufficiently evolve our digital marketing efforts to effectively utilize consumer data. Negative posts or comments about Mondelēz International, our brands or our employees on social media or web sites (whether factual or not) or security breaches related to the use of our social media accounts and failure to respond effectively to these posts, comments or activities could damage our reputation and brand image across the various regions in which we operate. Placement of our advertisements in social media may also result in damage to our brands if the media itself experiences negative publicity. Our brands may be associated with or appear alongside harmful content including outputs from generative artificial intelligence models, before these platforms or our own social media monitoring can detect this risk to our brand. In addition, we might fail to invest sufficiently in maintaining, extending and expanding our brands, our marketing efforts might not achieve desired results and we might be required to recognize impairment charges on our brands or related intangible assets or goodwill.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Third parties might also improperly use our brands as part of phishing or other scams, which could negatively affect our brand image. Failure to successfully maintain and enhance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reputation and brand health could materially and adversely affect our company and product brands as well as our product sales, financial condition, results of operations, cash flows and stock price.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must correctly predict, identify, interpret and meet changes in consumer preferences and demand and offer new and improved products that meet those changes.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Consumer preferences for food and snacking products change continually. Our success depends on our ability to predict, identify, interpret and meet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digital commerce for consumers. Our success relies upon managing this complexity to promote and bring our products to consumers effectively. Weak economic conditions, recessions, inflation, new or increased tariffs, and/or trade barriers, equity market volatility or other factors, such as global or local pandemics, severe or unusual weather events, and our response to political and social issues or catastrophic events, may affect consumer preferences and demand in ways that are hard to predict. Failure to offer, effectively promote and deliver products that appeal to consumers or to correctly judge consumer demand for our products will impact our ability to meet our growth targets, and our sales and market share could decrease and our profitability could suffer.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must distinguish between short-term fads and trends and long-term changes in consumer preferences. Our sales can be adversely affected when we do not accurately predict which shifts in consumer preferences or category trends will be long-term or we fail to introduce new and improved products to satisfy changing preferences. In addition, because of our varied and geographically diverse consumer base, we must be responsive to local consumer needs, including with respect to when and how consumers snack and their desire for premium or value offerings. We must also provide an array of product formats, pack sizes and price points that satisfy the broad spectrum of consumer preferences and use marketing and advertising effectively to reach consumers at the right time with the right message. Increasing and disparate legal or regulatory restrictions on our labeling, advertising and consumer promotions, or our response to those restrictions, could limit our efforts to offer and deliver products that appeal to consumers. Likewise, new or increased tariffs and/or trade barriers and our response to these tariffs and barriers could limit our ability to offer and deliver our products on a cost-effective basis. Demand for our products could decrease and our profitability could suffer if we fail to expand and promote our product offerings successfully across product categories, rapidly develop products in faster growing and more profitable categories or reach consumers in efficient and effective ways leveraging data and analytics.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Negative perceptions concerning the health, environmental and social implications of certain food products, ingredients, packaging materials, and sourcing or production methods could influence consumer preferences and acceptance of some of our products and marketing programs. For example, consumers have increasingly focused on well-being, including reducing sodium and added sugar consumption or using weight-loss drugs to reduce consumption overall or change consumption patterns, as well as the source and authenticity of ingredients in the foods they consume. Continuing to focus on and expand our well-being offerings while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 Continued negative perceptions or failure to satisfy consumer preferences could materially and adversely affect our reputation, brands, product sales, financial condition, results of operations, cash flows and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in certain emerging markets expose us to political, economic and regulatory risks.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growth strategy depends in part on our ability to expand our operations in emerging markets, including among others Brazil, China, India, Mexico, Argentina, Eastern Europe,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results of operations and stock price.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results of operations, cash flows and stock price.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use of information technology and third-party service providers exposes us to cybersecurity breaches and other business disruptions.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number of services important to conducting our business, including accounting, internal control, human resources and computing functions.</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Continuity of business applications and services has been, and may in the future be, disrupted by events such as infection by viruses or malware; other cybersecurity attacks; 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 parties to manage and safeguard data, ensuring access to our systems and availability of third-party systems. In addition, we are experiencing new and more frequent attempts by third parties to gain access to our systems, such as through increased email phishing of our workforce.</w:t>
      </w: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use of third-party technology and business services may expose us to cybersecurity breaches. These can include: (1) breaches of security systems, which could involve circumvention, denial-of-service attacks, or other cyberattacks such as hacking, phishing attacks, computer viruses, ransomware or malware, cyber extortion and (2) internal threats such as employee or insider errors, malfeasance, deepfake or social engineering schemes, physical breaches or other actions or attempts to exploit vulnerabilities. These threats could result in the misuse or breach of confidential information and Personally Identifiable Information belonging to us or our employees, customers, consumers, partners, suppliers, or government and regulatory authorities. Additionally, continued geopolitical turmoil, including the ongoing war in Ukraine and conflicts in the Middle East, has heightened the risk of cyberattacks. When risks such as these materialize, the need for us to coordinate with various third-party service providers and for third-party service providers to coordinate amongst themselves might increase challenges and costs to resolve related issues. Our information security program includes capabilities designed to evaluate and mitigate cyber risks arising from third-party service providers. Cyber threats to externally-hosted technology and business services are beyond our control. Additionally, new initiatives, such as those related to digital commerce and direct sales, that increase the amount of confidential information that we process and maintain increase our potential exposure to a cybersecurity breach. Furthermore, the rapid evolution and increased adoption of artificial intelligence technologies may intensify our cybersecurity risks. If our controls, disaster recovery and business continuity plans or those of our third-party providers do not effectively respond to or resolve the issues related to any such disruptions in a timely manner, our product sales, financial condition, results of operations and stock price may be materially and adversely affected, and we might experience delays in reporting our financial results, loss of intellectual property and damage to our reputation or brands.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continue to invest and augment our cybersecurity program and posture with enhanced identity and access management solutions, multi-factor authentication, risk-based access for remote connectivity, privileged access management, network security, backup and disaster recovery, training and awareness, in addition to advance threat protection emanating from sophisticated, persistent and state-sponsored threat actors, including from internet browsing to email, further reducing our attack surface and likelihood of credential thefts and compromise. Further, we have 24/7 security operations, enhancing the monitoring and detection of threats in our environment, including the manufacturing environment and operational technologies, as well as adjusting information security controls based on our threat intelligence information. However, security measures cannot provide absolute security or guarantee that we will be successful in preventing or responding to every breach or disruption on a timely basis. Due to the constantly evolving and complex nature of cyber threat actors, we cannot predict the form and impact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any future incident, and the cost and operational expense of implementing, maintaining and enhancing protective measures to guard against increasingly complex and sophisticated cyber threats could increase significantly. Moreover, as cyberattacks increase in frequency and magnitude around the world, we may be unable to obtain cybersecurity insurance in the amounts and on terms we view as appropriate and favorable for our operations.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transfer data across local, regional, and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For example, the European Union’s General Data Protection Regulation (“GDPR”) has greatly increased the jurisdictional reach of E.U. law, added a broad array of requirements for handling personal data including the public disclosure of significant data breaches, and imposes substantial penalties for non-compliance of up to 4% of global annual revenue for the preceding financial year in addition to potential restrictions on data transfer and processing. Our efforts to comply with multijurisdictional privacy and data protection laws and the uncertainty of new laws and regulations will likely increase the complexity of our processes and may impose significant costs and challenges that are likely to increase over time, and we could incur substantial penalties or be subject to litigation related to violation of existing or future data privacy laws and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risks from unanticipated business disruptions.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manufacture and source products and materials on a global scale. We utilize an interdependent supply chain – a complex network of suppliers and material needs, owned and leased manufacturing locations, external manufacturing partners, distribution networks, shared service delivery centers and information systems that support our ability to provide our products to our customers consistently. Factors that are hard to predict or beyond our control, like weather, natural disasters, water and energy availability, supply and commodity shortages, port congestions or delays, transport capacity constraints, terrorism, political unrest or armed hostilities (including the ongoing war in Ukraine and conflicts in the Middle East), cybersecurity incidents, labor shortages, strikes or work stoppages, new or increased tariffs and/or trade barriers, operational and/or financial instability of our key suppliers and other vendors or service providers, government shutdowns or health pandemics, including any potential impact of climate change on these factors, could damage or disrupt our operations or those of our suppliers, their suppliers, our external manufacturing partners, distributors or other business partners.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and the quality and safety of our products might be negatively affected. Moreover, disputes with significant customers or suppliers, including disputes regarding pricing or performance, could adversely affect our sales, financial condition, and results of operations. The occurrence of a material or extended disruption may cause us to lose our customers’ or business partners’ confidence or suffer damage to our reputation, and long-term consumer demand for our products could decline. We use insurance to transfer our financial risk related to these exposures, but some of the risks we face are difficult or impossible to insure and the timing of insurance recoveries may not match the timing of the financial loss we incur. We are subject to risk related to operational safety, including risk of fire, explosion or accidental contamination. We could also fail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cash flows and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successfully identify, complete or manage strategic transactions.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regularly evaluate a variety of potential strategic transactions globally, including acquisitions, divestitures, joint ventures, equity method investments and other strategic alliances that could further our strategic business objectives, and acquisitions and joint ventures are an important part of our strategy to increase our exposure to fast-growing snacking segments, fill geographic white spaces and expand into adjacent categories. For example, in 2024 we sold our remaining equity investment in JDE Peet’s N.V. and acquired Evirth (Shanghai) Industrial Co., Ltd. In 2023, we completed the sale of our developed market gum business in the United States, Canada and Europe and sold our remaining equity investment in Keurig Dr Pepper Inc., and in 2022 we acquired Chipita Global S.A.,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Clif Bar &amp; Company and Ricolino. Such transactions and investments present significant challenges and risks. We may not successfully identify potential strategic transactions to pursue, may not have counterparties willing to transact with us, or we may not successfully identify or manage the risks presented by these strategic transactions, or complete such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that may face increased scrutiny); integrate or separate businesses; manage or achieve performance of ESG goals and initiatives; realize the full extent of the benefits, cost savings or synergies presented by strategic transactions; offset loss of revenue associated with divested brands or businesses; effectively implement control environment processes;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applicable laws, including antitrust and competition, anti-bribery and corruption and import/export laws. Equity investments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provide or receive transitional support and/or ongoing commercial relationships, recognize impairment charges or take action to reduce costs that remain after we complete a divestiture. Gains or losses on the sales of, or lost operating income from, those businesses may also affect our profitability. Any of these risks could materially and adversely affect our business, product sales, financial condition, results of operations, cash flows and stock price.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Macroeconomic and Industry Risks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is subject to an increasing focus on sustainability matters.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announced, and may from time to time announce, certain initiatives, including goals, targets and other objectives, related to sustainability matters. These statements reflect our current plans and do not constitute a guarantee that they will be achieved. Our efforts to research, establish, accomplish, and accurately report on these goals, targets and other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reliance on other value chain actors to implement the required changes, the pace of changes in technology and the availability of suppliers that can meet our sustainability and other standards. In addition, statements about our sustainability goals, targets and other objectives, and progress against those goals, targets and other objectives, may be based on standards for measuring progress that are still developing, internal controls and processes that continue to evolve and assumptions that are subject to change in the future. Our selection of voluntary disclosure frameworks and standards, and the interpretation or application of those frameworks and standards, may change from time to time or differ from those of others. Methodologies for reporting this data may be updated and previously reported data may be adjusted to reflect improvement in availability and quality of third-party data, changing assumptions, changes in the nature and scope of our operations, and other changes in circumstances, which could result in significant revisions to our current goals, reported progress in achieving such goals, or ability to achieve such goals in the future. Further, developing and collecting, measuring and reporting ESG-related information and metrics can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be costly, difficult and time consuming and is subject to evolving reporting standards, including recent legislation in California related to reporting greenhouse gas emissions and climate-related financial risk, the SEC’s climate-related reporting requirements, and similar proposals by other international regulatory bodies such as the Corporate Sustainability Reporting Directive in the European Union, especially to the extent these standards are not harmonized or consistent.</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business may face increased scrutiny from the investment community, customers, consumers, employees, activists, media, regulators and other stakeholders related to our sustainability initiatives, including the goals, targets and objectives that we announce, and our methodologies and timelines for pursuing them. At the same time, stakeholders and regulators have increasingly expressed or pursued opposing views, legislation and investment expectations with respect to sustainability initiatives, including the enactment or proposal of “Anti-ESG” legislation or policies. If our sustainability practices do not meet evolving investor or other stakeholder expectations and standards or if we are unable to satisfy all stakeholders, our reputation, our ability to attract or retain employees, our sales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 same negative impacts, as well as expose us to government enforcement actions, fines and private litigation. Even if we achieve our goals, targets and objectives, we may not realize all of the benefits that we expected at the time they were established.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Climate change might adversely impact our supply chain or our operations.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Scientific evidence collected by the Intergovernmental Panel on Climate Change demonstrates that carbon dioxide and other greenhouse gases in the atmosphere have caused and will in the future cause changes in weather patterns around the globe that expose us to physical and transition risk. Physical risks include the increasing frequency of extreme weather events and natural disasters and effects on water availability and quality and biodiversity loss. These impacts increase risks to the global food production and distribution system and to the safety and resilience of the communities where we live, work and source our ingredients, and could further decrease food security for communities around the world. Decreased agricultural productivity caused by climate change has limited and in the future may continue to limit the availability of the commodities we purchase and use and increase the costs of such products. These include cocoa, which is a critical raw material for our chocolate and biscuits &amp; baked snacks portfolios that is particularly sensitive to changes in climate and has recently had a global decrease in availability and increase in price, as well as other raw materials such as dairy, wheat, vegetable oils, sugar and nuts. Weather events such as floods, severe storms or water shortages that are partially caused or exacerbated by climate change might disrupt our business operations or those of our suppliers, their suppliers, our external manufacturing partners, distributors or other business partners and could increase our insurance and other operating costs.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Transition risks include increased focus by federal, state and local regulatory and legislative bodies globally regarding environmental policies relating to climate change, regulating greenhouse gas emissions (including carbon pricing or a carbon tax), energy policies, disclosure obligations and sustainability (including single use plastics). New legal and regulatory requirements have increased and could continue to increase our operating costs for things like energy or packaging through taxes or regulations, including payments under extended producer responsibility policies, taxes on specific packaging material types and targets to increase the use of reuse/refill delivery models. Regulations intended to reduce carbon emissions, including any actual or proposed carbon taxes, could also substantially increase our product supply chain and distribution costs. Even if we make changes to align ourselves with such legal or regulatory requirements, we may still be subject to significant penalties or potential litigation if such laws and regulations are interpreted and applied in a manner inconsistent with our practices. Similarly, we may incur substantial costs if such legal or regulatory requirements are subsequently reversed or modified. Concern about climate change might cause consumer preferences to switch away from products or ingredients considered to have high climate change impact and towards products that are more sustainably grown and made. We expect to incur additional costs as we evolve our portfolio and engage in due diligence, verification and reporting in connection with our ESG and sustainability initiatives. We might not effectively address increased attention from the media, shareholders, activists and other stakeholders on climate change and related environmental sustainability matters, including deforestation, land use, water use and packaging, including plastic. Those stakeholders might also have requests or proposals that are not aligned with the focus of our efforts on climate change and ESG matters. Climate change-related impacts could also reduce demand for our products. If costs for raw materials increase or availability decreases, we raise prices for our products and our competitors respond differently to those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cost or availability pressures, demand for our products and our market share could suffer. We have also experienced decreased demand for chocolate during periods when temperatures are warmer.</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2021, we announced our goal of net zero greenhouse gas emissions by 2050. Achieving this goal will require significant transformation of our business, capital investment and the development of technology that might not currently exist. We might incur significant additional expenses or be required to recognize impairment charges in connection with our efforts, and we might be unable to achieve, or be perceived to fail to achieve, our goal. Any or all of these risks could materially and adversely affect our ability to meet the needs of our customers, reputation, product sales, financial condition, results of operations, cash flows and stock price.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retail customers are consolidating, and we must offer an effective value proposition in order to compete against retailer and other economy brands.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Retail customers, such as supermarkets, discounters, digital 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The growth of alternative online retail channels, such as direct-to-consumer and electronic business-to-business, may adversely affect our relationships with our large retail and wholesale customers.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recessions or significant inflation. Consumers may not buy our products if they perceive little difference between the quality or value of our products and those of retailer or other economy brands. If consumers prefer or otherwise choose to purchase the retailer or other economy brands, we can lose market share or sales volumes, or we may need to shift our product mix to lower margin offerings.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 Failure to effectively respond to retail consolidation, increasing retail power and competition from retailer and other economy brands could materially and adversely affect our reputation, brands, product sales, financial condition, results of operations, cash flows and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changes in our relationships with significant customers, suppliers and distributors.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2024, no single customer accounted for more than 10% of our net revenues. However,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a significant customer could result in a material reduction in sales or change in the mix of products we sell to the customer. This could materially and adversely affect our product sales, financial condition, results of operations, cash flows and stock price.</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Disputes with significant customers, suppliers or distributors, including disputes related to pricing or performance and any resultant refusal to provide shelf and/or retail spaces for our products, could adversely affect our ability to supply or deliver products or operate our business and could materially and adversely affect our product sales, financial condition and results of operations. The financial condition of our significant customers and business partners are affected by events that are largely beyond our control. New regulations can also affect our commercial practices and our relationship with customers, suppliers or distributors. Deterioration in the financial condition of significant customers, suppliers or distributors or regulations affecting our relationship with these parties could materially and adversely affect our product sales, financial condition, results of operations,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b w:val="1"/>
          <w:bCs w:val="1"/>
          <w:color w:val="auto"/>
        </w:rPr>
        <w:t>We may be unable to hire or retain and develop key personnel or a highly skilled and diverse global workforce or effectively manage changes in our workforce and respond to shifts in labor availability.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must attract,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We have experienced and could continue to experience unplanned or increased turnover of employees with key capabilities, and we could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advanced technology, artificial intelligence, machine learning, digital commerce, data analytics and supply chain expertise. Occurrence of any of these conditions could deplete our institutional knowledge base and erode our competitiveness.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are experiencing an increasingly tight and competitive labor market and could face unforeseen challenges in the availability of labor. A sustained labor shortage or increased turnover rates within our employee base as a result of general macroeconomic factors (including high inflation and hyperinflation in certain markets), have led and in the future could continue to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freight providers, other strategic suppliers and distributors. Failure to achieve and maintain a diverse workforce and leadership team,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3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60% of our 78,000 employees outside the United States and approximately 20% of our 12,000 U.S. employees. Strikes, work stoppages or other forms of labor unrest by our employees or those of our suppliers, distributors or other business partners, or situations like the renegotiation of collective bargaining agreements, have in the past and may in the future cause disruptions to our supply chain, manufacturing or distribution processes. Changes in immigration laws and policies or restrictions could make it more difficult for us to recruit or relocate skilled employees. We could also fail to effectively respond to evolving perceptions and goals of those in our workforce or whom we might seek to hire with respect to flexible working or other matters. These risks could materially and adversely affect our reputation, ability to efficiently operate our manufacturing facilities and overall business and meet the needs of our customers, product sales, financial condition, results of operations, cash flows and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related to complying with changes in and inconsistencies among laws and regulations in many countries in which we operate.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activities around the world are highly regulated and subject to government oversight. Various laws and regulations govern food production, sourcing, packaging and waste management (including packaging containing PFAS), storage, distribution, sales, advertising, labeling and marketing, as well as intellectual property, competition, antitrust, trade and export controls, labor, tax, social and environmental matters, privacy, data protection, and health and safety practices. Government authorities regularly change laws and regulations, their interpretations of existing laws and regulations, and their enforcement priorities. Our failure to comply with existing laws and regulations (or allegations thereof), or to make changes necessary to comply with new or revised laws and regulations or evolving interpretations and application of existing laws and regulations, and differing or competing laws and regulations across the markets where our products are made, manufactured, distributed and sold, could materially and adversely affect our product sales, financial condition, results of operations and cash flows, including as a result of higher compliance costs, higher capital expenditures and higher production costs. For instance, our financial condition, results of operations and cash flows could be negatively affected by the regulatory and economic impact of changes in the corporate tax policies of the United States and other countries; tariff policies and trade relations among the United States and other countries, including China, Mexico, Canada and the European Union; and changes within the European Union. Evolving expectations on ESG disclosures and reporting will also result in new regulatory actions. In addition, the results of third-party studies (whether or not scientifically valid) purporting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assess the health implications of consumption of certain ingredients or substances present in certain of our products or packaging materials have resulted in and could continue to result in our being subject to new taxes and regulations or lawsuits that can adversely affect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decide or be required to recall products or be subjected to product liability claims or litigation.</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the introduction of foreign objects, food-borne illnesses, product mislabeling or product tampering. These risks could be heightened in light of increased pressure on our suppliers from supply chain challenges.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cash flows and stock price.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or related claim or other legal judgment against us, a regulatory enforcement action, a widespread product recall or comments relating to the safety of our products could materially and adversely affect our reputation and profitability. Moreover, even if a product liability, consumer fraud or other claim, litigation or investigation has no merit, is not pursued or is unsuccessful, the negative publicity surrounding assertions against our products or processes or conduct could materially and adversely affect our reputation, brands, product sales, product inventory, financial condition, results of operations, cash flows and stock price, and we could incur significant expense responding to such a claim, litigation or investigation. For example, a recent purported personal injury lawsuit filed against a number of food companies, including us (</w:t>
      </w:r>
      <w:r>
        <w:rPr>
          <w:rFonts w:ascii="Arial" w:cs="Arial" w:eastAsia="Arial" w:hAnsi="Arial"/>
          <w:sz w:val="14"/>
          <w:szCs w:val="14"/>
          <w:i w:val="1"/>
          <w:iCs w:val="1"/>
          <w:color w:val="auto"/>
        </w:rPr>
        <w:t>Bryce Martinez vs. Kraft Heinz Co. Inc. et al.</w:t>
      </w:r>
      <w:r>
        <w:rPr>
          <w:rFonts w:ascii="Arial" w:cs="Arial" w:eastAsia="Arial" w:hAnsi="Arial"/>
          <w:sz w:val="14"/>
          <w:szCs w:val="14"/>
          <w:color w:val="auto"/>
        </w:rPr>
        <w:t>), alleged that certain food products we and other companies make are addictive and cause health problems. While we believe that this lawsuit is without merit and intend to vigorously defend ourselves, we cannot predict the outcome or the impact of such litigation or similar lawsuits on our business or reputation. In addition, while we currently maintain insurance coverage that, subject to its terms and conditions, is intended to address costs associated with certain aspects of product recalls,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related to legal or tax claims, litigation, investigations or other regulatory enforcement actions.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operate around the world in environments with constantly evolving legal, tax and regulatory frameworks, and we are subject to risk of litigation, legal or tax claims, investigations, or other regulatory enforcement actions. Actions by our employees, contractors, agents or others in violation of our policies and procedures could lead to deficiencies in our internal or other controls or violations, unintentional or otherwise, of laws and regulations. We could also be subject to litigation, legal claims, investigations or regulatory actions in connection with the continued evolution of our sustainability and ESG-related initiatives. In addition, we may be impacted by litigation trends, including class action, individual or multi-jurisdiction lawsuits, or investigations or enforcement actions involving consumers, employees, shareholders or other stakeholders. For example, as a global snacking company, we are subject to increased regulatory scrutiny and face legal challenges in a variety of jurisdictions concerning the alleged health implications of certain food products and our methods in marketing those products. When litigation, legal or tax claims, investigations or regulatory enforcement actions arise out of our failure or alleged failure to comply with applicable laws, regulations or controls, we could be subject to civil and criminal penalties, and voluntary and involuntary document requests, that could materially and adversely affect our reputation, product sales, financial condition, results of operations, cash flows and stock price. Even if a claim, lawsuit, investigation, enforcement action or other action is unsuccessful, without merit or not pursued to completion, the reputational impact or cost of responding to such a claim, including expenses and management time, could adversely affect us.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related to adequately protecting our valuable intellectual property rights.</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consider our intellectual property rights, particularly and most notably our trademarks, but also our patents, copyrights, registered designs, proprietary trade secrets, recipes, technology, know-how and licensing agreements, to be a significant and valuable part of our business. We attempt to protect our intellectual property rights by taking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advantage of a combination of patent, trademark, copyright and trade secret laws in various countries, as well as licensing agreements, third-party nondisclosure and assignment agreements and policing of third-party misuses and infringement of our intellectual property in traditional retail and digital environments. Our failure to obtain or adequately protect our intellectual property rights (including in response to developments in artificial intelligence technologies), or any change in law or other changes that serve to lessen or remove the current legal protections of our intellectual property, may diminish our competitiveness and could materially harm our business, financial condition and stock price.</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results of operations, cash flows and stock price.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related to tax matters, including changes in tax laws and rates, disagreements with taxing authorities and imposition of new taxes.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As a global company, we are subject to taxation in the United States and various other countries and jurisdictions. As a result, our effective tax rate is determined based on the income and applicable tax rates in the various jurisdictions in which we operate. Our future effective tax rates could be affected by changes in the composition of earnings in countries with differing tax rates or other factors, and adverse changes in the underlying profitability or financial outlook of our operations could lead to changes in the realizability of our deferred tax assets, resulting in a charge to our effective tax rate.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Changes in tax laws in the U.S. or in other countries where we have significant operations, including rate changes or corporate tax provisions that could disallow or tax perceived base erosion or profit shifting payments or subject us to new types of tax, could materially affect our effective tax rate and our deferred tax assets and liabilities. As of January 2025, the change in U.S. presidential administration and control of U.S. Congress may produce changes to U.S. tax legislation. In addition, aspects of U.S. tax laws may lead foreign jurisdictions to respond by enacting additional tax legislation that is unfavorable to us. As of December 31, 2024, numerous countries have now enacted the Organization of Economic Cooperation and Development’s model rules on a global minimum tax, with the earliest effective date being for taxable years beginning after December 31, 2023. Important details of these minimum tax regimes are still being considered. Based on the guidance available thus far, we do not expect this legislation to have a material impact on our consolidated financial statements, but we will continue to evaluate it as additional guidance and clarification becomes available.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effective tax rate, results of operations, cash flows and stock price.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currency exchange rate fluctuations.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2024, we sold our products in over 150 countries and had operations in approximately 80 countries. Consequently, a significant portion of our business is exposed to currency exchange rate fluctuations. Our financial position and operating results are sensitive to movements in currency exchange rates, which have recently been more volatile,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factor exchange rate impacts into our local pricing decisions, but there may be lags in implementing pricing changes due to competitive pressures or customer or regulatory constraints. We also hedge a number of risks including exposures to foreign exchange rate movements and volatility of interest rates that could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trade disputes, economic sanctions, political uncertainty, inflation, interest rates and limited hedging opportunities. For instance, in December 2023, the Argentinean peso devalued significantly in excess of historic levels.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results of operations, cash flows and stock price, and our relationships with customers, suppliers and employees in the short or long-term.</w:t>
      </w:r>
    </w:p>
    <w:p>
      <w:pPr>
        <w:spacing w:after="0" w:line="338" w:lineRule="exact"/>
        <w:rPr>
          <w:sz w:val="20"/>
          <w:szCs w:val="20"/>
          <w:color w:val="auto"/>
        </w:rPr>
      </w:pPr>
    </w:p>
    <w:p>
      <w:pPr>
        <w:jc w:val="both"/>
        <w:spacing w:after="0" w:line="307" w:lineRule="auto"/>
        <w:rPr>
          <w:sz w:val="20"/>
          <w:szCs w:val="20"/>
          <w:color w:val="auto"/>
        </w:rPr>
      </w:pPr>
      <w:r>
        <w:rPr>
          <w:rFonts w:ascii="Arial" w:cs="Arial" w:eastAsia="Arial" w:hAnsi="Arial"/>
          <w:sz w:val="14"/>
          <w:szCs w:val="14"/>
          <w:b w:val="1"/>
          <w:bCs w:val="1"/>
          <w:color w:val="auto"/>
        </w:rPr>
        <w:t>Weak financial performance, downgrades in our credit ratings, illiquid global capital markets and volatile global economic conditions could limit our access to short-term financing, reduce our liquidity and/or increase our borrowing costs.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 Additionally, we use cash management programs, such as factoring and supply chain finance arrangements, in our business when circumstances are favorable to manage liquidity. If these programs or underlying customer or supplier terms do not continue and we are unable to secure alternative programs, our cash and working capital may be negatively affected and we may have to utilize our various financing arrangements or increase our long-term borrowings for short- and long-term liquidity requirements. Limitations on our ability to access the commercial paper markets, a reduction in our liquidity or an increase in our borrowing costs could materially and adversely affect our financial condition, results of operations and stock price.</w:t>
      </w:r>
    </w:p>
    <w:p>
      <w:pPr>
        <w:spacing w:after="0" w:line="162" w:lineRule="exact"/>
        <w:rPr>
          <w:sz w:val="20"/>
          <w:szCs w:val="20"/>
          <w:color w:val="auto"/>
        </w:rPr>
      </w:pPr>
    </w:p>
    <w:p>
      <w:pPr>
        <w:jc w:val="both"/>
        <w:spacing w:after="0" w:line="307" w:lineRule="auto"/>
        <w:rPr>
          <w:sz w:val="20"/>
          <w:szCs w:val="20"/>
          <w:color w:val="auto"/>
        </w:rPr>
      </w:pPr>
      <w:r>
        <w:rPr>
          <w:rFonts w:ascii="Arial" w:cs="Arial" w:eastAsia="Arial" w:hAnsi="Arial"/>
          <w:sz w:val="14"/>
          <w:szCs w:val="14"/>
          <w:b w:val="1"/>
          <w:bCs w:val="1"/>
          <w:color w:val="auto"/>
        </w:rPr>
        <w:t>Volatility in the global capital markets, interest rates, inflation rates, our participation in multiemployer pension plans and other factors could increase our costs relating to our employees’ pensions.</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sponsor defined benefit pension plans for a number of our employees throughout the world and also contribute to other employees’ pensions under defined benefit plans that we do not sponsor. At the end of 2024, the projected benefit obligation of the defined benefit pension plans we sponsor was $7.9 billion and plan assets were $8.5 billion.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inflation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 benefit obligations. Volatility in the global capital markets may increase the risk that we will be required to make additional cash contributions to these company-sponsored pension plans and recognize further increases in our net periodic pension cost.</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such as the withdrawal liability we are paying in connection with our complete withdrawal from the Bakery and Confectionery Union and Industry International Pension Fund in 2018. This kind of withdrawal liability will generally increase if there is also a mass withdrawal of other participating employers or if the plan terminates.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to the consolidated financial statements for more information on our multiemployer pension plans.</w:t>
      </w:r>
    </w:p>
    <w:p>
      <w:pPr>
        <w:spacing w:after="0" w:line="33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 significant increase in our pension benefit obligations, future funding requirements or net periodic benefit costs could curtail our ability to invest in the business and adversely affect our financial condition, results of operations, cash flows and stock price.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are committed to our goal to protect sensitive business-related and personal information, as well as our information systems. Due to the size and scope of our global operations, we are subject to numerous and evolving cybersecurity risks that could adversely and materially affect our business, financial condition and results of operations.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Management Leadership Team, with oversight from the Board of Directors, has implemented a comprehensive cybersecurity program, including incident response process, aligned with the National Institute of Standards and Technology (NIST) Cybersecurity Framework and NIST Computer Security Incident Handling Guide (NIST SP 800-61) to assess, identify, address and manage risks from cybersecurity threats that may result in material adverse effects on the confidentiality, integrity and availability of our business and information systems.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Governance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and Management Leadership Team review cybersecurity risks as part of their oversight and execution of the Company’s business operations and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have established oversight mechanisms intended to provide effective cybersecurity governance, risk management, and timely incident response.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of Directors Oversight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Board, in coordination with the Audit Committee, oversees the Company’s enterprise risk management process, including the management of risks arising from cybersecurity threats. Our Board has delegated the primary responsibility to oversee cybersecurity matters to the Audit Committee. Both the Board and the Audit Committee periodically review the measures we have implemented to identify and mitigate data protection and cybersecurity risks.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part of such reviews, our Board and Audit Committee receive periodic reports and presentations from members of the team responsible for overseeing cybersecurity risk management, including our Chief Information Security Officer (CISO), which may address a wide range of topics including recent developments, evolving standards, vulnerability assessments, third-party and independent reviews, technological trends and information security considerations arising with respect to our peers and third parties. Members of our Management Leadership Team also report to the Board more frequently than annually on data protection and current internal and external developments in cybersecurity, as part of the Board’s enterprise risk management review, and the Board receives reports of Audit Committee discussions regarding its oversight of cybersecurity risk. We have protocols by which certain cybersecurity incidents that meet established reporting thresholds are escalated internally and, where appropriate, reported to the Audit Committee or the Board in a timely manner.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 Role in Cybersecurity Risk Management</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At the management level, our CISO has extensive cybersecurity knowledge and skills gained from over 20 years of work experience at Mondelēz and other major consumer goods and financial services companies. Our CISO currently reports to our Chief Information and Digital Officer and has operational responsibility for our information security programs, protections, and efforts, along with leading the team responsible for implementing, monitoring, and maintaining cybersecurity and data security strategy, policy, standards, architecture, and practices across our business. Our CISO is supported by a team of enterprise information system security and risk professionals, including regional information security officers responsible for overseeing cybersecurity strategy and operations in each business unit. Our CISO receives reports on cybersecurity threats on an ongoing basis and regularly reviews risk management measures implemented by the Company to identify and mitigate data security and cybersecurity risks. Our CISO updates the Management Leadership Team on these matters and works closely with Corporate and Legal Affairs to oversee compliance with legal, regulatory, and contractual security requirements.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Cybersecurity Steering Committee</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Cybersecurity Steering Committee currently includes our CEO, CFO, CISO, General Counsel and Chief Ethics &amp; Compliance Officer and has broad oversight of our cybersecurity risk management processes, in coordination with the rest of the Management Leadership Team and the Board. The Cybersecurity Steering Committee has been established to meet and to discuss our cybersecurity risk management measures designed to identify and mitigate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data protection and cybersecurity risks, along with procedures and practices related to incident response, including escalation and notification.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 Management and Strategy</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Cybersecurity risk management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3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cybersecurity program is designed to leverage people, processes, and technology to identify and respond to cybersecurity threats in a timely manner. Our vendor cybersecurity risk management program supports the planning, automation, and management of cybersecurity risk with enrolled suppliers and other third parties, focusing on risk-based assessments. Our employees undergo annual security awareness training to enhance their understanding of cybersecurity threats and their ability to identify and escalate potential cybersecurity events. We also employ systems and processes designed to oversee, identify, and reduce the potential impact of a security incident at a third-party vendor, service provider or customer or otherwise implicating the third-party technology and systems we use.</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assess, identify, and manage risks from cybersecurity threats through various mechanisms, which may include tabletop exercises to test our preparedness and incident response process, business unit assessments, control gap analyses, threat modeling, penetration tests, vulnerability scanning, internal audits, and external audits of our cybersecurity program. We also leverage assessors, consultants, auditors and third-party service providers, including threat intelligence to inform our understanding of the cybersecurity threat landscape and enable risk-based measures to defend against evolving threats.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Incident Response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have a Cybersecurity Incident Response Plan (“CSIRP”) to provide the organizational and operational structure, processes, and procedures for investigating, containing, documenting and mitigating cybersecurity incidents, including keeping senior management and other key stakeholders informed and involved as appropriate.</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Cybersecurity Incident Response Team manages and executes technical response activities in coordination with our Security Operations Center, subject matter experts and others to respond to a cybersecurity incident. The objectives of the CSIRP include to:</w:t>
      </w:r>
    </w:p>
    <w:p>
      <w:pPr>
        <w:spacing w:after="0" w:line="137" w:lineRule="exact"/>
        <w:rPr>
          <w:sz w:val="20"/>
          <w:szCs w:val="20"/>
          <w:color w:val="auto"/>
        </w:rPr>
      </w:pP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 the Company’s cybersecurity incident response process and provide actionable guidelines to provide a timely, consistent, and repeatable response process;</w:t>
      </w:r>
    </w:p>
    <w:p>
      <w:pPr>
        <w:spacing w:after="0" w:line="24" w:lineRule="exact"/>
        <w:rPr>
          <w:rFonts w:ascii="Arial" w:cs="Arial" w:eastAsia="Arial" w:hAnsi="Arial"/>
          <w:sz w:val="14"/>
          <w:szCs w:val="14"/>
          <w:color w:val="auto"/>
        </w:rPr>
      </w:pP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Describe the requirements and expectations for cybersecurity incident response;</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Set forth the roles and responsibilities for cybersecurity incident response personnel;</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 cybersecurity incident classification, escalation, and prioritization parameters;</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Confirm the documentation process for cybersecurity incidents affecting the Company and the Company’s responses are appropriately documented;</w:t>
      </w: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 protocols for materiality determinations for cybersecurity incidents under the SEC’s cybersecurity rules;</w:t>
      </w:r>
    </w:p>
    <w:p>
      <w:pPr>
        <w:ind w:left="520" w:hanging="256"/>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 the process for assessing when public disclosure and external communications may be required; and</w:t>
      </w:r>
    </w:p>
    <w:p>
      <w:pPr>
        <w:spacing w:after="0" w:line="10" w:lineRule="exact"/>
        <w:rPr>
          <w:rFonts w:ascii="Arial" w:cs="Arial" w:eastAsia="Arial" w:hAnsi="Arial"/>
          <w:sz w:val="14"/>
          <w:szCs w:val="14"/>
          <w:color w:val="auto"/>
        </w:rPr>
      </w:pPr>
    </w:p>
    <w:p>
      <w:pPr>
        <w:ind w:left="520" w:hanging="256"/>
        <w:spacing w:after="0" w:line="277"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Mitigate or minimize the effects of a cybersecurity incident on the Company, its personnel, customers, consumers, or others and limit financial, operational, legal, and reputational impact.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Material Cybersecurity Risks, Threats &amp; Incidents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also rely on information technology and third-party vendors to support our operations, including our secure processing of personal, confidential, sensitive, proprietary and other types of information. Despite ongoing efforts to continuously improve our and our vendors’ ability to protect against cyber incidents, we may not be able to protect all information systems, and such incidents may lead to reputational harm, revenue and client loss, legal actions, statutory penalties, among other consequences. While we have not experienced a known material information security breach nor incurred material breach-related expenses over the last three years, there can be no guarantee that we will not be the subject of future cybersecurity threats or incidents. Additional information on cybersecurity risks we face can be found in Item 1A, </w:t>
      </w:r>
      <w:r>
        <w:rPr>
          <w:rFonts w:ascii="Arial" w:cs="Arial" w:eastAsia="Arial" w:hAnsi="Arial"/>
          <w:sz w:val="14"/>
          <w:szCs w:val="14"/>
          <w:i w:val="1"/>
          <w:iCs w:val="1"/>
          <w:color w:val="auto"/>
        </w:rPr>
        <w:t>Risk Factors</w:t>
      </w:r>
      <w:r>
        <w:rPr>
          <w:rFonts w:ascii="Arial" w:cs="Arial" w:eastAsia="Arial" w:hAnsi="Arial"/>
          <w:sz w:val="14"/>
          <w:szCs w:val="14"/>
          <w:color w:val="auto"/>
        </w:rPr>
        <w:t>, which should be read in conjunction with the foregoing information.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December 31, 2024, we had approximately 147 manufacturing and processing facilities in 46 countries and 107 principal distribution centers and warehouses worldwide that we owned or leased.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80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1"/>
                <w:szCs w:val="11"/>
                <w:b w:val="1"/>
                <w:bCs w:val="1"/>
                <w:color w:val="auto"/>
              </w:rPr>
              <w:t>As of December 31, 2024</w:t>
            </w:r>
          </w:p>
        </w:tc>
      </w:tr>
      <w:tr>
        <w:trPr>
          <w:trHeight w:val="303"/>
        </w:trPr>
        <w:tc>
          <w:tcPr>
            <w:tcW w:w="7480" w:type="dxa"/>
            <w:vAlign w:val="bottom"/>
          </w:tcPr>
          <w:p>
            <w:pPr>
              <w:spacing w:after="0"/>
              <w:rPr>
                <w:sz w:val="24"/>
                <w:szCs w:val="24"/>
                <w:color w:val="auto"/>
              </w:rPr>
            </w:pPr>
          </w:p>
        </w:tc>
        <w:tc>
          <w:tcPr>
            <w:tcW w:w="1440" w:type="dxa"/>
            <w:vAlign w:val="bottom"/>
          </w:tcPr>
          <w:p>
            <w:pPr>
              <w:jc w:val="center"/>
              <w:ind w:left="363"/>
              <w:spacing w:after="0"/>
              <w:rPr>
                <w:sz w:val="20"/>
                <w:szCs w:val="20"/>
                <w:color w:val="auto"/>
              </w:rPr>
            </w:pPr>
            <w:r>
              <w:rPr>
                <w:rFonts w:ascii="Arial" w:cs="Arial" w:eastAsia="Arial" w:hAnsi="Arial"/>
                <w:sz w:val="11"/>
                <w:szCs w:val="11"/>
                <w:b w:val="1"/>
                <w:bCs w:val="1"/>
                <w:color w:val="auto"/>
              </w:rPr>
              <w:t>Manufacturing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ind w:right="531"/>
              <w:spacing w:after="0"/>
              <w:rPr>
                <w:sz w:val="20"/>
                <w:szCs w:val="20"/>
                <w:color w:val="auto"/>
              </w:rPr>
            </w:pPr>
            <w:r>
              <w:rPr>
                <w:rFonts w:ascii="Arial" w:cs="Arial" w:eastAsia="Arial" w:hAnsi="Arial"/>
                <w:sz w:val="11"/>
                <w:szCs w:val="11"/>
                <w:b w:val="1"/>
                <w:bCs w:val="1"/>
                <w:color w:val="auto"/>
              </w:rPr>
              <w:t>Distribution</w:t>
            </w:r>
          </w:p>
        </w:tc>
      </w:tr>
      <w:tr>
        <w:trPr>
          <w:trHeight w:val="150"/>
        </w:trPr>
        <w:tc>
          <w:tcPr>
            <w:tcW w:w="74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b w:val="1"/>
                <w:bCs w:val="1"/>
                <w:color w:val="auto"/>
              </w:rPr>
              <w:t>Facilities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and Warehouse Facilities</w:t>
            </w:r>
          </w:p>
        </w:tc>
      </w:tr>
      <w:tr>
        <w:trPr>
          <w:trHeight w:val="173"/>
        </w:trPr>
        <w:tc>
          <w:tcPr>
            <w:tcW w:w="7480" w:type="dxa"/>
            <w:vAlign w:val="bottom"/>
            <w:shd w:val="clear" w:color="auto" w:fill="CCEEFF"/>
          </w:tcPr>
          <w:p>
            <w:pPr>
              <w:ind w:left="20"/>
              <w:spacing w:after="0" w:line="174" w:lineRule="exact"/>
              <w:rPr>
                <w:sz w:val="20"/>
                <w:szCs w:val="20"/>
                <w:color w:val="auto"/>
              </w:rPr>
            </w:pPr>
            <w:r>
              <w:rPr>
                <w:rFonts w:ascii="Arial" w:cs="Arial" w:eastAsia="Arial" w:hAnsi="Arial"/>
                <w:sz w:val="14"/>
                <w:szCs w:val="14"/>
                <w:color w:val="auto"/>
              </w:rPr>
              <w:t xml:space="preserve">Latin America </w:t>
            </w:r>
            <w:r>
              <w:rPr>
                <w:rFonts w:ascii="Arial" w:cs="Arial" w:eastAsia="Arial" w:hAnsi="Arial"/>
                <w:sz w:val="16"/>
                <w:szCs w:val="16"/>
                <w:color w:val="auto"/>
                <w:vertAlign w:val="superscript"/>
              </w:rPr>
              <w:t>(1)</w:t>
            </w:r>
          </w:p>
        </w:tc>
        <w:tc>
          <w:tcPr>
            <w:tcW w:w="14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AMEA</w:t>
            </w:r>
          </w:p>
        </w:tc>
        <w:tc>
          <w:tcPr>
            <w:tcW w:w="42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7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Owned</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3"/>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Leased</w:t>
            </w:r>
          </w:p>
        </w:tc>
        <w:tc>
          <w:tcPr>
            <w:tcW w:w="4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98"/>
        </w:trPr>
        <w:tc>
          <w:tcPr>
            <w:tcW w:w="7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Excludes our deconsolidated Venezuela operations. 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Information regarding legal proceedings is available in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to the consolidated financial statements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are proud members of the Standard and Poor’s 500 and Nasdaq 100. Our Common Stock is listed on The Nasdaq Global Select Market under the symbol “MDLZ.” At January 31, 2025, there were 34,057 holders of record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Five-Year Cumulative Total Return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105410</wp:posOffset>
            </wp:positionV>
            <wp:extent cx="4664710" cy="2461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64710"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 of December 31,</w:t>
            </w:r>
          </w:p>
        </w:tc>
        <w:tc>
          <w:tcPr>
            <w:tcW w:w="260" w:type="dxa"/>
            <w:vAlign w:val="bottom"/>
          </w:tcPr>
          <w:p>
            <w:pPr>
              <w:spacing w:after="0"/>
              <w:rPr>
                <w:sz w:val="10"/>
                <w:szCs w:val="1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Mondelēz</w:t>
            </w:r>
          </w:p>
        </w:tc>
        <w:tc>
          <w:tcPr>
            <w:tcW w:w="10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S&amp;P 500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ind w:right="332"/>
              <w:spacing w:after="0"/>
              <w:rPr>
                <w:sz w:val="20"/>
                <w:szCs w:val="20"/>
                <w:color w:val="auto"/>
              </w:rPr>
            </w:pPr>
            <w:r>
              <w:rPr>
                <w:rFonts w:ascii="Arial" w:cs="Arial" w:eastAsia="Arial" w:hAnsi="Arial"/>
                <w:sz w:val="11"/>
                <w:szCs w:val="11"/>
                <w:b w:val="1"/>
                <w:bCs w:val="1"/>
                <w:color w:val="auto"/>
              </w:rPr>
              <w:t>Performance</w:t>
            </w: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International</w:t>
            </w:r>
          </w:p>
        </w:tc>
        <w:tc>
          <w:tcPr>
            <w:tcW w:w="10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72"/>
              <w:spacing w:after="0"/>
              <w:rPr>
                <w:sz w:val="20"/>
                <w:szCs w:val="20"/>
                <w:color w:val="auto"/>
              </w:rPr>
            </w:pPr>
            <w:r>
              <w:rPr>
                <w:rFonts w:ascii="Arial" w:cs="Arial" w:eastAsia="Arial" w:hAnsi="Arial"/>
                <w:sz w:val="11"/>
                <w:szCs w:val="11"/>
                <w:b w:val="1"/>
                <w:bCs w:val="1"/>
                <w:color w:val="auto"/>
              </w:rPr>
              <w:t>Peer Group</w:t>
            </w:r>
          </w:p>
        </w:tc>
        <w:tc>
          <w:tcPr>
            <w:tcW w:w="0" w:type="dxa"/>
            <w:vAlign w:val="bottom"/>
          </w:tcPr>
          <w:p>
            <w:pPr>
              <w:spacing w:after="0"/>
              <w:rPr>
                <w:sz w:val="1"/>
                <w:szCs w:val="1"/>
                <w:color w:val="auto"/>
              </w:rPr>
            </w:pPr>
          </w:p>
        </w:tc>
      </w:tr>
      <w:tr>
        <w:trPr>
          <w:trHeight w:val="17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108.58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109.42</w:t>
            </w: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125.09</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129.50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124.79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123.92</w:t>
            </w: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0" w:type="dxa"/>
            <w:vAlign w:val="bottom"/>
          </w:tcPr>
          <w:p>
            <w:pPr>
              <w:spacing w:after="0"/>
              <w:rPr>
                <w:sz w:val="1"/>
                <w:szCs w:val="1"/>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121.94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197.02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123.32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Kellanova, The Kraft Heinz Company, Nestlé S.A., PepsiCo, Inc., The Procter &amp; Gamble Company and Unilever PLC.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Our stock repurchase activity for each of the three months in the quarter ended December 31, 2024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Total Number of Shares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jc w:val="center"/>
              <w:ind w:right="36"/>
              <w:spacing w:after="0"/>
              <w:rPr>
                <w:sz w:val="20"/>
                <w:szCs w:val="20"/>
                <w:color w:val="auto"/>
              </w:rPr>
            </w:pPr>
            <w:r>
              <w:rPr>
                <w:rFonts w:ascii="Arial" w:cs="Arial" w:eastAsia="Arial" w:hAnsi="Arial"/>
                <w:sz w:val="11"/>
                <w:szCs w:val="11"/>
                <w:b w:val="1"/>
                <w:bCs w:val="1"/>
                <w:color w:val="auto"/>
              </w:rPr>
              <w:t>Approximate Dollar Value of</w:t>
            </w:r>
          </w:p>
        </w:tc>
        <w:tc>
          <w:tcPr>
            <w:tcW w:w="0" w:type="dxa"/>
            <w:vAlign w:val="bottom"/>
          </w:tcPr>
          <w:p>
            <w:pPr>
              <w:spacing w:after="0"/>
              <w:rPr>
                <w:sz w:val="1"/>
                <w:szCs w:val="1"/>
                <w:color w:val="auto"/>
              </w:rPr>
            </w:pPr>
          </w:p>
        </w:tc>
      </w:tr>
      <w:tr>
        <w:trPr>
          <w:trHeight w:val="118"/>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vMerge w:val="restart"/>
          </w:tcPr>
          <w:p>
            <w:pPr>
              <w:jc w:val="right"/>
              <w:ind w:right="173"/>
              <w:spacing w:after="0"/>
              <w:rPr>
                <w:sz w:val="20"/>
                <w:szCs w:val="20"/>
                <w:color w:val="auto"/>
              </w:rPr>
            </w:pPr>
            <w:r>
              <w:rPr>
                <w:rFonts w:ascii="Arial" w:cs="Arial" w:eastAsia="Arial" w:hAnsi="Arial"/>
                <w:sz w:val="11"/>
                <w:szCs w:val="11"/>
                <w:b w:val="1"/>
                <w:bCs w:val="1"/>
                <w:color w:val="auto"/>
              </w:rPr>
              <w:t>Total Number of 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Purchased as Part of Publicly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jc w:val="center"/>
              <w:ind w:right="36"/>
              <w:spacing w:after="0" w:line="119" w:lineRule="exact"/>
              <w:rPr>
                <w:sz w:val="20"/>
                <w:szCs w:val="20"/>
                <w:color w:val="auto"/>
              </w:rPr>
            </w:pPr>
            <w:r>
              <w:rPr>
                <w:rFonts w:ascii="Arial" w:cs="Arial" w:eastAsia="Arial" w:hAnsi="Arial"/>
                <w:sz w:val="11"/>
                <w:szCs w:val="11"/>
                <w:b w:val="1"/>
                <w:bCs w:val="1"/>
                <w:color w:val="auto"/>
              </w:rPr>
              <w:t>Shares That May Yet Be</w:t>
            </w:r>
          </w:p>
        </w:tc>
        <w:tc>
          <w:tcPr>
            <w:tcW w:w="0" w:type="dxa"/>
            <w:vAlign w:val="bottom"/>
          </w:tcPr>
          <w:p>
            <w:pPr>
              <w:spacing w:after="0"/>
              <w:rPr>
                <w:sz w:val="1"/>
                <w:szCs w:val="1"/>
                <w:color w:val="auto"/>
              </w:rPr>
            </w:pPr>
          </w:p>
        </w:tc>
      </w:tr>
      <w:tr>
        <w:trPr>
          <w:trHeight w:val="116"/>
        </w:trPr>
        <w:tc>
          <w:tcPr>
            <w:tcW w:w="3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1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 xml:space="preserve">Average Price Paid per Share </w:t>
            </w:r>
            <w:r>
              <w:rPr>
                <w:rFonts w:ascii="Arial" w:cs="Arial" w:eastAsia="Arial" w:hAnsi="Arial"/>
                <w:sz w:val="7"/>
                <w:szCs w:val="7"/>
                <w:b w:val="1"/>
                <w:bCs w:val="1"/>
                <w:color w:val="auto"/>
              </w:rPr>
              <w:t>(1)</w:t>
            </w:r>
          </w:p>
        </w:tc>
        <w:tc>
          <w:tcPr>
            <w:tcW w:w="17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Announced Plans or</w:t>
            </w:r>
          </w:p>
        </w:tc>
        <w:tc>
          <w:tcPr>
            <w:tcW w:w="100" w:type="dxa"/>
            <w:vAlign w:val="bottom"/>
          </w:tcPr>
          <w:p>
            <w:pPr>
              <w:spacing w:after="0"/>
              <w:rPr>
                <w:sz w:val="10"/>
                <w:szCs w:val="10"/>
                <w:color w:val="auto"/>
              </w:rPr>
            </w:pPr>
          </w:p>
        </w:tc>
        <w:tc>
          <w:tcPr>
            <w:tcW w:w="1760" w:type="dxa"/>
            <w:vAlign w:val="bottom"/>
            <w:gridSpan w:val="2"/>
          </w:tcPr>
          <w:p>
            <w:pPr>
              <w:jc w:val="right"/>
              <w:spacing w:after="0" w:line="116" w:lineRule="exact"/>
              <w:rPr>
                <w:sz w:val="20"/>
                <w:szCs w:val="20"/>
                <w:color w:val="auto"/>
              </w:rPr>
            </w:pPr>
            <w:r>
              <w:rPr>
                <w:rFonts w:ascii="Arial" w:cs="Arial" w:eastAsia="Arial" w:hAnsi="Arial"/>
                <w:sz w:val="11"/>
                <w:szCs w:val="11"/>
                <w:b w:val="1"/>
                <w:bCs w:val="1"/>
                <w:color w:val="auto"/>
              </w:rPr>
              <w:t>Purchased Under the Plans or</w:t>
            </w:r>
          </w:p>
        </w:tc>
        <w:tc>
          <w:tcPr>
            <w:tcW w:w="0" w:type="dxa"/>
            <w:vAlign w:val="bottom"/>
          </w:tcPr>
          <w:p>
            <w:pPr>
              <w:spacing w:after="0"/>
              <w:rPr>
                <w:sz w:val="1"/>
                <w:szCs w:val="1"/>
                <w:color w:val="auto"/>
              </w:rPr>
            </w:pPr>
          </w:p>
        </w:tc>
      </w:tr>
      <w:tr>
        <w:trPr>
          <w:trHeight w:val="150"/>
        </w:trPr>
        <w:tc>
          <w:tcPr>
            <w:tcW w:w="3940" w:type="dxa"/>
            <w:vAlign w:val="bottom"/>
            <w:gridSpan w:val="2"/>
            <w:vMerge w:val="continue"/>
          </w:tcPr>
          <w:p>
            <w:pPr>
              <w:spacing w:after="0"/>
              <w:rPr>
                <w:sz w:val="13"/>
                <w:szCs w:val="13"/>
                <w:color w:val="auto"/>
              </w:rPr>
            </w:pPr>
          </w:p>
        </w:tc>
        <w:tc>
          <w:tcPr>
            <w:tcW w:w="1760" w:type="dxa"/>
            <w:vAlign w:val="bottom"/>
          </w:tcPr>
          <w:p>
            <w:pPr>
              <w:jc w:val="right"/>
              <w:ind w:right="473"/>
              <w:spacing w:after="0" w:line="151" w:lineRule="exact"/>
              <w:rPr>
                <w:sz w:val="20"/>
                <w:szCs w:val="20"/>
                <w:color w:val="auto"/>
              </w:rPr>
            </w:pPr>
            <w:r>
              <w:rPr>
                <w:rFonts w:ascii="Arial" w:cs="Arial" w:eastAsia="Arial" w:hAnsi="Arial"/>
                <w:sz w:val="11"/>
                <w:szCs w:val="11"/>
                <w:b w:val="1"/>
                <w:bCs w:val="1"/>
                <w:color w:val="auto"/>
              </w:rPr>
              <w:t xml:space="preserve">Purchased </w:t>
            </w:r>
            <w:r>
              <w:rPr>
                <w:rFonts w:ascii="Arial" w:cs="Arial" w:eastAsia="Arial" w:hAnsi="Arial"/>
                <w:sz w:val="14"/>
                <w:szCs w:val="14"/>
                <w:b w:val="1"/>
                <w:bCs w:val="1"/>
                <w:color w:val="auto"/>
                <w:vertAlign w:val="superscript"/>
              </w:rPr>
              <w:t>(1)</w:t>
            </w:r>
          </w:p>
        </w:tc>
        <w:tc>
          <w:tcPr>
            <w:tcW w:w="10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 xml:space="preserve">Programs </w:t>
            </w:r>
            <w:r>
              <w:rPr>
                <w:rFonts w:ascii="Arial" w:cs="Arial" w:eastAsia="Arial" w:hAnsi="Arial"/>
                <w:sz w:val="7"/>
                <w:szCs w:val="7"/>
                <w:b w:val="1"/>
                <w:bCs w:val="1"/>
                <w:color w:val="auto"/>
              </w:rPr>
              <w:t>(2)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36"/>
              <w:spacing w:after="0"/>
              <w:rPr>
                <w:sz w:val="20"/>
                <w:szCs w:val="20"/>
                <w:color w:val="auto"/>
              </w:rPr>
            </w:pPr>
            <w:r>
              <w:rPr>
                <w:rFonts w:ascii="Arial" w:cs="Arial" w:eastAsia="Arial" w:hAnsi="Arial"/>
                <w:sz w:val="11"/>
                <w:szCs w:val="11"/>
                <w:b w:val="1"/>
                <w:bCs w:val="1"/>
                <w:color w:val="auto"/>
              </w:rPr>
              <w:t xml:space="preserve">Programs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173"/>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1-31, 2024</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79.25</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83"/>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November 1-30, 2024</w:t>
            </w:r>
          </w:p>
        </w:tc>
        <w:tc>
          <w:tcPr>
            <w:tcW w:w="1760" w:type="dxa"/>
            <w:vAlign w:val="bottom"/>
          </w:tcPr>
          <w:p>
            <w:pPr>
              <w:jc w:val="right"/>
              <w:spacing w:after="0"/>
              <w:rPr>
                <w:sz w:val="20"/>
                <w:szCs w:val="20"/>
                <w:color w:val="auto"/>
              </w:rPr>
            </w:pPr>
            <w:r>
              <w:rPr>
                <w:rFonts w:ascii="Arial" w:cs="Arial" w:eastAsia="Arial" w:hAnsi="Arial"/>
                <w:sz w:val="14"/>
                <w:szCs w:val="14"/>
                <w:color w:val="auto"/>
              </w:rPr>
              <w:t>3,587,410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64.43</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3,585,592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8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15,935,293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15,935,259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126"/>
        </w:trPr>
        <w:tc>
          <w:tcPr>
            <w:tcW w:w="39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For the Quarter Ended</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19,526,200</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61.60</w:t>
            </w:r>
          </w:p>
        </w:tc>
        <w:tc>
          <w:tcPr>
            <w:tcW w:w="100" w:type="dxa"/>
            <w:vAlign w:val="bottom"/>
          </w:tcPr>
          <w:p>
            <w:pPr>
              <w:spacing w:after="0"/>
              <w:rPr>
                <w:sz w:val="10"/>
                <w:szCs w:val="10"/>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19,520,851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December 31, 2024</w:t>
            </w:r>
          </w:p>
        </w:tc>
        <w:tc>
          <w:tcPr>
            <w:tcW w:w="1760" w:type="dxa"/>
            <w:vAlign w:val="bottom"/>
            <w:tcBorders>
              <w:bottom w:val="single" w:sz="8" w:color="auto"/>
            </w:tcBorders>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200" w:hanging="194"/>
        <w:spacing w:after="0" w:line="264" w:lineRule="auto"/>
        <w:tabs>
          <w:tab w:leader="none" w:pos="189"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units that vested, totaling 3,497 shares, 1,818 shares and 34 shares for the fiscal months of October, November and December 2024, respectively.</w:t>
      </w:r>
    </w:p>
    <w:p>
      <w:pPr>
        <w:jc w:val="both"/>
        <w:ind w:left="200" w:hanging="194"/>
        <w:spacing w:after="0" w:line="264" w:lineRule="auto"/>
        <w:tabs>
          <w:tab w:leader="none" w:pos="189" w:val="left"/>
        </w:tabs>
        <w:numPr>
          <w:ilvl w:val="0"/>
          <w:numId w:val="12"/>
        </w:numPr>
        <w:rPr>
          <w:rFonts w:ascii="Arial" w:cs="Arial" w:eastAsia="Arial" w:hAnsi="Arial"/>
          <w:sz w:val="11"/>
          <w:szCs w:val="11"/>
          <w:color w:val="auto"/>
        </w:rPr>
      </w:pPr>
      <w:r>
        <w:rPr>
          <w:rFonts w:ascii="Arial" w:cs="Arial" w:eastAsia="Arial" w:hAnsi="Arial"/>
          <w:sz w:val="11"/>
          <w:szCs w:val="11"/>
          <w:color w:val="auto"/>
        </w:rPr>
        <w:t xml:space="preserve">Dollar values stated in millions. Effective January 1, 2023, our Board of Directors authorized a program for the repurchase of up to $6.0 billion of our Common Stock through December 31, 2025, excluding excise tax. During the year ended December 31, 2023, we repurchased approximately $1.6 billion of Common Stock pursuant to this authorization. During the year ended December 31, 2024, we repurchased $2.4 billion. On December 10, 2024, our Board of Directors authorized a new program for the repurchase of up to $9.0 billion of our Common Stock through December 31, 2027, excluding excise tax. This authorization, effective January 1, 2025, replaced our prior share repurchase program. See related information in Note 13,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 w:lineRule="exact"/>
        <w:rPr>
          <w:rFonts w:ascii="Arial" w:cs="Arial" w:eastAsia="Arial" w:hAnsi="Arial"/>
          <w:sz w:val="11"/>
          <w:szCs w:val="11"/>
          <w:color w:val="auto"/>
        </w:rPr>
      </w:pPr>
    </w:p>
    <w:p>
      <w:pPr>
        <w:ind w:left="200" w:hanging="194"/>
        <w:spacing w:after="0" w:line="269" w:lineRule="auto"/>
        <w:tabs>
          <w:tab w:leader="none" w:pos="189" w:val="left"/>
        </w:tabs>
        <w:numPr>
          <w:ilvl w:val="0"/>
          <w:numId w:val="12"/>
        </w:numPr>
        <w:rPr>
          <w:rFonts w:ascii="Arial" w:cs="Arial" w:eastAsia="Arial" w:hAnsi="Arial"/>
          <w:sz w:val="11"/>
          <w:szCs w:val="11"/>
          <w:color w:val="auto"/>
        </w:rPr>
      </w:pPr>
      <w:r>
        <w:rPr>
          <w:rFonts w:ascii="Arial" w:cs="Arial" w:eastAsia="Arial" w:hAnsi="Arial"/>
          <w:sz w:val="11"/>
          <w:szCs w:val="11"/>
          <w:color w:val="auto"/>
        </w:rPr>
        <w:t>As of January 1, 2023, 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 xml:space="preserve">The following discussion and analysis contains forward -looking statements. It should be read in conjunction with the other sections of this Annual Report on Form 10-K, including the consolidated financial statements and related notes contained in </w:t>
      </w:r>
      <w:r>
        <w:rPr>
          <w:rFonts w:ascii="Arial" w:cs="Arial" w:eastAsia="Arial" w:hAnsi="Arial"/>
          <w:sz w:val="14"/>
          <w:szCs w:val="14"/>
          <w:i w:val="1"/>
          <w:iCs w:val="1"/>
          <w:color w:val="auto"/>
        </w:rPr>
        <w:t>Forward-Looking Statements</w:t>
      </w:r>
      <w:r>
        <w:rPr>
          <w:rFonts w:ascii="Arial" w:cs="Arial" w:eastAsia="Arial" w:hAnsi="Arial"/>
          <w:sz w:val="14"/>
          <w:szCs w:val="14"/>
          <w:color w:val="auto"/>
        </w:rPr>
        <w:t xml:space="preserve"> and Item 1A,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Business and Strategy</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more detailed information on our business and strategy, refer to Item 1, </w:t>
      </w:r>
      <w:r>
        <w:rPr>
          <w:rFonts w:ascii="Arial" w:cs="Arial" w:eastAsia="Arial" w:hAnsi="Arial"/>
          <w:sz w:val="14"/>
          <w:szCs w:val="14"/>
          <w:i w:val="1"/>
          <w:iCs w:val="1"/>
          <w:color w:val="auto"/>
        </w:rPr>
        <w:t>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 and Significant Items Affecting Comparability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Macroeconomic environment</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We continue to observe significant market and geopolitical uncertainty, fluctuating consumer demand, inflationary pressures, supply constraints, trade and regulatory uncertainty and exchange rate volatility. As a result, we experienced significantly higher operating costs, including higher overall raw material, labor and energy costs that have continued to rise. In particular, we expect to continue to face higher cocoa costs, as the market price for cocoa beans has increased significantly year-over-year and it is likely that prices will remain elevated for some time. Refer to </w:t>
      </w:r>
      <w:r>
        <w:rPr>
          <w:rFonts w:ascii="Arial" w:cs="Arial" w:eastAsia="Arial" w:hAnsi="Arial"/>
          <w:sz w:val="14"/>
          <w:szCs w:val="14"/>
          <w:i w:val="1"/>
          <w:iCs w:val="1"/>
          <w:color w:val="auto"/>
        </w:rPr>
        <w:t>Commodity Trends</w:t>
      </w:r>
      <w:r>
        <w:rPr>
          <w:rFonts w:ascii="Arial" w:cs="Arial" w:eastAsia="Arial" w:hAnsi="Arial"/>
          <w:sz w:val="14"/>
          <w:szCs w:val="14"/>
          <w:color w:val="auto"/>
        </w:rPr>
        <w:t xml:space="preserve"> for additional information.</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Additionally, we provide more information on risks related to trade and regulatory uncertainty in our </w:t>
      </w:r>
      <w:r>
        <w:rPr>
          <w:rFonts w:ascii="Arial" w:cs="Arial" w:eastAsia="Arial" w:hAnsi="Arial"/>
          <w:sz w:val="14"/>
          <w:szCs w:val="14"/>
          <w:i w:val="1"/>
          <w:iCs w:val="1"/>
          <w:color w:val="auto"/>
        </w:rPr>
        <w:t>Financial Outlook</w:t>
      </w:r>
      <w:r>
        <w:rPr>
          <w:rFonts w:ascii="Arial" w:cs="Arial" w:eastAsia="Arial" w:hAnsi="Arial"/>
          <w:sz w:val="14"/>
          <w:szCs w:val="14"/>
          <w:color w:val="auto"/>
        </w:rPr>
        <w:t xml:space="preserve"> section and under Item 1A,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 in Ukraine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See Note 1,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Policies </w:t>
      </w:r>
      <w:r>
        <w:rPr>
          <w:rFonts w:ascii="Arial" w:cs="Arial" w:eastAsia="Arial" w:hAnsi="Arial"/>
          <w:sz w:val="14"/>
          <w:szCs w:val="14"/>
          <w:color w:val="auto"/>
        </w:rPr>
        <w:t>-</w:t>
      </w:r>
      <w:r>
        <w:rPr>
          <w:rFonts w:ascii="Arial" w:cs="Arial" w:eastAsia="Arial" w:hAnsi="Arial"/>
          <w:sz w:val="14"/>
          <w:szCs w:val="14"/>
          <w:i w:val="1"/>
          <w:iCs w:val="1"/>
          <w:color w:val="auto"/>
        </w:rPr>
        <w:t xml:space="preserve"> War in Ukraine, </w:t>
      </w:r>
      <w:r>
        <w:rPr>
          <w:rFonts w:ascii="Arial" w:cs="Arial" w:eastAsia="Arial" w:hAnsi="Arial"/>
          <w:sz w:val="14"/>
          <w:szCs w:val="14"/>
          <w:color w:val="auto"/>
        </w:rPr>
        <w:t>to the consolidated financial statements, and refer to</w:t>
      </w:r>
      <w:r>
        <w:rPr>
          <w:rFonts w:ascii="Arial" w:cs="Arial" w:eastAsia="Arial" w:hAnsi="Arial"/>
          <w:sz w:val="14"/>
          <w:szCs w:val="14"/>
          <w:i w:val="1"/>
          <w:iCs w:val="1"/>
          <w:color w:val="auto"/>
        </w:rPr>
        <w:t xml:space="preserve"> Items Affecting Comparability of Financial Results </w:t>
      </w:r>
      <w:r>
        <w:rPr>
          <w:rFonts w:ascii="Arial" w:cs="Arial" w:eastAsia="Arial" w:hAnsi="Arial"/>
          <w:sz w:val="14"/>
          <w:szCs w:val="14"/>
          <w:color w:val="auto"/>
        </w:rPr>
        <w:t>for additional information.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both 2024 and 2023, Ukraine generated 0.4% and Russia generated 2.9% of consolidated net revenue. The profitability of and the assets held by our Russian business continue to remain above historic levels. We cannot predict if the recent strength in our Russian business will continue in the future.</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operations in Russia are subject to risks, including the temporary or permanent loss of assets due to expropriation or further curtailment of our ability to conduct business operations in Russia. In the event this were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occur, this could lead to the partial or full impairment of our Russian assets or deconsolidation of the operations in Russia in future periods, or the termination of and loss of revenue from our business operations, based on actions taken by Russia, other parties or us. For additional information, see Item 1A, </w:t>
      </w:r>
      <w:r>
        <w:rPr>
          <w:rFonts w:ascii="Arial" w:cs="Arial" w:eastAsia="Arial" w:hAnsi="Arial"/>
          <w:sz w:val="14"/>
          <w:szCs w:val="14"/>
          <w:i w:val="1"/>
          <w:iCs w:val="1"/>
          <w:color w:val="auto"/>
        </w:rPr>
        <w:t>Risk Factors</w:t>
      </w:r>
      <w:r>
        <w:rPr>
          <w:rFonts w:ascii="Arial" w:cs="Arial" w:eastAsia="Arial" w:hAnsi="Arial"/>
          <w:sz w:val="14"/>
          <w:szCs w:val="14"/>
          <w:color w:val="auto"/>
        </w:rPr>
        <w:t>, including the risk entitled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war in Ukraine has impacted and could continue to impact our business operations, financial performance and results of operations.</w:t>
      </w:r>
      <w:r>
        <w:rPr>
          <w:rFonts w:ascii="Arial" w:cs="Arial" w:eastAsia="Arial" w:hAnsi="Arial"/>
          <w:sz w:val="14"/>
          <w:szCs w:val="14"/>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Developments in the Middle East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October 2023, conflict developed in the Middle East between Hamas and Israel, and has expanded to other parts of the region. During 2024, we experienced sales impacts related to this conflict in certain AMEA markets, but this did not have a material impact on our business, results of operations or financial condition. We continue to evaluate the impacts of these developments on our business and we cannot predict if it will have a significant impact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ERP System Implementation</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In July 2024, our Board of Directors approved funding of $1.2 billion for a multi-year systems transformation program to upgrade our global ERP and supply chain systems (the “ERP System Implementation”). The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five years, with expected completion by year-end 2028. Refer to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and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Extreme Price Growth in Argentina</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Q1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now exclude, on a prospective basis beginning on January 1, 2024, the impact of extreme pricing in Argentina from the net pricing impact of Organic Net Revenue and Organic Net Revenue growth and its related impact on our other non-GAAP financial constant currency growth measures with a corresponding offset to changes in currency translation rates. Additionally within the MD&amp;A discussion, "currency-related items" totals the impact of extreme pricing and the currency translation rate changes. Refer to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Currency-related items impacted our non-GAAP financial measures for the year ended December 31, 2024 as follows:</w:t>
      </w:r>
    </w:p>
    <w:p>
      <w:pPr>
        <w:spacing w:after="0" w:line="23" w:lineRule="exact"/>
        <w:rPr>
          <w:sz w:val="20"/>
          <w:szCs w:val="20"/>
          <w:color w:val="auto"/>
        </w:rPr>
      </w:pPr>
    </w:p>
    <w:p>
      <w:pPr>
        <w:jc w:val="both"/>
        <w:ind w:left="520" w:hanging="256"/>
        <w:spacing w:after="0" w:line="255" w:lineRule="auto"/>
        <w:tabs>
          <w:tab w:leader="none" w:pos="511"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4"/>
          <w:szCs w:val="14"/>
          <w:color w:val="auto"/>
        </w:rPr>
        <w:t>Organic Net Revenue: In total, unfavorable currency-related items of $710 million (2.0 pp) were driven by unfavorable currency translation rate changes of $1,877 million (5.2 pp), partially offset by extreme pricing of $1,167 million (3.2 pp). In Emerging Markets, unfavorable currency-related items of $778 million (5.6 pp) were driven by unfavorable currency translation rate changes of $1,945 million (13.9 pp), partially offset by extreme pricing of $1,167 million (8.3 pp). In Developed Markets, favorable currency-related items of $68 million (0.3 pp) were driven by favorable currency translation rate changes.</w:t>
      </w:r>
    </w:p>
    <w:p>
      <w:pPr>
        <w:spacing w:after="0" w:line="2" w:lineRule="exact"/>
        <w:rPr>
          <w:rFonts w:ascii="Arial" w:cs="Arial" w:eastAsia="Arial" w:hAnsi="Arial"/>
          <w:sz w:val="16"/>
          <w:szCs w:val="16"/>
          <w:b w:val="1"/>
          <w:bCs w:val="1"/>
          <w:i w:val="1"/>
          <w:iCs w:val="1"/>
          <w:color w:val="auto"/>
        </w:rPr>
      </w:pPr>
    </w:p>
    <w:p>
      <w:pPr>
        <w:ind w:left="520" w:hanging="256"/>
        <w:spacing w:after="0" w:line="256" w:lineRule="auto"/>
        <w:tabs>
          <w:tab w:leader="none" w:pos="516"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Adjusted Operating Income: Unfavorable currency-related items of $191 million were driven by unfavorable currency translation rate changes of $460 million, partially offset by extreme pricing of $269 million.</w:t>
      </w:r>
    </w:p>
    <w:p>
      <w:pPr>
        <w:ind w:left="520" w:hanging="256"/>
        <w:spacing w:after="0" w:line="258" w:lineRule="auto"/>
        <w:tabs>
          <w:tab w:leader="none" w:pos="516"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Adjusted EPS: Unfavorable currency-related items of $0.12 were driven by unfavorable currency translation rate changes of $0.32, partially offset by extreme pricing of $0.20.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 and Divestitures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During 2024, we completed the acquisition of Evirth (Shanghai) Industrial Co., Ltd. (“Evirth”), a leading manufacturer of cakes and pastries in China.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During 2022, we completed the following acquisitions to strategically complement and expand our existing portfolio:</w:t>
      </w:r>
    </w:p>
    <w:p>
      <w:pPr>
        <w:spacing w:after="0" w:line="25" w:lineRule="exact"/>
        <w:rPr>
          <w:sz w:val="20"/>
          <w:szCs w:val="20"/>
          <w:color w:val="auto"/>
        </w:rPr>
      </w:pPr>
    </w:p>
    <w:p>
      <w:pPr>
        <w:ind w:left="520" w:hanging="25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Ricolino, a confectionery business with products sold primarily in Mexico</w:t>
      </w:r>
    </w:p>
    <w:p>
      <w:pPr>
        <w:spacing w:after="0" w:line="19" w:lineRule="exact"/>
        <w:rPr>
          <w:rFonts w:ascii="Arial" w:cs="Arial" w:eastAsia="Arial" w:hAnsi="Arial"/>
          <w:sz w:val="14"/>
          <w:szCs w:val="14"/>
          <w:color w:val="auto"/>
        </w:rPr>
      </w:pPr>
    </w:p>
    <w:p>
      <w:pPr>
        <w:ind w:left="520" w:hanging="256"/>
        <w:spacing w:after="0"/>
        <w:tabs>
          <w:tab w:leader="none" w:pos="5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4"/>
          <w:szCs w:val="14"/>
          <w:color w:val="auto"/>
        </w:rPr>
        <w:t>Clif Bar &amp; Company (“Clif Bar”), a leading U.S. maker of nutritious energy bars with organic ingredients</w:t>
      </w:r>
    </w:p>
    <w:p>
      <w:pPr>
        <w:ind w:left="520" w:hanging="25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Chipita Global S.A. ("Chipita"), a high-growth leader in the central and Eastern European croissant and baked snacks category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Additionally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After obtaining the regulatory approval, we completed the sale of the Portugal business to Perfetti Van Melle Group on October 23, 2023.</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for additional details.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JDE Peet’s Transactions (Euronext Amsterdam: “JDEP”)</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During the first quarter of 2024, we determined there was an other-than-temporary impairment of our investment in JDEP, resulting in an impairment charge of €612 million ($665 million). On November 29, 2024, we sold our remaining 85.9 million shares to JAB Holdings Company and recorded a gain of €313 million ($332 million)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2023, we sold approximately 9.9 million of our shares, which reduced our ownership interest by 2.0 percentage points, from 19.7% to 17.7%. We recorded a loss of € 21 million ($23 million). In 2022, we sold approximately 18.6 million of our shares back to JDEP, which reduced our ownership interest by approximately 3.0 percentage points. We recorded a loss of €8 million ($8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Keurig Dr Pepper Transactions (Nasdaq: "KDP")</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2023, we sold the remainder of our shares in KDP, representing approximately 76 million shares. Our reduction in ownership to below 5% eliminated our significant influence over KDP, resulting in a change in accounting from equity method investment accounting to accounting for equity interests with readily determinable fair values in the first quarter of 2023. Prior to this change, we recorded a pre-tax gain on equity method transactions of $493 million ($368 million after-tax) in 2023. After the change in accounting, we recorded pre-tax gains for marketable securities of $606 million in 2023.</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additional information, refer to Note 7,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and Note 10, </w:t>
      </w:r>
      <w:r>
        <w:rPr>
          <w:rFonts w:ascii="Arial" w:cs="Arial" w:eastAsia="Arial" w:hAnsi="Arial"/>
          <w:sz w:val="14"/>
          <w:szCs w:val="14"/>
          <w:i w:val="1"/>
          <w:iCs w:val="1"/>
          <w:color w:val="auto"/>
        </w:rPr>
        <w:t>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During the third quarter of 2024, we entered into an agreement with two third party insurance companies for the Mondelēz Global LLC Retirement Plan (“MDLZ Global Plan”), the pension plan for US salaried employees. The agreement features a buy-in of the plan assets with an option to elect a future buy-out conversion. The MDLZ Global Plan was terminated on December 31, 2024, and we intend to execute the buy-out conversion in 2025. 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xml:space="preserve">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continue to monitor existing and potential future tax reform around the world. Numerous countries have now enacted the Organization of Economic Cooperation and Development’s model rules on a global minimum tax, effective for 2024. Important details of these minimum tax regimes are still being considered. Based on the guidance available thus far, this legislation did not have a material impact on our consolidated financial statements, but we will continue to evaluate it as additional guidance and clarification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Outlook</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Refer to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for the definitions of our non-GAAP financial measures and </w:t>
      </w:r>
      <w:r>
        <w:rPr>
          <w:rFonts w:ascii="Arial" w:cs="Arial" w:eastAsia="Arial" w:hAnsi="Arial"/>
          <w:sz w:val="14"/>
          <w:szCs w:val="14"/>
          <w:i w:val="1"/>
          <w:iCs w:val="1"/>
          <w:color w:val="auto"/>
        </w:rPr>
        <w:t>Consolidated Results of Operations</w:t>
      </w:r>
      <w:r>
        <w:rPr>
          <w:rFonts w:ascii="Arial" w:cs="Arial" w:eastAsia="Arial" w:hAnsi="Arial"/>
          <w:sz w:val="14"/>
          <w:szCs w:val="14"/>
          <w:color w:val="auto"/>
        </w:rPr>
        <w:t xml:space="preserve"> for the respective reconciliations.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monitoring our key operating metrics, we monitor a number of developments and trends that could impact our revenue and profitability objectives: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Demand</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monitor consumer spending and our market share within the food and beverage categories in which we sell our products. Core snacks categories continued to expand due to the continued growth of snacking as a consumer behavior around the world.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 across multiple channels. We believe these actions will help drive demand in our categories and strengthen our positions across markets.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Demographics and Consumer Trends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Snack food consumption is highly correlated to GDP growth, urbanization of populations and rising discretionary income levels associated with a growing middle class, particularly in emerging markets. We believe that snacks continue to be a source of comfort as well as excitement and variety for consumers. Social media increasingly helps consumers find food trends, inspiration and connection on their social media and other feeds. Consumers are also interested in buying snacks conveniently, whether through same-day delivery platforms, shipped sources or different retail settings. Many consumers also continue to prioritize sustainability in their purchase decisions, valuing sustainably sourced ingredients, low carbon footprint preparation and lower waste packaging. We seek to continue to offer snacks that meet consumer needs and preferences and align with our strategic priorities.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Pricing</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net revenue growth and profitability may be affected as we adjust prices to address new conditions, such as increasing input and operating costs due to supply, transportation and labor constraints, the impact of tariffs and higher cost trends. We adjust our product prices based on a number of variables including market factors, transportation, logistics and changes in our product input costs, and we have increased prices to control costs given significant cost inflation.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Costs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Our operating costs include raw materials, labor, selling, general and administrative expenses, taxes, currency impacts and financing costs. We manage these costs through cost saving and productivity initiatives, sourcing and hedging programs, pricing actions, refinancing and tax planning. We experienced significantly higher operating costs, including higher overall raw material (particularly cocoa) and labor costs that have continued to rise. Refer to </w:t>
      </w:r>
      <w:r>
        <w:rPr>
          <w:rFonts w:ascii="Arial" w:cs="Arial" w:eastAsia="Arial" w:hAnsi="Arial"/>
          <w:sz w:val="14"/>
          <w:szCs w:val="14"/>
          <w:i w:val="1"/>
          <w:iCs w:val="1"/>
          <w:color w:val="auto"/>
        </w:rPr>
        <w:t>Commodity Trends</w:t>
      </w:r>
      <w:r>
        <w:rPr>
          <w:rFonts w:ascii="Arial" w:cs="Arial" w:eastAsia="Arial" w:hAnsi="Arial"/>
          <w:sz w:val="14"/>
          <w:szCs w:val="14"/>
          <w:color w:val="auto"/>
        </w:rPr>
        <w:t xml:space="preserve">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and Regulatory Uncertainty</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 xml:space="preserve">In many markets, including the United States, a portion of our products, including significant inputs, are imported from other jurisdictions. On February 1, 2025, the United States government announced tariffs up to 25% on imports from certain countries, including Mexico and Canada, and 10% tariffs on product imports from certain countries, including China. While we are still evaluating the potential impact of these actions as well as our ability to mitigate the impact, they are expected to adversely impact our revenue and cost of goods sold in the United States. If the provisions of those tariffs were maintained as proposed, we would expect those adverse impacts to be significant. In addition, retaliatory tariffs imposed by other countries or other potential government actions, would likely result in further adverse impacts to our revenue and cost of goods sold. For additional information, see Item 1A, </w:t>
      </w:r>
      <w:r>
        <w:rPr>
          <w:rFonts w:ascii="Arial" w:cs="Arial" w:eastAsia="Arial" w:hAnsi="Arial"/>
          <w:sz w:val="14"/>
          <w:szCs w:val="14"/>
          <w:i w:val="1"/>
          <w:iCs w:val="1"/>
          <w:color w:val="auto"/>
        </w:rPr>
        <w:t>Risk Factors</w:t>
      </w:r>
      <w:r>
        <w:rPr>
          <w:rFonts w:ascii="Arial" w:cs="Arial" w:eastAsia="Arial" w:hAnsi="Arial"/>
          <w:sz w:val="14"/>
          <w:szCs w:val="14"/>
          <w:color w:val="auto"/>
        </w:rPr>
        <w:t>, including the risk entitled “</w:t>
      </w:r>
      <w:r>
        <w:rPr>
          <w:rFonts w:ascii="Arial" w:cs="Arial" w:eastAsia="Arial" w:hAnsi="Arial"/>
          <w:sz w:val="14"/>
          <w:szCs w:val="14"/>
          <w:i w:val="1"/>
          <w:iCs w:val="1"/>
          <w:color w:val="auto"/>
        </w:rPr>
        <w:t>We are subject to risks from changes to the trade policies and tariff and import/export regulations by the U.S.</w:t>
      </w:r>
      <w:r>
        <w:rPr>
          <w:rFonts w:ascii="Arial" w:cs="Arial" w:eastAsia="Arial" w:hAnsi="Arial"/>
          <w:sz w:val="14"/>
          <w:szCs w:val="14"/>
          <w:color w:val="auto"/>
        </w:rPr>
        <w:t xml:space="preserve"> </w:t>
      </w:r>
      <w:r>
        <w:rPr>
          <w:rFonts w:ascii="Arial" w:cs="Arial" w:eastAsia="Arial" w:hAnsi="Arial"/>
          <w:sz w:val="14"/>
          <w:szCs w:val="14"/>
          <w:i w:val="1"/>
          <w:iCs w:val="1"/>
          <w:color w:val="auto"/>
        </w:rPr>
        <w:t>and/or other foreign governments</w:t>
      </w:r>
      <w:r>
        <w:rPr>
          <w:rFonts w:ascii="Arial" w:cs="Arial" w:eastAsia="Arial" w:hAnsi="Arial"/>
          <w:sz w:val="14"/>
          <w:szCs w:val="14"/>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Results</w:t>
      </w:r>
    </w:p>
    <w:p>
      <w:pPr>
        <w:spacing w:after="0" w:line="161" w:lineRule="exact"/>
        <w:rPr>
          <w:sz w:val="20"/>
          <w:szCs w:val="20"/>
          <w:color w:val="auto"/>
        </w:rPr>
      </w:pPr>
    </w:p>
    <w:p>
      <w:pPr>
        <w:ind w:left="520" w:hanging="256"/>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4"/>
          <w:szCs w:val="14"/>
          <w:color w:val="auto"/>
        </w:rPr>
        <w:t>Net revenues were approximately $36.4 billion in 2024 and $36.0 billion in 2023, an increase of 1.2% in 2024 and an increase of 14.4% in 2023.</w:t>
      </w:r>
    </w:p>
    <w:p>
      <w:pPr>
        <w:spacing w:after="0" w:line="1" w:lineRule="exact"/>
        <w:rPr>
          <w:rFonts w:ascii="Arial" w:cs="Arial" w:eastAsia="Arial" w:hAnsi="Arial"/>
          <w:sz w:val="16"/>
          <w:szCs w:val="16"/>
          <w:color w:val="auto"/>
        </w:rPr>
      </w:pPr>
    </w:p>
    <w:p>
      <w:pPr>
        <w:ind w:left="1040" w:hanging="258"/>
        <w:spacing w:after="0" w:line="256" w:lineRule="auto"/>
        <w:rPr>
          <w:rFonts w:ascii="Arial" w:cs="Arial" w:eastAsia="Arial" w:hAnsi="Arial"/>
          <w:sz w:val="16"/>
          <w:szCs w:val="16"/>
          <w:color w:val="auto"/>
        </w:rPr>
      </w:pPr>
      <w:r>
        <w:rPr>
          <w:rFonts w:ascii="Arial" w:cs="Arial" w:eastAsia="Arial" w:hAnsi="Arial"/>
          <w:sz w:val="14"/>
          <w:szCs w:val="14"/>
          <w:color w:val="auto"/>
        </w:rPr>
        <w:t>– Net revenues increased in 2024, driven by higher net pricing and incremental net revenue from our acquisition of Evirth, partially offset by unfavorable currency-related items, as the U.S. dollar strengthened relative to most currencies we operate in compared to exchange rates in the prior year, the impact of our 2023 divestiture of the developed market gum business and unfavorable volume/mix.</w:t>
      </w:r>
    </w:p>
    <w:p>
      <w:pPr>
        <w:ind w:left="1040" w:hanging="258"/>
        <w:spacing w:after="0" w:line="256" w:lineRule="auto"/>
        <w:rPr>
          <w:rFonts w:ascii="Arial" w:cs="Arial" w:eastAsia="Arial" w:hAnsi="Arial"/>
          <w:sz w:val="16"/>
          <w:szCs w:val="16"/>
          <w:color w:val="auto"/>
        </w:rPr>
      </w:pPr>
      <w:r>
        <w:rPr>
          <w:rFonts w:ascii="Arial" w:cs="Arial" w:eastAsia="Arial" w:hAnsi="Arial"/>
          <w:sz w:val="14"/>
          <w:szCs w:val="14"/>
          <w:color w:val="auto"/>
        </w:rPr>
        <w:t>– Net revenues increased in 2023, driven by higher net pricing, incremental net revenues from our acquisitions of Clif Bar and Ricolino in 2022, favorable volume/mix and incremental net revenue from a short-term distributor agreement related to the sale of our developed market gum business, partially offset by a significant impact from unfavorable currency translation, as the U.S. dollar strengthened relative to most currencies we operate in compared to exchange rates in the prior year, and the impact of our developed market gum divestiture in 2023.</w:t>
      </w:r>
    </w:p>
    <w:p>
      <w:pPr>
        <w:jc w:val="both"/>
        <w:ind w:left="520" w:hanging="256"/>
        <w:spacing w:after="0" w:line="25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Organic Net Revenue, a non-GAAP financial measure, increased 4.3% to $37.1 billion in 2024 and increased 14.7% to $35.6 billion in 2023. In 2024, Organic Net Revenue increased due to higher net pricing, partially offset by unfavorable volume/mix. In 2023, Organic Net Revenue grew due to higher net pricing and favorable volume/mix. Organic Net Revenue is on a constant currency basis and excludes revenue from acquisitions and divestitures. Refer to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for the definition of Organic Net Revenue and </w:t>
      </w:r>
      <w:r>
        <w:rPr>
          <w:rFonts w:ascii="Arial" w:cs="Arial" w:eastAsia="Arial" w:hAnsi="Arial"/>
          <w:sz w:val="14"/>
          <w:szCs w:val="14"/>
          <w:i w:val="1"/>
          <w:iCs w:val="1"/>
          <w:color w:val="auto"/>
        </w:rPr>
        <w:t>Consolidated Results of Operations</w:t>
      </w:r>
      <w:r>
        <w:rPr>
          <w:rFonts w:ascii="Arial" w:cs="Arial" w:eastAsia="Arial" w:hAnsi="Arial"/>
          <w:sz w:val="14"/>
          <w:szCs w:val="14"/>
          <w:color w:val="auto"/>
        </w:rPr>
        <w:t xml:space="preserve"> for our reconciliation with net revenues.</w:t>
      </w:r>
    </w:p>
    <w:p>
      <w:pPr>
        <w:ind w:left="520" w:hanging="25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Diluted EPS attributable to Mondelēz International decreased 5.5% to $3.42 in 2024 and increased 84.7% to $3.62 in 2023.</w:t>
      </w:r>
    </w:p>
    <w:p>
      <w:pPr>
        <w:spacing w:after="0" w:line="10" w:lineRule="exact"/>
        <w:rPr>
          <w:rFonts w:ascii="Arial" w:cs="Arial" w:eastAsia="Arial" w:hAnsi="Arial"/>
          <w:sz w:val="14"/>
          <w:szCs w:val="14"/>
          <w:color w:val="auto"/>
        </w:rPr>
      </w:pPr>
    </w:p>
    <w:p>
      <w:pPr>
        <w:ind w:left="1040" w:hanging="258"/>
        <w:spacing w:after="0" w:line="259" w:lineRule="auto"/>
        <w:rPr>
          <w:rFonts w:ascii="Arial" w:cs="Arial" w:eastAsia="Arial" w:hAnsi="Arial"/>
          <w:sz w:val="14"/>
          <w:szCs w:val="14"/>
          <w:color w:val="auto"/>
        </w:rPr>
      </w:pPr>
      <w:r>
        <w:rPr>
          <w:rFonts w:ascii="Arial" w:cs="Arial" w:eastAsia="Arial" w:hAnsi="Arial"/>
          <w:sz w:val="14"/>
          <w:szCs w:val="14"/>
          <w:color w:val="auto"/>
        </w:rPr>
        <w:t>– Diluted EPS decreased in 2024 driven by lapping prior-year gain on marketable securities, lapping prior-year gain on equity method investment transactions, 2024 net loss on equity method transactions including an impairment, lapping prior-year gain and operating results from the developed market gum business divested in 2023, higher intangible asset impairment charges and costs incurred for the ERP Systems Implementation program. These unfavorable items were partially offset by an increase in Adjusted EPS, favorable year-over-year change in acquisition integration costs and contingent consideration adjustments, favorable year-over-year change in mark-to-market impacts from commodity and currency derivatives, lower divestiture-related costs, lower remeasurement loss of net monetary position, favorable year-over-year change in initial impacts from enacted tax law changes and lapping prior-year impact from the European Commission legal matter.</w:t>
      </w:r>
    </w:p>
    <w:p>
      <w:pPr>
        <w:spacing w:after="0" w:line="160" w:lineRule="exact"/>
        <w:rPr>
          <w:rFonts w:ascii="Arial" w:cs="Arial" w:eastAsia="Arial" w:hAnsi="Arial"/>
          <w:sz w:val="14"/>
          <w:szCs w:val="14"/>
          <w:color w:val="auto"/>
        </w:rPr>
      </w:pPr>
    </w:p>
    <w:p>
      <w:pPr>
        <w:ind w:left="1040" w:hanging="258"/>
        <w:spacing w:after="0" w:line="256" w:lineRule="auto"/>
        <w:rPr>
          <w:rFonts w:ascii="Arial" w:cs="Arial" w:eastAsia="Arial" w:hAnsi="Arial"/>
          <w:sz w:val="14"/>
          <w:szCs w:val="14"/>
          <w:color w:val="auto"/>
        </w:rPr>
      </w:pPr>
      <w:r>
        <w:rPr>
          <w:rFonts w:ascii="Arial" w:cs="Arial" w:eastAsia="Arial" w:hAnsi="Arial"/>
          <w:sz w:val="14"/>
          <w:szCs w:val="14"/>
          <w:color w:val="auto"/>
        </w:rPr>
        <w:t>– Diluted EPS increased in 2023 driven by an increase in Adjusted EPS, a gain on marketable securities, favorable year-over-year change in mark-to-market impacts from currency and commodity derivatives, higher net gain on equity method investment transactions, lower impact from the European Commission legal matter, lapping prior year acquisition-related costs, lapping prior year incremental costs due to the war in Ukraine, a gain on divestiture, lapping prior year loss on debt extinguishment, lower intangible asset impairment charges and lapping prior year inventory step-up charges. These favorable items were partially offset by lower operating results from divestitures, higher acquisition integration costs and contingent consideration adjustments, higher negative initial impacts from enacted tax law changes, higher remeasurement loss of net monetary position, higher divestiture-related costs, lapping prior year 2017 malware incident net recoveries and higher Simplify to Grow program costs.</w:t>
      </w:r>
    </w:p>
    <w:p>
      <w:pPr>
        <w:jc w:val="both"/>
        <w:ind w:left="520" w:hanging="256"/>
        <w:spacing w:after="0" w:line="25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Adjusted EPS, a non-GAAP financial measure, increased 9.1% to $3.36 in 2024 and increased 15.4% to $3.08 in 2023. On a constant currency basis, Adjusted EPS increased 13.0% to $3.48 in 2024 and increased 20.2% to $3.21 in 2023. Refer to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for the definition of Adjusted EPS and </w:t>
      </w:r>
      <w:r>
        <w:rPr>
          <w:rFonts w:ascii="Arial" w:cs="Arial" w:eastAsia="Arial" w:hAnsi="Arial"/>
          <w:sz w:val="14"/>
          <w:szCs w:val="14"/>
          <w:i w:val="1"/>
          <w:iCs w:val="1"/>
          <w:color w:val="auto"/>
        </w:rPr>
        <w:t>Consolidated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Results of Operations </w:t>
      </w:r>
      <w:r>
        <w:rPr>
          <w:rFonts w:ascii="Arial" w:cs="Arial" w:eastAsia="Arial" w:hAnsi="Arial"/>
          <w:sz w:val="14"/>
          <w:szCs w:val="14"/>
          <w:color w:val="auto"/>
        </w:rPr>
        <w:t>for our reconciliation with diluted EPS.</w:t>
      </w:r>
    </w:p>
    <w:p>
      <w:pPr>
        <w:ind w:left="1040" w:hanging="258"/>
        <w:spacing w:after="0" w:line="272" w:lineRule="auto"/>
        <w:rPr>
          <w:rFonts w:ascii="Arial" w:cs="Arial" w:eastAsia="Arial" w:hAnsi="Arial"/>
          <w:sz w:val="14"/>
          <w:szCs w:val="14"/>
          <w:color w:val="auto"/>
        </w:rPr>
      </w:pPr>
      <w:r>
        <w:rPr>
          <w:rFonts w:ascii="Arial" w:cs="Arial" w:eastAsia="Arial" w:hAnsi="Arial"/>
          <w:sz w:val="14"/>
          <w:szCs w:val="14"/>
          <w:color w:val="auto"/>
        </w:rPr>
        <w:t>– Adjusted EPS increased in 2024, driven by operating gains, fewer shares outstanding, lower taxes, lower interest expense, impact from an acquisition and higher benefit plan non-service income, partially offset by unfavorable currency-related items and lapping prior year dividend income related to our former KDP investment.</w:t>
      </w:r>
    </w:p>
    <w:p>
      <w:pPr>
        <w:spacing w:after="0" w:line="150" w:lineRule="exact"/>
        <w:rPr>
          <w:rFonts w:ascii="Arial" w:cs="Arial" w:eastAsia="Arial" w:hAnsi="Arial"/>
          <w:sz w:val="14"/>
          <w:szCs w:val="14"/>
          <w:color w:val="auto"/>
        </w:rPr>
      </w:pPr>
    </w:p>
    <w:p>
      <w:pPr>
        <w:ind w:left="1040" w:hanging="258"/>
        <w:spacing w:after="0" w:line="267" w:lineRule="auto"/>
        <w:rPr>
          <w:rFonts w:ascii="Arial" w:cs="Arial" w:eastAsia="Arial" w:hAnsi="Arial"/>
          <w:sz w:val="14"/>
          <w:szCs w:val="14"/>
          <w:color w:val="auto"/>
        </w:rPr>
      </w:pPr>
      <w:r>
        <w:rPr>
          <w:rFonts w:ascii="Arial" w:cs="Arial" w:eastAsia="Arial" w:hAnsi="Arial"/>
          <w:sz w:val="14"/>
          <w:szCs w:val="14"/>
          <w:color w:val="auto"/>
        </w:rPr>
        <w:t>– Adjusted EPS increased in 2023, driven by operating gains, impact from acquisitions, lower interest expense, fewer shares outstanding, dividend income from marketable securities and higher equity method investment earnings, partially offset by unfavorable currency translation, higher taxes and lower benefit plan non-service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Discussion and Analysis of Historical Results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Affecting Comparability of Financial Results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4"/>
          <w:szCs w:val="14"/>
          <w:i w:val="1"/>
          <w:iCs w:val="1"/>
          <w:color w:val="auto"/>
        </w:rPr>
        <w:t>Consolidated Results of Operations – Net Earnings and Earnings per Share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Attributable to Mondelēz International </w:t>
      </w:r>
      <w:r>
        <w:rPr>
          <w:rFonts w:ascii="Arial" w:cs="Arial" w:eastAsia="Arial" w:hAnsi="Arial"/>
          <w:sz w:val="14"/>
          <w:szCs w:val="14"/>
          <w:color w:val="auto"/>
        </w:rPr>
        <w:t>table for the after-tax per share impacts of these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1"/>
                <w:szCs w:val="11"/>
                <w:b w:val="1"/>
                <w:bCs w:val="1"/>
                <w:color w:val="auto"/>
              </w:rPr>
              <w:t>For the Years Ended December 31,</w:t>
            </w:r>
          </w:p>
        </w:tc>
        <w:tc>
          <w:tcPr>
            <w:tcW w:w="1040" w:type="dxa"/>
            <w:vAlign w:val="bottom"/>
            <w:tcBorders>
              <w:bottom w:val="single" w:sz="8" w:color="auto"/>
            </w:tcBorders>
          </w:tcPr>
          <w:p>
            <w:pPr>
              <w:spacing w:after="0"/>
              <w:rPr>
                <w:sz w:val="13"/>
                <w:szCs w:val="13"/>
                <w:color w:val="auto"/>
              </w:rPr>
            </w:pPr>
          </w:p>
        </w:tc>
      </w:tr>
      <w:tr>
        <w:trPr>
          <w:trHeight w:val="163"/>
        </w:trPr>
        <w:tc>
          <w:tcPr>
            <w:tcW w:w="5300" w:type="dxa"/>
            <w:vAlign w:val="bottom"/>
          </w:tcPr>
          <w:p>
            <w:pPr>
              <w:spacing w:after="0"/>
              <w:rPr>
                <w:sz w:val="14"/>
                <w:szCs w:val="1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See Note</w:t>
            </w:r>
          </w:p>
        </w:tc>
        <w:tc>
          <w:tcPr>
            <w:tcW w:w="920" w:type="dxa"/>
            <w:vAlign w:val="bottom"/>
          </w:tcPr>
          <w:p>
            <w:pPr>
              <w:jc w:val="right"/>
              <w:ind w:right="349"/>
              <w:spacing w:after="0"/>
              <w:rPr>
                <w:sz w:val="20"/>
                <w:szCs w:val="20"/>
                <w:color w:val="auto"/>
              </w:rPr>
            </w:pPr>
            <w:r>
              <w:rPr>
                <w:rFonts w:ascii="Arial" w:cs="Arial" w:eastAsia="Arial" w:hAnsi="Arial"/>
                <w:sz w:val="11"/>
                <w:szCs w:val="11"/>
                <w:b w:val="1"/>
                <w:bCs w:val="1"/>
                <w:color w:val="auto"/>
              </w:rPr>
              <w:t>2024</w:t>
            </w:r>
          </w:p>
        </w:tc>
        <w:tc>
          <w:tcPr>
            <w:tcW w:w="580" w:type="dxa"/>
            <w:vAlign w:val="bottom"/>
          </w:tcPr>
          <w:p>
            <w:pPr>
              <w:spacing w:after="0"/>
              <w:rPr>
                <w:sz w:val="14"/>
                <w:szCs w:val="14"/>
                <w:color w:val="auto"/>
              </w:rPr>
            </w:pPr>
          </w:p>
        </w:tc>
        <w:tc>
          <w:tcPr>
            <w:tcW w:w="1100" w:type="dxa"/>
            <w:vAlign w:val="bottom"/>
          </w:tcPr>
          <w:p>
            <w:pPr>
              <w:jc w:val="center"/>
              <w:ind w:right="289"/>
              <w:spacing w:after="0"/>
              <w:rPr>
                <w:sz w:val="20"/>
                <w:szCs w:val="20"/>
                <w:color w:val="auto"/>
              </w:rPr>
            </w:pPr>
            <w:r>
              <w:rPr>
                <w:rFonts w:ascii="Arial" w:cs="Arial" w:eastAsia="Arial" w:hAnsi="Arial"/>
                <w:sz w:val="11"/>
                <w:szCs w:val="11"/>
                <w:b w:val="1"/>
                <w:bCs w:val="1"/>
                <w:color w:val="auto"/>
              </w:rPr>
              <w:t>2023</w:t>
            </w:r>
          </w:p>
        </w:tc>
        <w:tc>
          <w:tcPr>
            <w:tcW w:w="420" w:type="dxa"/>
            <w:vAlign w:val="bottom"/>
          </w:tcPr>
          <w:p>
            <w:pPr>
              <w:spacing w:after="0"/>
              <w:rPr>
                <w:sz w:val="14"/>
                <w:szCs w:val="14"/>
                <w:color w:val="auto"/>
              </w:rPr>
            </w:pPr>
          </w:p>
        </w:tc>
        <w:tc>
          <w:tcPr>
            <w:tcW w:w="1040" w:type="dxa"/>
            <w:vAlign w:val="bottom"/>
          </w:tcPr>
          <w:p>
            <w:pPr>
              <w:jc w:val="right"/>
              <w:ind w:right="509"/>
              <w:spacing w:after="0"/>
              <w:rPr>
                <w:sz w:val="20"/>
                <w:szCs w:val="20"/>
                <w:color w:val="auto"/>
              </w:rPr>
            </w:pPr>
            <w:r>
              <w:rPr>
                <w:rFonts w:ascii="Arial" w:cs="Arial" w:eastAsia="Arial" w:hAnsi="Arial"/>
                <w:sz w:val="11"/>
                <w:szCs w:val="11"/>
                <w:b w:val="1"/>
                <w:bCs w:val="1"/>
                <w:color w:val="auto"/>
              </w:rPr>
              <w:t>2022</w:t>
            </w:r>
          </w:p>
        </w:tc>
      </w:tr>
      <w:tr>
        <w:trPr>
          <w:trHeight w:val="163"/>
        </w:trPr>
        <w:tc>
          <w:tcPr>
            <w:tcW w:w="53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3"/>
          </w:tcPr>
          <w:p>
            <w:pPr>
              <w:jc w:val="center"/>
              <w:ind w:right="128"/>
              <w:spacing w:after="0"/>
              <w:rPr>
                <w:sz w:val="20"/>
                <w:szCs w:val="20"/>
                <w:color w:val="auto"/>
              </w:rPr>
            </w:pPr>
            <w:r>
              <w:rPr>
                <w:rFonts w:ascii="Arial" w:cs="Arial" w:eastAsia="Arial" w:hAnsi="Arial"/>
                <w:sz w:val="11"/>
                <w:szCs w:val="11"/>
                <w:b w:val="1"/>
                <w:bCs w:val="1"/>
                <w:color w:val="auto"/>
              </w:rPr>
              <w:t>(in millions, except percentages)</w:t>
            </w:r>
          </w:p>
        </w:tc>
        <w:tc>
          <w:tcPr>
            <w:tcW w:w="1040" w:type="dxa"/>
            <w:vAlign w:val="bottom"/>
            <w:tcBorders>
              <w:top w:val="single" w:sz="8" w:color="auto"/>
            </w:tcBorders>
          </w:tcPr>
          <w:p>
            <w:pPr>
              <w:spacing w:after="0"/>
              <w:rPr>
                <w:sz w:val="14"/>
                <w:szCs w:val="14"/>
                <w:color w:val="auto"/>
              </w:rPr>
            </w:pPr>
          </w:p>
        </w:tc>
      </w:tr>
      <w:tr>
        <w:trPr>
          <w:trHeight w:val="183"/>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Simplify to Grow Program</w:t>
            </w:r>
          </w:p>
        </w:tc>
        <w:tc>
          <w:tcPr>
            <w:tcW w:w="18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rPr>
              <w:t>Note 8</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3"/>
        </w:trPr>
        <w:tc>
          <w:tcPr>
            <w:tcW w:w="530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1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w:t>
            </w:r>
          </w:p>
        </w:tc>
        <w:tc>
          <w:tcPr>
            <w:tcW w:w="580" w:type="dxa"/>
            <w:vAlign w:val="bottom"/>
          </w:tcPr>
          <w:p>
            <w:pPr>
              <w:jc w:val="right"/>
              <w:ind w:right="17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(106)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(36)</w:t>
            </w:r>
          </w:p>
        </w:tc>
      </w:tr>
      <w:tr>
        <w:trPr>
          <w:trHeight w:val="183"/>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Implementation Charges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(25)</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(87)</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Intangible asset impairment charges</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6</w:t>
            </w:r>
          </w:p>
        </w:tc>
        <w:tc>
          <w:tcPr>
            <w:tcW w:w="920" w:type="dxa"/>
            <w:vAlign w:val="bottom"/>
          </w:tcPr>
          <w:p>
            <w:pPr>
              <w:jc w:val="right"/>
              <w:spacing w:after="0"/>
              <w:rPr>
                <w:sz w:val="20"/>
                <w:szCs w:val="20"/>
                <w:color w:val="auto"/>
              </w:rPr>
            </w:pPr>
            <w:r>
              <w:rPr>
                <w:rFonts w:ascii="Arial" w:cs="Arial" w:eastAsia="Arial" w:hAnsi="Arial"/>
                <w:sz w:val="14"/>
                <w:szCs w:val="14"/>
                <w:color w:val="auto"/>
              </w:rPr>
              <w:t>(153)</w:t>
            </w:r>
          </w:p>
        </w:tc>
        <w:tc>
          <w:tcPr>
            <w:tcW w:w="58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(26)</w:t>
            </w:r>
          </w:p>
        </w:tc>
        <w:tc>
          <w:tcPr>
            <w:tcW w:w="42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(101)</w:t>
            </w:r>
          </w:p>
        </w:tc>
      </w:tr>
      <w:tr>
        <w:trPr>
          <w:trHeight w:val="183"/>
        </w:trPr>
        <w:tc>
          <w:tcPr>
            <w:tcW w:w="53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 xml:space="preserve">Mark-to-market gains/(losses) from derivatives </w:t>
            </w:r>
            <w:r>
              <w:rPr>
                <w:rFonts w:ascii="Arial" w:cs="Arial" w:eastAsia="Arial" w:hAnsi="Arial"/>
                <w:sz w:val="18"/>
                <w:szCs w:val="18"/>
                <w:b w:val="1"/>
                <w:bCs w:val="1"/>
                <w:color w:val="auto"/>
                <w:vertAlign w:val="superscript"/>
              </w:rPr>
              <w:t>(1)</w:t>
            </w:r>
          </w:p>
        </w:tc>
        <w:tc>
          <w:tcPr>
            <w:tcW w:w="18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rPr>
              <w:t>Note 10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185</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(318)</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Acquisition and divestiture-related costs</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2</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44"/>
        </w:trPr>
        <w:tc>
          <w:tcPr>
            <w:tcW w:w="53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Acquisition integration costs and</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315</w:t>
            </w: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9"/>
              <w:spacing w:after="0" w:line="144" w:lineRule="exact"/>
              <w:rPr>
                <w:sz w:val="20"/>
                <w:szCs w:val="20"/>
                <w:color w:val="auto"/>
              </w:rPr>
            </w:pPr>
            <w:r>
              <w:rPr>
                <w:rFonts w:ascii="Arial" w:cs="Arial" w:eastAsia="Arial" w:hAnsi="Arial"/>
                <w:sz w:val="14"/>
                <w:szCs w:val="14"/>
                <w:color w:val="auto"/>
              </w:rPr>
              <w:t>(246)</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9"/>
              <w:spacing w:after="0" w:line="144" w:lineRule="exact"/>
              <w:rPr>
                <w:sz w:val="20"/>
                <w:szCs w:val="20"/>
                <w:color w:val="auto"/>
              </w:rPr>
            </w:pPr>
            <w:r>
              <w:rPr>
                <w:rFonts w:ascii="Arial" w:cs="Arial" w:eastAsia="Arial" w:hAnsi="Arial"/>
                <w:sz w:val="14"/>
                <w:szCs w:val="14"/>
                <w:color w:val="auto"/>
              </w:rPr>
              <w:t>(148)</w:t>
            </w:r>
          </w:p>
        </w:tc>
      </w:tr>
      <w:tr>
        <w:trPr>
          <w:trHeight w:val="189"/>
        </w:trPr>
        <w:tc>
          <w:tcPr>
            <w:tcW w:w="5300" w:type="dxa"/>
            <w:vAlign w:val="bottom"/>
            <w:shd w:val="clear" w:color="auto" w:fill="CCEEFF"/>
          </w:tcPr>
          <w:p>
            <w:pPr>
              <w:ind w:left="400"/>
              <w:spacing w:after="0" w:line="189" w:lineRule="exact"/>
              <w:rPr>
                <w:sz w:val="20"/>
                <w:szCs w:val="20"/>
                <w:color w:val="auto"/>
              </w:rPr>
            </w:pPr>
            <w:r>
              <w:rPr>
                <w:rFonts w:ascii="Arial" w:cs="Arial" w:eastAsia="Arial" w:hAnsi="Arial"/>
                <w:sz w:val="14"/>
                <w:szCs w:val="14"/>
                <w:color w:val="auto"/>
              </w:rPr>
              <w:t xml:space="preserve">contingent consideration adjustments </w:t>
            </w:r>
            <w:r>
              <w:rPr>
                <w:rFonts w:ascii="Arial" w:cs="Arial" w:eastAsia="Arial" w:hAnsi="Arial"/>
                <w:sz w:val="18"/>
                <w:szCs w:val="18"/>
                <w:color w:val="auto"/>
                <w:vertAlign w:val="superscript"/>
              </w:rPr>
              <w:t>(1)</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5300" w:type="dxa"/>
            <w:vAlign w:val="bottom"/>
          </w:tcPr>
          <w:p>
            <w:pPr>
              <w:ind w:left="280"/>
              <w:spacing w:after="0"/>
              <w:rPr>
                <w:sz w:val="20"/>
                <w:szCs w:val="20"/>
                <w:color w:val="auto"/>
              </w:rPr>
            </w:pPr>
            <w:r>
              <w:rPr>
                <w:rFonts w:ascii="Arial" w:cs="Arial" w:eastAsia="Arial" w:hAnsi="Arial"/>
                <w:sz w:val="14"/>
                <w:szCs w:val="14"/>
                <w:color w:val="auto"/>
              </w:rPr>
              <w:t>Inventory step-up</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(25)</w:t>
            </w:r>
          </w:p>
        </w:tc>
      </w:tr>
      <w:tr>
        <w:trPr>
          <w:trHeight w:val="183"/>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Acquisition-related costs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(254)</w:t>
            </w:r>
          </w:p>
        </w:tc>
      </w:tr>
      <w:tr>
        <w:trPr>
          <w:trHeight w:val="183"/>
        </w:trPr>
        <w:tc>
          <w:tcPr>
            <w:tcW w:w="5300" w:type="dxa"/>
            <w:vAlign w:val="bottom"/>
          </w:tcPr>
          <w:p>
            <w:pPr>
              <w:ind w:left="280"/>
              <w:spacing w:after="0"/>
              <w:rPr>
                <w:sz w:val="20"/>
                <w:szCs w:val="20"/>
                <w:color w:val="auto"/>
              </w:rPr>
            </w:pPr>
            <w:r>
              <w:rPr>
                <w:rFonts w:ascii="Arial" w:cs="Arial" w:eastAsia="Arial" w:hAnsi="Arial"/>
                <w:sz w:val="14"/>
                <w:szCs w:val="14"/>
                <w:color w:val="auto"/>
              </w:rPr>
              <w:t>Gain on acquisition and divestitures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58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108</w:t>
            </w:r>
          </w:p>
        </w:tc>
        <w:tc>
          <w:tcPr>
            <w:tcW w:w="420" w:type="dxa"/>
            <w:vAlign w:val="bottom"/>
          </w:tcPr>
          <w:p>
            <w:pPr>
              <w:spacing w:after="0"/>
              <w:rPr>
                <w:sz w:val="15"/>
                <w:szCs w:val="15"/>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83"/>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Divestiture-related costs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(83)</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2017 Malware incident net recoveries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37</w:t>
            </w:r>
          </w:p>
        </w:tc>
      </w:tr>
      <w:tr>
        <w:trPr>
          <w:trHeight w:val="183"/>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Incremental costs due to war in Ukraine</w:t>
            </w:r>
          </w:p>
        </w:tc>
        <w:tc>
          <w:tcPr>
            <w:tcW w:w="18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rPr>
              <w:t>Note 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(121)</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European Commission legal matter</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14</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42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(318)</w:t>
            </w:r>
          </w:p>
        </w:tc>
      </w:tr>
      <w:tr>
        <w:trPr>
          <w:trHeight w:val="183"/>
        </w:trPr>
        <w:tc>
          <w:tcPr>
            <w:tcW w:w="53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 xml:space="preserve">ERP System Implementation costs </w:t>
            </w:r>
            <w:r>
              <w:rPr>
                <w:rFonts w:ascii="Arial" w:cs="Arial" w:eastAsia="Arial" w:hAnsi="Arial"/>
                <w:sz w:val="18"/>
                <w:szCs w:val="18"/>
                <w:b w:val="1"/>
                <w:bCs w:val="1"/>
                <w:color w:val="auto"/>
                <w:vertAlign w:val="superscript"/>
              </w:rPr>
              <w:t>(2)</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Remeasurement of net monetary position</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1</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58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(98)</w:t>
            </w:r>
          </w:p>
        </w:tc>
        <w:tc>
          <w:tcPr>
            <w:tcW w:w="42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w:t>
            </w:r>
          </w:p>
        </w:tc>
      </w:tr>
      <w:tr>
        <w:trPr>
          <w:trHeight w:val="183"/>
        </w:trPr>
        <w:tc>
          <w:tcPr>
            <w:tcW w:w="53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 xml:space="preserve">Impact from pension participation changes </w:t>
            </w:r>
            <w:r>
              <w:rPr>
                <w:rFonts w:ascii="Arial" w:cs="Arial" w:eastAsia="Arial" w:hAnsi="Arial"/>
                <w:sz w:val="18"/>
                <w:szCs w:val="18"/>
                <w:b w:val="1"/>
                <w:bCs w:val="1"/>
                <w:color w:val="auto"/>
                <w:vertAlign w:val="superscript"/>
              </w:rPr>
              <w:t>(1)</w:t>
            </w:r>
          </w:p>
        </w:tc>
        <w:tc>
          <w:tcPr>
            <w:tcW w:w="18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rPr>
              <w:t>Note 11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Loss on debt extinguishment and related expenses</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(129)</w:t>
            </w:r>
          </w:p>
        </w:tc>
      </w:tr>
      <w:tr>
        <w:trPr>
          <w:trHeight w:val="183"/>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Initial impacts from enacted tax law changes</w:t>
            </w:r>
          </w:p>
        </w:tc>
        <w:tc>
          <w:tcPr>
            <w:tcW w:w="18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rPr>
              <w:t>Note 16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(83)</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Gain on marketable securities</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7</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593</w:t>
            </w:r>
          </w:p>
        </w:tc>
        <w:tc>
          <w:tcPr>
            <w:tcW w:w="420" w:type="dxa"/>
            <w:vAlign w:val="bottom"/>
          </w:tcPr>
          <w:p>
            <w:pPr>
              <w:spacing w:after="0"/>
              <w:rPr>
                <w:sz w:val="15"/>
                <w:szCs w:val="15"/>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44"/>
        </w:trPr>
        <w:tc>
          <w:tcPr>
            <w:tcW w:w="530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(Loss)/gain on equity method</w:t>
            </w:r>
          </w:p>
        </w:tc>
        <w:tc>
          <w:tcPr>
            <w:tcW w:w="1880" w:type="dxa"/>
            <w:vAlign w:val="bottom"/>
            <w:gridSpan w:val="3"/>
            <w:shd w:val="clear" w:color="auto" w:fill="CCEEFF"/>
          </w:tcPr>
          <w:p>
            <w:pPr>
              <w:jc w:val="center"/>
              <w:ind w:right="420"/>
              <w:spacing w:after="0" w:line="144" w:lineRule="exact"/>
              <w:rPr>
                <w:sz w:val="20"/>
                <w:szCs w:val="20"/>
                <w:color w:val="auto"/>
              </w:rPr>
            </w:pPr>
            <w:r>
              <w:rPr>
                <w:rFonts w:ascii="Arial" w:cs="Arial" w:eastAsia="Arial" w:hAnsi="Arial"/>
                <w:sz w:val="14"/>
                <w:szCs w:val="14"/>
                <w:color w:val="auto"/>
              </w:rPr>
              <w:t>Note 7</w:t>
            </w: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(321)</w:t>
            </w: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69"/>
              <w:spacing w:after="0" w:line="144" w:lineRule="exact"/>
              <w:rPr>
                <w:sz w:val="20"/>
                <w:szCs w:val="20"/>
                <w:color w:val="auto"/>
              </w:rPr>
            </w:pPr>
            <w:r>
              <w:rPr>
                <w:rFonts w:ascii="Arial" w:cs="Arial" w:eastAsia="Arial" w:hAnsi="Arial"/>
                <w:sz w:val="14"/>
                <w:szCs w:val="14"/>
                <w:color w:val="auto"/>
              </w:rPr>
              <w:t>462</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9"/>
              <w:spacing w:after="0" w:line="144" w:lineRule="exact"/>
              <w:rPr>
                <w:sz w:val="20"/>
                <w:szCs w:val="20"/>
                <w:color w:val="auto"/>
              </w:rPr>
            </w:pPr>
            <w:r>
              <w:rPr>
                <w:rFonts w:ascii="Arial" w:cs="Arial" w:eastAsia="Arial" w:hAnsi="Arial"/>
                <w:sz w:val="14"/>
                <w:szCs w:val="14"/>
                <w:color w:val="auto"/>
              </w:rPr>
              <w:t>(22)</w:t>
            </w:r>
          </w:p>
        </w:tc>
      </w:tr>
      <w:tr>
        <w:trPr>
          <w:trHeight w:val="189"/>
        </w:trPr>
        <w:tc>
          <w:tcPr>
            <w:tcW w:w="530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b w:val="1"/>
                <w:bCs w:val="1"/>
                <w:color w:val="auto"/>
              </w:rPr>
              <w:t xml:space="preserve">investment transactions </w:t>
            </w:r>
            <w:r>
              <w:rPr>
                <w:rFonts w:ascii="Arial" w:cs="Arial" w:eastAsia="Arial" w:hAnsi="Arial"/>
                <w:sz w:val="18"/>
                <w:szCs w:val="18"/>
                <w:b w:val="1"/>
                <w:bCs w:val="1"/>
                <w:color w:val="auto"/>
                <w:vertAlign w:val="superscript"/>
              </w:rPr>
              <w:t>(3)</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Effective tax rate</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color w:val="auto"/>
              </w:rPr>
              <w:t>Note 16</w:t>
            </w:r>
          </w:p>
        </w:tc>
        <w:tc>
          <w:tcPr>
            <w:tcW w:w="1500" w:type="dxa"/>
            <w:vAlign w:val="bottom"/>
            <w:gridSpan w:val="2"/>
          </w:tcPr>
          <w:p>
            <w:pPr>
              <w:jc w:val="right"/>
              <w:ind w:right="378"/>
              <w:spacing w:after="0"/>
              <w:rPr>
                <w:sz w:val="20"/>
                <w:szCs w:val="20"/>
                <w:color w:val="auto"/>
              </w:rPr>
            </w:pPr>
            <w:r>
              <w:rPr>
                <w:rFonts w:ascii="Arial" w:cs="Arial" w:eastAsia="Arial" w:hAnsi="Arial"/>
                <w:sz w:val="14"/>
                <w:szCs w:val="14"/>
                <w:color w:val="auto"/>
              </w:rPr>
              <w:t>23.5 %</w:t>
            </w:r>
          </w:p>
        </w:tc>
        <w:tc>
          <w:tcPr>
            <w:tcW w:w="1100" w:type="dxa"/>
            <w:vAlign w:val="bottom"/>
          </w:tcPr>
          <w:p>
            <w:pPr>
              <w:jc w:val="right"/>
              <w:spacing w:after="0"/>
              <w:rPr>
                <w:sz w:val="20"/>
                <w:szCs w:val="20"/>
                <w:color w:val="auto"/>
              </w:rPr>
            </w:pPr>
            <w:r>
              <w:rPr>
                <w:rFonts w:ascii="Arial" w:cs="Arial" w:eastAsia="Arial" w:hAnsi="Arial"/>
                <w:sz w:val="14"/>
                <w:szCs w:val="14"/>
                <w:color w:val="auto"/>
              </w:rPr>
              <w:t>26.1 %</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26.8 %</w:t>
            </w:r>
          </w:p>
        </w:tc>
      </w:tr>
    </w:tbl>
    <w:p>
      <w:pPr>
        <w:spacing w:after="0" w:line="196" w:lineRule="exact"/>
        <w:rPr>
          <w:sz w:val="20"/>
          <w:szCs w:val="20"/>
          <w:color w:val="auto"/>
        </w:rPr>
      </w:pPr>
    </w:p>
    <w:p>
      <w:pPr>
        <w:ind w:left="200" w:hanging="194"/>
        <w:spacing w:after="0" w:line="264" w:lineRule="auto"/>
        <w:tabs>
          <w:tab w:leader="none" w:pos="189" w:val="left"/>
        </w:tabs>
        <w:numPr>
          <w:ilvl w:val="0"/>
          <w:numId w:val="16"/>
        </w:numPr>
        <w:rPr>
          <w:rFonts w:ascii="Arial" w:cs="Arial" w:eastAsia="Arial" w:hAnsi="Arial"/>
          <w:sz w:val="11"/>
          <w:szCs w:val="11"/>
          <w:color w:val="auto"/>
        </w:rPr>
      </w:pPr>
      <w:r>
        <w:rPr>
          <w:rFonts w:ascii="Arial" w:cs="Arial" w:eastAsia="Arial" w:hAnsi="Arial"/>
          <w:sz w:val="11"/>
          <w:szCs w:val="11"/>
          <w:color w:val="auto"/>
        </w:rPr>
        <w:t xml:space="preserve">Includes impacts recorded in operating income, benefit plan non-service income and interest expense and other, net. Mark-to-market gains/(losses) above also include our equity method investment-related derivative contract mark-to-market gains/(losses) (refer to Note 10, </w:t>
      </w:r>
      <w:r>
        <w:rPr>
          <w:rFonts w:ascii="Arial" w:cs="Arial" w:eastAsia="Arial" w:hAnsi="Arial"/>
          <w:sz w:val="11"/>
          <w:szCs w:val="11"/>
          <w:i w:val="1"/>
          <w:iCs w:val="1"/>
          <w:color w:val="auto"/>
        </w:rPr>
        <w:t>Financial Instruments</w:t>
      </w:r>
      <w:r>
        <w:rPr>
          <w:rFonts w:ascii="Arial" w:cs="Arial" w:eastAsia="Arial" w:hAnsi="Arial"/>
          <w:sz w:val="11"/>
          <w:szCs w:val="11"/>
          <w:color w:val="auto"/>
        </w:rPr>
        <w:t xml:space="preserve">) that are recorded in the </w:t>
      </w:r>
      <w:r>
        <w:rPr>
          <w:rFonts w:ascii="Arial" w:cs="Arial" w:eastAsia="Arial" w:hAnsi="Arial"/>
          <w:sz w:val="11"/>
          <w:szCs w:val="11"/>
          <w:i w:val="1"/>
          <w:iCs w:val="1"/>
          <w:color w:val="auto"/>
        </w:rPr>
        <w:t>gain on equity method investment transactions</w:t>
      </w:r>
      <w:r>
        <w:rPr>
          <w:rFonts w:ascii="Arial" w:cs="Arial" w:eastAsia="Arial" w:hAnsi="Arial"/>
          <w:sz w:val="11"/>
          <w:szCs w:val="11"/>
          <w:color w:val="auto"/>
        </w:rPr>
        <w:t xml:space="preserve"> on our consolidated statement of earnings.</w:t>
      </w:r>
    </w:p>
    <w:p>
      <w:pPr>
        <w:jc w:val="both"/>
        <w:ind w:left="200" w:hanging="194"/>
        <w:spacing w:after="0" w:line="289" w:lineRule="auto"/>
        <w:tabs>
          <w:tab w:leader="none" w:pos="189" w:val="left"/>
        </w:tabs>
        <w:numPr>
          <w:ilvl w:val="0"/>
          <w:numId w:val="16"/>
        </w:numPr>
        <w:rPr>
          <w:rFonts w:ascii="Arial" w:cs="Arial" w:eastAsia="Arial" w:hAnsi="Arial"/>
          <w:sz w:val="11"/>
          <w:szCs w:val="11"/>
          <w:color w:val="auto"/>
        </w:rPr>
      </w:pPr>
      <w:r>
        <w:rPr>
          <w:rFonts w:ascii="Arial" w:cs="Arial" w:eastAsia="Arial" w:hAnsi="Arial"/>
          <w:sz w:val="11"/>
          <w:szCs w:val="11"/>
          <w:color w:val="auto"/>
        </w:rPr>
        <w:t>ERP System Implementation program costs represent incremental operating expenses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114" w:lineRule="exact"/>
        <w:rPr>
          <w:rFonts w:ascii="Arial" w:cs="Arial" w:eastAsia="Arial" w:hAnsi="Arial"/>
          <w:sz w:val="11"/>
          <w:szCs w:val="11"/>
          <w:color w:val="auto"/>
        </w:rPr>
      </w:pPr>
    </w:p>
    <w:p>
      <w:pPr>
        <w:jc w:val="both"/>
        <w:ind w:left="200" w:hanging="194"/>
        <w:spacing w:after="0" w:line="267" w:lineRule="auto"/>
        <w:tabs>
          <w:tab w:leader="none" w:pos="189" w:val="left"/>
        </w:tabs>
        <w:numPr>
          <w:ilvl w:val="0"/>
          <w:numId w:val="16"/>
        </w:numPr>
        <w:rPr>
          <w:rFonts w:ascii="Arial" w:cs="Arial" w:eastAsia="Arial" w:hAnsi="Arial"/>
          <w:sz w:val="11"/>
          <w:szCs w:val="11"/>
          <w:color w:val="auto"/>
        </w:rPr>
      </w:pPr>
      <w:r>
        <w:rPr>
          <w:rFonts w:ascii="Arial" w:cs="Arial" w:eastAsia="Arial" w:hAnsi="Arial"/>
          <w:sz w:val="11"/>
          <w:szCs w:val="11"/>
          <w:i w:val="1"/>
          <w:iCs w:val="1"/>
          <w:color w:val="auto"/>
        </w:rPr>
        <w:t>(Loss)/gain on equity method investment transaction</w:t>
      </w:r>
      <w:r>
        <w:rPr>
          <w:rFonts w:ascii="Arial" w:cs="Arial" w:eastAsia="Arial" w:hAnsi="Arial"/>
          <w:sz w:val="11"/>
          <w:szCs w:val="11"/>
          <w:color w:val="auto"/>
        </w:rPr>
        <w:t>s includes impairments and is recorded outside pre-tax operating results on the consolidated statement of earnings. See footnote (1) as mark-to-market gains/(losses)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on our equity method-investment-related derivative contracts are presented in the table above within mark-to-market gains/(losses) from derivatives. In addition, the amount shown in 2024 is inclusive of the gain on economic hedges related to sales proceeds from our JDEP transaction, which was recorded in </w:t>
      </w:r>
      <w:r>
        <w:rPr>
          <w:rFonts w:ascii="Arial" w:cs="Arial" w:eastAsia="Arial" w:hAnsi="Arial"/>
          <w:sz w:val="11"/>
          <w:szCs w:val="11"/>
          <w:i w:val="1"/>
          <w:iCs w:val="1"/>
          <w:color w:val="auto"/>
        </w:rPr>
        <w:t>Interest and other expense, net</w:t>
      </w:r>
      <w:r>
        <w:rPr>
          <w:rFonts w:ascii="Arial" w:cs="Arial" w:eastAsia="Arial" w:hAnsi="Arial"/>
          <w:sz w:val="11"/>
          <w:szCs w:val="1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discussion compares our consolidated results of operations for 2024 with 2023 and 2023 with 2022.</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compared with 2023</w:t>
      </w:r>
    </w:p>
    <w:p>
      <w:pPr>
        <w:spacing w:after="0" w:line="48" w:lineRule="exact"/>
        <w:rPr>
          <w:sz w:val="20"/>
          <w:szCs w:val="20"/>
          <w:color w:val="auto"/>
        </w:rPr>
      </w:pPr>
    </w:p>
    <w:p>
      <w:pPr>
        <w:jc w:val="center"/>
        <w:ind w:left="1180"/>
        <w:spacing w:after="0"/>
        <w:rPr>
          <w:sz w:val="20"/>
          <w:szCs w:val="20"/>
          <w:color w:val="auto"/>
        </w:rPr>
      </w:pPr>
      <w:r>
        <w:rPr>
          <w:rFonts w:ascii="Arial" w:cs="Arial" w:eastAsia="Arial" w:hAnsi="Arial"/>
          <w:sz w:val="11"/>
          <w:szCs w:val="11"/>
          <w:b w:val="1"/>
          <w:bCs w:val="1"/>
          <w:color w:val="auto"/>
        </w:rPr>
        <w:t>For the Years Ended</w:t>
      </w:r>
    </w:p>
    <w:p>
      <w:pPr>
        <w:spacing w:after="0" w:line="4" w:lineRule="exact"/>
        <w:rPr>
          <w:sz w:val="20"/>
          <w:szCs w:val="20"/>
          <w:color w:val="auto"/>
        </w:rPr>
      </w:pPr>
    </w:p>
    <w:p>
      <w:pPr>
        <w:jc w:val="center"/>
        <w:ind w:left="11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5715</wp:posOffset>
            </wp:positionV>
            <wp:extent cx="20256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5650" cy="698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980" w:type="dxa"/>
            <w:vAlign w:val="bottom"/>
          </w:tcPr>
          <w:p>
            <w:pPr>
              <w:jc w:val="right"/>
              <w:ind w:right="16"/>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611"/>
              <w:spacing w:after="0"/>
              <w:rPr>
                <w:sz w:val="20"/>
                <w:szCs w:val="20"/>
                <w:color w:val="auto"/>
              </w:rPr>
            </w:pPr>
            <w:r>
              <w:rPr>
                <w:rFonts w:ascii="Arial" w:cs="Arial" w:eastAsia="Arial" w:hAnsi="Arial"/>
                <w:sz w:val="11"/>
                <w:szCs w:val="11"/>
                <w:b w:val="1"/>
                <w:bCs w:val="1"/>
                <w:color w:val="auto"/>
              </w:rPr>
              <w:t>2023</w:t>
            </w:r>
          </w:p>
        </w:tc>
        <w:tc>
          <w:tcPr>
            <w:tcW w:w="3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tcPr>
          <w:p>
            <w:pPr>
              <w:jc w:val="right"/>
              <w:ind w:right="168"/>
              <w:spacing w:after="0"/>
              <w:rPr>
                <w:sz w:val="20"/>
                <w:szCs w:val="20"/>
                <w:color w:val="auto"/>
              </w:rPr>
            </w:pPr>
            <w:r>
              <w:rPr>
                <w:rFonts w:ascii="Arial" w:cs="Arial" w:eastAsia="Arial" w:hAnsi="Arial"/>
                <w:sz w:val="11"/>
                <w:szCs w:val="11"/>
                <w:b w:val="1"/>
                <w:bCs w:val="1"/>
                <w:color w:val="auto"/>
              </w:rPr>
              <w:t>(in millions, except per share data)</w:t>
            </w: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36,441</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36,016</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8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6,345</w:t>
            </w:r>
          </w:p>
        </w:tc>
        <w:tc>
          <w:tcPr>
            <w:tcW w:w="44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5,502</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40"/>
        </w:trPr>
        <w:tc>
          <w:tcPr>
            <w:tcW w:w="46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Net earnings attributable to</w:t>
            </w:r>
          </w:p>
        </w:tc>
        <w:tc>
          <w:tcPr>
            <w:tcW w:w="9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4,611</w:t>
            </w:r>
          </w:p>
        </w:tc>
        <w:tc>
          <w:tcPr>
            <w:tcW w:w="4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4,959</w:t>
            </w: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3"/>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Mondelēz International</w:t>
            </w:r>
          </w:p>
        </w:tc>
        <w:tc>
          <w:tcPr>
            <w:tcW w:w="9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640" w:type="dxa"/>
            <w:vAlign w:val="bottom"/>
          </w:tcPr>
          <w:p>
            <w:pPr>
              <w:ind w:left="20"/>
              <w:spacing w:after="0" w:line="140" w:lineRule="exact"/>
              <w:rPr>
                <w:sz w:val="20"/>
                <w:szCs w:val="20"/>
                <w:color w:val="auto"/>
              </w:rPr>
            </w:pPr>
            <w:r>
              <w:rPr>
                <w:rFonts w:ascii="Arial" w:cs="Arial" w:eastAsia="Arial" w:hAnsi="Arial"/>
                <w:sz w:val="14"/>
                <w:szCs w:val="14"/>
                <w:color w:val="auto"/>
              </w:rPr>
              <w:t>Diluted earnings per share attributable to</w:t>
            </w:r>
          </w:p>
        </w:tc>
        <w:tc>
          <w:tcPr>
            <w:tcW w:w="980" w:type="dxa"/>
            <w:vAlign w:val="bottom"/>
          </w:tcPr>
          <w:p>
            <w:pPr>
              <w:spacing w:after="0"/>
              <w:rPr>
                <w:sz w:val="12"/>
                <w:szCs w:val="12"/>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rPr>
              <w:t>3.42</w:t>
            </w:r>
          </w:p>
        </w:tc>
        <w:tc>
          <w:tcPr>
            <w:tcW w:w="440" w:type="dxa"/>
            <w:vAlign w:val="bottom"/>
          </w:tcPr>
          <w:p>
            <w:pPr>
              <w:spacing w:after="0"/>
              <w:rPr>
                <w:sz w:val="12"/>
                <w:szCs w:val="12"/>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3.62</w:t>
            </w:r>
          </w:p>
        </w:tc>
        <w:tc>
          <w:tcPr>
            <w:tcW w:w="3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4640" w:type="dxa"/>
            <w:vAlign w:val="bottom"/>
          </w:tcPr>
          <w:p>
            <w:pPr>
              <w:ind w:left="140"/>
              <w:spacing w:after="0"/>
              <w:rPr>
                <w:sz w:val="20"/>
                <w:szCs w:val="20"/>
                <w:color w:val="auto"/>
              </w:rPr>
            </w:pPr>
            <w:r>
              <w:rPr>
                <w:rFonts w:ascii="Arial" w:cs="Arial" w:eastAsia="Arial" w:hAnsi="Arial"/>
                <w:sz w:val="14"/>
                <w:szCs w:val="14"/>
                <w:color w:val="auto"/>
              </w:rPr>
              <w:t>Mondelēz International</w:t>
            </w:r>
          </w:p>
        </w:tc>
        <w:tc>
          <w:tcPr>
            <w:tcW w:w="9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Revenues</w:t>
      </w:r>
    </w:p>
    <w:p>
      <w:pPr>
        <w:spacing w:after="0" w:line="15" w:lineRule="exact"/>
        <w:rPr>
          <w:sz w:val="20"/>
          <w:szCs w:val="20"/>
          <w:color w:val="auto"/>
        </w:rPr>
      </w:pPr>
    </w:p>
    <w:p>
      <w:pPr>
        <w:jc w:val="both"/>
        <w:spacing w:after="0" w:line="215" w:lineRule="auto"/>
        <w:rPr>
          <w:sz w:val="20"/>
          <w:szCs w:val="20"/>
          <w:color w:val="auto"/>
        </w:rPr>
      </w:pPr>
      <w:r>
        <w:rPr>
          <w:rFonts w:ascii="Arial" w:cs="Arial" w:eastAsia="Arial" w:hAnsi="Arial"/>
          <w:sz w:val="14"/>
          <w:szCs w:val="14"/>
          <w:color w:val="auto"/>
        </w:rPr>
        <w:t xml:space="preserve">Net revenues increased $425 million (1.2%) to $ 36,441 million in 2024, and Organic Net Revenue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increased $ 1,544 million (4.3%) to $37,054 million. Emerging markets net revenues increased 1.1% and emerging markets Organic Net Revenue increased 6.2%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Developed markets net revenues increased 1.2% and developed markets Organic Net Revenue increased 3.2% </w:t>
      </w:r>
      <w:r>
        <w:rPr>
          <w:rFonts w:ascii="Arial" w:cs="Arial" w:eastAsia="Arial" w:hAnsi="Arial"/>
          <w:sz w:val="18"/>
          <w:szCs w:val="18"/>
          <w:color w:val="auto"/>
          <w:vertAlign w:val="superscript"/>
        </w:rPr>
        <w:t>(1)</w:t>
      </w:r>
      <w:r>
        <w:rPr>
          <w:rFonts w:ascii="Arial" w:cs="Arial" w:eastAsia="Arial" w:hAnsi="Arial"/>
          <w:sz w:val="14"/>
          <w:szCs w:val="14"/>
          <w:color w:val="auto"/>
        </w:rPr>
        <w:t>. The underlying changes in net revenues and Organic Net Revenue are detailed below:</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Emerging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Developed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276"/>
              <w:spacing w:after="0" w:line="119" w:lineRule="exact"/>
              <w:rPr>
                <w:sz w:val="20"/>
                <w:szCs w:val="20"/>
                <w:color w:val="auto"/>
              </w:rPr>
            </w:pPr>
            <w:r>
              <w:rPr>
                <w:rFonts w:ascii="Arial" w:cs="Arial" w:eastAsia="Arial" w:hAnsi="Arial"/>
                <w:sz w:val="13"/>
                <w:szCs w:val="13"/>
                <w:b w:val="1"/>
                <w:bCs w:val="1"/>
                <w:color w:val="auto"/>
              </w:rPr>
              <w:t>Mondelēz</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Markets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Markets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International</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650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For The Year Ended December 31, 2024</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Reported (GAAP)</w:t>
            </w:r>
          </w:p>
        </w:tc>
        <w:tc>
          <w:tcPr>
            <w:tcW w:w="4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14,163</w:t>
            </w:r>
          </w:p>
        </w:tc>
        <w:tc>
          <w:tcPr>
            <w:tcW w:w="50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22,278</w:t>
            </w:r>
          </w:p>
        </w:tc>
        <w:tc>
          <w:tcPr>
            <w:tcW w:w="48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36,441</w:t>
            </w: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Short-term distributor agreements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Acquisitions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Currency-related items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5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Organic (Non-GAAP)</w:t>
            </w:r>
          </w:p>
        </w:tc>
        <w:tc>
          <w:tcPr>
            <w:tcW w:w="280" w:type="dxa"/>
            <w:vAlign w:val="bottom"/>
          </w:tcPr>
          <w:p>
            <w:pPr>
              <w:jc w:val="right"/>
              <w:ind w:right="116"/>
              <w:spacing w:after="0" w:line="141" w:lineRule="exact"/>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14,866</w:t>
            </w:r>
          </w:p>
        </w:tc>
        <w:tc>
          <w:tcPr>
            <w:tcW w:w="500" w:type="dxa"/>
            <w:vAlign w:val="bottom"/>
            <w:gridSpan w:val="3"/>
          </w:tcPr>
          <w:p>
            <w:pPr>
              <w:jc w:val="right"/>
              <w:ind w:right="160"/>
              <w:spacing w:after="0" w:line="141" w:lineRule="exact"/>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22,188</w:t>
            </w:r>
          </w:p>
        </w:tc>
        <w:tc>
          <w:tcPr>
            <w:tcW w:w="480" w:type="dxa"/>
            <w:vAlign w:val="bottom"/>
            <w:gridSpan w:val="3"/>
          </w:tcPr>
          <w:p>
            <w:pPr>
              <w:jc w:val="right"/>
              <w:ind w:right="140"/>
              <w:spacing w:after="0" w:line="141" w:lineRule="exact"/>
              <w:rPr>
                <w:sz w:val="20"/>
                <w:szCs w:val="20"/>
                <w:color w:val="auto"/>
              </w:rPr>
            </w:pPr>
            <w:r>
              <w:rPr>
                <w:rFonts w:ascii="Arial" w:cs="Arial" w:eastAsia="Arial" w:hAnsi="Arial"/>
                <w:sz w:val="13"/>
                <w:szCs w:val="13"/>
                <w:b w:val="1"/>
                <w:bCs w:val="1"/>
                <w:color w:val="auto"/>
              </w:rPr>
              <w:t>$</w:t>
            </w:r>
          </w:p>
        </w:tc>
        <w:tc>
          <w:tcPr>
            <w:tcW w:w="11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37,054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6500" w:type="dxa"/>
            <w:vAlign w:val="bottom"/>
            <w:gridSpan w:val="3"/>
            <w:shd w:val="clear" w:color="auto" w:fill="CCEEFF"/>
          </w:tcPr>
          <w:p>
            <w:pPr>
              <w:spacing w:after="0" w:line="101" w:lineRule="exact"/>
              <w:rPr>
                <w:sz w:val="20"/>
                <w:szCs w:val="20"/>
                <w:color w:val="auto"/>
              </w:rPr>
            </w:pPr>
            <w:r>
              <w:rPr>
                <w:rFonts w:ascii="Arial" w:cs="Arial" w:eastAsia="Arial" w:hAnsi="Arial"/>
                <w:sz w:val="11"/>
                <w:szCs w:val="11"/>
                <w:b w:val="1"/>
                <w:bCs w:val="1"/>
                <w:color w:val="auto"/>
              </w:rPr>
              <w:t>For The Year Ended December 31, 2023</w:t>
            </w:r>
          </w:p>
        </w:tc>
        <w:tc>
          <w:tcPr>
            <w:tcW w:w="2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Reported (GAAP)</w:t>
            </w:r>
          </w:p>
        </w:tc>
        <w:tc>
          <w:tcPr>
            <w:tcW w:w="4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14,011</w:t>
            </w:r>
          </w:p>
        </w:tc>
        <w:tc>
          <w:tcPr>
            <w:tcW w:w="50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22,005</w:t>
            </w:r>
          </w:p>
        </w:tc>
        <w:tc>
          <w:tcPr>
            <w:tcW w:w="48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36,016</w:t>
            </w: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Divestitures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Short-term distributor agreements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500" w:type="dxa"/>
            <w:vAlign w:val="bottom"/>
            <w:gridSpan w:val="3"/>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Organic (Non-GAAP)</w:t>
            </w:r>
          </w:p>
        </w:tc>
        <w:tc>
          <w:tcPr>
            <w:tcW w:w="280" w:type="dxa"/>
            <w:vAlign w:val="bottom"/>
            <w:shd w:val="clear" w:color="auto" w:fill="CCEEFF"/>
          </w:tcPr>
          <w:p>
            <w:pPr>
              <w:jc w:val="right"/>
              <w:ind w:right="116"/>
              <w:spacing w:after="0" w:line="143"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14,004</w:t>
            </w:r>
          </w:p>
        </w:tc>
        <w:tc>
          <w:tcPr>
            <w:tcW w:w="50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21,506</w:t>
            </w:r>
          </w:p>
        </w:tc>
        <w:tc>
          <w:tcPr>
            <w:tcW w:w="4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35,510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3"/>
            <w:vMerge w:val="restart"/>
          </w:tcPr>
          <w:p>
            <w:pPr>
              <w:spacing w:after="0" w:line="121" w:lineRule="exact"/>
              <w:rPr>
                <w:sz w:val="20"/>
                <w:szCs w:val="20"/>
                <w:color w:val="auto"/>
              </w:rPr>
            </w:pPr>
            <w:r>
              <w:rPr>
                <w:rFonts w:ascii="Arial" w:cs="Arial" w:eastAsia="Arial" w:hAnsi="Arial"/>
                <w:sz w:val="13"/>
                <w:szCs w:val="13"/>
                <w:b w:val="1"/>
                <w:bCs w:val="1"/>
                <w:color w:val="auto"/>
              </w:rPr>
              <w:t>$ Change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65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Divestitures</w:t>
            </w:r>
          </w:p>
        </w:tc>
        <w:tc>
          <w:tcPr>
            <w:tcW w:w="280" w:type="dxa"/>
            <w:vAlign w:val="bottom"/>
          </w:tcPr>
          <w:p>
            <w:pPr>
              <w:spacing w:after="0"/>
              <w:rPr>
                <w:sz w:val="14"/>
                <w:szCs w:val="14"/>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3"/>
                <w:szCs w:val="13"/>
                <w:color w:val="auto"/>
              </w:rPr>
              <w:t>- pp</w:t>
            </w:r>
          </w:p>
        </w:tc>
        <w:tc>
          <w:tcPr>
            <w:tcW w:w="1580" w:type="dxa"/>
            <w:vAlign w:val="bottom"/>
            <w:gridSpan w:val="4"/>
          </w:tcPr>
          <w:p>
            <w:pPr>
              <w:jc w:val="right"/>
              <w:ind w:right="340"/>
              <w:spacing w:after="0"/>
              <w:rPr>
                <w:sz w:val="20"/>
                <w:szCs w:val="20"/>
                <w:color w:val="auto"/>
              </w:rPr>
            </w:pPr>
            <w:r>
              <w:rPr>
                <w:rFonts w:ascii="Arial" w:cs="Arial" w:eastAsia="Arial" w:hAnsi="Arial"/>
                <w:sz w:val="13"/>
                <w:szCs w:val="13"/>
                <w:color w:val="auto"/>
              </w:rPr>
              <w:t>2.3 pp</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1.4 pp</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Currency-related items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6500" w:type="dxa"/>
            <w:vAlign w:val="bottom"/>
            <w:tcBorders>
              <w:bottom w:val="single" w:sz="8" w:color="CCEEFF"/>
            </w:tcBorders>
            <w:gridSpan w:val="3"/>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Organic (Non-GAAP)</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6.2</w:t>
            </w: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w:t>
            </w: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4.3</w:t>
            </w: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color w:val="auto"/>
              </w:rPr>
              <w:t>Vol/Mix</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4"/>
          </w:tcPr>
          <w:p>
            <w:pPr>
              <w:jc w:val="right"/>
              <w:ind w:right="360"/>
              <w:spacing w:after="0" w:line="134" w:lineRule="exact"/>
              <w:rPr>
                <w:sz w:val="20"/>
                <w:szCs w:val="20"/>
                <w:color w:val="auto"/>
              </w:rPr>
            </w:pPr>
            <w:r>
              <w:rPr>
                <w:rFonts w:ascii="Arial" w:cs="Arial" w:eastAsia="Arial" w:hAnsi="Arial"/>
                <w:sz w:val="13"/>
                <w:szCs w:val="13"/>
                <w:color w:val="auto"/>
              </w:rPr>
              <w:t>(0.6)pp</w:t>
            </w:r>
          </w:p>
        </w:tc>
        <w:tc>
          <w:tcPr>
            <w:tcW w:w="1580" w:type="dxa"/>
            <w:vAlign w:val="bottom"/>
            <w:gridSpan w:val="4"/>
          </w:tcPr>
          <w:p>
            <w:pPr>
              <w:jc w:val="right"/>
              <w:ind w:right="340"/>
              <w:spacing w:after="0" w:line="134" w:lineRule="exact"/>
              <w:rPr>
                <w:sz w:val="20"/>
                <w:szCs w:val="20"/>
                <w:color w:val="auto"/>
              </w:rPr>
            </w:pPr>
            <w:r>
              <w:rPr>
                <w:rFonts w:ascii="Arial" w:cs="Arial" w:eastAsia="Arial" w:hAnsi="Arial"/>
                <w:sz w:val="13"/>
                <w:szCs w:val="13"/>
                <w:color w:val="auto"/>
              </w:rPr>
              <w:t>(1.1)pp</w:t>
            </w:r>
          </w:p>
        </w:tc>
        <w:tc>
          <w:tcPr>
            <w:tcW w:w="13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(1.0)pp</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Pricing</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Please see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 for additional information.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revenue increase of 1.2% was driven by our underlying Organic Net Revenue growth of 4.3% and the impact of an acquisition, partially offset by unfavorable currency-related items and the impact of our 2023 divestiture of the developed market gum business. Organic Net Revenue growth was driven by higher net pricing, partially offset by unfavorable volume/mix. Higher net pricing in all regions was due to the benefit of carryover pricing from 2023 as well as the effects of input cost-driven pricing actions taken during 2024. Overall, unfavorable volume/mix was driven by volume declines, reflecting the impacts of expected customer price negotiation disruptions in Europe primarily in the second quarter, consumer demand softness in the U.S. and Mexico in the first half of the year and geopolitical impacts in parts of AMEA, which were partially offset by favorable product mix. Unfavorable volume/mix was reflected in Europe and Latin America, partially offset by a gain in AMEA, while North America was essentially flat. The November 1, 2024 acquisition of Evirth added incremental net revenues of $72 million (constant currency basis) in 2024. Currency-related items decreased net revenues by $710 million, driven by unfavorable currency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translation rate changes, partially offset by the adjustment for extreme pricing in Argentina. Refer to </w:t>
      </w:r>
      <w:r>
        <w:rPr>
          <w:rFonts w:ascii="Arial" w:cs="Arial" w:eastAsia="Arial" w:hAnsi="Arial"/>
          <w:sz w:val="14"/>
          <w:szCs w:val="14"/>
          <w:i w:val="1"/>
          <w:iCs w:val="1"/>
          <w:color w:val="auto"/>
        </w:rPr>
        <w:t>Recent Developments and Significant Items Affecting Comparability</w:t>
      </w:r>
      <w:r>
        <w:rPr>
          <w:rFonts w:ascii="Arial" w:cs="Arial" w:eastAsia="Arial" w:hAnsi="Arial"/>
          <w:sz w:val="14"/>
          <w:szCs w:val="14"/>
          <w:color w:val="auto"/>
        </w:rPr>
        <w:t xml:space="preserve"> for additional information. Unfavorable currency translation rate changes were due to the strength of the U.S. dollar relative to most currencies, primarily the Argentinean peso, as well as the Brazilian real, Nigerian naira, Turkish Lira, Russian ruble, Egyptian pound, Mexican peso and Chinese yuan, partially offset by the strength of a few currencies relative to the U.S. dollar, including the British pound sterling, Polish zloty, euro and Colombian peso. The impact of our 2023 divestiture of the developed market gum business resulted in a year-over-year reduction in net revenues of $484 million in 2024.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Income</w:t>
      </w:r>
    </w:p>
    <w:p>
      <w:pPr>
        <w:spacing w:after="0" w:line="1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 xml:space="preserve">Operating income increased $843 million (15.3%) to $6,345 million in 2024, Adjusted Operating Income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increased $265 million (4.7%) to $5,899 million and Adjusted Operating Income on a constant currency basis increased $456 million (8.1%) to $6,090 million due to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2780" w:type="dxa"/>
            <w:vAlign w:val="bottom"/>
            <w:gridSpan w:val="6"/>
          </w:tcPr>
          <w:p>
            <w:pPr>
              <w:ind w:left="400"/>
              <w:spacing w:after="0"/>
              <w:rPr>
                <w:sz w:val="20"/>
                <w:szCs w:val="20"/>
                <w:color w:val="auto"/>
              </w:rPr>
            </w:pPr>
            <w:r>
              <w:rPr>
                <w:rFonts w:ascii="Arial" w:cs="Arial" w:eastAsia="Arial" w:hAnsi="Arial"/>
                <w:sz w:val="11"/>
                <w:szCs w:val="11"/>
                <w:b w:val="1"/>
                <w:bCs w:val="1"/>
                <w:color w:val="auto"/>
              </w:rPr>
              <w:t>For the Years Ended December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3"/>
        </w:trPr>
        <w:tc>
          <w:tcPr>
            <w:tcW w:w="5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820" w:type="dxa"/>
            <w:vAlign w:val="bottom"/>
            <w:shd w:val="clear" w:color="auto" w:fill="CCEEFF"/>
          </w:tcPr>
          <w:p>
            <w:pPr>
              <w:jc w:val="right"/>
              <w:ind w:right="654"/>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843</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15.3 %</w:t>
            </w: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Simplify to Grow Program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Intangible asset impairment charges </w:t>
            </w:r>
            <w:r>
              <w:rPr>
                <w:rFonts w:ascii="Arial" w:cs="Arial" w:eastAsia="Arial" w:hAnsi="Arial"/>
                <w:sz w:val="18"/>
                <w:szCs w:val="18"/>
                <w:color w:val="auto"/>
                <w:vertAlign w:val="superscript"/>
              </w:rPr>
              <w:t>(3)</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Mark-to-market gains from derivatives </w:t>
            </w:r>
            <w:r>
              <w:rPr>
                <w:rFonts w:ascii="Arial" w:cs="Arial" w:eastAsia="Arial" w:hAnsi="Arial"/>
                <w:sz w:val="18"/>
                <w:szCs w:val="18"/>
                <w:color w:val="auto"/>
                <w:vertAlign w:val="superscript"/>
              </w:rPr>
              <w:t>(4)</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Acquisition integration costs and</w:t>
            </w:r>
          </w:p>
        </w:tc>
        <w:tc>
          <w:tcPr>
            <w:tcW w:w="8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CEEFF"/>
          </w:tcPr>
          <w:p>
            <w:pPr>
              <w:ind w:left="260"/>
              <w:spacing w:after="0" w:line="194" w:lineRule="exact"/>
              <w:rPr>
                <w:sz w:val="20"/>
                <w:szCs w:val="20"/>
                <w:color w:val="auto"/>
              </w:rPr>
            </w:pPr>
            <w:r>
              <w:rPr>
                <w:rFonts w:ascii="Arial" w:cs="Arial" w:eastAsia="Arial" w:hAnsi="Arial"/>
                <w:sz w:val="14"/>
                <w:szCs w:val="14"/>
                <w:color w:val="auto"/>
              </w:rPr>
              <w:t xml:space="preserve">contingent consideration adjustments </w:t>
            </w:r>
            <w:r>
              <w:rPr>
                <w:rFonts w:ascii="Arial" w:cs="Arial" w:eastAsia="Arial" w:hAnsi="Arial"/>
                <w:sz w:val="18"/>
                <w:szCs w:val="18"/>
                <w:color w:val="auto"/>
                <w:vertAlign w:val="superscript"/>
              </w:rPr>
              <w:t>(5)</w:t>
            </w:r>
          </w:p>
        </w:tc>
        <w:tc>
          <w:tcPr>
            <w:tcW w:w="8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Inventory step-up </w:t>
            </w:r>
            <w:r>
              <w:rPr>
                <w:rFonts w:ascii="Arial" w:cs="Arial" w:eastAsia="Arial" w:hAnsi="Arial"/>
                <w:sz w:val="18"/>
                <w:szCs w:val="18"/>
                <w:color w:val="auto"/>
                <w:vertAlign w:val="superscript"/>
              </w:rPr>
              <w:t>(5)</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(5)</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acquisition and divestitures </w:t>
            </w:r>
            <w:r>
              <w:rPr>
                <w:rFonts w:ascii="Arial" w:cs="Arial" w:eastAsia="Arial" w:hAnsi="Arial"/>
                <w:sz w:val="18"/>
                <w:szCs w:val="18"/>
                <w:color w:val="auto"/>
                <w:vertAlign w:val="superscript"/>
              </w:rPr>
              <w:t>(5)</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Divestiture-related costs </w:t>
            </w:r>
            <w:r>
              <w:rPr>
                <w:rFonts w:ascii="Arial" w:cs="Arial" w:eastAsia="Arial" w:hAnsi="Arial"/>
                <w:sz w:val="18"/>
                <w:szCs w:val="18"/>
                <w:color w:val="auto"/>
                <w:vertAlign w:val="superscript"/>
              </w:rPr>
              <w:t>(5)</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Operating results from divestitures </w:t>
            </w:r>
            <w:r>
              <w:rPr>
                <w:rFonts w:ascii="Arial" w:cs="Arial" w:eastAsia="Arial" w:hAnsi="Arial"/>
                <w:sz w:val="18"/>
                <w:szCs w:val="18"/>
                <w:color w:val="auto"/>
                <w:vertAlign w:val="superscript"/>
              </w:rPr>
              <w:t>(5)</w:t>
            </w:r>
          </w:p>
        </w:tc>
        <w:tc>
          <w:tcPr>
            <w:tcW w:w="8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results from short-term distributor agreements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European Commission legal matter </w:t>
            </w:r>
            <w:r>
              <w:rPr>
                <w:rFonts w:ascii="Arial" w:cs="Arial" w:eastAsia="Arial" w:hAnsi="Arial"/>
                <w:sz w:val="18"/>
                <w:szCs w:val="18"/>
                <w:color w:val="auto"/>
                <w:vertAlign w:val="superscript"/>
              </w:rPr>
              <w:t>(6)</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Incremental costs due to war in Ukraine </w:t>
            </w:r>
            <w:r>
              <w:rPr>
                <w:rFonts w:ascii="Arial" w:cs="Arial" w:eastAsia="Arial" w:hAnsi="Arial"/>
                <w:sz w:val="18"/>
                <w:szCs w:val="18"/>
                <w:color w:val="auto"/>
                <w:vertAlign w:val="superscript"/>
              </w:rPr>
              <w:t>(7)</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ERP System Implementation costs </w:t>
            </w:r>
            <w:r>
              <w:rPr>
                <w:rFonts w:ascii="Arial" w:cs="Arial" w:eastAsia="Arial" w:hAnsi="Arial"/>
                <w:sz w:val="18"/>
                <w:szCs w:val="18"/>
                <w:color w:val="auto"/>
                <w:vertAlign w:val="superscript"/>
              </w:rPr>
              <w:t>(8)</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Remeasurement of net monetary position </w:t>
            </w:r>
            <w:r>
              <w:rPr>
                <w:rFonts w:ascii="Arial" w:cs="Arial" w:eastAsia="Arial" w:hAnsi="Arial"/>
                <w:sz w:val="18"/>
                <w:szCs w:val="18"/>
                <w:color w:val="auto"/>
                <w:vertAlign w:val="superscript"/>
              </w:rPr>
              <w:t>(9)</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p>
        </w:tc>
        <w:tc>
          <w:tcPr>
            <w:tcW w:w="82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5,899</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5,634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4.7 %</w:t>
            </w: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Currency-related items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Operating Income (constant currency) </w:t>
            </w:r>
            <w:r>
              <w:rPr>
                <w:rFonts w:ascii="Arial" w:cs="Arial" w:eastAsia="Arial" w:hAnsi="Arial"/>
                <w:sz w:val="18"/>
                <w:szCs w:val="18"/>
                <w:b w:val="1"/>
                <w:bCs w:val="1"/>
                <w:color w:val="auto"/>
                <w:vertAlign w:val="superscript"/>
              </w:rPr>
              <w:t>(1)</w:t>
            </w:r>
          </w:p>
        </w:tc>
        <w:tc>
          <w:tcPr>
            <w:tcW w:w="82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6,090</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5,634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456</w:t>
            </w: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8.1 %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Key Drivers of Adjusted Operating Income (constant currency)</w:t>
            </w:r>
          </w:p>
        </w:tc>
        <w:tc>
          <w:tcPr>
            <w:tcW w:w="8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Higher net pricing</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1,889</w:t>
            </w: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Higher input costs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4"/>
                <w:szCs w:val="14"/>
                <w:color w:val="auto"/>
              </w:rPr>
              <w:t>(1,079)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Unfavorable volume/mix</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(149)</w:t>
            </w: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Higher selling, general and administrative expenses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4"/>
                <w:szCs w:val="14"/>
                <w:color w:val="auto"/>
              </w:rPr>
              <w:t>(215)</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Impact from acquisitions </w:t>
            </w:r>
            <w:r>
              <w:rPr>
                <w:rFonts w:ascii="Arial" w:cs="Arial" w:eastAsia="Arial" w:hAnsi="Arial"/>
                <w:sz w:val="18"/>
                <w:szCs w:val="18"/>
                <w:color w:val="auto"/>
                <w:vertAlign w:val="superscript"/>
              </w:rPr>
              <w:t>(5)</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Higher amortization of intangible assets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Lower asset impairment charges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Total change in Adjusted Operating Income (constant currency) </w:t>
            </w:r>
            <w:r>
              <w:rPr>
                <w:rFonts w:ascii="Arial" w:cs="Arial" w:eastAsia="Arial" w:hAnsi="Arial"/>
                <w:sz w:val="18"/>
                <w:szCs w:val="18"/>
                <w:b w:val="1"/>
                <w:bCs w:val="1"/>
                <w:color w:val="auto"/>
                <w:vertAlign w:val="superscript"/>
              </w:rPr>
              <w:t>(1)</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456</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hanging="174"/>
        <w:spacing w:after="0"/>
        <w:tabs>
          <w:tab w:leader="none" w:pos="1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Refer to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 for additional information.</w:t>
      </w:r>
    </w:p>
    <w:p>
      <w:pPr>
        <w:spacing w:after="0" w:line="23" w:lineRule="exact"/>
        <w:rPr>
          <w:rFonts w:ascii="Arial" w:cs="Arial" w:eastAsia="Arial" w:hAnsi="Arial"/>
          <w:sz w:val="11"/>
          <w:szCs w:val="11"/>
          <w:color w:val="auto"/>
        </w:rPr>
      </w:pPr>
    </w:p>
    <w:p>
      <w:pPr>
        <w:ind w:left="180" w:hanging="174"/>
        <w:spacing w:after="0"/>
        <w:tabs>
          <w:tab w:leader="none" w:pos="1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Refer to Note 8, </w:t>
      </w:r>
      <w:r>
        <w:rPr>
          <w:rFonts w:ascii="Arial" w:cs="Arial" w:eastAsia="Arial" w:hAnsi="Arial"/>
          <w:sz w:val="11"/>
          <w:szCs w:val="11"/>
          <w:i w:val="1"/>
          <w:iCs w:val="1"/>
          <w:color w:val="auto"/>
        </w:rPr>
        <w:t>Restructuring Program</w:t>
      </w:r>
      <w:r>
        <w:rPr>
          <w:rFonts w:ascii="Arial" w:cs="Arial" w:eastAsia="Arial" w:hAnsi="Arial"/>
          <w:sz w:val="11"/>
          <w:szCs w:val="11"/>
          <w:color w:val="auto"/>
        </w:rPr>
        <w:t>, for more information.</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Refer to Note 6, </w:t>
      </w:r>
      <w:r>
        <w:rPr>
          <w:rFonts w:ascii="Arial" w:cs="Arial" w:eastAsia="Arial" w:hAnsi="Arial"/>
          <w:sz w:val="11"/>
          <w:szCs w:val="11"/>
          <w:i w:val="1"/>
          <w:iCs w:val="1"/>
          <w:color w:val="auto"/>
        </w:rPr>
        <w:t>Goodwill and Intangible Assets</w:t>
      </w:r>
      <w:r>
        <w:rPr>
          <w:rFonts w:ascii="Arial" w:cs="Arial" w:eastAsia="Arial" w:hAnsi="Arial"/>
          <w:sz w:val="11"/>
          <w:szCs w:val="11"/>
          <w:color w:val="auto"/>
        </w:rPr>
        <w:t>, for more information.</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Refer to Note 10, Financial Instruments, and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 for more information on the unrealized gains/losses on commodity and forecasted currency transaction derivatives.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ind w:left="200" w:hanging="194"/>
        <w:spacing w:after="0" w:line="274" w:lineRule="auto"/>
        <w:tabs>
          <w:tab w:leader="none" w:pos="189"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Refer to Note 2, </w:t>
      </w:r>
      <w:r>
        <w:rPr>
          <w:rFonts w:ascii="Arial" w:cs="Arial" w:eastAsia="Arial" w:hAnsi="Arial"/>
          <w:sz w:val="11"/>
          <w:szCs w:val="11"/>
          <w:i w:val="1"/>
          <w:iCs w:val="1"/>
          <w:color w:val="auto"/>
        </w:rPr>
        <w:t>Acquisitions and Divestitures</w:t>
      </w:r>
      <w:r>
        <w:rPr>
          <w:rFonts w:ascii="Arial" w:cs="Arial" w:eastAsia="Arial" w:hAnsi="Arial"/>
          <w:sz w:val="11"/>
          <w:szCs w:val="11"/>
          <w:color w:val="auto"/>
        </w:rPr>
        <w:t>, for more information on the November 1, 2024 acquisition of Evirth, October 1, 2023 sale of the developed market gum business, November 1, 2022 acquisition of Ricolino, August 1, 2022 acquisition of Clif Bar and the January 3, 2022 acquisition of Chipita.</w:t>
      </w:r>
    </w:p>
    <w:p>
      <w:pPr>
        <w:ind w:left="180" w:hanging="174"/>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Refer to Note 14,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for more information.</w:t>
      </w:r>
    </w:p>
    <w:p>
      <w:pPr>
        <w:spacing w:after="0" w:line="2" w:lineRule="exact"/>
        <w:rPr>
          <w:rFonts w:ascii="Arial" w:cs="Arial" w:eastAsia="Arial" w:hAnsi="Arial"/>
          <w:sz w:val="11"/>
          <w:szCs w:val="11"/>
          <w:color w:val="auto"/>
        </w:rPr>
      </w:pPr>
    </w:p>
    <w:p>
      <w:pPr>
        <w:ind w:left="180" w:hanging="174"/>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 </w:t>
      </w:r>
      <w:r>
        <w:rPr>
          <w:rFonts w:ascii="Arial" w:cs="Arial" w:eastAsia="Arial" w:hAnsi="Arial"/>
          <w:sz w:val="11"/>
          <w:szCs w:val="11"/>
          <w:i w:val="1"/>
          <w:iCs w:val="1"/>
          <w:color w:val="auto"/>
        </w:rPr>
        <w:t>War in Ukraine,</w:t>
      </w:r>
      <w:r>
        <w:rPr>
          <w:rFonts w:ascii="Arial" w:cs="Arial" w:eastAsia="Arial" w:hAnsi="Arial"/>
          <w:sz w:val="11"/>
          <w:szCs w:val="11"/>
          <w:color w:val="auto"/>
        </w:rPr>
        <w:t xml:space="preserve"> for more information.</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Refer to Recent Developments and Significant Items Affecting Comparability - </w:t>
      </w:r>
      <w:r>
        <w:rPr>
          <w:rFonts w:ascii="Arial" w:cs="Arial" w:eastAsia="Arial" w:hAnsi="Arial"/>
          <w:sz w:val="11"/>
          <w:szCs w:val="11"/>
          <w:i w:val="1"/>
          <w:iCs w:val="1"/>
          <w:color w:val="auto"/>
        </w:rPr>
        <w:t>ERP System Implementation</w:t>
      </w:r>
      <w:r>
        <w:rPr>
          <w:rFonts w:ascii="Arial" w:cs="Arial" w:eastAsia="Arial" w:hAnsi="Arial"/>
          <w:sz w:val="11"/>
          <w:szCs w:val="11"/>
          <w:color w:val="auto"/>
        </w:rPr>
        <w:t>, for additional information.</w:t>
      </w:r>
    </w:p>
    <w:p>
      <w:pPr>
        <w:spacing w:after="0" w:line="13" w:lineRule="exact"/>
        <w:rPr>
          <w:rFonts w:ascii="Arial" w:cs="Arial" w:eastAsia="Arial" w:hAnsi="Arial"/>
          <w:sz w:val="11"/>
          <w:szCs w:val="11"/>
          <w:color w:val="auto"/>
        </w:rPr>
      </w:pPr>
    </w:p>
    <w:p>
      <w:pPr>
        <w:ind w:left="200" w:hanging="194"/>
        <w:spacing w:after="0" w:line="264" w:lineRule="auto"/>
        <w:tabs>
          <w:tab w:leader="none" w:pos="189"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 </w:t>
      </w:r>
      <w:r>
        <w:rPr>
          <w:rFonts w:ascii="Arial" w:cs="Arial" w:eastAsia="Arial" w:hAnsi="Arial"/>
          <w:sz w:val="11"/>
          <w:szCs w:val="11"/>
          <w:i w:val="1"/>
          <w:iCs w:val="1"/>
          <w:color w:val="auto"/>
        </w:rPr>
        <w:t>Currency Translation and Highly Inflationary Accounting</w:t>
      </w:r>
      <w:r>
        <w:rPr>
          <w:rFonts w:ascii="Arial" w:cs="Arial" w:eastAsia="Arial" w:hAnsi="Arial"/>
          <w:sz w:val="11"/>
          <w:szCs w:val="11"/>
          <w:color w:val="auto"/>
        </w:rPr>
        <w:t>, for information on our application of highly inflationary accounting for Argentina, Türkiye, Egypt and Nigeria.</w:t>
      </w: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2024, we realized higher net pricing, which was partially offset by increased input costs and unfavorable volume/mix. Higher net pricing, which included the carryover impact of pricing actions taken in 2023 as well as the effects of input cost-driven pricing actions taken during 2024, was reflected across all regions. The increase in input costs was driven by higher raw material costs, partially offset by lower manufacturing costs driven by productivity. Higher raw material costs were in part due to higher cocoa, sugar, nuts and other ingredient costs, as well as unfavorable year-over-year currency exchange transaction costs on imported materials, partially offset by lower energy, edible oils, grains, dairy and packaging costs. Overall, unfavorable volume/mix was due to volume declines partially offset by favorable product mix. Unfavorable volume/mix was experienced in all regions.</w:t>
      </w: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Total selling, general and administrative expenses decreased $563 million from 2023, which was net of benefits from a number of factors noted in the table above, including in part, favorable contingent consideration adjustments related to the Clif Bar acquisition and lower acquisition integration costs, lapping prior-year divestiture -related costs, the elimination of costs from the developed market gum business divested in 2023, lower remeasurement loss of net monetary position, a favorable currency translation impact related to expenses and lapping prior-year impact from the European Commission legal matter, marginally offset by costs incurred for the ERP System Implementation program and higher implementation costs incurred for the Simplify to Grow program. Excluding these factors, selling, general and administrative expenses increased $215 million from 2023. The increase was driven primarily by higher advertising and consumer promotion costs and higher overhead costs in part due to increased investments in route to market capabilities.</w:t>
      </w: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Unfavorable currency-related items, net of the adjustment for extreme pricing in Argentina, decreased operating income by $ 191 million primarily due to the strength of the U.S. dollar relative to most currencies, including the Argentinean peso, Russian ruble, Brazilian real, Egyptian pound, Turkish lira, Chinese yuan and Nigerian naira, partially offset by the strength of a few currencies relative to the U.S. dollar, primarily the British pound sterling and Polish zloty.</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Operating income margin increased from 15.3% in 2023 to 17.4% in 2024. The increase in operating income margin was driven primarily by favorable year-over-year change in acquisition integration costs and contingent consideration adjustments, favorable year-over-year change in mark-to-market gains/(losses) from commodity and currency hedging activities, higher Adjusted Operating Income margin, lower divestiture-related costs, lapping prior-year impact from the European Commission legal matter and lower remeasurement loss of net monetary position, partially offset by higher intangible asset impairment charges, lapping the prior-year gain and the impact from the developed market gum business divested in 2023 and costs incurred for the ERP System Implementation program. Adjusted Operating Income margin increased from 15.9% in 2023 to 16.2% in 2024. The increase was driven primarily by higher net pricing, lower manufacturing costs driven by productivity and overhead cost leverage, partially offset by higher raw material costs and higher advertising and consumer promotion costs.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Earnings and Earnings per Share Attributable to Mondelēz International</w:t>
      </w:r>
    </w:p>
    <w:p>
      <w:pPr>
        <w:spacing w:after="0" w:line="2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 xml:space="preserve">Net earnings attributable to Mondelēz International of $4,611 million decreased by $(348) million (7.0%) in 2024. Diluted EPS attributable to Mondelēz International was $3.42 in 2024, down $(0.20) (5.5%) from 2023. Adjusted EPS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was $3.36 in 2024, up $0.28 (9.1%) from 2023. Adjusted EPS on a constant currency basis was $3.48 in 2024, up $0.40 (13.0%) from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2760" w:type="dxa"/>
            <w:vAlign w:val="bottom"/>
            <w:gridSpan w:val="6"/>
          </w:tcPr>
          <w:p>
            <w:pPr>
              <w:ind w:left="380"/>
              <w:spacing w:after="0"/>
              <w:rPr>
                <w:sz w:val="20"/>
                <w:szCs w:val="20"/>
                <w:color w:val="auto"/>
              </w:rPr>
            </w:pPr>
            <w:r>
              <w:rPr>
                <w:rFonts w:ascii="Arial" w:cs="Arial" w:eastAsia="Arial" w:hAnsi="Arial"/>
                <w:sz w:val="11"/>
                <w:szCs w:val="11"/>
                <w:b w:val="1"/>
                <w:bCs w:val="1"/>
                <w:color w:val="auto"/>
              </w:rPr>
              <w:t>For the Years Ended December 31,</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49"/>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 Change</w:t>
            </w:r>
          </w:p>
        </w:tc>
        <w:tc>
          <w:tcPr>
            <w:tcW w:w="1440" w:type="dxa"/>
            <w:vAlign w:val="bottom"/>
          </w:tcPr>
          <w:p>
            <w:pPr>
              <w:jc w:val="right"/>
              <w:ind w:right="37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 attributable to Mondelēz International</w:t>
            </w:r>
          </w:p>
        </w:tc>
        <w:tc>
          <w:tcPr>
            <w:tcW w:w="82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Simplify to Grow Program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Intangible asset impairment charges </w:t>
            </w:r>
            <w:r>
              <w:rPr>
                <w:rFonts w:ascii="Arial" w:cs="Arial" w:eastAsia="Arial" w:hAnsi="Arial"/>
                <w:sz w:val="18"/>
                <w:szCs w:val="18"/>
                <w:color w:val="auto"/>
                <w:vertAlign w:val="superscript"/>
              </w:rPr>
              <w:t>(2)</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Mark-to-market gains from derivatives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Acquisition integration costs and</w:t>
            </w:r>
          </w:p>
        </w:tc>
        <w:tc>
          <w:tcPr>
            <w:tcW w:w="8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CEEFF"/>
          </w:tcPr>
          <w:p>
            <w:pPr>
              <w:ind w:left="260"/>
              <w:spacing w:after="0" w:line="194" w:lineRule="exact"/>
              <w:rPr>
                <w:sz w:val="20"/>
                <w:szCs w:val="20"/>
                <w:color w:val="auto"/>
              </w:rPr>
            </w:pPr>
            <w:r>
              <w:rPr>
                <w:rFonts w:ascii="Arial" w:cs="Arial" w:eastAsia="Arial" w:hAnsi="Arial"/>
                <w:sz w:val="14"/>
                <w:szCs w:val="14"/>
                <w:color w:val="auto"/>
              </w:rPr>
              <w:t xml:space="preserve">contingent consideration adjustments </w:t>
            </w:r>
            <w:r>
              <w:rPr>
                <w:rFonts w:ascii="Arial" w:cs="Arial" w:eastAsia="Arial" w:hAnsi="Arial"/>
                <w:sz w:val="18"/>
                <w:szCs w:val="18"/>
                <w:color w:val="auto"/>
                <w:vertAlign w:val="superscript"/>
              </w:rPr>
              <w:t>(2)</w:t>
            </w:r>
          </w:p>
        </w:tc>
        <w:tc>
          <w:tcPr>
            <w:tcW w:w="8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Divestiture-related costs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Operating results from divestitures </w:t>
            </w:r>
            <w:r>
              <w:rPr>
                <w:rFonts w:ascii="Arial" w:cs="Arial" w:eastAsia="Arial" w:hAnsi="Arial"/>
                <w:sz w:val="18"/>
                <w:szCs w:val="18"/>
                <w:color w:val="auto"/>
                <w:vertAlign w:val="superscript"/>
              </w:rPr>
              <w:t>(2) (3)</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divestitures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European Commission legal matter </w:t>
            </w:r>
            <w:r>
              <w:rPr>
                <w:rFonts w:ascii="Arial" w:cs="Arial" w:eastAsia="Arial" w:hAnsi="Arial"/>
                <w:sz w:val="18"/>
                <w:szCs w:val="18"/>
                <w:color w:val="auto"/>
                <w:vertAlign w:val="superscript"/>
              </w:rPr>
              <w:t>(2)</w:t>
            </w:r>
          </w:p>
        </w:tc>
        <w:tc>
          <w:tcPr>
            <w:tcW w:w="8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ERP System Implementation costs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Remeasurement of net monetary position </w:t>
            </w:r>
            <w:r>
              <w:rPr>
                <w:rFonts w:ascii="Arial" w:cs="Arial" w:eastAsia="Arial" w:hAnsi="Arial"/>
                <w:sz w:val="18"/>
                <w:szCs w:val="18"/>
                <w:color w:val="auto"/>
                <w:vertAlign w:val="superscript"/>
              </w:rPr>
              <w:t>(2)</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Impact from pension participation changes </w:t>
            </w:r>
            <w:r>
              <w:rPr>
                <w:rFonts w:ascii="Arial" w:cs="Arial" w:eastAsia="Arial" w:hAnsi="Arial"/>
                <w:sz w:val="18"/>
                <w:szCs w:val="18"/>
                <w:color w:val="auto"/>
                <w:vertAlign w:val="superscript"/>
              </w:rPr>
              <w:t>(2)</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Initial impacts from enacted tax law changes </w:t>
            </w:r>
            <w:r>
              <w:rPr>
                <w:rFonts w:ascii="Arial" w:cs="Arial" w:eastAsia="Arial" w:hAnsi="Arial"/>
                <w:sz w:val="18"/>
                <w:szCs w:val="18"/>
                <w:color w:val="auto"/>
                <w:vertAlign w:val="superscript"/>
              </w:rPr>
              <w:t>(4)</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marketable securities </w:t>
            </w:r>
            <w:r>
              <w:rPr>
                <w:rFonts w:ascii="Arial" w:cs="Arial" w:eastAsia="Arial" w:hAnsi="Arial"/>
                <w:sz w:val="18"/>
                <w:szCs w:val="18"/>
                <w:color w:val="auto"/>
                <w:vertAlign w:val="superscript"/>
              </w:rPr>
              <w:t>(5)</w:t>
            </w:r>
          </w:p>
        </w:tc>
        <w:tc>
          <w:tcPr>
            <w:tcW w:w="8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Loss/(gain) on equity method investment transactions </w:t>
            </w:r>
            <w:r>
              <w:rPr>
                <w:rFonts w:ascii="Arial" w:cs="Arial" w:eastAsia="Arial" w:hAnsi="Arial"/>
                <w:sz w:val="18"/>
                <w:szCs w:val="18"/>
                <w:color w:val="auto"/>
                <w:vertAlign w:val="superscript"/>
              </w:rPr>
              <w:t>(6)</w:t>
            </w: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EPS </w:t>
            </w:r>
            <w:r>
              <w:rPr>
                <w:rFonts w:ascii="Arial" w:cs="Arial" w:eastAsia="Arial" w:hAnsi="Arial"/>
                <w:sz w:val="18"/>
                <w:szCs w:val="18"/>
                <w:b w:val="1"/>
                <w:bCs w:val="1"/>
                <w:color w:val="auto"/>
                <w:vertAlign w:val="superscript"/>
              </w:rPr>
              <w:t>(1)</w:t>
            </w:r>
          </w:p>
        </w:tc>
        <w:tc>
          <w:tcPr>
            <w:tcW w:w="82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3.36</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9.1 %</w:t>
            </w: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Currency-related items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EPS (constant currency) </w:t>
            </w:r>
            <w:r>
              <w:rPr>
                <w:rFonts w:ascii="Arial" w:cs="Arial" w:eastAsia="Arial" w:hAnsi="Arial"/>
                <w:sz w:val="18"/>
                <w:szCs w:val="18"/>
                <w:b w:val="1"/>
                <w:bCs w:val="1"/>
                <w:color w:val="auto"/>
                <w:vertAlign w:val="superscript"/>
              </w:rPr>
              <w:t>(1)</w:t>
            </w: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13.0 %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Key Drivers of Adjusted EPS (constant currency)</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580"/>
              <w:spacing w:after="0"/>
              <w:rPr>
                <w:sz w:val="20"/>
                <w:szCs w:val="20"/>
                <w:color w:val="auto"/>
              </w:rPr>
            </w:pPr>
            <w:r>
              <w:rPr>
                <w:rFonts w:ascii="Arial" w:cs="Arial" w:eastAsia="Arial" w:hAnsi="Arial"/>
                <w:sz w:val="11"/>
                <w:szCs w:val="11"/>
                <w:b w:val="1"/>
                <w:bCs w:val="1"/>
                <w:color w:val="auto"/>
              </w:rPr>
              <w:t>$ Change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Increase in operations</w:t>
            </w:r>
          </w:p>
        </w:tc>
        <w:tc>
          <w:tcPr>
            <w:tcW w:w="28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rPr>
              <w:t>0.24</w:t>
            </w:r>
          </w:p>
        </w:tc>
        <w:tc>
          <w:tcPr>
            <w:tcW w:w="1200" w:type="dxa"/>
            <w:vAlign w:val="bottom"/>
            <w:tcBorders>
              <w:top w:val="single" w:sz="8" w:color="CCEEFF"/>
            </w:tcBorders>
            <w:shd w:val="clear" w:color="auto" w:fill="CCEEFF"/>
          </w:tcPr>
          <w:p>
            <w:pPr>
              <w:spacing w:after="0"/>
              <w:rPr>
                <w:sz w:val="15"/>
                <w:szCs w:val="15"/>
                <w:color w:val="auto"/>
              </w:rPr>
            </w:pPr>
          </w:p>
        </w:tc>
      </w:tr>
      <w:tr>
        <w:trPr>
          <w:trHeight w:val="183"/>
        </w:trPr>
        <w:tc>
          <w:tcPr>
            <w:tcW w:w="8980" w:type="dxa"/>
            <w:vAlign w:val="bottom"/>
            <w:gridSpan w:val="2"/>
          </w:tcPr>
          <w:p>
            <w:pPr>
              <w:ind w:left="280"/>
              <w:spacing w:after="0" w:line="182" w:lineRule="exact"/>
              <w:rPr>
                <w:sz w:val="20"/>
                <w:szCs w:val="20"/>
                <w:color w:val="auto"/>
              </w:rPr>
            </w:pPr>
            <w:r>
              <w:rPr>
                <w:rFonts w:ascii="Arial" w:cs="Arial" w:eastAsia="Arial" w:hAnsi="Arial"/>
                <w:sz w:val="14"/>
                <w:szCs w:val="14"/>
                <w:color w:val="auto"/>
              </w:rPr>
              <w:t xml:space="preserve">Impact from acquisitions </w:t>
            </w:r>
            <w:r>
              <w:rPr>
                <w:rFonts w:ascii="Arial" w:cs="Arial" w:eastAsia="Arial" w:hAnsi="Arial"/>
                <w:sz w:val="18"/>
                <w:szCs w:val="18"/>
                <w:color w:val="auto"/>
                <w:vertAlign w:val="superscript"/>
              </w:rPr>
              <w:t>(2)</w:t>
            </w:r>
          </w:p>
        </w:tc>
        <w:tc>
          <w:tcPr>
            <w:tcW w:w="400" w:type="dxa"/>
            <w:vAlign w:val="bottom"/>
          </w:tcPr>
          <w:p>
            <w:pPr>
              <w:spacing w:after="0"/>
              <w:rPr>
                <w:sz w:val="15"/>
                <w:szCs w:val="15"/>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color w:val="auto"/>
              </w:rPr>
              <w:t>0.01</w:t>
            </w:r>
          </w:p>
        </w:tc>
        <w:tc>
          <w:tcPr>
            <w:tcW w:w="1200" w:type="dxa"/>
            <w:vAlign w:val="bottom"/>
          </w:tcPr>
          <w:p>
            <w:pPr>
              <w:spacing w:after="0"/>
              <w:rPr>
                <w:sz w:val="15"/>
                <w:szCs w:val="15"/>
                <w:color w:val="auto"/>
              </w:rPr>
            </w:pPr>
          </w:p>
        </w:tc>
      </w:tr>
      <w:tr>
        <w:trPr>
          <w:trHeight w:val="183"/>
        </w:trPr>
        <w:tc>
          <w:tcPr>
            <w:tcW w:w="8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 in benefit plan non-service income</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rPr>
              <w:t>0.01</w:t>
            </w:r>
          </w:p>
        </w:tc>
        <w:tc>
          <w:tcPr>
            <w:tcW w:w="1200" w:type="dxa"/>
            <w:vAlign w:val="bottom"/>
            <w:shd w:val="clear" w:color="auto" w:fill="CCEEFF"/>
          </w:tcPr>
          <w:p>
            <w:pPr>
              <w:spacing w:after="0"/>
              <w:rPr>
                <w:sz w:val="15"/>
                <w:szCs w:val="15"/>
                <w:color w:val="auto"/>
              </w:rPr>
            </w:pPr>
          </w:p>
        </w:tc>
      </w:tr>
      <w:tr>
        <w:trPr>
          <w:trHeight w:val="183"/>
        </w:trPr>
        <w:tc>
          <w:tcPr>
            <w:tcW w:w="8980" w:type="dxa"/>
            <w:vAlign w:val="bottom"/>
            <w:gridSpan w:val="2"/>
          </w:tcPr>
          <w:p>
            <w:pPr>
              <w:ind w:left="280"/>
              <w:spacing w:after="0" w:line="182" w:lineRule="exact"/>
              <w:rPr>
                <w:sz w:val="20"/>
                <w:szCs w:val="20"/>
                <w:color w:val="auto"/>
              </w:rPr>
            </w:pPr>
            <w:r>
              <w:rPr>
                <w:rFonts w:ascii="Arial" w:cs="Arial" w:eastAsia="Arial" w:hAnsi="Arial"/>
                <w:sz w:val="14"/>
                <w:szCs w:val="14"/>
                <w:color w:val="auto"/>
              </w:rPr>
              <w:t xml:space="preserve">Change in interest and other expense, net </w:t>
            </w:r>
            <w:r>
              <w:rPr>
                <w:rFonts w:ascii="Arial" w:cs="Arial" w:eastAsia="Arial" w:hAnsi="Arial"/>
                <w:sz w:val="18"/>
                <w:szCs w:val="18"/>
                <w:color w:val="auto"/>
                <w:vertAlign w:val="superscript"/>
              </w:rPr>
              <w:t>(6)</w:t>
            </w:r>
          </w:p>
        </w:tc>
        <w:tc>
          <w:tcPr>
            <w:tcW w:w="400" w:type="dxa"/>
            <w:vAlign w:val="bottom"/>
          </w:tcPr>
          <w:p>
            <w:pPr>
              <w:spacing w:after="0"/>
              <w:rPr>
                <w:sz w:val="15"/>
                <w:szCs w:val="15"/>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color w:val="auto"/>
              </w:rPr>
              <w:t>0.04</w:t>
            </w:r>
          </w:p>
        </w:tc>
        <w:tc>
          <w:tcPr>
            <w:tcW w:w="1200" w:type="dxa"/>
            <w:vAlign w:val="bottom"/>
          </w:tcPr>
          <w:p>
            <w:pPr>
              <w:spacing w:after="0"/>
              <w:rPr>
                <w:sz w:val="15"/>
                <w:szCs w:val="15"/>
                <w:color w:val="auto"/>
              </w:rPr>
            </w:pPr>
          </w:p>
        </w:tc>
      </w:tr>
      <w:tr>
        <w:trPr>
          <w:trHeight w:val="183"/>
        </w:trPr>
        <w:tc>
          <w:tcPr>
            <w:tcW w:w="8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 in dividend income from marketable securities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(0.01)</w:t>
            </w:r>
          </w:p>
        </w:tc>
        <w:tc>
          <w:tcPr>
            <w:tcW w:w="1200" w:type="dxa"/>
            <w:vAlign w:val="bottom"/>
            <w:shd w:val="clear" w:color="auto" w:fill="CCEEFF"/>
          </w:tcPr>
          <w:p>
            <w:pPr>
              <w:spacing w:after="0"/>
              <w:rPr>
                <w:sz w:val="15"/>
                <w:szCs w:val="15"/>
                <w:color w:val="auto"/>
              </w:rPr>
            </w:pPr>
          </w:p>
        </w:tc>
      </w:tr>
      <w:tr>
        <w:trPr>
          <w:trHeight w:val="183"/>
        </w:trPr>
        <w:tc>
          <w:tcPr>
            <w:tcW w:w="8980" w:type="dxa"/>
            <w:vAlign w:val="bottom"/>
            <w:gridSpan w:val="2"/>
          </w:tcPr>
          <w:p>
            <w:pPr>
              <w:ind w:left="280"/>
              <w:spacing w:after="0" w:line="182" w:lineRule="exact"/>
              <w:rPr>
                <w:sz w:val="20"/>
                <w:szCs w:val="20"/>
                <w:color w:val="auto"/>
              </w:rPr>
            </w:pPr>
            <w:r>
              <w:rPr>
                <w:rFonts w:ascii="Arial" w:cs="Arial" w:eastAsia="Arial" w:hAnsi="Arial"/>
                <w:sz w:val="14"/>
                <w:szCs w:val="14"/>
                <w:color w:val="auto"/>
              </w:rPr>
              <w:t xml:space="preserve">Change in income taxes </w:t>
            </w:r>
            <w:r>
              <w:rPr>
                <w:rFonts w:ascii="Arial" w:cs="Arial" w:eastAsia="Arial" w:hAnsi="Arial"/>
                <w:sz w:val="18"/>
                <w:szCs w:val="18"/>
                <w:color w:val="auto"/>
                <w:vertAlign w:val="superscript"/>
              </w:rPr>
              <w:t>(4)</w:t>
            </w:r>
          </w:p>
        </w:tc>
        <w:tc>
          <w:tcPr>
            <w:tcW w:w="400" w:type="dxa"/>
            <w:vAlign w:val="bottom"/>
          </w:tcPr>
          <w:p>
            <w:pPr>
              <w:spacing w:after="0"/>
              <w:rPr>
                <w:sz w:val="15"/>
                <w:szCs w:val="15"/>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color w:val="auto"/>
              </w:rPr>
              <w:t>0.05</w:t>
            </w:r>
          </w:p>
        </w:tc>
        <w:tc>
          <w:tcPr>
            <w:tcW w:w="1200" w:type="dxa"/>
            <w:vAlign w:val="bottom"/>
          </w:tcPr>
          <w:p>
            <w:pPr>
              <w:spacing w:after="0"/>
              <w:rPr>
                <w:sz w:val="15"/>
                <w:szCs w:val="15"/>
                <w:color w:val="auto"/>
              </w:rPr>
            </w:pPr>
          </w:p>
        </w:tc>
      </w:tr>
      <w:tr>
        <w:trPr>
          <w:trHeight w:val="183"/>
        </w:trPr>
        <w:tc>
          <w:tcPr>
            <w:tcW w:w="8980" w:type="dxa"/>
            <w:vAlign w:val="bottom"/>
            <w:gridSpan w:val="2"/>
            <w:shd w:val="clear" w:color="auto" w:fill="CCEEFF"/>
          </w:tcPr>
          <w:p>
            <w:pPr>
              <w:ind w:left="280"/>
              <w:spacing w:after="0" w:line="182" w:lineRule="exact"/>
              <w:rPr>
                <w:sz w:val="20"/>
                <w:szCs w:val="20"/>
                <w:color w:val="auto"/>
              </w:rPr>
            </w:pPr>
            <w:r>
              <w:rPr>
                <w:rFonts w:ascii="Arial" w:cs="Arial" w:eastAsia="Arial" w:hAnsi="Arial"/>
                <w:sz w:val="14"/>
                <w:szCs w:val="14"/>
                <w:color w:val="auto"/>
              </w:rPr>
              <w:t xml:space="preserve">Change in shares outstanding </w:t>
            </w:r>
            <w:r>
              <w:rPr>
                <w:rFonts w:ascii="Arial" w:cs="Arial" w:eastAsia="Arial" w:hAnsi="Arial"/>
                <w:sz w:val="18"/>
                <w:szCs w:val="18"/>
                <w:color w:val="auto"/>
                <w:vertAlign w:val="superscript"/>
              </w:rPr>
              <w:t>(7)</w:t>
            </w:r>
          </w:p>
        </w:tc>
        <w:tc>
          <w:tcPr>
            <w:tcW w:w="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rPr>
              <w:t>0.06</w:t>
            </w:r>
          </w:p>
        </w:tc>
        <w:tc>
          <w:tcPr>
            <w:tcW w:w="1200" w:type="dxa"/>
            <w:vAlign w:val="bottom"/>
            <w:shd w:val="clear" w:color="auto" w:fill="CCEEFF"/>
          </w:tcPr>
          <w:p>
            <w:pPr>
              <w:spacing w:after="0"/>
              <w:rPr>
                <w:sz w:val="15"/>
                <w:szCs w:val="15"/>
                <w:color w:val="auto"/>
              </w:rPr>
            </w:pPr>
          </w:p>
        </w:tc>
      </w:tr>
      <w:tr>
        <w:trPr>
          <w:trHeight w:val="173"/>
        </w:trPr>
        <w:tc>
          <w:tcPr>
            <w:tcW w:w="8980" w:type="dxa"/>
            <w:vAlign w:val="bottom"/>
            <w:gridSpan w:val="2"/>
          </w:tcPr>
          <w:p>
            <w:pPr>
              <w:ind w:left="20"/>
              <w:spacing w:after="0" w:line="173" w:lineRule="exact"/>
              <w:rPr>
                <w:sz w:val="20"/>
                <w:szCs w:val="20"/>
                <w:color w:val="auto"/>
              </w:rPr>
            </w:pPr>
            <w:r>
              <w:rPr>
                <w:rFonts w:ascii="Arial" w:cs="Arial" w:eastAsia="Arial" w:hAnsi="Arial"/>
                <w:sz w:val="14"/>
                <w:szCs w:val="14"/>
                <w:b w:val="1"/>
                <w:bCs w:val="1"/>
                <w:color w:val="auto"/>
              </w:rPr>
              <w:t xml:space="preserve">Total change in Adjusted EPS (constant currency) </w:t>
            </w:r>
            <w:r>
              <w:rPr>
                <w:rFonts w:ascii="Arial" w:cs="Arial" w:eastAsia="Arial" w:hAnsi="Arial"/>
                <w:sz w:val="18"/>
                <w:szCs w:val="18"/>
                <w:b w:val="1"/>
                <w:bCs w:val="1"/>
                <w:color w:val="auto"/>
                <w:vertAlign w:val="superscript"/>
              </w:rPr>
              <w:t>(1)</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0.40</w:t>
            </w:r>
          </w:p>
        </w:tc>
        <w:tc>
          <w:tcPr>
            <w:tcW w:w="1200" w:type="dxa"/>
            <w:vAlign w:val="bottom"/>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30" w:lineRule="exact"/>
        <w:rPr>
          <w:sz w:val="20"/>
          <w:szCs w:val="20"/>
          <w:color w:val="auto"/>
        </w:rPr>
      </w:pPr>
    </w:p>
    <w:p>
      <w:pPr>
        <w:ind w:left="260" w:hanging="254"/>
        <w:spacing w:after="0" w:line="274" w:lineRule="auto"/>
        <w:tabs>
          <w:tab w:leader="none" w:pos="249" w:val="left"/>
        </w:tabs>
        <w:numPr>
          <w:ilvl w:val="0"/>
          <w:numId w:val="19"/>
        </w:numPr>
        <w:rPr>
          <w:rFonts w:ascii="Arial" w:cs="Arial" w:eastAsia="Arial" w:hAnsi="Arial"/>
          <w:sz w:val="11"/>
          <w:szCs w:val="11"/>
          <w:color w:val="auto"/>
        </w:rPr>
      </w:pPr>
      <w:r>
        <w:rPr>
          <w:rFonts w:ascii="Arial" w:cs="Arial" w:eastAsia="Arial" w:hAnsi="Arial"/>
          <w:sz w:val="11"/>
          <w:szCs w:val="11"/>
          <w:color w:val="auto"/>
        </w:rPr>
        <w:t xml:space="preserve">Refer to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 appearing for additional information. The tax expense/(benefit) of each of the pre-tax items excluded from our GAAP results was computed based on the facts and tax assumptions associated with each item, and such impacts have also been excluded from Adjusted EPS.</w:t>
      </w:r>
    </w:p>
    <w:p>
      <w:pPr>
        <w:jc w:val="both"/>
        <w:ind w:left="400" w:hanging="136"/>
        <w:spacing w:after="0" w:line="258" w:lineRule="auto"/>
        <w:tabs>
          <w:tab w:leader="none" w:pos="397" w:val="left"/>
        </w:tabs>
        <w:numPr>
          <w:ilvl w:val="1"/>
          <w:numId w:val="19"/>
        </w:numPr>
        <w:rPr>
          <w:rFonts w:ascii="Arial" w:cs="Arial" w:eastAsia="Arial" w:hAnsi="Arial"/>
          <w:sz w:val="11"/>
          <w:szCs w:val="11"/>
          <w:color w:val="auto"/>
        </w:rPr>
      </w:pPr>
      <w:r>
        <w:rPr>
          <w:rFonts w:ascii="Arial" w:cs="Arial" w:eastAsia="Arial" w:hAnsi="Arial"/>
          <w:sz w:val="11"/>
          <w:szCs w:val="11"/>
          <w:color w:val="auto"/>
        </w:rPr>
        <w:t>2024 taxes for the: Simplify to Grow Program were $(36) million, intangible asset impairment charges were $(40) million, mark-to-market gains from derivatives were $107 million, acquisition integration costs and contingent consideration adjustments were $89 million, operating results from divestitures were zero, ERP Systems Implementation costs were $(19) million, remeasurement of net monetary position were zero, impact from pension participation changes were $(3) million, initial impacts from enacted tax law changes were $24 million and loss on equity method investment transactions were $4 million.</w:t>
      </w:r>
    </w:p>
    <w:p>
      <w:pPr>
        <w:jc w:val="both"/>
        <w:ind w:left="400" w:hanging="136"/>
        <w:spacing w:after="0" w:line="259" w:lineRule="auto"/>
        <w:tabs>
          <w:tab w:leader="none" w:pos="397" w:val="left"/>
        </w:tabs>
        <w:numPr>
          <w:ilvl w:val="1"/>
          <w:numId w:val="19"/>
        </w:numPr>
        <w:rPr>
          <w:rFonts w:ascii="Arial" w:cs="Arial" w:eastAsia="Arial" w:hAnsi="Arial"/>
          <w:sz w:val="11"/>
          <w:szCs w:val="11"/>
          <w:color w:val="auto"/>
        </w:rPr>
      </w:pPr>
      <w:r>
        <w:rPr>
          <w:rFonts w:ascii="Arial" w:cs="Arial" w:eastAsia="Arial" w:hAnsi="Arial"/>
          <w:sz w:val="11"/>
          <w:szCs w:val="11"/>
          <w:color w:val="auto"/>
        </w:rPr>
        <w:t>2023 taxes for the: Simplify to Grow Program were $(26) million, intangible asset impairment charges were $(6) million, mark-to-market gains from derivatives were $21 million, acquisition integration costs and contingent consideration adjustments were $(60) million, divestiture-related costs were $(25) million, operating results from divestitures were $46 million, gain on divestiture were $(8) million, European Commission legal matter were $(24) million, remeasurement of net monetary position were zero, impact from pension participation changes were $(3) million, initial impacts from enacted tax law changes were $83 million, gain on marketable securities were $133 million and gain on equity method investment transactions were $124 million.</w:t>
      </w:r>
    </w:p>
    <w:p>
      <w:pPr>
        <w:spacing w:after="0" w:line="1" w:lineRule="exact"/>
        <w:rPr>
          <w:rFonts w:ascii="Arial" w:cs="Arial" w:eastAsia="Arial" w:hAnsi="Arial"/>
          <w:sz w:val="11"/>
          <w:szCs w:val="11"/>
          <w:color w:val="auto"/>
        </w:rPr>
      </w:pPr>
    </w:p>
    <w:p>
      <w:pPr>
        <w:ind w:left="260" w:hanging="254"/>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 xml:space="preserve">See the </w:t>
      </w:r>
      <w:r>
        <w:rPr>
          <w:rFonts w:ascii="Arial" w:cs="Arial" w:eastAsia="Arial" w:hAnsi="Arial"/>
          <w:sz w:val="11"/>
          <w:szCs w:val="11"/>
          <w:i w:val="1"/>
          <w:iCs w:val="1"/>
          <w:color w:val="auto"/>
        </w:rPr>
        <w:t>Operating Income</w:t>
      </w:r>
      <w:r>
        <w:rPr>
          <w:rFonts w:ascii="Arial" w:cs="Arial" w:eastAsia="Arial" w:hAnsi="Arial"/>
          <w:sz w:val="11"/>
          <w:szCs w:val="11"/>
          <w:color w:val="auto"/>
        </w:rPr>
        <w:t xml:space="preserve"> table above and the related footnotes for more information.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ind w:left="260" w:hanging="254"/>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Divestitures include completed sales of businesses, partial or full sales of equity method investments and exits of major product lines upon completion of a sale or licensing agreement.</w:t>
      </w:r>
    </w:p>
    <w:p>
      <w:pPr>
        <w:spacing w:after="0" w:line="23" w:lineRule="exact"/>
        <w:rPr>
          <w:rFonts w:ascii="Arial" w:cs="Arial" w:eastAsia="Arial" w:hAnsi="Arial"/>
          <w:sz w:val="11"/>
          <w:szCs w:val="11"/>
          <w:color w:val="auto"/>
        </w:rPr>
      </w:pPr>
    </w:p>
    <w:p>
      <w:pPr>
        <w:ind w:left="260" w:hanging="254"/>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Refer to Note 16, </w:t>
      </w:r>
      <w:r>
        <w:rPr>
          <w:rFonts w:ascii="Arial" w:cs="Arial" w:eastAsia="Arial" w:hAnsi="Arial"/>
          <w:sz w:val="11"/>
          <w:szCs w:val="11"/>
          <w:i w:val="1"/>
          <w:iCs w:val="1"/>
          <w:color w:val="auto"/>
        </w:rPr>
        <w:t>Income Taxes</w:t>
      </w:r>
      <w:r>
        <w:rPr>
          <w:rFonts w:ascii="Arial" w:cs="Arial" w:eastAsia="Arial" w:hAnsi="Arial"/>
          <w:sz w:val="11"/>
          <w:szCs w:val="11"/>
          <w:color w:val="auto"/>
        </w:rPr>
        <w:t>, for information on income taxes.</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Refer to Note 7, </w:t>
      </w:r>
      <w:r>
        <w:rPr>
          <w:rFonts w:ascii="Arial" w:cs="Arial" w:eastAsia="Arial" w:hAnsi="Arial"/>
          <w:sz w:val="11"/>
          <w:szCs w:val="11"/>
          <w:i w:val="1"/>
          <w:iCs w:val="1"/>
          <w:color w:val="auto"/>
        </w:rPr>
        <w:t>Investments</w:t>
      </w:r>
      <w:r>
        <w:rPr>
          <w:rFonts w:ascii="Arial" w:cs="Arial" w:eastAsia="Arial" w:hAnsi="Arial"/>
          <w:sz w:val="11"/>
          <w:szCs w:val="11"/>
          <w:color w:val="auto"/>
        </w:rPr>
        <w:t>, for more information on gains on marketable securities and gains and losses on equity method investment transactions.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Excludes the currency impact on interest expense related to our non-U.S. dollar-denominated debt which is included in currency translation.</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Refer to Note 12, </w:t>
      </w:r>
      <w:r>
        <w:rPr>
          <w:rFonts w:ascii="Arial" w:cs="Arial" w:eastAsia="Arial" w:hAnsi="Arial"/>
          <w:sz w:val="11"/>
          <w:szCs w:val="11"/>
          <w:i w:val="1"/>
          <w:iCs w:val="1"/>
          <w:color w:val="auto"/>
        </w:rPr>
        <w:t>Stock Plans</w:t>
      </w:r>
      <w:r>
        <w:rPr>
          <w:rFonts w:ascii="Arial" w:cs="Arial" w:eastAsia="Arial" w:hAnsi="Arial"/>
          <w:sz w:val="11"/>
          <w:szCs w:val="11"/>
          <w:color w:val="auto"/>
        </w:rPr>
        <w:t xml:space="preserve">, for more information on our equity compensation programs and share repurchase program and Note 17, </w:t>
      </w:r>
      <w:r>
        <w:rPr>
          <w:rFonts w:ascii="Arial" w:cs="Arial" w:eastAsia="Arial" w:hAnsi="Arial"/>
          <w:sz w:val="11"/>
          <w:szCs w:val="11"/>
          <w:i w:val="1"/>
          <w:iCs w:val="1"/>
          <w:color w:val="auto"/>
        </w:rPr>
        <w:t>Earnings per Share</w:t>
      </w:r>
      <w:r>
        <w:rPr>
          <w:rFonts w:ascii="Arial" w:cs="Arial" w:eastAsia="Arial" w:hAnsi="Arial"/>
          <w:sz w:val="11"/>
          <w:szCs w:val="11"/>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180"/>
          </w:cols>
          <w:pgMar w:left="300" w:top="126" w:right="4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compared with 2022</w:t>
      </w:r>
    </w:p>
    <w:p>
      <w:pPr>
        <w:spacing w:after="0" w:line="48" w:lineRule="exact"/>
        <w:rPr>
          <w:sz w:val="20"/>
          <w:szCs w:val="20"/>
          <w:color w:val="auto"/>
        </w:rPr>
      </w:pPr>
    </w:p>
    <w:p>
      <w:pPr>
        <w:jc w:val="center"/>
        <w:ind w:left="1180"/>
        <w:spacing w:after="0"/>
        <w:rPr>
          <w:sz w:val="20"/>
          <w:szCs w:val="20"/>
          <w:color w:val="auto"/>
        </w:rPr>
      </w:pPr>
      <w:r>
        <w:rPr>
          <w:rFonts w:ascii="Arial" w:cs="Arial" w:eastAsia="Arial" w:hAnsi="Arial"/>
          <w:sz w:val="11"/>
          <w:szCs w:val="11"/>
          <w:b w:val="1"/>
          <w:bCs w:val="1"/>
          <w:color w:val="auto"/>
        </w:rPr>
        <w:t>For the Years Ended</w:t>
      </w:r>
    </w:p>
    <w:p>
      <w:pPr>
        <w:spacing w:after="0" w:line="4" w:lineRule="exact"/>
        <w:rPr>
          <w:sz w:val="20"/>
          <w:szCs w:val="20"/>
          <w:color w:val="auto"/>
        </w:rPr>
      </w:pPr>
    </w:p>
    <w:p>
      <w:pPr>
        <w:jc w:val="center"/>
        <w:ind w:left="11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5715</wp:posOffset>
            </wp:positionV>
            <wp:extent cx="20256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25650" cy="698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980" w:type="dxa"/>
            <w:vAlign w:val="bottom"/>
          </w:tcPr>
          <w:p>
            <w:pPr>
              <w:jc w:val="right"/>
              <w:ind w:right="16"/>
              <w:spacing w:after="0"/>
              <w:rPr>
                <w:sz w:val="20"/>
                <w:szCs w:val="20"/>
                <w:color w:val="auto"/>
              </w:rPr>
            </w:pPr>
            <w:r>
              <w:rPr>
                <w:rFonts w:ascii="Arial" w:cs="Arial" w:eastAsia="Arial" w:hAnsi="Arial"/>
                <w:sz w:val="11"/>
                <w:szCs w:val="11"/>
                <w:b w:val="1"/>
                <w:bCs w:val="1"/>
                <w:color w:val="auto"/>
              </w:rPr>
              <w:t>2023</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611"/>
              <w:spacing w:after="0"/>
              <w:rPr>
                <w:sz w:val="20"/>
                <w:szCs w:val="20"/>
                <w:color w:val="auto"/>
              </w:rPr>
            </w:pPr>
            <w:r>
              <w:rPr>
                <w:rFonts w:ascii="Arial" w:cs="Arial" w:eastAsia="Arial" w:hAnsi="Arial"/>
                <w:sz w:val="11"/>
                <w:szCs w:val="11"/>
                <w:b w:val="1"/>
                <w:bCs w:val="1"/>
                <w:color w:val="auto"/>
              </w:rPr>
              <w:t>2022</w:t>
            </w:r>
          </w:p>
        </w:tc>
        <w:tc>
          <w:tcPr>
            <w:tcW w:w="3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tcPr>
          <w:p>
            <w:pPr>
              <w:jc w:val="right"/>
              <w:ind w:right="168"/>
              <w:spacing w:after="0"/>
              <w:rPr>
                <w:sz w:val="20"/>
                <w:szCs w:val="20"/>
                <w:color w:val="auto"/>
              </w:rPr>
            </w:pPr>
            <w:r>
              <w:rPr>
                <w:rFonts w:ascii="Arial" w:cs="Arial" w:eastAsia="Arial" w:hAnsi="Arial"/>
                <w:sz w:val="11"/>
                <w:szCs w:val="11"/>
                <w:b w:val="1"/>
                <w:bCs w:val="1"/>
                <w:color w:val="auto"/>
              </w:rPr>
              <w:t>(in millions, except per share data)</w:t>
            </w: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36,016</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31,496</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8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5,502</w:t>
            </w:r>
          </w:p>
        </w:tc>
        <w:tc>
          <w:tcPr>
            <w:tcW w:w="44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3,534</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55.7 %</w:t>
            </w:r>
          </w:p>
        </w:tc>
        <w:tc>
          <w:tcPr>
            <w:tcW w:w="0" w:type="dxa"/>
            <w:vAlign w:val="bottom"/>
          </w:tcPr>
          <w:p>
            <w:pPr>
              <w:spacing w:after="0"/>
              <w:rPr>
                <w:sz w:val="1"/>
                <w:szCs w:val="1"/>
                <w:color w:val="auto"/>
              </w:rPr>
            </w:pPr>
          </w:p>
        </w:tc>
      </w:tr>
      <w:tr>
        <w:trPr>
          <w:trHeight w:val="140"/>
        </w:trPr>
        <w:tc>
          <w:tcPr>
            <w:tcW w:w="46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Net earnings attributable to</w:t>
            </w:r>
          </w:p>
        </w:tc>
        <w:tc>
          <w:tcPr>
            <w:tcW w:w="9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4,959</w:t>
            </w:r>
          </w:p>
        </w:tc>
        <w:tc>
          <w:tcPr>
            <w:tcW w:w="4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2,717</w:t>
            </w: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10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82.5 %</w:t>
            </w:r>
          </w:p>
        </w:tc>
        <w:tc>
          <w:tcPr>
            <w:tcW w:w="0" w:type="dxa"/>
            <w:vAlign w:val="bottom"/>
          </w:tcPr>
          <w:p>
            <w:pPr>
              <w:spacing w:after="0"/>
              <w:rPr>
                <w:sz w:val="1"/>
                <w:szCs w:val="1"/>
                <w:color w:val="auto"/>
              </w:rPr>
            </w:pPr>
          </w:p>
        </w:tc>
      </w:tr>
      <w:tr>
        <w:trPr>
          <w:trHeight w:val="193"/>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Mondelēz International</w:t>
            </w:r>
          </w:p>
        </w:tc>
        <w:tc>
          <w:tcPr>
            <w:tcW w:w="9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640" w:type="dxa"/>
            <w:vAlign w:val="bottom"/>
          </w:tcPr>
          <w:p>
            <w:pPr>
              <w:ind w:left="20"/>
              <w:spacing w:after="0" w:line="140" w:lineRule="exact"/>
              <w:rPr>
                <w:sz w:val="20"/>
                <w:szCs w:val="20"/>
                <w:color w:val="auto"/>
              </w:rPr>
            </w:pPr>
            <w:r>
              <w:rPr>
                <w:rFonts w:ascii="Arial" w:cs="Arial" w:eastAsia="Arial" w:hAnsi="Arial"/>
                <w:sz w:val="14"/>
                <w:szCs w:val="14"/>
                <w:color w:val="auto"/>
              </w:rPr>
              <w:t>Diluted earnings per share attributable to</w:t>
            </w:r>
          </w:p>
        </w:tc>
        <w:tc>
          <w:tcPr>
            <w:tcW w:w="980" w:type="dxa"/>
            <w:vAlign w:val="bottom"/>
          </w:tcPr>
          <w:p>
            <w:pPr>
              <w:spacing w:after="0"/>
              <w:rPr>
                <w:sz w:val="12"/>
                <w:szCs w:val="12"/>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rPr>
              <w:t>3.62</w:t>
            </w:r>
          </w:p>
        </w:tc>
        <w:tc>
          <w:tcPr>
            <w:tcW w:w="440" w:type="dxa"/>
            <w:vAlign w:val="bottom"/>
          </w:tcPr>
          <w:p>
            <w:pPr>
              <w:spacing w:after="0"/>
              <w:rPr>
                <w:sz w:val="12"/>
                <w:szCs w:val="12"/>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1.96</w:t>
            </w:r>
          </w:p>
        </w:tc>
        <w:tc>
          <w:tcPr>
            <w:tcW w:w="3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84.7 %</w:t>
            </w:r>
          </w:p>
        </w:tc>
        <w:tc>
          <w:tcPr>
            <w:tcW w:w="0" w:type="dxa"/>
            <w:vAlign w:val="bottom"/>
          </w:tcPr>
          <w:p>
            <w:pPr>
              <w:spacing w:after="0"/>
              <w:rPr>
                <w:sz w:val="1"/>
                <w:szCs w:val="1"/>
                <w:color w:val="auto"/>
              </w:rPr>
            </w:pPr>
          </w:p>
        </w:tc>
      </w:tr>
      <w:tr>
        <w:trPr>
          <w:trHeight w:val="196"/>
        </w:trPr>
        <w:tc>
          <w:tcPr>
            <w:tcW w:w="4640" w:type="dxa"/>
            <w:vAlign w:val="bottom"/>
          </w:tcPr>
          <w:p>
            <w:pPr>
              <w:ind w:left="140"/>
              <w:spacing w:after="0"/>
              <w:rPr>
                <w:sz w:val="20"/>
                <w:szCs w:val="20"/>
                <w:color w:val="auto"/>
              </w:rPr>
            </w:pPr>
            <w:r>
              <w:rPr>
                <w:rFonts w:ascii="Arial" w:cs="Arial" w:eastAsia="Arial" w:hAnsi="Arial"/>
                <w:sz w:val="14"/>
                <w:szCs w:val="14"/>
                <w:color w:val="auto"/>
              </w:rPr>
              <w:t>Mondelēz International</w:t>
            </w:r>
          </w:p>
        </w:tc>
        <w:tc>
          <w:tcPr>
            <w:tcW w:w="9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Revenues</w:t>
      </w:r>
    </w:p>
    <w:p>
      <w:pPr>
        <w:spacing w:after="0" w:line="15"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 xml:space="preserve">Net revenues increased $4,520 million (14.4%) to $36,016 million in 2023, and Organic Net Revenue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increased $4,572 million (14.7%) to $35,570 million. Emerging markets net revenues increased 15.0% and emerging markets Organic Net Revenue increased 20.4% </w:t>
      </w:r>
      <w:r>
        <w:rPr>
          <w:rFonts w:ascii="Arial" w:cs="Arial" w:eastAsia="Arial" w:hAnsi="Arial"/>
          <w:sz w:val="18"/>
          <w:szCs w:val="18"/>
          <w:color w:val="auto"/>
          <w:vertAlign w:val="superscript"/>
        </w:rPr>
        <w:t>(1)</w:t>
      </w:r>
      <w:r>
        <w:rPr>
          <w:rFonts w:ascii="Arial" w:cs="Arial" w:eastAsia="Arial" w:hAnsi="Arial"/>
          <w:sz w:val="14"/>
          <w:szCs w:val="14"/>
          <w:color w:val="auto"/>
        </w:rPr>
        <w:t>. Developed markets net revenues increased 13.9% and developed markets Organic Net Revenue increased 11.1%</w:t>
      </w:r>
      <w:r>
        <w:rPr>
          <w:rFonts w:ascii="Arial" w:cs="Arial" w:eastAsia="Arial" w:hAnsi="Arial"/>
          <w:sz w:val="18"/>
          <w:szCs w:val="18"/>
          <w:color w:val="auto"/>
          <w:vertAlign w:val="superscript"/>
        </w:rPr>
        <w:t>(1)</w:t>
      </w:r>
      <w:r>
        <w:rPr>
          <w:rFonts w:ascii="Arial" w:cs="Arial" w:eastAsia="Arial" w:hAnsi="Arial"/>
          <w:sz w:val="14"/>
          <w:szCs w:val="14"/>
          <w:color w:val="auto"/>
        </w:rPr>
        <w:t>. The underlying changes in net revenues and Organic Net Revenue are detailed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Emerging Markets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vMerge w:val="restart"/>
          </w:tcPr>
          <w:p>
            <w:pPr>
              <w:jc w:val="right"/>
              <w:ind w:right="500"/>
              <w:spacing w:after="0"/>
              <w:rPr>
                <w:sz w:val="20"/>
                <w:szCs w:val="20"/>
                <w:color w:val="auto"/>
              </w:rPr>
            </w:pPr>
            <w:r>
              <w:rPr>
                <w:rFonts w:ascii="Arial" w:cs="Arial" w:eastAsia="Arial" w:hAnsi="Arial"/>
                <w:sz w:val="13"/>
                <w:szCs w:val="13"/>
                <w:b w:val="1"/>
                <w:bCs w:val="1"/>
                <w:color w:val="auto"/>
              </w:rPr>
              <w:t>Developed Markets</w:t>
            </w:r>
          </w:p>
        </w:tc>
        <w:tc>
          <w:tcPr>
            <w:tcW w:w="1180" w:type="dxa"/>
            <w:vAlign w:val="bottom"/>
          </w:tcPr>
          <w:p>
            <w:pPr>
              <w:jc w:val="right"/>
              <w:ind w:right="276"/>
              <w:spacing w:after="0"/>
              <w:rPr>
                <w:sz w:val="20"/>
                <w:szCs w:val="20"/>
                <w:color w:val="auto"/>
              </w:rPr>
            </w:pPr>
            <w:r>
              <w:rPr>
                <w:rFonts w:ascii="Arial" w:cs="Arial" w:eastAsia="Arial" w:hAnsi="Arial"/>
                <w:sz w:val="13"/>
                <w:szCs w:val="13"/>
                <w:b w:val="1"/>
                <w:bCs w:val="1"/>
                <w:color w:val="auto"/>
              </w:rPr>
              <w:t>Mondelēz</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3"/>
                <w:szCs w:val="13"/>
                <w:b w:val="1"/>
                <w:bCs w:val="1"/>
                <w:color w:val="auto"/>
              </w:rPr>
              <w:t>International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Borders>
              <w:top w:val="single" w:sz="8" w:color="CCEEFF"/>
            </w:tcBorders>
            <w:shd w:val="clear" w:color="auto" w:fill="CCEEFF"/>
          </w:tcPr>
          <w:p>
            <w:pPr>
              <w:spacing w:after="0"/>
              <w:rPr>
                <w:sz w:val="11"/>
                <w:szCs w:val="11"/>
                <w:color w:val="auto"/>
              </w:rPr>
            </w:pPr>
          </w:p>
        </w:tc>
        <w:tc>
          <w:tcPr>
            <w:tcW w:w="6500" w:type="dxa"/>
            <w:vAlign w:val="bottom"/>
            <w:tcBorders>
              <w:top w:val="single" w:sz="8" w:color="CCEEFF"/>
            </w:tcBorders>
            <w:gridSpan w:val="3"/>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For The Year Ended December 31, 2023</w:t>
            </w: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Reported (GAAP)</w:t>
            </w:r>
          </w:p>
        </w:tc>
        <w:tc>
          <w:tcPr>
            <w:tcW w:w="4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14,011</w:t>
            </w:r>
          </w:p>
        </w:tc>
        <w:tc>
          <w:tcPr>
            <w:tcW w:w="36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3"/>
                <w:szCs w:val="13"/>
                <w:b w:val="1"/>
                <w:bCs w:val="1"/>
                <w:color w:val="auto"/>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22,005</w:t>
            </w:r>
          </w:p>
        </w:tc>
        <w:tc>
          <w:tcPr>
            <w:tcW w:w="50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36,016</w:t>
            </w: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Divestitures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Short-term distributor agreements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96"/>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Currency</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Organic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14,635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20,935</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35,570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3"/>
            <w:vMerge w:val="restart"/>
          </w:tcPr>
          <w:p>
            <w:pPr>
              <w:spacing w:after="0" w:line="121" w:lineRule="exact"/>
              <w:rPr>
                <w:sz w:val="20"/>
                <w:szCs w:val="20"/>
                <w:color w:val="auto"/>
              </w:rPr>
            </w:pPr>
            <w:r>
              <w:rPr>
                <w:rFonts w:ascii="Arial" w:cs="Arial" w:eastAsia="Arial" w:hAnsi="Arial"/>
                <w:sz w:val="13"/>
                <w:szCs w:val="13"/>
                <w:b w:val="1"/>
                <w:bCs w:val="1"/>
                <w:color w:val="auto"/>
              </w:rPr>
              <w:t>For The Year Ended December 31, 2022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vMerge w:val="continue"/>
          </w:tcPr>
          <w:p>
            <w:pPr>
              <w:spacing w:after="0"/>
              <w:rPr>
                <w:sz w:val="7"/>
                <w:szCs w:val="7"/>
                <w:color w:val="auto"/>
              </w:rPr>
            </w:pPr>
          </w:p>
        </w:tc>
        <w:tc>
          <w:tcPr>
            <w:tcW w:w="65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4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12,184</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19,312</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31,496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Divestitures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color w:val="auto"/>
              </w:rPr>
              <w:t>(471)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Organic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12,157</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18,841</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30,998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3"/>
            <w:vMerge w:val="restart"/>
          </w:tcPr>
          <w:p>
            <w:pPr>
              <w:spacing w:after="0" w:line="121" w:lineRule="exact"/>
              <w:rPr>
                <w:sz w:val="20"/>
                <w:szCs w:val="20"/>
                <w:color w:val="auto"/>
              </w:rPr>
            </w:pPr>
            <w:r>
              <w:rPr>
                <w:rFonts w:ascii="Arial" w:cs="Arial" w:eastAsia="Arial" w:hAnsi="Arial"/>
                <w:sz w:val="13"/>
                <w:szCs w:val="13"/>
                <w:b w:val="1"/>
                <w:bCs w:val="1"/>
                <w:color w:val="auto"/>
              </w:rPr>
              <w:t>% Change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65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Divestitures</w:t>
            </w:r>
          </w:p>
        </w:tc>
        <w:tc>
          <w:tcPr>
            <w:tcW w:w="14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3"/>
                <w:szCs w:val="13"/>
                <w:color w:val="auto"/>
              </w:rPr>
              <w:t>0.2 pp</w:t>
            </w:r>
          </w:p>
        </w:tc>
        <w:tc>
          <w:tcPr>
            <w:tcW w:w="1720" w:type="dxa"/>
            <w:vAlign w:val="bottom"/>
            <w:gridSpan w:val="4"/>
          </w:tcPr>
          <w:p>
            <w:pPr>
              <w:jc w:val="right"/>
              <w:ind w:right="340"/>
              <w:spacing w:after="0"/>
              <w:rPr>
                <w:sz w:val="20"/>
                <w:szCs w:val="20"/>
                <w:color w:val="auto"/>
              </w:rPr>
            </w:pPr>
            <w:r>
              <w:rPr>
                <w:rFonts w:ascii="Arial" w:cs="Arial" w:eastAsia="Arial" w:hAnsi="Arial"/>
                <w:sz w:val="13"/>
                <w:szCs w:val="13"/>
                <w:color w:val="auto"/>
              </w:rPr>
              <w:t>0.4 pp</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0.2 pp</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Short-term distributor agreements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Acquisitions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9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Currency</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00" w:type="dxa"/>
            <w:vAlign w:val="bottom"/>
            <w:gridSpan w:val="3"/>
          </w:tcPr>
          <w:p>
            <w:pPr>
              <w:ind w:left="40"/>
              <w:spacing w:after="0"/>
              <w:rPr>
                <w:sz w:val="20"/>
                <w:szCs w:val="20"/>
                <w:color w:val="auto"/>
              </w:rPr>
            </w:pPr>
            <w:r>
              <w:rPr>
                <w:rFonts w:ascii="Arial" w:cs="Arial" w:eastAsia="Arial" w:hAnsi="Arial"/>
                <w:sz w:val="13"/>
                <w:szCs w:val="13"/>
                <w:b w:val="1"/>
                <w:bCs w:val="1"/>
                <w:color w:val="auto"/>
              </w:rPr>
              <w:t>Organic (Non-GAAP)</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Vol/Mix</w:t>
            </w:r>
          </w:p>
        </w:tc>
        <w:tc>
          <w:tcPr>
            <w:tcW w:w="140" w:type="dxa"/>
            <w:vAlign w:val="bottom"/>
            <w:shd w:val="clear" w:color="auto" w:fill="CCEEFF"/>
          </w:tcPr>
          <w:p>
            <w:pPr>
              <w:spacing w:after="0"/>
              <w:rPr>
                <w:sz w:val="13"/>
                <w:szCs w:val="13"/>
                <w:color w:val="auto"/>
              </w:rPr>
            </w:pPr>
          </w:p>
        </w:tc>
        <w:tc>
          <w:tcPr>
            <w:tcW w:w="15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2.8 pp</w:t>
            </w:r>
          </w:p>
        </w:tc>
        <w:tc>
          <w:tcPr>
            <w:tcW w:w="172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0.4 pp</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 pp</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gridSpan w:val="3"/>
          </w:tcPr>
          <w:p>
            <w:pPr>
              <w:spacing w:after="0"/>
              <w:rPr>
                <w:sz w:val="20"/>
                <w:szCs w:val="20"/>
                <w:color w:val="auto"/>
              </w:rPr>
            </w:pPr>
            <w:r>
              <w:rPr>
                <w:rFonts w:ascii="Arial" w:cs="Arial" w:eastAsia="Arial" w:hAnsi="Arial"/>
                <w:sz w:val="13"/>
                <w:szCs w:val="13"/>
                <w:color w:val="auto"/>
              </w:rPr>
              <w:t>Pricing</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Please see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 for additional information.</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Net revenue increase of 14.4% was driven by our underlying Organic Net Revenue growth of 14.7%, the impact of acquisitions and the impact of a short-term distributor agreement, partially offset by unfavorable currency translation and the impact of divestitures. Overall, we continued to see strong demand for our snack category products across most regions. Organic Net Revenue growth was driven by higher net pricing and favorable volume/mix. Higher net pricing in all regions was due to the benefit of carryover pricing from 2022 as well as the effects of input cost-driven pricing actions taken during 2023. Favorable volume/mix was driven by AMEA, Latin America and Europe reflecting both improved product mix and volume gains, while volume/mix was essentially flat in North America. The November 1, 2022 acquisition of Ricolino added incremental net revenues of $507 million (constant currency basis) through the one-year anniversary of the acquisition. The August 1, 2022 acquisition of Clif Bar added incremental net revenues of $529 million through the one-year anniversary of the acquisition. The short-term distributor agreement related to the October 1, 2023 sale of our developed market gum business added incremental net revenues of $22 million. Unfavorable currency impacts decreased net revenues by $1,096 million, due primarily to the strength of the U.S. dollar relative to several currencies, primarily due to the Argentinean peso and Russian ruble as well as the Turkish lira, Egyptian pound, Indian rupee, Chinese yuan, Nigerian naira, Australian dollar,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South African rand, Pakistan rupee and Canadian dollar, partially offset by the strength of several currencies relative to the U.S. dollar, including the Mexican peso, euro, Brazilian real, Polish zloty and British pound sterling. The impact of 2023 and 2022 divestitures resulted in a year-over-year reduction in net revenues of $14 million. Refer to Note 2, </w:t>
      </w:r>
      <w:r>
        <w:rPr>
          <w:rFonts w:ascii="Arial" w:cs="Arial" w:eastAsia="Arial" w:hAnsi="Arial"/>
          <w:sz w:val="14"/>
          <w:szCs w:val="14"/>
          <w:i w:val="1"/>
          <w:iCs w:val="1"/>
          <w:color w:val="auto"/>
        </w:rPr>
        <w:t xml:space="preserve">Acquisitions and Divestitures, </w:t>
      </w:r>
      <w:r>
        <w:rPr>
          <w:rFonts w:ascii="Arial" w:cs="Arial" w:eastAsia="Arial" w:hAnsi="Arial"/>
          <w:sz w:val="14"/>
          <w:szCs w:val="14"/>
          <w:color w:val="auto"/>
        </w:rPr>
        <w:t>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Income</w:t>
      </w:r>
    </w:p>
    <w:p>
      <w:pPr>
        <w:spacing w:after="0" w:line="1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 xml:space="preserve">Operating income increased $1,968 million (55.7%) to $ 5,502 million in 2023, Adjusted Operating Income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increased $749 million (15.3%) to $5,634 million and Adjusted Operating Income on a constant currency basis increased $939 million (19.2%) to $5,824 million due to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0" w:type="dxa"/>
            <w:vAlign w:val="bottom"/>
            <w:gridSpan w:val="6"/>
          </w:tcPr>
          <w:p>
            <w:pPr>
              <w:ind w:left="20"/>
              <w:spacing w:after="0"/>
              <w:rPr>
                <w:sz w:val="20"/>
                <w:szCs w:val="20"/>
                <w:color w:val="auto"/>
              </w:rPr>
            </w:pPr>
            <w:r>
              <w:rPr>
                <w:rFonts w:ascii="Arial" w:cs="Arial" w:eastAsia="Arial" w:hAnsi="Arial"/>
                <w:sz w:val="11"/>
                <w:szCs w:val="11"/>
                <w:b w:val="1"/>
                <w:bCs w:val="1"/>
                <w:color w:val="auto"/>
              </w:rPr>
              <w:t>For the Years 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48"/>
        </w:trPr>
        <w:tc>
          <w:tcPr>
            <w:tcW w:w="56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 Change</w:t>
            </w:r>
          </w:p>
        </w:tc>
      </w:tr>
      <w:tr>
        <w:trPr>
          <w:trHeight w:val="163"/>
        </w:trPr>
        <w:tc>
          <w:tcPr>
            <w:tcW w:w="5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3"/>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1,968</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55.7 %</w:t>
            </w: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Simplify to Grow Program </w:t>
            </w:r>
            <w:r>
              <w:rPr>
                <w:rFonts w:ascii="Arial" w:cs="Arial" w:eastAsia="Arial" w:hAnsi="Arial"/>
                <w:sz w:val="18"/>
                <w:szCs w:val="18"/>
                <w:color w:val="auto"/>
                <w:vertAlign w:val="superscript"/>
              </w:rPr>
              <w:t>(2)</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Intangible asset impairment charges </w:t>
            </w:r>
            <w:r>
              <w:rPr>
                <w:rFonts w:ascii="Arial" w:cs="Arial" w:eastAsia="Arial" w:hAnsi="Arial"/>
                <w:sz w:val="18"/>
                <w:szCs w:val="18"/>
                <w:color w:val="auto"/>
                <w:vertAlign w:val="superscript"/>
              </w:rPr>
              <w:t>(3)</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Mark-to-market (gains)/losses from derivatives </w:t>
            </w:r>
            <w:r>
              <w:rPr>
                <w:rFonts w:ascii="Arial" w:cs="Arial" w:eastAsia="Arial" w:hAnsi="Arial"/>
                <w:sz w:val="18"/>
                <w:szCs w:val="18"/>
                <w:color w:val="auto"/>
                <w:vertAlign w:val="superscript"/>
              </w:rPr>
              <w:t>(4)</w:t>
            </w:r>
          </w:p>
        </w:tc>
        <w:tc>
          <w:tcPr>
            <w:tcW w:w="7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Acquisition integration costs </w:t>
            </w:r>
            <w:r>
              <w:rPr>
                <w:rFonts w:ascii="Arial" w:cs="Arial" w:eastAsia="Arial" w:hAnsi="Arial"/>
                <w:sz w:val="18"/>
                <w:szCs w:val="18"/>
                <w:color w:val="auto"/>
                <w:vertAlign w:val="superscript"/>
              </w:rPr>
              <w:t>(5)</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Inventory step-up </w:t>
            </w:r>
            <w:r>
              <w:rPr>
                <w:rFonts w:ascii="Arial" w:cs="Arial" w:eastAsia="Arial" w:hAnsi="Arial"/>
                <w:sz w:val="18"/>
                <w:szCs w:val="18"/>
                <w:color w:val="auto"/>
                <w:vertAlign w:val="superscript"/>
              </w:rPr>
              <w:t>(5)</w:t>
            </w:r>
          </w:p>
        </w:tc>
        <w:tc>
          <w:tcPr>
            <w:tcW w:w="78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(5)</w:t>
            </w:r>
          </w:p>
        </w:tc>
        <w:tc>
          <w:tcPr>
            <w:tcW w:w="7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divestitures </w:t>
            </w:r>
            <w:r>
              <w:rPr>
                <w:rFonts w:ascii="Arial" w:cs="Arial" w:eastAsia="Arial" w:hAnsi="Arial"/>
                <w:sz w:val="18"/>
                <w:szCs w:val="18"/>
                <w:color w:val="auto"/>
                <w:vertAlign w:val="superscript"/>
              </w:rPr>
              <w:t>(5)</w:t>
            </w:r>
          </w:p>
        </w:tc>
        <w:tc>
          <w:tcPr>
            <w:tcW w:w="7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Divestiture-related costs </w:t>
            </w:r>
            <w:r>
              <w:rPr>
                <w:rFonts w:ascii="Arial" w:cs="Arial" w:eastAsia="Arial" w:hAnsi="Arial"/>
                <w:sz w:val="18"/>
                <w:szCs w:val="18"/>
                <w:color w:val="auto"/>
                <w:vertAlign w:val="superscript"/>
              </w:rPr>
              <w:t>(5)</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Operating results from divestitures </w:t>
            </w:r>
            <w:r>
              <w:rPr>
                <w:rFonts w:ascii="Arial" w:cs="Arial" w:eastAsia="Arial" w:hAnsi="Arial"/>
                <w:sz w:val="18"/>
                <w:szCs w:val="18"/>
                <w:color w:val="auto"/>
                <w:vertAlign w:val="superscript"/>
              </w:rPr>
              <w:t>(5)</w:t>
            </w:r>
          </w:p>
        </w:tc>
        <w:tc>
          <w:tcPr>
            <w:tcW w:w="7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results from short-term distributor agreements</w:t>
            </w:r>
          </w:p>
        </w:tc>
        <w:tc>
          <w:tcPr>
            <w:tcW w:w="7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2017 Malware incident recoveries, net</w:t>
            </w:r>
          </w:p>
        </w:tc>
        <w:tc>
          <w:tcPr>
            <w:tcW w:w="78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European Commission legal matter </w:t>
            </w:r>
            <w:r>
              <w:rPr>
                <w:rFonts w:ascii="Arial" w:cs="Arial" w:eastAsia="Arial" w:hAnsi="Arial"/>
                <w:sz w:val="18"/>
                <w:szCs w:val="18"/>
                <w:color w:val="auto"/>
                <w:vertAlign w:val="superscript"/>
              </w:rPr>
              <w:t>(6)</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Incremental costs due to war in Ukraine </w:t>
            </w:r>
            <w:r>
              <w:rPr>
                <w:rFonts w:ascii="Arial" w:cs="Arial" w:eastAsia="Arial" w:hAnsi="Arial"/>
                <w:sz w:val="18"/>
                <w:szCs w:val="18"/>
                <w:color w:val="auto"/>
                <w:vertAlign w:val="superscript"/>
              </w:rPr>
              <w:t>(7)</w:t>
            </w:r>
          </w:p>
        </w:tc>
        <w:tc>
          <w:tcPr>
            <w:tcW w:w="7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Remeasurement of net monetary position </w:t>
            </w:r>
            <w:r>
              <w:rPr>
                <w:rFonts w:ascii="Arial" w:cs="Arial" w:eastAsia="Arial" w:hAnsi="Arial"/>
                <w:sz w:val="18"/>
                <w:szCs w:val="18"/>
                <w:color w:val="auto"/>
                <w:vertAlign w:val="superscript"/>
              </w:rPr>
              <w:t>(8)</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Impact from pension participation changes </w:t>
            </w:r>
            <w:r>
              <w:rPr>
                <w:rFonts w:ascii="Arial" w:cs="Arial" w:eastAsia="Arial" w:hAnsi="Arial"/>
                <w:sz w:val="18"/>
                <w:szCs w:val="18"/>
                <w:color w:val="auto"/>
                <w:vertAlign w:val="superscript"/>
              </w:rPr>
              <w:t>(9)</w:t>
            </w:r>
          </w:p>
        </w:tc>
        <w:tc>
          <w:tcPr>
            <w:tcW w:w="78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3"/>
        </w:trPr>
        <w:tc>
          <w:tcPr>
            <w:tcW w:w="568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p>
        </w:tc>
        <w:tc>
          <w:tcPr>
            <w:tcW w:w="78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5,634</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w:t>
            </w:r>
          </w:p>
        </w:tc>
        <w:tc>
          <w:tcPr>
            <w:tcW w:w="154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15.3 %</w:t>
            </w: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Currency-related items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8"/>
        </w:trPr>
        <w:tc>
          <w:tcPr>
            <w:tcW w:w="5680" w:type="dxa"/>
            <w:vAlign w:val="bottom"/>
            <w:tcBorders>
              <w:top w:val="single" w:sz="8" w:color="CCEEFF"/>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Operating Income (constant currency) </w:t>
            </w:r>
            <w:r>
              <w:rPr>
                <w:rFonts w:ascii="Arial" w:cs="Arial" w:eastAsia="Arial" w:hAnsi="Arial"/>
                <w:sz w:val="18"/>
                <w:szCs w:val="18"/>
                <w:b w:val="1"/>
                <w:bCs w:val="1"/>
                <w:color w:val="auto"/>
                <w:vertAlign w:val="superscript"/>
              </w:rPr>
              <w:t>(1)</w:t>
            </w:r>
          </w:p>
        </w:tc>
        <w:tc>
          <w:tcPr>
            <w:tcW w:w="78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5,824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939</w:t>
            </w:r>
          </w:p>
        </w:tc>
        <w:tc>
          <w:tcPr>
            <w:tcW w:w="154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19.2 %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414"/>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Key Drivers of Adjusted Operating Income (constant currency)</w:t>
            </w: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74"/>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Higher net pricing</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Higher input costs</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Favorable volume/mix</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Higher selling, general and administrative expenses</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Impact from acquisitions </w:t>
            </w:r>
            <w:r>
              <w:rPr>
                <w:rFonts w:ascii="Arial" w:cs="Arial" w:eastAsia="Arial" w:hAnsi="Arial"/>
                <w:sz w:val="18"/>
                <w:szCs w:val="18"/>
                <w:color w:val="auto"/>
                <w:vertAlign w:val="superscript"/>
              </w:rPr>
              <w:t>(5)</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5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Higher asset impairment charges</w:t>
            </w:r>
          </w:p>
        </w:tc>
        <w:tc>
          <w:tcPr>
            <w:tcW w:w="7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260" w:type="dxa"/>
            <w:vAlign w:val="bottom"/>
          </w:tcPr>
          <w:p>
            <w:pPr>
              <w:spacing w:after="0"/>
              <w:rPr>
                <w:sz w:val="15"/>
                <w:szCs w:val="15"/>
                <w:color w:val="auto"/>
              </w:rPr>
            </w:pPr>
          </w:p>
        </w:tc>
      </w:tr>
      <w:tr>
        <w:trPr>
          <w:trHeight w:val="198"/>
        </w:trPr>
        <w:tc>
          <w:tcPr>
            <w:tcW w:w="5680" w:type="dxa"/>
            <w:vAlign w:val="bottom"/>
            <w:tcBorders>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4"/>
                <w:szCs w:val="14"/>
                <w:b w:val="1"/>
                <w:bCs w:val="1"/>
                <w:color w:val="auto"/>
              </w:rPr>
              <w:t xml:space="preserve">Total change in Adjusted Operating Income (constant currency) </w:t>
            </w:r>
            <w:r>
              <w:rPr>
                <w:rFonts w:ascii="Arial" w:cs="Arial" w:eastAsia="Arial" w:hAnsi="Arial"/>
                <w:sz w:val="18"/>
                <w:szCs w:val="18"/>
                <w:b w:val="1"/>
                <w:bCs w:val="1"/>
                <w:color w:val="auto"/>
                <w:vertAlign w:val="superscript"/>
              </w:rPr>
              <w:t>(1)</w:t>
            </w: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939</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58" w:lineRule="exact"/>
        <w:rPr>
          <w:sz w:val="20"/>
          <w:szCs w:val="20"/>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the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section.</w:t>
      </w:r>
    </w:p>
    <w:p>
      <w:pPr>
        <w:spacing w:after="0" w:line="23" w:lineRule="exact"/>
        <w:rPr>
          <w:rFonts w:ascii="Arial" w:cs="Arial" w:eastAsia="Arial" w:hAnsi="Arial"/>
          <w:sz w:val="11"/>
          <w:szCs w:val="11"/>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8, </w:t>
      </w:r>
      <w:r>
        <w:rPr>
          <w:rFonts w:ascii="Arial" w:cs="Arial" w:eastAsia="Arial" w:hAnsi="Arial"/>
          <w:sz w:val="11"/>
          <w:szCs w:val="11"/>
          <w:i w:val="1"/>
          <w:iCs w:val="1"/>
          <w:color w:val="auto"/>
        </w:rPr>
        <w:t>Restructuring Program</w:t>
      </w:r>
      <w:r>
        <w:rPr>
          <w:rFonts w:ascii="Arial" w:cs="Arial" w:eastAsia="Arial" w:hAnsi="Arial"/>
          <w:sz w:val="11"/>
          <w:szCs w:val="11"/>
          <w:color w:val="auto"/>
        </w:rPr>
        <w:t>, for more information.</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6, </w:t>
      </w:r>
      <w:r>
        <w:rPr>
          <w:rFonts w:ascii="Arial" w:cs="Arial" w:eastAsia="Arial" w:hAnsi="Arial"/>
          <w:sz w:val="11"/>
          <w:szCs w:val="11"/>
          <w:i w:val="1"/>
          <w:iCs w:val="1"/>
          <w:color w:val="auto"/>
        </w:rPr>
        <w:t>Goodwill and Intangible Assets</w:t>
      </w:r>
      <w:r>
        <w:rPr>
          <w:rFonts w:ascii="Arial" w:cs="Arial" w:eastAsia="Arial" w:hAnsi="Arial"/>
          <w:sz w:val="11"/>
          <w:szCs w:val="11"/>
          <w:color w:val="auto"/>
        </w:rPr>
        <w:t>, for more information.</w:t>
      </w:r>
    </w:p>
    <w:p>
      <w:pPr>
        <w:spacing w:after="0" w:line="13" w:lineRule="exact"/>
        <w:rPr>
          <w:rFonts w:ascii="Arial" w:cs="Arial" w:eastAsia="Arial" w:hAnsi="Arial"/>
          <w:sz w:val="11"/>
          <w:szCs w:val="11"/>
          <w:color w:val="auto"/>
        </w:rPr>
      </w:pPr>
    </w:p>
    <w:p>
      <w:pPr>
        <w:ind w:left="260" w:hanging="254"/>
        <w:spacing w:after="0" w:line="254" w:lineRule="auto"/>
        <w:tabs>
          <w:tab w:leader="none" w:pos="249"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10, </w:t>
      </w:r>
      <w:r>
        <w:rPr>
          <w:rFonts w:ascii="Arial" w:cs="Arial" w:eastAsia="Arial" w:hAnsi="Arial"/>
          <w:sz w:val="11"/>
          <w:szCs w:val="11"/>
          <w:i w:val="1"/>
          <w:iCs w:val="1"/>
          <w:color w:val="auto"/>
        </w:rPr>
        <w:t>Financial Instruments</w:t>
      </w:r>
      <w:r>
        <w:rPr>
          <w:rFonts w:ascii="Arial" w:cs="Arial" w:eastAsia="Arial" w:hAnsi="Arial"/>
          <w:sz w:val="11"/>
          <w:szCs w:val="11"/>
          <w:color w:val="auto"/>
        </w:rPr>
        <w:t xml:space="preserve">, Note 18, </w:t>
      </w:r>
      <w:r>
        <w:rPr>
          <w:rFonts w:ascii="Arial" w:cs="Arial" w:eastAsia="Arial" w:hAnsi="Arial"/>
          <w:sz w:val="11"/>
          <w:szCs w:val="11"/>
          <w:i w:val="1"/>
          <w:iCs w:val="1"/>
          <w:color w:val="auto"/>
        </w:rPr>
        <w:t>Segment Reporting</w:t>
      </w:r>
      <w:r>
        <w:rPr>
          <w:rFonts w:ascii="Arial" w:cs="Arial" w:eastAsia="Arial" w:hAnsi="Arial"/>
          <w:sz w:val="11"/>
          <w:szCs w:val="11"/>
          <w:color w:val="auto"/>
        </w:rPr>
        <w:t xml:space="preserve">, and </w:t>
      </w:r>
      <w:r>
        <w:rPr>
          <w:rFonts w:ascii="Arial" w:cs="Arial" w:eastAsia="Arial" w:hAnsi="Arial"/>
          <w:sz w:val="11"/>
          <w:szCs w:val="11"/>
          <w:i w:val="1"/>
          <w:iCs w:val="1"/>
          <w:color w:val="auto"/>
        </w:rPr>
        <w:t>Non-GAAP Financial Measures</w:t>
      </w:r>
      <w:r>
        <w:rPr>
          <w:rFonts w:ascii="Arial" w:cs="Arial" w:eastAsia="Arial" w:hAnsi="Arial"/>
          <w:sz w:val="11"/>
          <w:szCs w:val="11"/>
          <w:color w:val="auto"/>
        </w:rPr>
        <w:t xml:space="preserve"> for more information on the unrealized gains/losses on commodity and forecasted currency transaction derivatives.</w:t>
      </w:r>
    </w:p>
    <w:p>
      <w:pPr>
        <w:spacing w:after="0" w:line="134" w:lineRule="exact"/>
        <w:rPr>
          <w:rFonts w:ascii="Arial" w:cs="Arial" w:eastAsia="Arial" w:hAnsi="Arial"/>
          <w:sz w:val="11"/>
          <w:szCs w:val="11"/>
          <w:color w:val="auto"/>
        </w:rPr>
      </w:pPr>
    </w:p>
    <w:p>
      <w:pPr>
        <w:ind w:left="260" w:hanging="254"/>
        <w:spacing w:after="0" w:line="264" w:lineRule="auto"/>
        <w:tabs>
          <w:tab w:leader="none" w:pos="249"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2, </w:t>
      </w:r>
      <w:r>
        <w:rPr>
          <w:rFonts w:ascii="Arial" w:cs="Arial" w:eastAsia="Arial" w:hAnsi="Arial"/>
          <w:sz w:val="11"/>
          <w:szCs w:val="11"/>
          <w:i w:val="1"/>
          <w:iCs w:val="1"/>
          <w:color w:val="auto"/>
        </w:rPr>
        <w:t>Acquisitions and Divestitures</w:t>
      </w:r>
      <w:r>
        <w:rPr>
          <w:rFonts w:ascii="Arial" w:cs="Arial" w:eastAsia="Arial" w:hAnsi="Arial"/>
          <w:sz w:val="11"/>
          <w:szCs w:val="11"/>
          <w:color w:val="auto"/>
        </w:rPr>
        <w:t>, for more information on the October 1, 2023 sale of the developed market gum business, November 1, 2022 acquisition of Ricolino, August 1, 2022 acquisition of Clif Bar and the January 3, 2022 acquisition of Chipita.</w:t>
      </w: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14,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for more information.</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 </w:t>
      </w:r>
      <w:r>
        <w:rPr>
          <w:rFonts w:ascii="Arial" w:cs="Arial" w:eastAsia="Arial" w:hAnsi="Arial"/>
          <w:sz w:val="11"/>
          <w:szCs w:val="11"/>
          <w:i w:val="1"/>
          <w:iCs w:val="1"/>
          <w:color w:val="auto"/>
        </w:rPr>
        <w:t>War in Ukraine,</w:t>
      </w:r>
      <w:r>
        <w:rPr>
          <w:rFonts w:ascii="Arial" w:cs="Arial" w:eastAsia="Arial" w:hAnsi="Arial"/>
          <w:sz w:val="11"/>
          <w:szCs w:val="11"/>
          <w:color w:val="auto"/>
        </w:rPr>
        <w:t xml:space="preserve"> for more information.</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 </w:t>
      </w:r>
      <w:r>
        <w:rPr>
          <w:rFonts w:ascii="Arial" w:cs="Arial" w:eastAsia="Arial" w:hAnsi="Arial"/>
          <w:sz w:val="11"/>
          <w:szCs w:val="11"/>
          <w:i w:val="1"/>
          <w:iCs w:val="1"/>
          <w:color w:val="auto"/>
        </w:rPr>
        <w:t>Currency Translation and Highly Inflationary Accounting</w:t>
      </w:r>
      <w:r>
        <w:rPr>
          <w:rFonts w:ascii="Arial" w:cs="Arial" w:eastAsia="Arial" w:hAnsi="Arial"/>
          <w:sz w:val="11"/>
          <w:szCs w:val="11"/>
          <w:color w:val="auto"/>
        </w:rPr>
        <w:t>, for information on our application of highly inflationary accounting for Argentina and Türkiye.</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Refer to Note 11, </w:t>
      </w:r>
      <w:r>
        <w:rPr>
          <w:rFonts w:ascii="Arial" w:cs="Arial" w:eastAsia="Arial" w:hAnsi="Arial"/>
          <w:sz w:val="11"/>
          <w:szCs w:val="11"/>
          <w:i w:val="1"/>
          <w:iCs w:val="1"/>
          <w:color w:val="auto"/>
        </w:rPr>
        <w:t>Benefit Plans</w:t>
      </w:r>
      <w:r>
        <w:rPr>
          <w:rFonts w:ascii="Arial" w:cs="Arial" w:eastAsia="Arial" w:hAnsi="Arial"/>
          <w:sz w:val="11"/>
          <w:szCs w:val="11"/>
          <w:color w:val="auto"/>
        </w:rPr>
        <w:t>, for more information.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During 2023, we realized higher net pricing and favorable volume/mix, which was partially offset by increased input costs. Higher net pricing, which included the carryover impact of pricing actions taken in 2022 as well as the effects of input cost-driven pricing actions taken during 2023, was reflected across all regions. Overall, volume/mix benefited from improved product mix and continued strong demand for our snack category products across most regions. Favorable volume/mix was driven by AMEA, Latin America and Europe, which was marginally offset by slightly unfavorable volume/mix in North America. The increase in input costs was driven by higher raw material costs, slightly offset by lower manufacturing costs driven by productivity. Higher raw material costs were in part due to higher energy, sugar, grains, dairy, cocoa, packaging, edible oils and other ingredients costs as well as unfavorable year-over-year currency exchange transaction costs on imported materials.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Total selling, general and administrative expenses increased $618 million from 2022, due to a number of factors noted in the table above, including in part, the impact of acquisitions, higher acquisition integration costs and contingent consideration adjustments, higher divestiture-related costs, higher remeasurement loss of net monetary position and lapping prior-year 2017 malware incident net recoveries, which were offset by a lower impact from the European Commission legal matter, lapping prior year acquisition-related costs, a favorable currency impact related to expenses, lower implementation costs incurred for the Simplify to Grow program, the impact from divestitures and lower incremental costs due to the war in Ukraine. Excluding these factors, selling, general and administrative expenses increased $947 million from 2022. The increase was driven primarily by higher advertising and consumer promotion costs and higher overhead costs in part due to increased investments in route to market capabilities.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Unfavorable currency changes decreased operating income by $190 million, primarily due to the strength of the U.S. dollar relative to most currencies, including the Russian ruble, Argentinean peso, Egyptian pound, Chinese yuan, Indian rupee, Turkish lira, Australian dollar and South African rand, partially offset by the strength of a few currencies relative to the U.S. dollar, primarily the euro, Mexican peso, Brazilian real and Polish zloty.</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Operating income margin decreased from 11.2% in 2022 to 15.3% in 2023. The decrease in operating income margin was driven primarily by the favorable year-over-year change in mark-to-market gains/(losses) from currency and commodity hedging activities, lapping prior year acquisition-related costs, lower impact from the European Commission legal matter, lower incremental costs due to the war in Ukraine, gain on the sale of our developed market gum business, lower intangible asset impairment charges, higher Adjusted Operating Income margin and lapping prior year inventory step-up charges, partially offset by higher acquisition integration costs and contingent consideration adjustments, higher divestiture-related costs, higher remeasurement loss of net monetary position and lapping prior year 2017 malware incident net recoveries. Adjusted Operating Income margin increased from 15.8% in 2022 to 15.9% in 2023. The increase was driven primarily by higher net pricing, overhead cost leverage, lower manufacturing costs driven by productivity and favorable product mix, partially offset by higher raw material costs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Earnings and Earnings per Share Attributable to Mondelēz International</w:t>
      </w:r>
    </w:p>
    <w:p>
      <w:pPr>
        <w:spacing w:after="0" w:line="2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 xml:space="preserve">Net earnings attributable to Mondelēz International of $4,959 million increased by $2,242 million (82.5%) in 2023. Diluted EPS attributable to Mondelēz International was $3.62 in 2023, up $1.66 (84.7%) from 2022. Adjusted EPS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was $3.08 in 2023, up $0.41 (15.4%) from 2022. Adjusted EPS on a constant currency basis was $3.21 in 2023, up $0.54 (20.2%) from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gridSpan w:val="3"/>
          </w:tcPr>
          <w:p>
            <w:pPr>
              <w:jc w:val="right"/>
              <w:spacing w:after="0"/>
              <w:rPr>
                <w:sz w:val="20"/>
                <w:szCs w:val="20"/>
                <w:color w:val="auto"/>
              </w:rPr>
            </w:pPr>
            <w:r>
              <w:rPr>
                <w:rFonts w:ascii="Arial" w:cs="Arial" w:eastAsia="Arial" w:hAnsi="Arial"/>
                <w:sz w:val="11"/>
                <w:szCs w:val="11"/>
                <w:b w:val="1"/>
                <w:bCs w:val="1"/>
                <w:color w:val="auto"/>
              </w:rPr>
              <w:t>For the Years Ended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49"/>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 Change</w:t>
            </w:r>
          </w:p>
        </w:tc>
        <w:tc>
          <w:tcPr>
            <w:tcW w:w="1440" w:type="dxa"/>
            <w:vAlign w:val="bottom"/>
          </w:tcPr>
          <w:p>
            <w:pPr>
              <w:jc w:val="right"/>
              <w:ind w:right="37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 attributable to Mondelēz International</w:t>
            </w:r>
          </w:p>
        </w:tc>
        <w:tc>
          <w:tcPr>
            <w:tcW w:w="76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84.7 %</w:t>
            </w: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Simplify to Grow Program </w:t>
            </w:r>
            <w:r>
              <w:rPr>
                <w:rFonts w:ascii="Arial" w:cs="Arial" w:eastAsia="Arial" w:hAnsi="Arial"/>
                <w:sz w:val="18"/>
                <w:szCs w:val="18"/>
                <w:color w:val="auto"/>
                <w:vertAlign w:val="superscript"/>
              </w:rPr>
              <w:t>(2)</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Intangible asset impairment charges </w:t>
            </w:r>
            <w:r>
              <w:rPr>
                <w:rFonts w:ascii="Arial" w:cs="Arial" w:eastAsia="Arial" w:hAnsi="Arial"/>
                <w:sz w:val="18"/>
                <w:szCs w:val="18"/>
                <w:color w:val="auto"/>
                <w:vertAlign w:val="superscript"/>
              </w:rPr>
              <w:t>(2)</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Mark-to-market (gains)/losses from derivatives </w:t>
            </w:r>
            <w:r>
              <w:rPr>
                <w:rFonts w:ascii="Arial" w:cs="Arial" w:eastAsia="Arial" w:hAnsi="Arial"/>
                <w:sz w:val="18"/>
                <w:szCs w:val="18"/>
                <w:color w:val="auto"/>
                <w:vertAlign w:val="superscript"/>
              </w:rPr>
              <w:t>(2)</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Acquisition integration costs and</w:t>
            </w:r>
          </w:p>
        </w:tc>
        <w:tc>
          <w:tcPr>
            <w:tcW w:w="7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CEEFF"/>
          </w:tcPr>
          <w:p>
            <w:pPr>
              <w:ind w:left="260"/>
              <w:spacing w:after="0" w:line="194" w:lineRule="exact"/>
              <w:rPr>
                <w:sz w:val="20"/>
                <w:szCs w:val="20"/>
                <w:color w:val="auto"/>
              </w:rPr>
            </w:pPr>
            <w:r>
              <w:rPr>
                <w:rFonts w:ascii="Arial" w:cs="Arial" w:eastAsia="Arial" w:hAnsi="Arial"/>
                <w:sz w:val="14"/>
                <w:szCs w:val="14"/>
                <w:color w:val="auto"/>
              </w:rPr>
              <w:t xml:space="preserve">contingent consideration adjustments </w:t>
            </w:r>
            <w:r>
              <w:rPr>
                <w:rFonts w:ascii="Arial" w:cs="Arial" w:eastAsia="Arial" w:hAnsi="Arial"/>
                <w:sz w:val="18"/>
                <w:szCs w:val="18"/>
                <w:color w:val="auto"/>
                <w:vertAlign w:val="superscript"/>
              </w:rPr>
              <w:t>(2)</w:t>
            </w:r>
          </w:p>
        </w:tc>
        <w:tc>
          <w:tcPr>
            <w:tcW w:w="7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Inventory step-up</w:t>
            </w:r>
          </w:p>
        </w:tc>
        <w:tc>
          <w:tcPr>
            <w:tcW w:w="7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(2)</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Divestiture-related costs </w:t>
            </w:r>
            <w:r>
              <w:rPr>
                <w:rFonts w:ascii="Arial" w:cs="Arial" w:eastAsia="Arial" w:hAnsi="Arial"/>
                <w:sz w:val="18"/>
                <w:szCs w:val="18"/>
                <w:color w:val="auto"/>
                <w:vertAlign w:val="superscript"/>
              </w:rPr>
              <w:t>(2)</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Operating results from divestitures </w:t>
            </w:r>
            <w:r>
              <w:rPr>
                <w:rFonts w:ascii="Arial" w:cs="Arial" w:eastAsia="Arial" w:hAnsi="Arial"/>
                <w:sz w:val="18"/>
                <w:szCs w:val="18"/>
                <w:color w:val="auto"/>
                <w:vertAlign w:val="superscript"/>
              </w:rPr>
              <w:t>(2)</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marketable securities </w:t>
            </w:r>
            <w:r>
              <w:rPr>
                <w:rFonts w:ascii="Arial" w:cs="Arial" w:eastAsia="Arial" w:hAnsi="Arial"/>
                <w:sz w:val="18"/>
                <w:szCs w:val="18"/>
                <w:color w:val="auto"/>
                <w:vertAlign w:val="superscript"/>
              </w:rPr>
              <w:t>(6)</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 Malware incident net recoveries</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rPr>
                <w:sz w:val="20"/>
                <w:szCs w:val="20"/>
                <w:color w:val="auto"/>
              </w:rPr>
            </w:pPr>
            <w:r>
              <w:rPr>
                <w:rFonts w:ascii="Arial" w:cs="Arial" w:eastAsia="Arial" w:hAnsi="Arial"/>
                <w:sz w:val="14"/>
                <w:szCs w:val="14"/>
                <w:color w:val="auto"/>
              </w:rPr>
              <w:t>European Commission legal matter</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Incremental costs due to war in Ukraine</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Gain on divestitures </w:t>
            </w:r>
            <w:r>
              <w:rPr>
                <w:rFonts w:ascii="Arial" w:cs="Arial" w:eastAsia="Arial" w:hAnsi="Arial"/>
                <w:sz w:val="18"/>
                <w:szCs w:val="18"/>
                <w:color w:val="auto"/>
                <w:vertAlign w:val="superscript"/>
              </w:rPr>
              <w:t>(2)</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Remeasurement of net monetary position </w:t>
            </w:r>
            <w:r>
              <w:rPr>
                <w:rFonts w:ascii="Arial" w:cs="Arial" w:eastAsia="Arial" w:hAnsi="Arial"/>
                <w:sz w:val="18"/>
                <w:szCs w:val="18"/>
                <w:color w:val="auto"/>
                <w:vertAlign w:val="superscript"/>
              </w:rPr>
              <w:t>(2)</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Impact from pension participation changes </w:t>
            </w:r>
            <w:r>
              <w:rPr>
                <w:rFonts w:ascii="Arial" w:cs="Arial" w:eastAsia="Arial" w:hAnsi="Arial"/>
                <w:sz w:val="18"/>
                <w:szCs w:val="18"/>
                <w:color w:val="auto"/>
                <w:vertAlign w:val="superscript"/>
              </w:rPr>
              <w:t>(2)</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18"/>
                <w:szCs w:val="18"/>
                <w:color w:val="auto"/>
                <w:vertAlign w:val="superscript"/>
              </w:rPr>
              <w:t>(3)</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140"/>
              <w:spacing w:after="0" w:line="182" w:lineRule="exact"/>
              <w:rPr>
                <w:sz w:val="20"/>
                <w:szCs w:val="20"/>
                <w:color w:val="auto"/>
              </w:rPr>
            </w:pPr>
            <w:r>
              <w:rPr>
                <w:rFonts w:ascii="Arial" w:cs="Arial" w:eastAsia="Arial" w:hAnsi="Arial"/>
                <w:sz w:val="14"/>
                <w:szCs w:val="14"/>
                <w:color w:val="auto"/>
              </w:rPr>
              <w:t xml:space="preserve">Initial impacts from enacted tax law changes </w:t>
            </w:r>
            <w:r>
              <w:rPr>
                <w:rFonts w:ascii="Arial" w:cs="Arial" w:eastAsia="Arial" w:hAnsi="Arial"/>
                <w:sz w:val="18"/>
                <w:szCs w:val="18"/>
                <w:color w:val="auto"/>
                <w:vertAlign w:val="superscript"/>
              </w:rPr>
              <w:t>(4)</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140"/>
              <w:spacing w:after="0" w:line="182" w:lineRule="exact"/>
              <w:rPr>
                <w:sz w:val="20"/>
                <w:szCs w:val="20"/>
                <w:color w:val="auto"/>
              </w:rPr>
            </w:pPr>
            <w:r>
              <w:rPr>
                <w:rFonts w:ascii="Arial" w:cs="Arial" w:eastAsia="Arial" w:hAnsi="Arial"/>
                <w:sz w:val="14"/>
                <w:szCs w:val="14"/>
                <w:color w:val="auto"/>
              </w:rPr>
              <w:t xml:space="preserve">Gain on equity method investment transactions </w:t>
            </w:r>
            <w:r>
              <w:rPr>
                <w:rFonts w:ascii="Arial" w:cs="Arial" w:eastAsia="Arial" w:hAnsi="Arial"/>
                <w:sz w:val="18"/>
                <w:szCs w:val="18"/>
                <w:color w:val="auto"/>
                <w:vertAlign w:val="superscript"/>
              </w:rPr>
              <w:t>(5)</w:t>
            </w:r>
          </w:p>
        </w:tc>
        <w:tc>
          <w:tcPr>
            <w:tcW w:w="7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EPS </w:t>
            </w:r>
            <w:r>
              <w:rPr>
                <w:rFonts w:ascii="Arial" w:cs="Arial" w:eastAsia="Arial" w:hAnsi="Arial"/>
                <w:sz w:val="18"/>
                <w:szCs w:val="18"/>
                <w:b w:val="1"/>
                <w:bCs w:val="1"/>
                <w:color w:val="auto"/>
                <w:vertAlign w:val="superscript"/>
              </w:rPr>
              <w:t>(1)</w:t>
            </w:r>
          </w:p>
        </w:tc>
        <w:tc>
          <w:tcPr>
            <w:tcW w:w="76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15.4 %</w:t>
            </w: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Currency-related items</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Adjusted EPS (constant currency) </w:t>
            </w:r>
            <w:r>
              <w:rPr>
                <w:rFonts w:ascii="Arial" w:cs="Arial" w:eastAsia="Arial" w:hAnsi="Arial"/>
                <w:sz w:val="18"/>
                <w:szCs w:val="18"/>
                <w:b w:val="1"/>
                <w:bCs w:val="1"/>
                <w:color w:val="auto"/>
                <w:vertAlign w:val="superscript"/>
              </w:rPr>
              <w:t>(1)</w:t>
            </w:r>
          </w:p>
        </w:tc>
        <w:tc>
          <w:tcPr>
            <w:tcW w:w="7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0.54</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20.2 %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Key Drivers of Adjusted EPS (constant currency)</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580"/>
              <w:spacing w:after="0"/>
              <w:rPr>
                <w:sz w:val="20"/>
                <w:szCs w:val="20"/>
                <w:color w:val="auto"/>
              </w:rPr>
            </w:pPr>
            <w:r>
              <w:rPr>
                <w:rFonts w:ascii="Arial" w:cs="Arial" w:eastAsia="Arial" w:hAnsi="Arial"/>
                <w:sz w:val="11"/>
                <w:szCs w:val="11"/>
                <w:b w:val="1"/>
                <w:bCs w:val="1"/>
                <w:color w:val="auto"/>
              </w:rPr>
              <w:t>$ Change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60260" cy="1225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Increase in operations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Impact from acquisitions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60260" cy="116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Change in benefit plan non-service income</w:t>
      </w:r>
    </w:p>
    <w:p>
      <w:pPr>
        <w:ind w:left="280"/>
        <w:spacing w:after="0" w:line="236" w:lineRule="auto"/>
        <w:rPr>
          <w:sz w:val="20"/>
          <w:szCs w:val="20"/>
          <w:color w:val="auto"/>
        </w:rPr>
      </w:pPr>
      <w:r>
        <w:rPr>
          <w:rFonts w:ascii="Arial" w:cs="Arial" w:eastAsia="Arial" w:hAnsi="Arial"/>
          <w:sz w:val="14"/>
          <w:szCs w:val="14"/>
          <w:color w:val="auto"/>
        </w:rPr>
        <w:t xml:space="preserve">Change in interest and other expense, net </w:t>
      </w:r>
      <w:r>
        <w:rPr>
          <w:rFonts w:ascii="Arial" w:cs="Arial" w:eastAsia="Arial" w:hAnsi="Arial"/>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60260" cy="116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Dividend income from marketable securities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Change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60260" cy="1162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ind w:left="280"/>
        <w:spacing w:after="0" w:line="235" w:lineRule="auto"/>
        <w:rPr>
          <w:sz w:val="20"/>
          <w:szCs w:val="20"/>
          <w:color w:val="auto"/>
        </w:rPr>
      </w:pPr>
      <w:r>
        <w:rPr>
          <w:rFonts w:ascii="Arial" w:cs="Arial" w:eastAsia="Arial" w:hAnsi="Arial"/>
          <w:sz w:val="14"/>
          <w:szCs w:val="14"/>
          <w:color w:val="auto"/>
        </w:rPr>
        <w:t xml:space="preserve">Change in income taxes </w:t>
      </w:r>
      <w:r>
        <w:rPr>
          <w:rFonts w:ascii="Arial" w:cs="Arial" w:eastAsia="Arial" w:hAnsi="Arial"/>
          <w:sz w:val="18"/>
          <w:szCs w:val="18"/>
          <w:color w:val="auto"/>
          <w:vertAlign w:val="superscript"/>
        </w:rPr>
        <w:t>(4)</w:t>
      </w:r>
    </w:p>
    <w:p>
      <w:pPr>
        <w:ind w:left="280"/>
        <w:spacing w:after="0" w:line="211" w:lineRule="auto"/>
        <w:rPr>
          <w:sz w:val="20"/>
          <w:szCs w:val="20"/>
          <w:color w:val="auto"/>
        </w:rPr>
      </w:pPr>
      <w:r>
        <w:rPr>
          <w:rFonts w:ascii="Arial" w:cs="Arial" w:eastAsia="Arial" w:hAnsi="Arial"/>
          <w:sz w:val="14"/>
          <w:szCs w:val="14"/>
          <w:color w:val="auto"/>
        </w:rPr>
        <w:t xml:space="preserve">Change in shares outstanding </w:t>
      </w:r>
      <w:r>
        <w:rPr>
          <w:rFonts w:ascii="Arial" w:cs="Arial" w:eastAsia="Arial" w:hAnsi="Arial"/>
          <w:sz w:val="18"/>
          <w:szCs w:val="1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60260" cy="136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65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 xml:space="preserve">Total change in Adjusted EPS (constant currency)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ind w:left="760" w:hanging="75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0.47</w:t>
      </w:r>
    </w:p>
    <w:p>
      <w:pPr>
        <w:spacing w:after="0" w:line="28"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0.06</w:t>
      </w:r>
    </w:p>
    <w:p>
      <w:pPr>
        <w:spacing w:after="0" w:line="22"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(0.03)</w:t>
      </w:r>
    </w:p>
    <w:p>
      <w:pPr>
        <w:spacing w:after="0" w:line="22" w:lineRule="exact"/>
        <w:rPr>
          <w:sz w:val="20"/>
          <w:szCs w:val="20"/>
          <w:color w:val="auto"/>
        </w:rPr>
      </w:pPr>
    </w:p>
    <w:p>
      <w:pPr>
        <w:jc w:val="right"/>
        <w:ind w:right="1260"/>
        <w:spacing w:after="0"/>
        <w:rPr>
          <w:sz w:val="20"/>
          <w:szCs w:val="20"/>
          <w:color w:val="auto"/>
        </w:rPr>
      </w:pPr>
      <w:r>
        <w:rPr>
          <w:rFonts w:ascii="Arial" w:cs="Arial" w:eastAsia="Arial" w:hAnsi="Arial"/>
          <w:sz w:val="14"/>
          <w:szCs w:val="14"/>
          <w:color w:val="auto"/>
        </w:rPr>
        <w:t>0.04</w:t>
      </w:r>
    </w:p>
    <w:p>
      <w:pPr>
        <w:spacing w:after="0" w:line="22" w:lineRule="exact"/>
        <w:rPr>
          <w:sz w:val="20"/>
          <w:szCs w:val="20"/>
          <w:color w:val="auto"/>
        </w:rPr>
      </w:pPr>
    </w:p>
    <w:p>
      <w:pPr>
        <w:jc w:val="right"/>
        <w:ind w:right="1260"/>
        <w:spacing w:after="0"/>
        <w:rPr>
          <w:sz w:val="20"/>
          <w:szCs w:val="20"/>
          <w:color w:val="auto"/>
        </w:rPr>
      </w:pPr>
      <w:r>
        <w:rPr>
          <w:rFonts w:ascii="Arial" w:cs="Arial" w:eastAsia="Arial" w:hAnsi="Arial"/>
          <w:sz w:val="14"/>
          <w:szCs w:val="14"/>
          <w:color w:val="auto"/>
        </w:rPr>
        <w:t>0.01</w:t>
      </w:r>
    </w:p>
    <w:p>
      <w:pPr>
        <w:spacing w:after="0" w:line="22" w:lineRule="exact"/>
        <w:rPr>
          <w:sz w:val="20"/>
          <w:szCs w:val="20"/>
          <w:color w:val="auto"/>
        </w:rPr>
      </w:pPr>
    </w:p>
    <w:p>
      <w:pPr>
        <w:jc w:val="right"/>
        <w:ind w:right="1260"/>
        <w:spacing w:after="0"/>
        <w:rPr>
          <w:sz w:val="20"/>
          <w:szCs w:val="20"/>
          <w:color w:val="auto"/>
        </w:rPr>
      </w:pPr>
      <w:r>
        <w:rPr>
          <w:rFonts w:ascii="Arial" w:cs="Arial" w:eastAsia="Arial" w:hAnsi="Arial"/>
          <w:sz w:val="14"/>
          <w:szCs w:val="14"/>
          <w:color w:val="auto"/>
        </w:rPr>
        <w:t>0.01</w:t>
      </w:r>
    </w:p>
    <w:p>
      <w:pPr>
        <w:spacing w:after="0" w:line="22"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(0.05)</w:t>
      </w:r>
    </w:p>
    <w:p>
      <w:pPr>
        <w:spacing w:after="0" w:line="22" w:lineRule="exact"/>
        <w:rPr>
          <w:sz w:val="20"/>
          <w:szCs w:val="20"/>
          <w:color w:val="auto"/>
        </w:rPr>
      </w:pPr>
    </w:p>
    <w:p>
      <w:pPr>
        <w:jc w:val="right"/>
        <w:ind w:right="1260"/>
        <w:spacing w:after="0"/>
        <w:rPr>
          <w:sz w:val="20"/>
          <w:szCs w:val="20"/>
          <w:color w:val="auto"/>
        </w:rPr>
      </w:pPr>
      <w:r>
        <w:rPr>
          <w:rFonts w:ascii="Arial" w:cs="Arial" w:eastAsia="Arial" w:hAnsi="Arial"/>
          <w:sz w:val="14"/>
          <w:szCs w:val="14"/>
          <w:color w:val="auto"/>
        </w:rPr>
        <w:t>0.03</w:t>
      </w:r>
    </w:p>
    <w:p>
      <w:pPr>
        <w:spacing w:after="0" w:line="25" w:lineRule="exact"/>
        <w:rPr>
          <w:sz w:val="20"/>
          <w:szCs w:val="20"/>
          <w:color w:val="auto"/>
        </w:rPr>
      </w:pPr>
    </w:p>
    <w:p>
      <w:pPr>
        <w:ind w:left="760" w:hanging="753"/>
        <w:spacing w:after="0"/>
        <w:tabs>
          <w:tab w:leader="none" w:pos="76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023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310" cy="698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260" w:space="720"/>
            <w:col w:w="2300"/>
          </w:cols>
          <w:pgMar w:left="300" w:top="126" w:right="319" w:bottom="1440" w:gutter="0" w:footer="0" w:header="0"/>
          <w:type w:val="continuous"/>
        </w:sectPr>
      </w:pPr>
    </w:p>
    <w:p>
      <w:pPr>
        <w:spacing w:after="0" w:line="79" w:lineRule="exact"/>
        <w:rPr>
          <w:sz w:val="20"/>
          <w:szCs w:val="20"/>
          <w:color w:val="auto"/>
        </w:rPr>
      </w:pPr>
    </w:p>
    <w:p>
      <w:pPr>
        <w:ind w:left="260" w:hanging="254"/>
        <w:spacing w:after="0" w:line="274" w:lineRule="auto"/>
        <w:tabs>
          <w:tab w:leader="none" w:pos="249"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tax expense/(benefit) of each of the pre-tax items excluded from our GAAP results was computed based on the facts and tax assumptions associated with each item, and such impacts have also been excluded from Adjusted EPS.</w:t>
      </w:r>
    </w:p>
    <w:p>
      <w:pPr>
        <w:jc w:val="both"/>
        <w:ind w:left="400" w:hanging="136"/>
        <w:spacing w:after="0" w:line="266" w:lineRule="auto"/>
        <w:tabs>
          <w:tab w:leader="none" w:pos="397" w:val="left"/>
        </w:tabs>
        <w:numPr>
          <w:ilvl w:val="1"/>
          <w:numId w:val="24"/>
        </w:numPr>
        <w:rPr>
          <w:rFonts w:ascii="Arial" w:cs="Arial" w:eastAsia="Arial" w:hAnsi="Arial"/>
          <w:sz w:val="11"/>
          <w:szCs w:val="11"/>
          <w:color w:val="auto"/>
        </w:rPr>
      </w:pPr>
      <w:r>
        <w:rPr>
          <w:rFonts w:ascii="Arial" w:cs="Arial" w:eastAsia="Arial" w:hAnsi="Arial"/>
          <w:sz w:val="11"/>
          <w:szCs w:val="11"/>
          <w:color w:val="auto"/>
        </w:rPr>
        <w:t>2023 taxes for the: Simplify to Grow Program were $(26) million, intangible asset impairment charges were $(6) million, mark-to-market gains from derivatives were $21 million, acquisition integration costs and contingent consideration adjustments were $(60) million, divestiture-related costs were $(25) million, operating results from divestitures were $46 million, gain on divestiture were $(8) million, European Commission legal matter were $(24) million, remeasurement of net monetary position were zero, impact from pension participation changes were $(3) million, initial impacts from enacted tax law changes were $83 million, gain on marketable securities were $133 million and gain on equity method investment transactions were $124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left="400" w:hanging="136"/>
        <w:spacing w:after="0" w:line="264" w:lineRule="auto"/>
        <w:tabs>
          <w:tab w:leader="none" w:pos="397" w:val="left"/>
        </w:tabs>
        <w:numPr>
          <w:ilvl w:val="1"/>
          <w:numId w:val="25"/>
        </w:numPr>
        <w:rPr>
          <w:rFonts w:ascii="Arial" w:cs="Arial" w:eastAsia="Arial" w:hAnsi="Arial"/>
          <w:sz w:val="11"/>
          <w:szCs w:val="11"/>
          <w:color w:val="auto"/>
        </w:rPr>
      </w:pPr>
      <w:r>
        <w:rPr>
          <w:rFonts w:ascii="Arial" w:cs="Arial" w:eastAsia="Arial" w:hAnsi="Arial"/>
          <w:sz w:val="11"/>
          <w:szCs w:val="11"/>
          <w:color w:val="auto"/>
        </w:rPr>
        <w:t>2022 taxes for the: Simplify to Grow Program were $(26) million, intangible asset impairment charge were $(25) million, mark-to-market losses from derivatives were $(56) million, acquisition integration costs and contingent consideration adjustments were $(72) million, inventory step-up charges were $(7) million, acquisition-related costs were $11 million, divestiture-related costs were $(9) million operating results from divestitures were $50 million, 2017 malware incident net recoveries were $10 million, European Commission legal matter were zero, incremental costs due to the war in Ukraine were $4 million, remeasurement of net monetary position were zero, impact from pension participation changes were $(3) million, loss on debt extinguishment and related expenses were $(31) million, initial impacts from enacted tax law changes were $17 million and loss on equity method investment transactions were $2 million.</w:t>
      </w:r>
    </w:p>
    <w:p>
      <w:pPr>
        <w:spacing w:after="0" w:line="1"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See the </w:t>
      </w:r>
      <w:r>
        <w:rPr>
          <w:rFonts w:ascii="Arial" w:cs="Arial" w:eastAsia="Arial" w:hAnsi="Arial"/>
          <w:sz w:val="11"/>
          <w:szCs w:val="11"/>
          <w:i w:val="1"/>
          <w:iCs w:val="1"/>
          <w:color w:val="auto"/>
        </w:rPr>
        <w:t>Adjusted Operating Income</w:t>
      </w:r>
      <w:r>
        <w:rPr>
          <w:rFonts w:ascii="Arial" w:cs="Arial" w:eastAsia="Arial" w:hAnsi="Arial"/>
          <w:sz w:val="11"/>
          <w:szCs w:val="11"/>
          <w:color w:val="auto"/>
        </w:rPr>
        <w:t xml:space="preserve"> table above and the related footnotes for more information.</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Refer to Note 9, </w:t>
      </w:r>
      <w:r>
        <w:rPr>
          <w:rFonts w:ascii="Arial" w:cs="Arial" w:eastAsia="Arial" w:hAnsi="Arial"/>
          <w:sz w:val="11"/>
          <w:szCs w:val="11"/>
          <w:i w:val="1"/>
          <w:iCs w:val="1"/>
          <w:color w:val="auto"/>
        </w:rPr>
        <w:t>Debt and Borrowing Arrangements</w:t>
      </w:r>
      <w:r>
        <w:rPr>
          <w:rFonts w:ascii="Arial" w:cs="Arial" w:eastAsia="Arial" w:hAnsi="Arial"/>
          <w:sz w:val="11"/>
          <w:szCs w:val="11"/>
          <w:color w:val="auto"/>
        </w:rPr>
        <w:t>, for more information on losses on debt extinguishment.</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Refer to Note 16, </w:t>
      </w:r>
      <w:r>
        <w:rPr>
          <w:rFonts w:ascii="Arial" w:cs="Arial" w:eastAsia="Arial" w:hAnsi="Arial"/>
          <w:sz w:val="11"/>
          <w:szCs w:val="11"/>
          <w:i w:val="1"/>
          <w:iCs w:val="1"/>
          <w:color w:val="auto"/>
        </w:rPr>
        <w:t>Income Taxes</w:t>
      </w:r>
      <w:r>
        <w:rPr>
          <w:rFonts w:ascii="Arial" w:cs="Arial" w:eastAsia="Arial" w:hAnsi="Arial"/>
          <w:sz w:val="11"/>
          <w:szCs w:val="11"/>
          <w:color w:val="auto"/>
        </w:rPr>
        <w:t>, for information on income taxes.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Refer to Note 7, </w:t>
      </w:r>
      <w:r>
        <w:rPr>
          <w:rFonts w:ascii="Arial" w:cs="Arial" w:eastAsia="Arial" w:hAnsi="Arial"/>
          <w:sz w:val="11"/>
          <w:szCs w:val="11"/>
          <w:i w:val="1"/>
          <w:iCs w:val="1"/>
          <w:color w:val="auto"/>
        </w:rPr>
        <w:t>Investments</w:t>
      </w:r>
      <w:r>
        <w:rPr>
          <w:rFonts w:ascii="Arial" w:cs="Arial" w:eastAsia="Arial" w:hAnsi="Arial"/>
          <w:sz w:val="11"/>
          <w:szCs w:val="11"/>
          <w:color w:val="auto"/>
        </w:rPr>
        <w:t>, for more information on gains and losses on equity method investment transactions.</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Excludes the currency impact on interest expense related to our non-U.S. dollar-denominated debt which is included in currency translation.</w:t>
      </w:r>
    </w:p>
    <w:p>
      <w:pPr>
        <w:spacing w:after="0" w:line="13" w:lineRule="exact"/>
        <w:rPr>
          <w:rFonts w:ascii="Arial" w:cs="Arial" w:eastAsia="Arial" w:hAnsi="Arial"/>
          <w:sz w:val="11"/>
          <w:szCs w:val="11"/>
          <w:color w:val="auto"/>
        </w:rPr>
      </w:pPr>
    </w:p>
    <w:p>
      <w:pPr>
        <w:ind w:left="260" w:hanging="254"/>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Refer to Note 12, </w:t>
      </w:r>
      <w:r>
        <w:rPr>
          <w:rFonts w:ascii="Arial" w:cs="Arial" w:eastAsia="Arial" w:hAnsi="Arial"/>
          <w:sz w:val="11"/>
          <w:szCs w:val="11"/>
          <w:i w:val="1"/>
          <w:iCs w:val="1"/>
          <w:color w:val="auto"/>
        </w:rPr>
        <w:t>Stock Plans</w:t>
      </w:r>
      <w:r>
        <w:rPr>
          <w:rFonts w:ascii="Arial" w:cs="Arial" w:eastAsia="Arial" w:hAnsi="Arial"/>
          <w:sz w:val="11"/>
          <w:szCs w:val="11"/>
          <w:color w:val="auto"/>
        </w:rPr>
        <w:t xml:space="preserve">, for more information on our equity compensation programs and share repurchase program and Note 17, </w:t>
      </w:r>
      <w:r>
        <w:rPr>
          <w:rFonts w:ascii="Arial" w:cs="Arial" w:eastAsia="Arial" w:hAnsi="Arial"/>
          <w:sz w:val="11"/>
          <w:szCs w:val="11"/>
          <w:i w:val="1"/>
          <w:iCs w:val="1"/>
          <w:color w:val="auto"/>
        </w:rPr>
        <w:t>Earnings per Share</w:t>
      </w:r>
      <w:r>
        <w:rPr>
          <w:rFonts w:ascii="Arial" w:cs="Arial" w:eastAsia="Arial" w:hAnsi="Arial"/>
          <w:sz w:val="11"/>
          <w:szCs w:val="11"/>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by Operating Segment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operations and management structure are organized into four operating segments:</w:t>
      </w:r>
    </w:p>
    <w:p>
      <w:pPr>
        <w:spacing w:after="0" w:line="25" w:lineRule="exact"/>
        <w:rPr>
          <w:sz w:val="20"/>
          <w:szCs w:val="20"/>
          <w:color w:val="auto"/>
        </w:rPr>
      </w:pPr>
    </w:p>
    <w:p>
      <w:pPr>
        <w:ind w:left="520" w:hanging="25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Latin America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AMEA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Europe</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North America</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for additional information on our segments and </w:t>
      </w:r>
      <w:r>
        <w:rPr>
          <w:rFonts w:ascii="Arial" w:cs="Arial" w:eastAsia="Arial" w:hAnsi="Arial"/>
          <w:sz w:val="14"/>
          <w:szCs w:val="14"/>
          <w:i w:val="1"/>
          <w:iCs w:val="1"/>
          <w:color w:val="auto"/>
        </w:rPr>
        <w:t>Items Affecting Comparability of Financial Results</w:t>
      </w:r>
      <w:r>
        <w:rPr>
          <w:rFonts w:ascii="Arial" w:cs="Arial" w:eastAsia="Arial" w:hAnsi="Arial"/>
          <w:sz w:val="14"/>
          <w:szCs w:val="14"/>
          <w:color w:val="auto"/>
        </w:rPr>
        <w:t xml:space="preserve"> earlier in this section for items affecting our segment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Our segment net revenues and operating earnings were: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2580" w:type="dxa"/>
            <w:vAlign w:val="bottom"/>
            <w:gridSpan w:val="2"/>
          </w:tcPr>
          <w:p>
            <w:pPr>
              <w:jc w:val="right"/>
              <w:ind w:right="48"/>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5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140"/>
              <w:spacing w:after="0"/>
              <w:rPr>
                <w:sz w:val="20"/>
                <w:szCs w:val="20"/>
                <w:color w:val="auto"/>
              </w:rPr>
            </w:pPr>
            <w:r>
              <w:rPr>
                <w:rFonts w:ascii="Arial" w:cs="Arial" w:eastAsia="Arial" w:hAnsi="Arial"/>
                <w:sz w:val="14"/>
                <w:szCs w:val="14"/>
                <w:color w:val="auto"/>
              </w:rPr>
              <w:t>Latin America</w:t>
            </w:r>
          </w:p>
        </w:tc>
        <w:tc>
          <w:tcPr>
            <w:tcW w:w="25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4,926</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5,006</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AMEA</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140"/>
              <w:spacing w:after="0"/>
              <w:rPr>
                <w:sz w:val="20"/>
                <w:szCs w:val="20"/>
                <w:color w:val="auto"/>
              </w:rPr>
            </w:pPr>
            <w:r>
              <w:rPr>
                <w:rFonts w:ascii="Arial" w:cs="Arial" w:eastAsia="Arial" w:hAnsi="Arial"/>
                <w:sz w:val="14"/>
                <w:szCs w:val="14"/>
                <w:color w:val="auto"/>
              </w:rPr>
              <w:t>Europe</w:t>
            </w: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North America</w:t>
            </w:r>
          </w:p>
        </w:tc>
        <w:tc>
          <w:tcPr>
            <w:tcW w:w="15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500" w:type="dxa"/>
            <w:vAlign w:val="bottom"/>
          </w:tcPr>
          <w:p>
            <w:pPr>
              <w:spacing w:after="0"/>
              <w:rPr>
                <w:sz w:val="15"/>
                <w:szCs w:val="15"/>
                <w:color w:val="auto"/>
              </w:rPr>
            </w:pP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36,016</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2580" w:type="dxa"/>
            <w:vAlign w:val="bottom"/>
            <w:gridSpan w:val="2"/>
          </w:tcPr>
          <w:p>
            <w:pPr>
              <w:jc w:val="right"/>
              <w:ind w:right="48"/>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5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income:</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80"/>
              <w:spacing w:after="0"/>
              <w:rPr>
                <w:sz w:val="20"/>
                <w:szCs w:val="20"/>
                <w:color w:val="auto"/>
              </w:rPr>
            </w:pPr>
            <w:r>
              <w:rPr>
                <w:rFonts w:ascii="Arial" w:cs="Arial" w:eastAsia="Arial" w:hAnsi="Arial"/>
                <w:sz w:val="14"/>
                <w:szCs w:val="14"/>
                <w:color w:val="auto"/>
              </w:rPr>
              <w:t>Latin America</w:t>
            </w:r>
          </w:p>
        </w:tc>
        <w:tc>
          <w:tcPr>
            <w:tcW w:w="25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AMEA</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80"/>
              <w:spacing w:after="0"/>
              <w:rPr>
                <w:sz w:val="20"/>
                <w:szCs w:val="20"/>
                <w:color w:val="auto"/>
              </w:rPr>
            </w:pPr>
            <w:r>
              <w:rPr>
                <w:rFonts w:ascii="Arial" w:cs="Arial" w:eastAsia="Arial" w:hAnsi="Arial"/>
                <w:sz w:val="14"/>
                <w:szCs w:val="14"/>
                <w:color w:val="auto"/>
              </w:rPr>
              <w:t>Europe</w:t>
            </w: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North America</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400" w:type="dxa"/>
            <w:vAlign w:val="bottom"/>
          </w:tcPr>
          <w:p>
            <w:pPr>
              <w:ind w:left="280"/>
              <w:spacing w:after="0" w:line="140" w:lineRule="exact"/>
              <w:rPr>
                <w:sz w:val="20"/>
                <w:szCs w:val="20"/>
                <w:color w:val="auto"/>
              </w:rPr>
            </w:pPr>
            <w:r>
              <w:rPr>
                <w:rFonts w:ascii="Arial" w:cs="Arial" w:eastAsia="Arial" w:hAnsi="Arial"/>
                <w:sz w:val="14"/>
                <w:szCs w:val="14"/>
                <w:color w:val="auto"/>
              </w:rPr>
              <w:t>Unrealized gains/(losses) on hedging activities</w:t>
            </w: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280"/>
              <w:spacing w:after="0"/>
              <w:rPr>
                <w:sz w:val="20"/>
                <w:szCs w:val="20"/>
                <w:color w:val="auto"/>
              </w:rPr>
            </w:pPr>
            <w:r>
              <w:rPr>
                <w:rFonts w:ascii="Arial" w:cs="Arial" w:eastAsia="Arial" w:hAnsi="Arial"/>
                <w:sz w:val="14"/>
                <w:szCs w:val="14"/>
                <w:color w:val="auto"/>
              </w:rPr>
              <w:t>(mark-to-market impacts)</w:t>
            </w: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corporate expenses</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acquisition and divestitures</w:t>
            </w:r>
          </w:p>
        </w:tc>
        <w:tc>
          <w:tcPr>
            <w:tcW w:w="1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80"/>
              <w:spacing w:after="0"/>
              <w:rPr>
                <w:sz w:val="20"/>
                <w:szCs w:val="20"/>
                <w:color w:val="auto"/>
              </w:rPr>
            </w:pPr>
            <w:r>
              <w:rPr>
                <w:rFonts w:ascii="Arial" w:cs="Arial" w:eastAsia="Arial" w:hAnsi="Arial"/>
                <w:sz w:val="14"/>
                <w:szCs w:val="14"/>
                <w:color w:val="auto"/>
              </w:rPr>
              <w:t>Acquisition-related costs</w:t>
            </w: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income</w:t>
            </w: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14"/>
              <w:spacing w:after="0"/>
              <w:rPr>
                <w:sz w:val="20"/>
                <w:szCs w:val="20"/>
                <w:color w:val="auto"/>
              </w:rPr>
            </w:pPr>
            <w:r>
              <w:rPr>
                <w:rFonts w:ascii="Arial" w:cs="Arial" w:eastAsia="Arial" w:hAnsi="Arial"/>
                <w:sz w:val="14"/>
                <w:szCs w:val="14"/>
                <w:color w:val="auto"/>
              </w:rPr>
              <w:t>48</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4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-306070</wp:posOffset>
            </wp:positionV>
            <wp:extent cx="224790" cy="149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Latin America</w:t>
      </w:r>
    </w:p>
    <w:p>
      <w:pPr>
        <w:spacing w:after="0" w:line="287" w:lineRule="exact"/>
        <w:rPr>
          <w:sz w:val="20"/>
          <w:szCs w:val="20"/>
          <w:color w:val="auto"/>
        </w:rPr>
      </w:pPr>
    </w:p>
    <w:p>
      <w:pPr>
        <w:jc w:val="center"/>
        <w:ind w:left="1160"/>
        <w:spacing w:after="0"/>
        <w:rPr>
          <w:sz w:val="20"/>
          <w:szCs w:val="20"/>
          <w:color w:val="auto"/>
        </w:rPr>
      </w:pPr>
      <w:r>
        <w:rPr>
          <w:rFonts w:ascii="Arial" w:cs="Arial" w:eastAsia="Arial" w:hAnsi="Arial"/>
          <w:sz w:val="11"/>
          <w:szCs w:val="11"/>
          <w:b w:val="1"/>
          <w:bCs w:val="1"/>
          <w:color w:val="auto"/>
        </w:rPr>
        <w:t>For the Years Ended</w:t>
      </w:r>
    </w:p>
    <w:p>
      <w:pPr>
        <w:jc w:val="center"/>
        <w:ind w:left="116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12700</wp:posOffset>
            </wp:positionV>
            <wp:extent cx="202565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2565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1200" w:type="dxa"/>
            <w:vAlign w:val="bottom"/>
          </w:tcPr>
          <w:p>
            <w:pPr>
              <w:jc w:val="center"/>
              <w:ind w:left="438"/>
              <w:spacing w:after="0"/>
              <w:rPr>
                <w:sz w:val="20"/>
                <w:szCs w:val="20"/>
                <w:color w:val="auto"/>
              </w:rPr>
            </w:pPr>
            <w:r>
              <w:rPr>
                <w:rFonts w:ascii="Arial" w:cs="Arial" w:eastAsia="Arial" w:hAnsi="Arial"/>
                <w:sz w:val="11"/>
                <w:szCs w:val="11"/>
                <w:b w:val="1"/>
                <w:bCs w:val="1"/>
                <w:color w:val="auto"/>
              </w:rPr>
              <w:t>2023</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left="45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4,926</w:t>
            </w:r>
          </w:p>
        </w:tc>
        <w:tc>
          <w:tcPr>
            <w:tcW w:w="1200" w:type="dxa"/>
            <w:vAlign w:val="bottom"/>
            <w:shd w:val="clear" w:color="auto" w:fill="CCEEFF"/>
          </w:tcPr>
          <w:p>
            <w:pPr>
              <w:jc w:val="right"/>
              <w:ind w:right="95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5,006</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532</w:t>
            </w: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529</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116"/>
        </w:trPr>
        <w:tc>
          <w:tcPr>
            <w:tcW w:w="4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gridSpan w:val="2"/>
          </w:tcPr>
          <w:p>
            <w:pPr>
              <w:jc w:val="right"/>
              <w:ind w:right="558"/>
              <w:spacing w:after="0" w:line="116" w:lineRule="exact"/>
              <w:rPr>
                <w:sz w:val="20"/>
                <w:szCs w:val="20"/>
                <w:color w:val="auto"/>
              </w:rPr>
            </w:pPr>
            <w:r>
              <w:rPr>
                <w:rFonts w:ascii="Arial" w:cs="Arial" w:eastAsia="Arial" w:hAnsi="Arial"/>
                <w:sz w:val="11"/>
                <w:szCs w:val="11"/>
                <w:b w:val="1"/>
                <w:bCs w:val="1"/>
                <w:color w:val="auto"/>
              </w:rPr>
              <w:t>For the Years Ended</w:t>
            </w: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50"/>
        </w:trPr>
        <w:tc>
          <w:tcPr>
            <w:tcW w:w="4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Pr>
          <w:p>
            <w:pPr>
              <w:spacing w:after="0"/>
              <w:rPr>
                <w:sz w:val="14"/>
                <w:szCs w:val="14"/>
                <w:color w:val="auto"/>
              </w:rPr>
            </w:pPr>
          </w:p>
        </w:tc>
        <w:tc>
          <w:tcPr>
            <w:tcW w:w="1200" w:type="dxa"/>
            <w:vAlign w:val="bottom"/>
          </w:tcPr>
          <w:p>
            <w:pPr>
              <w:jc w:val="center"/>
              <w:ind w:left="438"/>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left="45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5,006</w:t>
            </w:r>
          </w:p>
        </w:tc>
        <w:tc>
          <w:tcPr>
            <w:tcW w:w="1200" w:type="dxa"/>
            <w:vAlign w:val="bottom"/>
            <w:shd w:val="clear" w:color="auto" w:fill="CCEEFF"/>
          </w:tcPr>
          <w:p>
            <w:pPr>
              <w:jc w:val="right"/>
              <w:ind w:right="95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3,629</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37.9 %</w:t>
            </w: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529</w:t>
            </w: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388</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36.3 %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compared with 2023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Net revenues decreased $80 million (1.6%), due to unfavorable impact of currency-related items (6.2 pp) and unfavorable volume/mix (2.4 pp), partially offset by higher net pricing (7.0 pp). Currency-related items were unfavorable, net of the adjustment for extreme pricing in Argentina, due to currency translation rate changes. Unfavorable currency translation impacts were primarily due to the strength of the U.S. dollar relative to most currencies in the region, primarily the Argentinean peso, Brazilian real, Mexican peso and Chilean peso, partially offset by the strength of a few currencies relative to the U.S. dollar, primarily the Colombian peso. Overall, unfavorable volume/mix reflected volume declines due to consumer softness, primarily in Mexico and Argentina, partially offset by favorable product mix. Overall, unfavorable volume/mix was driven by declines in chocolate, candy, cheese &amp; grocery and refreshment beverages, partially offset by gains in biscuits &amp; baked snacks and gum. Higher net pricing, net of the adjustment for extreme pricing in Argentina, was driven by input cost-driven pricing actions and reflected across all categories, primarily in Argentina, Mexico and Brazil.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Segment operating income increased $3 million (0.6%), primarily due to higher net pricing, lower remeasurement loss on net monetary position, lower manufacturing costs driven by productivity, lower acquisition integration costs and lower other selling, general and administrative expenses. These favorable items were mostly offset by higher raw material costs, unfavorable currency-related items, unfavorable volume/mix, higher advertising and consumer promotion costs, higher costs incurred for the Simplify to Grow Program, costs incurred for the ERP Systems Implementation program and intangible asset impairment charges incurred in 2024.</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compared with 2022</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revenues increased $1,377 million (37.9%), due to higher net pricing (31.0 pp), the impact of acquisitions (14.0 pp) and favorable volume/mix (3.8 pp), partially offset by unfavorable currency (10.0 pp) and the impact of divestitures (0.9 pp). Higher net pricing was reflected across all categories, driven primarily by Argentina as well as Brazil and Mexico. The November 1, 2022 acquisition of Ricolino added incremental net revenues of $507 million (constant currency basis) through the one-year anniversary of the acquisition in 2023. Favorable volume/mix reflected strong volume growth as the region continued to see increased demand for most of our snack category products. Favorable volume/mix was driven by gains in gum, biscuits &amp; baked snacks, candy and cheese &amp; grocery, partially offset by declines in refreshment beverages and chocolate. Unfavorable currency impacts were primarily due to the strength of the U.S. dollar relative to a few currencies in the region, primarily the Argentinean peso, partially offset by the strength of most currencies relative to the U.S. dollar, primarily the Mexican peso and Brazilian real. The impact of our 2022 divestitures resulted in a year-over-year decline in net revenues of $22 million.</w:t>
      </w: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Segment operating income increased $ 141 million (36.3%), primarily due to higher net pricing, the impact of our Ricolino acquisition, favorable volume/mix, lower manufacturing costs driven by productivity and lapping prior year inventory step-up charges. These favorable items were partially offset by higher raw material costs, higher other selling, general and administrative expenses, higher advertising and consumer promotion costs, higher remeasurement loss on net monetary position and higher acquisition integration costs.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AMEA</w:t>
      </w:r>
    </w:p>
    <w:p>
      <w:pPr>
        <w:spacing w:after="0" w:line="287" w:lineRule="exact"/>
        <w:rPr>
          <w:sz w:val="20"/>
          <w:szCs w:val="20"/>
          <w:color w:val="auto"/>
        </w:rPr>
      </w:pPr>
    </w:p>
    <w:p>
      <w:pPr>
        <w:jc w:val="center"/>
        <w:ind w:left="1160"/>
        <w:spacing w:after="0"/>
        <w:rPr>
          <w:sz w:val="20"/>
          <w:szCs w:val="20"/>
          <w:color w:val="auto"/>
        </w:rPr>
      </w:pPr>
      <w:r>
        <w:rPr>
          <w:rFonts w:ascii="Arial" w:cs="Arial" w:eastAsia="Arial" w:hAnsi="Arial"/>
          <w:sz w:val="11"/>
          <w:szCs w:val="11"/>
          <w:b w:val="1"/>
          <w:bCs w:val="1"/>
          <w:color w:val="auto"/>
        </w:rPr>
        <w:t>For the Years Ended</w:t>
      </w:r>
    </w:p>
    <w:p>
      <w:pPr>
        <w:jc w:val="center"/>
        <w:ind w:left="116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12700</wp:posOffset>
            </wp:positionV>
            <wp:extent cx="20256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2565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1200" w:type="dxa"/>
            <w:vAlign w:val="bottom"/>
          </w:tcPr>
          <w:p>
            <w:pPr>
              <w:jc w:val="center"/>
              <w:ind w:left="438"/>
              <w:spacing w:after="0"/>
              <w:rPr>
                <w:sz w:val="20"/>
                <w:szCs w:val="20"/>
                <w:color w:val="auto"/>
              </w:rPr>
            </w:pPr>
            <w:r>
              <w:rPr>
                <w:rFonts w:ascii="Arial" w:cs="Arial" w:eastAsia="Arial" w:hAnsi="Arial"/>
                <w:sz w:val="11"/>
                <w:szCs w:val="11"/>
                <w:b w:val="1"/>
                <w:bCs w:val="1"/>
                <w:color w:val="auto"/>
              </w:rPr>
              <w:t>2023</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left="45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7,296</w:t>
            </w:r>
          </w:p>
        </w:tc>
        <w:tc>
          <w:tcPr>
            <w:tcW w:w="1200" w:type="dxa"/>
            <w:vAlign w:val="bottom"/>
            <w:shd w:val="clear" w:color="auto" w:fill="CCEEFF"/>
          </w:tcPr>
          <w:p>
            <w:pPr>
              <w:jc w:val="right"/>
              <w:ind w:right="95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7,075</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1,192</w:t>
            </w: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1,113</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7.1 %</w:t>
            </w:r>
          </w:p>
        </w:tc>
      </w:tr>
      <w:tr>
        <w:trPr>
          <w:trHeight w:val="116"/>
        </w:trPr>
        <w:tc>
          <w:tcPr>
            <w:tcW w:w="4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gridSpan w:val="2"/>
          </w:tcPr>
          <w:p>
            <w:pPr>
              <w:jc w:val="right"/>
              <w:ind w:right="558"/>
              <w:spacing w:after="0" w:line="116" w:lineRule="exact"/>
              <w:rPr>
                <w:sz w:val="20"/>
                <w:szCs w:val="20"/>
                <w:color w:val="auto"/>
              </w:rPr>
            </w:pPr>
            <w:r>
              <w:rPr>
                <w:rFonts w:ascii="Arial" w:cs="Arial" w:eastAsia="Arial" w:hAnsi="Arial"/>
                <w:sz w:val="11"/>
                <w:szCs w:val="11"/>
                <w:b w:val="1"/>
                <w:bCs w:val="1"/>
                <w:color w:val="auto"/>
              </w:rPr>
              <w:t>For the Years Ended</w:t>
            </w: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50"/>
        </w:trPr>
        <w:tc>
          <w:tcPr>
            <w:tcW w:w="4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Pr>
          <w:p>
            <w:pPr>
              <w:spacing w:after="0"/>
              <w:rPr>
                <w:sz w:val="14"/>
                <w:szCs w:val="14"/>
                <w:color w:val="auto"/>
              </w:rPr>
            </w:pPr>
          </w:p>
        </w:tc>
        <w:tc>
          <w:tcPr>
            <w:tcW w:w="1200" w:type="dxa"/>
            <w:vAlign w:val="bottom"/>
          </w:tcPr>
          <w:p>
            <w:pPr>
              <w:jc w:val="center"/>
              <w:ind w:left="438"/>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left="45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7,075</w:t>
            </w:r>
          </w:p>
        </w:tc>
        <w:tc>
          <w:tcPr>
            <w:tcW w:w="1200" w:type="dxa"/>
            <w:vAlign w:val="bottom"/>
            <w:shd w:val="clear" w:color="auto" w:fill="CCEEFF"/>
          </w:tcPr>
          <w:p>
            <w:pPr>
              <w:jc w:val="right"/>
              <w:ind w:right="95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6,767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1,113</w:t>
            </w: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929</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19.8 %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compared with 2023</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Net revenues increased $221 million (3.1%), due to higher net pricing (5.5 pp) the impact of an acquisition (1.0 pp), and favorable volume/mix (0.7 pp), partly offset by unfavorable currency translation rate changes (4.1 pp). Higher net pricing, driven by input cost-driven pricing actions, was reflected across all categories. The November 1, 2024 acquisition of Evirth added incremental net revenues of $72 million (constant currency basis) in 2024. Overall, favorable volume/mix reflected favorable product mix, partially offset by volume declines reflecting the impact of geopolitical events in the region. Favorable volume/mix was driven by gains in gum, biscuits &amp; baked snacks, chocolate and cheese &amp; grocery, partially offset by declines in refreshment beverages and candy. Unfavorable currency translation impacts were due to the strength of the U.S. dollar relative to most currencies in the region, including the Nigerian naira, Egyptian pound, Chinese yuan, Indian rupee, Vietnam dong, Philippine peso and Japanese yen.</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Segment operating income increased $79 million (7.1%), primarily due to higher net pricing, lower manufacturing costs driven by productivity and the impact from our Evirth acquisition. These favorable items were partially offset by higher raw material costs, higher advertising and consumer promotion costs, unfavorable currency translation rate changes, higher other selling, general and administrative expenses, unfavorable volume/mix, costs incurred for the ERP Systems Implementation program, higher acquisition integration costs and contingent consideration adjustments and an intangible asset impairment charge incurred in 2024.</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compared with 2022</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revenues increased $308 million (4.6%), due to higher net pricing (8.6 pp) and favorable volume/mix (3.1 pp), partially offset by unfavorable currency (7.1 pp). Higher net pricing, driven by input cost-driven pricing actions, was reflected across all categories. Favorable volume/mix reflected overall volume gains from increased demand for most of our snack category products. Favorable volume/mix was driven by gains in chocolate, gum, candy and refreshment beverages, partially offset by declines in biscuits &amp; baked snacks and cheese &amp; grocery. Unfavorable currency impacts were due to the strength of the U.S. dollar relative to most currencies in the region, including the Egyptian pound, Indian rupee, Chinese yuan, Nigerian naira, Australian dollar, South African Rand, Pakistan rupee and Japanese yen.</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Segment operating income increased $184 million (19.8%), primarily due to higher net pricing, favorable volume/mix, lapping prior-year intangible asset impairment charges, lower manufacturing costs driven by productivity and lower costs incurred for the Simplify to Grow Program. These favorable items were partially offset by higher raw material costs, higher advertising and consumer promotion costs, unfavorable currency, higher other selling, general and administrative expenses and higher fixed asset impairment charges.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w:t>
      </w:r>
    </w:p>
    <w:p>
      <w:pPr>
        <w:spacing w:after="0" w:line="287" w:lineRule="exact"/>
        <w:rPr>
          <w:sz w:val="20"/>
          <w:szCs w:val="20"/>
          <w:color w:val="auto"/>
        </w:rPr>
      </w:pPr>
    </w:p>
    <w:p>
      <w:pPr>
        <w:jc w:val="center"/>
        <w:ind w:left="1160"/>
        <w:spacing w:after="0"/>
        <w:rPr>
          <w:sz w:val="20"/>
          <w:szCs w:val="20"/>
          <w:color w:val="auto"/>
        </w:rPr>
      </w:pPr>
      <w:r>
        <w:rPr>
          <w:rFonts w:ascii="Arial" w:cs="Arial" w:eastAsia="Arial" w:hAnsi="Arial"/>
          <w:sz w:val="11"/>
          <w:szCs w:val="11"/>
          <w:b w:val="1"/>
          <w:bCs w:val="1"/>
          <w:color w:val="auto"/>
        </w:rPr>
        <w:t>For the Years Ended</w:t>
      </w:r>
    </w:p>
    <w:p>
      <w:pPr>
        <w:jc w:val="center"/>
        <w:ind w:left="1160"/>
        <w:spacing w:after="0"/>
        <w:rPr>
          <w:sz w:val="20"/>
          <w:szCs w:val="20"/>
          <w:color w:val="auto"/>
        </w:rPr>
      </w:pPr>
      <w:r>
        <w:rPr>
          <w:rFonts w:ascii="Arial" w:cs="Arial" w:eastAsia="Arial" w:hAnsi="Arial"/>
          <w:sz w:val="11"/>
          <w:szCs w:val="11"/>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4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56"/>
              <w:spacing w:after="0"/>
              <w:rPr>
                <w:sz w:val="20"/>
                <w:szCs w:val="20"/>
                <w:color w:val="auto"/>
              </w:rPr>
            </w:pPr>
            <w:r>
              <w:rPr>
                <w:rFonts w:ascii="Arial" w:cs="Arial" w:eastAsia="Arial" w:hAnsi="Arial"/>
                <w:sz w:val="11"/>
                <w:szCs w:val="11"/>
                <w:b w:val="1"/>
                <w:bCs w:val="1"/>
                <w:color w:val="auto"/>
              </w:rPr>
              <w:t>2023</w:t>
            </w:r>
          </w:p>
        </w:tc>
        <w:tc>
          <w:tcPr>
            <w:tcW w:w="4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57"/>
        </w:trPr>
        <w:tc>
          <w:tcPr>
            <w:tcW w:w="46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r>
      <w:tr>
        <w:trPr>
          <w:trHeight w:val="188"/>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13,309</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2,068</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1,978</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4.6 %</w:t>
            </w:r>
          </w:p>
        </w:tc>
      </w:tr>
      <w:tr>
        <w:trPr>
          <w:trHeight w:val="116"/>
        </w:trPr>
        <w:tc>
          <w:tcPr>
            <w:tcW w:w="4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40" w:type="dxa"/>
            <w:vAlign w:val="bottom"/>
            <w:gridSpan w:val="3"/>
          </w:tcPr>
          <w:p>
            <w:pPr>
              <w:jc w:val="right"/>
              <w:ind w:right="996"/>
              <w:spacing w:after="0" w:line="116" w:lineRule="exact"/>
              <w:rPr>
                <w:sz w:val="20"/>
                <w:szCs w:val="20"/>
                <w:color w:val="auto"/>
              </w:rPr>
            </w:pPr>
            <w:r>
              <w:rPr>
                <w:rFonts w:ascii="Arial" w:cs="Arial" w:eastAsia="Arial" w:hAnsi="Arial"/>
                <w:sz w:val="11"/>
                <w:szCs w:val="11"/>
                <w:b w:val="1"/>
                <w:bCs w:val="1"/>
                <w:color w:val="auto"/>
              </w:rPr>
              <w:t>For the Years Ended</w:t>
            </w: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50"/>
        </w:trPr>
        <w:tc>
          <w:tcPr>
            <w:tcW w:w="4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b w:val="1"/>
                <w:bCs w:val="1"/>
                <w:color w:val="auto"/>
              </w:rPr>
              <w:t>December 31,</w:t>
            </w:r>
          </w:p>
        </w:tc>
        <w:tc>
          <w:tcPr>
            <w:tcW w:w="11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1"/>
                <w:szCs w:val="11"/>
                <w:b w:val="1"/>
                <w:bCs w:val="1"/>
                <w:color w:val="auto"/>
              </w:rPr>
              <w:t>2022</w:t>
            </w:r>
          </w:p>
        </w:tc>
        <w:tc>
          <w:tcPr>
            <w:tcW w:w="4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12,857</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11,420</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1,978</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1,481</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33.6 %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compared with 2023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Net revenues increased $452 million (3.5%), due to higher net pricing (7.8 pp), partially offset by unfavorable volume/mix (2.1 pp), the impact of divestitures (1.4 pp) and unfavorable currency translation rate changes (0.8 pp). Higher net pricing, driven by input cost-driven pricing actions, was reflected across all categories except cheese &amp; grocery. Overall, unfavorable volume/mix reflected volume declines due to the impact from customer price negotiation disruptions primarily in the second quarter, partially offset by favorable product mix. Unfavorable volume/mix was driven by declines in chocolate, biscuits &amp; baked snacks, refreshment beverages, candy and gum, partially offset by a gain in cheese &amp; grocery. The impact of our 2023 divestiture of the developed market gum business resulted in a year-over-year reduction in net revenues of $174 million. Unfavorable currency translation rate changes reflected the strength of the U.S. dollar relative to most currencies across the region, including the Turkish lira, Russian ruble and Ukrainian hryvnya, partially offset by the strength of a few currencies relative to the U.S. dollar, including the British pound sterling, Polish zloty and euro.</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Segment operating income increased $90 million (4.6%), primarily due to higher net pricing, lower divestiture-related costs, lower impact from the European Commission legal matter, lower costs incurred for the Simplify to Grow Program, lower manufacturing costs driven by productivity and lower remeasurement loss on net monetary position. These favorable items were partially offset by higher raw material costs, higher intangible asset impairment charges, higher advertising and consumer promotion costs, lapping prior-year operating results from the developed market gum business divested in 2023, unfavorable volume/mix, unfavorable currency translation rate changes, higher other selling, general and administrative expenses, costs incurred for the ERP Systems Implementation program and higher fixed asset impairment costs.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compared with 2022</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revenues increased $1,437 million (12.6%), due to higher net pricing (13.8 pp), favorable volume/mix (0.7 pp) and the impact from short-term distributor agreements (0.2 pp), partially offset by unfavorable currency (1.9 pp) and the impact of divestitures (0.2 pp). Higher net pricing, driven by input cost-driven pricing actions, was reflected across all categories. Overall, volume/mix was favorable driven by improved product mix. Favorable volume/mix was driven by gains in biscuits &amp; baked snacks, chocolate, gum and refreshment beverages, partially offset by declines in cheese &amp; grocery and candy. The short-term distributor agreement related to the October 1, 2023 sale of our developed market gum business added incremental net revenues of $22 million. Unfavorable currency impacts reflected the strength of the U.S. dollar relative to several currencies across the region, including the Russian ruble, Turkish lira, Norwegian krone, Ukrainian hryvnya and Swedish krona, partially offset by the strength of several currencies relative to the U.S. dollar, including the euro, Polish zloty, British pound sterling and Swiss franc. The impact of divestitures reflected a year-over-year decline in net revenues of $4 million from our 2023 divested developed market gum business.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Segment operating income increased $497 million (33.6%), primarily due to higher net pricing, lower impact from the European Commission legal matter, lapping the prior year incremental costs incurred due to the war in Ukraine, lower acquisition integration costs and favorable volume/mix. These favorable items were partially offset by higher raw material costs, higher advertising and consumer promotion costs, unfavorable currency, divestiture-related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costs incurred in 2023, higher costs incurred for the Simplify to Grow Program, higher other selling, general and administrative expenses, higher remeasurement loss on net monetary position, higher manufacturing costs and an intangible asset impairment charge incurred in 2023.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North America</w:t>
      </w:r>
    </w:p>
    <w:p>
      <w:pPr>
        <w:spacing w:after="0" w:line="287" w:lineRule="exact"/>
        <w:rPr>
          <w:sz w:val="20"/>
          <w:szCs w:val="20"/>
          <w:color w:val="auto"/>
        </w:rPr>
      </w:pPr>
    </w:p>
    <w:p>
      <w:pPr>
        <w:jc w:val="center"/>
        <w:ind w:left="1160"/>
        <w:spacing w:after="0"/>
        <w:rPr>
          <w:sz w:val="20"/>
          <w:szCs w:val="20"/>
          <w:color w:val="auto"/>
        </w:rPr>
      </w:pPr>
      <w:r>
        <w:rPr>
          <w:rFonts w:ascii="Arial" w:cs="Arial" w:eastAsia="Arial" w:hAnsi="Arial"/>
          <w:sz w:val="11"/>
          <w:szCs w:val="11"/>
          <w:b w:val="1"/>
          <w:bCs w:val="1"/>
          <w:color w:val="auto"/>
        </w:rPr>
        <w:t>For the Years Ended</w:t>
      </w:r>
    </w:p>
    <w:p>
      <w:pPr>
        <w:jc w:val="center"/>
        <w:ind w:left="116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12700</wp:posOffset>
            </wp:positionV>
            <wp:extent cx="20320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200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jc w:val="center"/>
              <w:ind w:right="356"/>
              <w:spacing w:after="0"/>
              <w:rPr>
                <w:sz w:val="20"/>
                <w:szCs w:val="20"/>
                <w:color w:val="auto"/>
              </w:rPr>
            </w:pPr>
            <w:r>
              <w:rPr>
                <w:rFonts w:ascii="Arial" w:cs="Arial" w:eastAsia="Arial" w:hAnsi="Arial"/>
                <w:sz w:val="11"/>
                <w:szCs w:val="11"/>
                <w:b w:val="1"/>
                <w:bCs w:val="1"/>
                <w:color w:val="auto"/>
              </w:rPr>
              <w:t>2023</w:t>
            </w:r>
          </w:p>
        </w:tc>
        <w:tc>
          <w:tcPr>
            <w:tcW w:w="4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73"/>
        </w:trPr>
        <w:tc>
          <w:tcPr>
            <w:tcW w:w="46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10,910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11,078</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2,492</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2,092</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19.1 %</w:t>
            </w:r>
          </w:p>
        </w:tc>
      </w:tr>
      <w:tr>
        <w:trPr>
          <w:trHeight w:val="116"/>
        </w:trPr>
        <w:tc>
          <w:tcPr>
            <w:tcW w:w="4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40" w:type="dxa"/>
            <w:vAlign w:val="bottom"/>
            <w:gridSpan w:val="3"/>
          </w:tcPr>
          <w:p>
            <w:pPr>
              <w:jc w:val="right"/>
              <w:ind w:right="996"/>
              <w:spacing w:after="0" w:line="116" w:lineRule="exact"/>
              <w:rPr>
                <w:sz w:val="20"/>
                <w:szCs w:val="20"/>
                <w:color w:val="auto"/>
              </w:rPr>
            </w:pPr>
            <w:r>
              <w:rPr>
                <w:rFonts w:ascii="Arial" w:cs="Arial" w:eastAsia="Arial" w:hAnsi="Arial"/>
                <w:sz w:val="11"/>
                <w:szCs w:val="11"/>
                <w:b w:val="1"/>
                <w:bCs w:val="1"/>
                <w:color w:val="auto"/>
              </w:rPr>
              <w:t>For the Years Ended</w:t>
            </w: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50"/>
        </w:trPr>
        <w:tc>
          <w:tcPr>
            <w:tcW w:w="4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b w:val="1"/>
                <w:bCs w:val="1"/>
                <w:color w:val="auto"/>
              </w:rPr>
              <w:t>December 31,</w:t>
            </w:r>
          </w:p>
        </w:tc>
        <w:tc>
          <w:tcPr>
            <w:tcW w:w="11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1"/>
                <w:szCs w:val="11"/>
                <w:b w:val="1"/>
                <w:bCs w:val="1"/>
                <w:color w:val="auto"/>
              </w:rPr>
              <w:t>2022</w:t>
            </w:r>
          </w:p>
        </w:tc>
        <w:tc>
          <w:tcPr>
            <w:tcW w:w="4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3"/>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11,078</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960" w:type="dxa"/>
            <w:vAlign w:val="bottom"/>
          </w:tcPr>
          <w:p>
            <w:pPr>
              <w:spacing w:after="0"/>
              <w:rPr>
                <w:sz w:val="16"/>
                <w:szCs w:val="16"/>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2,092</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1,769</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18.3 %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compared with 2023</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revenues decreased $168 million (1.5%), due to the impact of divestitures (2.8 pp), unfavorable currency translation rate changes (0.2 pp) and flat volume/mix (– pp), partially offset by higher net pricing (1.5 pp). The impact of our 2023 divestiture of the developed market gum business resulted in a year-over-year reduction in net revenues of $310 million. Unfavorable currency translation rate changes were due to the strength of the U.S. dollar relative to the Canadian dollar. Volume/mix was flat for the year as volume trends improved in the second half of 2024 offsetting consumer softness experienced in the U.S. in the first half of 2024. Overall, a volume/mix gain in chocolate was offset by declines in biscuits &amp; baked snacks and candy. Higher net pricing, driven by input cost-driven pricing actions, was reflected across all categories.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Segment operating income increased $400 million (19.1%), primarily due to a favorable contingent consideration adjustment related to Clif Bar as well as lower acquisition integration costs, higher net pricing, lower manufacturing costs due to productivity, lapping prior-year intangible asset impairment charges, lower divestiture-related costs, lower other selling, general and administrative expenses and lower fixed asset impairment charges. These favorable items were partially offset by higher raw material costs, lapping prior-year operating results from the developed market gum business divested in 2023, unfavorable volume/mix, higher costs incurred for the Simplify to Grow Program, higher advertising and consumer promotion costs and costs incurred for the ERP Systems Implementation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compared with 2022</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Net revenues increased $1,398 million (14.4%), due to higher net pricing (9.5 pp), the impact of acquisitions (5.6 pp) and flat volume/mix (- pp), partially offset by the impact of divestitures (0.4 pp) and unfavorable currency (0.3 pp). Higher net pricing, driven by input cost-driven pricing actions, was reflected across all categories. The August 1, 2022 acquisition of Clif Bar added incremental net revenues of $529 million through the one-year anniversary of the acquisition in 2023. Overall, volume/mix was flat as slight volume gains were offset by unfavorable mix. Flat volume/mix was driven by gains in candy and chocolate offset by a decline in biscuits &amp; baked snacks. While the impact of divestitures reflected a year-over-year increase in net revenues of $12 million (net of the loss of revenue for the fourth quarter) from our 2023 divested developed market gum business, it had a negative impact on the net revenue growth rate as the divested business did not grow as fast as the remaining segment. Unfavorable currency impact was due to the strength of the U.S. dollar relative to the Canadian dollar.</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Segment operating income increased $ 323 million (18.3%), primarily due to higher net pricing, the impact of our Clif Bar acquisition, higher operating results from the divested developed market gum business, lower costs incurred for the Simplify to Grow Program and lapping prior year inventory step-up charges. These favorable items were partially offset by higher raw material costs, higher advertising and consumer promotion costs, higher acquisition integration costs and contingent consideration adjustments, higher other selling, general and administrative expenses, an intangible asset impairment charge incurred in 2023, divestiture-related costs incurred in 2023, unfavorable volume/mix and unfavorable currency.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ongoing or new conflicts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Long-term cash requirements primarily relate to funding long-term debt repayments (refer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our U.S. tax reform transition tax liability and deferred taxes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our long-term benefit plan obligations (refer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xml:space="preserve">) and commodity-related purchase commitments and derivative contracts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4"/>
          <w:szCs w:val="14"/>
          <w:i w:val="1"/>
          <w:iCs w:val="1"/>
          <w:color w:val="auto"/>
        </w:rPr>
        <w:t>Debt</w:t>
      </w:r>
      <w:r>
        <w:rPr>
          <w:rFonts w:ascii="Arial" w:cs="Arial" w:eastAsia="Arial" w:hAnsi="Arial"/>
          <w:sz w:val="14"/>
          <w:szCs w:val="14"/>
          <w:color w:val="auto"/>
        </w:rPr>
        <w:t xml:space="preserve"> below). We generally do not use equity to fund our ongoing obligations.</w:t>
      </w:r>
    </w:p>
    <w:p>
      <w:pPr>
        <w:spacing w:after="0" w:line="13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 xml:space="preserve">For a full discussion related to the financial condition for the fiscal year ended December 31, 2022, including a year-to-year comparison between 2023 and 2022, see Part II, Item 7 - </w:t>
      </w:r>
      <w:r>
        <w:rPr>
          <w:rFonts w:ascii="Arial" w:cs="Arial" w:eastAsia="Arial" w:hAnsi="Arial"/>
          <w:sz w:val="14"/>
          <w:szCs w:val="14"/>
          <w:i w:val="1"/>
          <w:iCs w:val="1"/>
          <w:color w:val="auto"/>
        </w:rPr>
        <w:t>Management’s Discussion and Analysis of Financial Condition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Results of Operations</w:t>
      </w:r>
      <w:r>
        <w:rPr>
          <w:rFonts w:ascii="Arial" w:cs="Arial" w:eastAsia="Arial" w:hAnsi="Arial"/>
          <w:sz w:val="14"/>
          <w:szCs w:val="14"/>
          <w:color w:val="auto"/>
        </w:rPr>
        <w:t xml:space="preserve"> in our Annual Report on Form 10-K for the fiscal year ended December 31, 2023.</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over the last three years is noted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1"/>
                <w:szCs w:val="11"/>
                <w:b w:val="1"/>
                <w:bCs w:val="1"/>
                <w:color w:val="auto"/>
              </w:rPr>
              <w:t>For the Years Ended December 31,</w:t>
            </w:r>
          </w:p>
        </w:tc>
        <w:tc>
          <w:tcPr>
            <w:tcW w:w="1080" w:type="dxa"/>
            <w:vAlign w:val="bottom"/>
            <w:tcBorders>
              <w:bottom w:val="single" w:sz="8" w:color="auto"/>
            </w:tcBorders>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2022</w:t>
            </w:r>
          </w:p>
        </w:tc>
      </w:tr>
      <w:tr>
        <w:trPr>
          <w:trHeight w:val="141"/>
        </w:trPr>
        <w:tc>
          <w:tcPr>
            <w:tcW w:w="6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4"/>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by/(used in):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6760" w:type="dxa"/>
            <w:vAlign w:val="bottom"/>
          </w:tcPr>
          <w:p>
            <w:pPr>
              <w:ind w:left="80"/>
              <w:spacing w:after="0"/>
              <w:rPr>
                <w:sz w:val="20"/>
                <w:szCs w:val="20"/>
                <w:color w:val="auto"/>
              </w:rPr>
            </w:pPr>
            <w:r>
              <w:rPr>
                <w:rFonts w:ascii="Arial" w:cs="Arial" w:eastAsia="Arial" w:hAnsi="Arial"/>
                <w:sz w:val="14"/>
                <w:szCs w:val="14"/>
                <w:color w:val="auto"/>
              </w:rPr>
              <w:t>Operating activities</w:t>
            </w:r>
          </w:p>
        </w:tc>
        <w:tc>
          <w:tcPr>
            <w:tcW w:w="920" w:type="dxa"/>
            <w:vAlign w:val="bottom"/>
          </w:tcPr>
          <w:p>
            <w:pPr>
              <w:jc w:val="right"/>
              <w:ind w:right="716"/>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4,910</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left="454"/>
              <w:spacing w:after="0"/>
              <w:rPr>
                <w:sz w:val="20"/>
                <w:szCs w:val="20"/>
                <w:color w:val="auto"/>
              </w:rPr>
            </w:pPr>
            <w:r>
              <w:rPr>
                <w:rFonts w:ascii="Arial" w:cs="Arial" w:eastAsia="Arial" w:hAnsi="Arial"/>
                <w:sz w:val="14"/>
                <w:szCs w:val="14"/>
                <w:color w:val="auto"/>
              </w:rPr>
              <w:t>4,714</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3,908</w:t>
            </w:r>
          </w:p>
        </w:tc>
      </w:tr>
      <w:tr>
        <w:trPr>
          <w:trHeight w:val="211"/>
        </w:trPr>
        <w:tc>
          <w:tcPr>
            <w:tcW w:w="6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526</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54"/>
              <w:spacing w:after="0"/>
              <w:rPr>
                <w:sz w:val="20"/>
                <w:szCs w:val="20"/>
                <w:color w:val="auto"/>
              </w:rPr>
            </w:pPr>
            <w:r>
              <w:rPr>
                <w:rFonts w:ascii="Arial" w:cs="Arial" w:eastAsia="Arial" w:hAnsi="Arial"/>
                <w:sz w:val="14"/>
                <w:szCs w:val="14"/>
                <w:color w:val="auto"/>
              </w:rPr>
              <w:t>2,812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(4,888)</w:t>
            </w:r>
          </w:p>
        </w:tc>
      </w:tr>
      <w:tr>
        <w:trPr>
          <w:trHeight w:val="190"/>
        </w:trPr>
        <w:tc>
          <w:tcPr>
            <w:tcW w:w="6760" w:type="dxa"/>
            <w:vAlign w:val="bottom"/>
          </w:tcPr>
          <w:p>
            <w:pPr>
              <w:ind w:left="8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(5,780)</w:t>
            </w:r>
          </w:p>
        </w:tc>
        <w:tc>
          <w:tcPr>
            <w:tcW w:w="400" w:type="dxa"/>
            <w:vAlign w:val="bottom"/>
          </w:tcPr>
          <w:p>
            <w:pPr>
              <w:spacing w:after="0"/>
              <w:rPr>
                <w:sz w:val="16"/>
                <w:szCs w:val="16"/>
                <w:color w:val="auto"/>
              </w:rPr>
            </w:pPr>
          </w:p>
        </w:tc>
        <w:tc>
          <w:tcPr>
            <w:tcW w:w="1120" w:type="dxa"/>
            <w:vAlign w:val="bottom"/>
          </w:tcPr>
          <w:p>
            <w:pPr>
              <w:jc w:val="center"/>
              <w:ind w:left="454"/>
              <w:spacing w:after="0"/>
              <w:rPr>
                <w:sz w:val="20"/>
                <w:szCs w:val="20"/>
                <w:color w:val="auto"/>
              </w:rPr>
            </w:pPr>
            <w:r>
              <w:rPr>
                <w:rFonts w:ascii="Arial" w:cs="Arial" w:eastAsia="Arial" w:hAnsi="Arial"/>
                <w:sz w:val="14"/>
                <w:szCs w:val="14"/>
                <w:color w:val="auto"/>
                <w:w w:val="99"/>
              </w:rPr>
              <w:t>(7,558)</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w:t>
            </w:r>
          </w:p>
        </w:tc>
      </w:tr>
    </w:tbl>
    <w:p>
      <w:pPr>
        <w:spacing w:after="0" w:line="200" w:lineRule="exact"/>
        <w:rPr>
          <w:sz w:val="20"/>
          <w:szCs w:val="20"/>
          <w:color w:val="auto"/>
        </w:rPr>
      </w:pPr>
    </w:p>
    <w:p>
      <w:pPr>
        <w:sectPr>
          <w:pgSz w:w="11900" w:h="16838" w:orient="portrait"/>
          <w:cols w:equalWidth="0" w:num="1">
            <w:col w:w="11280"/>
          </w:cols>
          <w:pgMar w:left="300" w:top="126" w:right="31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Cash Provided by Operating Activities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increase in net cash provided by operating activities in 2024 was primarily due to an increase in cash-basis net earnings, largely due unfavorable year-over-year working capital movements, including the payment of the European Commission matter. Refer to Note 14, additional information.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firstLine="40"/>
        <w:spacing w:after="0" w:line="298" w:lineRule="auto"/>
        <w:rPr>
          <w:sz w:val="20"/>
          <w:szCs w:val="20"/>
          <w:color w:val="auto"/>
        </w:rPr>
      </w:pPr>
      <w:r>
        <w:rPr>
          <w:rFonts w:ascii="Arial" w:cs="Arial" w:eastAsia="Arial" w:hAnsi="Arial"/>
          <w:sz w:val="14"/>
          <w:szCs w:val="14"/>
          <w:color w:val="auto"/>
        </w:rPr>
        <w:t xml:space="preserve">to operating gains, partially offset by </w:t>
      </w:r>
      <w:r>
        <w:rPr>
          <w:rFonts w:ascii="Arial" w:cs="Arial" w:eastAsia="Arial" w:hAnsi="Arial"/>
          <w:sz w:val="14"/>
          <w:szCs w:val="14"/>
          <w:i w:val="1"/>
          <w:iCs w:val="1"/>
          <w:color w:val="auto"/>
        </w:rPr>
        <w:t xml:space="preserve">Commitments and Contingencies </w:t>
      </w:r>
      <w:r>
        <w:rPr>
          <w:rFonts w:ascii="Arial" w:cs="Arial" w:eastAsia="Arial" w:hAnsi="Arial"/>
          <w:sz w:val="14"/>
          <w:szCs w:val="14"/>
          <w:color w:val="auto"/>
        </w:rPr>
        <w:t>for</w:t>
      </w:r>
    </w:p>
    <w:p>
      <w:pPr>
        <w:spacing w:after="0" w:line="310" w:lineRule="exact"/>
        <w:rPr>
          <w:sz w:val="20"/>
          <w:szCs w:val="20"/>
          <w:color w:val="auto"/>
        </w:rPr>
      </w:pPr>
    </w:p>
    <w:p>
      <w:pPr>
        <w:sectPr>
          <w:pgSz w:w="11900" w:h="16838" w:orient="portrait"/>
          <w:cols w:equalWidth="0" w:num="2">
            <w:col w:w="8880" w:space="20"/>
            <w:col w:w="2380"/>
          </w:cols>
          <w:pgMar w:left="300" w:top="126" w:right="31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Net Cash Used in/Provided by Investing Activities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reduction in net cash provided by investing activities was largely driven by lapping prior year proceeds from the developed market gum divestiture combined with lower proceeds from the current year JDEP share sale as compared to the prior year KDP and JDEP share sales, higher capital expenditures and cash consideration paid for the Evirth acquisition.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7,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for more information.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Capital expenditures were $1,387 million in 2024, $ 1,112 million in 2023 and $906 million in 2022. We continue to make capital expenditures primarily to modernize manufacturing facilities and support new product and productivity initiatives. We expect 2025 capital expenditures to be up to $1.4 billion, including capital expenditures in connection with our ERP System Implementation program and for funding our strategic priorities. We expect to continue to fund these expenditures with cash from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Cash Used in Financing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decrease in net cash used in financing activities was primarily due to higher debt proceeds combined with lower debt repayments, partially offset by higher share repurchases and an increase in dividends paid to shareholders in 2024.</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paid dividends of $2,349 million in 2024, $2,160 million in 2023 and $1,985 million in 2022. On July 30, 2024, the Audit Committee, with authorization delegated from our Board of Directors, declared a quarterly cash dividend of $0.470 per share of Class A Common Stock, an increase of 11 percent, which would be $1.88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For U.S. income tax purposes only, the Company has determined that 100% of the distributions paid to its shareholders in 2024 are characterized as a qualified dividend paid from U.S. earnings and profits. See Note 13,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to the consolidated financial statements and Item 5, </w:t>
      </w:r>
      <w:r>
        <w:rPr>
          <w:rFonts w:ascii="Arial" w:cs="Arial" w:eastAsia="Arial" w:hAnsi="Arial"/>
          <w:sz w:val="14"/>
          <w:szCs w:val="14"/>
          <w:i w:val="1"/>
          <w:iCs w:val="1"/>
          <w:color w:val="auto"/>
        </w:rPr>
        <w:t>Market for Registrant’s Common Equity, Related Stockholder</w:t>
      </w:r>
      <w:r>
        <w:rPr>
          <w:rFonts w:ascii="Arial" w:cs="Arial" w:eastAsia="Arial" w:hAnsi="Arial"/>
          <w:sz w:val="14"/>
          <w:szCs w:val="14"/>
          <w:color w:val="auto"/>
        </w:rPr>
        <w:t xml:space="preserve"> </w:t>
      </w:r>
      <w:r>
        <w:rPr>
          <w:rFonts w:ascii="Arial" w:cs="Arial" w:eastAsia="Arial" w:hAnsi="Arial"/>
          <w:sz w:val="14"/>
          <w:szCs w:val="14"/>
          <w:i w:val="1"/>
          <w:iCs w:val="1"/>
          <w:color w:val="auto"/>
        </w:rPr>
        <w:t>Matters and Issuer Purchases of Equity Securities – Issuer Purchases of Equity Securities</w:t>
      </w:r>
      <w:r>
        <w:rPr>
          <w:rFonts w:ascii="Arial" w:cs="Arial" w:eastAsia="Arial" w:hAnsi="Arial"/>
          <w:sz w:val="14"/>
          <w:szCs w:val="14"/>
          <w:color w:val="auto"/>
        </w:rPr>
        <w:t>, for information on our share repurchase program.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Guarantees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As discussed in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we enter into third-party guarantees primarily to cover the long-term obligations of our vendors. As part of these transactions, we guarantee that third parties will make contractual payments or achieve performance measures. As of December 31, 2024 and December 31, 2023, we had no material third-party guarantees recorded on our consolidated balance sheets. Guarantees do not have, and we do not expect them to have, a material effect on our liquidity.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At our July 2024 meeting, the Board of Directors approved a new $2 billion long-term financing authorization that replaced the prior long-term financing authorization of $2 billion.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$1.5 billion of the long-term financing authorization remained available.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total debt was $17.7 billion at December 31, 2024 and $19.4 billion at December 31, 2023. Our debt-to-capitalization ratio was 0.40 at December 31, 2024 and 0.41 at December 31, 2023. The weighted-average term of our outstanding long-term debt was 7.7 years at December 31, 2024 and 7.8 years at December 31, 2023. Our average daily commercial borrowings were $1.1 billion in 2024, $2.1 billion in 2023 and $1.6 billion in 2022.</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One of our subsidiaries, Mondelez International Holdings Netherlands B.V. (“MIHN”), has outstanding debt. 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The operations held by MIHN generated approximately 73.1% (or $26.6 billion) of the $36.4 billion of consolidated net revenue during fiscal year 2024 and represented approximately 81.9% (or $22.1 billion) of the $27.0 billion of net assets as of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debt and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Trends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regularly monitor worldwide supply, commodity cost and currency trends so we can cost-effectively secure ingredients, packaging and fuel required for production. During 2024, the primary drivers of the increase in our aggregate commodity costs were higher cocoa, sugar, nuts and other ingredient costs as well as unfavorable year-over-year currency exchange transaction costs on imported materials, partially offset by lower energy, edible oils, grains, dairy and packaging costs. While the costs of our principal raw materials fluctuate, generally we believe there will continue to be an adequate supply of the raw materials we use and that they will broadly remain available.</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 number of external factors such as the current macroeconomic environment, including global inflation, effects of geopolitical uncertainty, climate and weather conditions, commodity, transportation and labor market conditions, exchange rate volatility and the effects of local and global regulations, including trade policies, governmental agricultural or other programs affect the availability and cost of raw materials and agricultural materials used in our products. In particular, the supply of cocoa is exposed to many of these factors, including climate change and weather events,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During 2024,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higher cocoa costs in the near-and medium-term due to these factors. For example, the market price for cocoa beans on the Intercontinental Exchange in London was 161% higher on the last trading day of the fourth quarter of 2024 compared to the same day in the fourth quarter of 2023 and it is likely that prices will remain elevated for some time. It is possible that we may not be able to increase prices sufficiently to fully cover the incremental costs of cocoa prices in this environment and/or our hedging strategies may not protect us from increases in cocoa costs, which could result in a significant impact on our profitability.</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along with a discussion of our underlying GAAP results throughout our </w:t>
      </w:r>
      <w:r>
        <w:rPr>
          <w:rFonts w:ascii="Arial" w:cs="Arial" w:eastAsia="Arial" w:hAnsi="Arial"/>
          <w:sz w:val="14"/>
          <w:szCs w:val="14"/>
          <w:i w:val="1"/>
          <w:iCs w:val="1"/>
          <w:color w:val="auto"/>
        </w:rPr>
        <w:t>Management’s Discussion and Analysis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Condition and Results of Operations </w:t>
      </w:r>
      <w:r>
        <w:rPr>
          <w:rFonts w:ascii="Arial" w:cs="Arial" w:eastAsia="Arial" w:hAnsi="Arial"/>
          <w:sz w:val="14"/>
          <w:szCs w:val="14"/>
          <w:color w:val="auto"/>
        </w:rPr>
        <w:t>in this Form 10-K.</w:t>
      </w:r>
    </w:p>
    <w:p>
      <w:pPr>
        <w:spacing w:after="0" w:line="16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 xml:space="preserve">Our primary non -GAAP financial measures are listed below and reflect how we evaluate our current and prior 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 w:lineRule="exact"/>
        <w:rPr>
          <w:sz w:val="20"/>
          <w:szCs w:val="20"/>
          <w:color w:val="auto"/>
        </w:rPr>
      </w:pPr>
    </w:p>
    <w:p>
      <w:pPr>
        <w:jc w:val="both"/>
        <w:ind w:left="520" w:hanging="256"/>
        <w:spacing w:after="0" w:line="226"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“Organic Net Revenue” is defined as net revenues (the most comparable U.S. GAAP financial measure) excluding the impacts of acquisitions, divestitures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short-term distributor agreements related to the sale of a business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and currency rate fluctuations </w:t>
      </w:r>
      <w:r>
        <w:rPr>
          <w:rFonts w:ascii="Arial" w:cs="Arial" w:eastAsia="Arial" w:hAnsi="Arial"/>
          <w:sz w:val="18"/>
          <w:szCs w:val="18"/>
          <w:color w:val="auto"/>
          <w:vertAlign w:val="superscript"/>
        </w:rPr>
        <w:t>(4)</w:t>
      </w:r>
      <w:r>
        <w:rPr>
          <w:rFonts w:ascii="Arial" w:cs="Arial" w:eastAsia="Arial" w:hAnsi="Arial"/>
          <w:sz w:val="14"/>
          <w:szCs w:val="14"/>
          <w:color w:val="auto"/>
        </w:rPr>
        <w:t>.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w:t>
      </w:r>
    </w:p>
    <w:p>
      <w:pPr>
        <w:spacing w:after="0" w:line="2" w:lineRule="exact"/>
        <w:rPr>
          <w:rFonts w:ascii="Arial" w:cs="Arial" w:eastAsia="Arial" w:hAnsi="Arial"/>
          <w:sz w:val="14"/>
          <w:szCs w:val="14"/>
          <w:color w:val="auto"/>
        </w:rPr>
      </w:pPr>
    </w:p>
    <w:p>
      <w:pPr>
        <w:jc w:val="both"/>
        <w:ind w:left="820" w:hanging="266"/>
        <w:spacing w:after="0" w:line="256" w:lineRule="auto"/>
        <w:tabs>
          <w:tab w:leader="none" w:pos="816" w:val="left"/>
        </w:tabs>
        <w:numPr>
          <w:ilvl w:val="1"/>
          <w:numId w:val="27"/>
        </w:numPr>
        <w:rPr>
          <w:rFonts w:ascii="Arial" w:cs="Arial" w:eastAsia="Arial" w:hAnsi="Arial"/>
          <w:sz w:val="14"/>
          <w:szCs w:val="14"/>
          <w:color w:val="auto"/>
        </w:rPr>
      </w:pPr>
      <w:r>
        <w:rPr>
          <w:rFonts w:ascii="Arial" w:cs="Arial" w:eastAsia="Arial" w:hAnsi="Arial"/>
          <w:sz w:val="14"/>
          <w:szCs w:val="14"/>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ind w:left="820" w:hanging="266"/>
        <w:spacing w:after="0" w:line="258" w:lineRule="auto"/>
        <w:tabs>
          <w:tab w:leader="none" w:pos="816" w:val="left"/>
        </w:tabs>
        <w:numPr>
          <w:ilvl w:val="1"/>
          <w:numId w:val="27"/>
        </w:numPr>
        <w:rPr>
          <w:rFonts w:ascii="Arial" w:cs="Arial" w:eastAsia="Arial" w:hAnsi="Arial"/>
          <w:sz w:val="14"/>
          <w:szCs w:val="14"/>
          <w:color w:val="auto"/>
        </w:rPr>
      </w:pPr>
      <w:r>
        <w:rPr>
          <w:rFonts w:ascii="Arial" w:cs="Arial" w:eastAsia="Arial" w:hAnsi="Arial"/>
          <w:sz w:val="14"/>
          <w:szCs w:val="14"/>
          <w:color w:val="auto"/>
        </w:rPr>
        <w:t>Our developed markets include the entire North America region, the Europe region excluding the countries included in the emerging markets definition, and Australia, New Zealand and Japan from the AMEA region.</w:t>
      </w:r>
    </w:p>
    <w:p>
      <w:pPr>
        <w:spacing w:after="0" w:line="1" w:lineRule="exact"/>
        <w:rPr>
          <w:rFonts w:ascii="Arial" w:cs="Arial" w:eastAsia="Arial" w:hAnsi="Arial"/>
          <w:sz w:val="14"/>
          <w:szCs w:val="14"/>
          <w:color w:val="auto"/>
        </w:rPr>
      </w:pPr>
    </w:p>
    <w:p>
      <w:pPr>
        <w:ind w:left="520" w:hanging="256"/>
        <w:spacing w:after="0" w:line="238"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4"/>
          <w:szCs w:val="14"/>
          <w:color w:val="auto"/>
        </w:rPr>
        <w:t>“Adjusted Operating Income” is defined as operating income (the most comparable U.S. GAAP financial measure) excluding the impacts of the Simplify to Grow Program</w:t>
      </w:r>
    </w:p>
    <w:p>
      <w:pPr>
        <w:spacing w:after="0" w:line="4" w:lineRule="exact"/>
        <w:rPr>
          <w:rFonts w:ascii="Arial" w:cs="Arial" w:eastAsia="Arial" w:hAnsi="Arial"/>
          <w:sz w:val="16"/>
          <w:szCs w:val="16"/>
          <w:color w:val="auto"/>
        </w:rPr>
      </w:pPr>
    </w:p>
    <w:p>
      <w:pPr>
        <w:jc w:val="both"/>
        <w:ind w:left="520"/>
        <w:spacing w:after="0" w:line="205" w:lineRule="auto"/>
        <w:rPr>
          <w:rFonts w:ascii="Arial" w:cs="Arial" w:eastAsia="Arial" w:hAnsi="Arial"/>
          <w:sz w:val="16"/>
          <w:szCs w:val="16"/>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gains or losses (including non-cash impairment charges) on goodwill and intangible assets; divestiture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or acquisition gains or losses, divestiture-related costs </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acquisition-related costs </w:t>
      </w:r>
      <w:r>
        <w:rPr>
          <w:rFonts w:ascii="Arial" w:cs="Arial" w:eastAsia="Arial" w:hAnsi="Arial"/>
          <w:sz w:val="18"/>
          <w:szCs w:val="18"/>
          <w:color w:val="auto"/>
          <w:vertAlign w:val="superscript"/>
        </w:rPr>
        <w:t>(7)</w:t>
      </w:r>
      <w:r>
        <w:rPr>
          <w:rFonts w:ascii="Arial" w:cs="Arial" w:eastAsia="Arial" w:hAnsi="Arial"/>
          <w:sz w:val="14"/>
          <w:szCs w:val="14"/>
          <w:color w:val="auto"/>
        </w:rPr>
        <w:t xml:space="preserve">, and acquisition integration costs and contingent consideration adjustments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inventory step-up charges </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the operating results of divestitures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operating results from short-term distributor agreements related to the sale of a business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remeasurement of net monetary position </w:t>
      </w:r>
      <w:r>
        <w:rPr>
          <w:rFonts w:ascii="Arial" w:cs="Arial" w:eastAsia="Arial" w:hAnsi="Arial"/>
          <w:sz w:val="18"/>
          <w:szCs w:val="18"/>
          <w:color w:val="auto"/>
          <w:vertAlign w:val="superscript"/>
        </w:rPr>
        <w:t>(10)</w:t>
      </w:r>
      <w:r>
        <w:rPr>
          <w:rFonts w:ascii="Arial" w:cs="Arial" w:eastAsia="Arial" w:hAnsi="Arial"/>
          <w:sz w:val="14"/>
          <w:szCs w:val="14"/>
          <w:color w:val="auto"/>
        </w:rPr>
        <w:t xml:space="preserve">; mark-to-market impacts from commodity, forecasted currency and equity method investment transaction derivative contracts </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impact from resolution of tax matters </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2017 malware incident net recoveries; incremental costs due to the war in Ukraine </w:t>
      </w:r>
      <w:r>
        <w:rPr>
          <w:rFonts w:ascii="Arial" w:cs="Arial" w:eastAsia="Arial" w:hAnsi="Arial"/>
          <w:sz w:val="18"/>
          <w:szCs w:val="18"/>
          <w:color w:val="auto"/>
          <w:vertAlign w:val="superscript"/>
        </w:rPr>
        <w:t>(13)</w:t>
      </w:r>
      <w:r>
        <w:rPr>
          <w:rFonts w:ascii="Arial" w:cs="Arial" w:eastAsia="Arial" w:hAnsi="Arial"/>
          <w:sz w:val="14"/>
          <w:szCs w:val="14"/>
          <w:color w:val="auto"/>
        </w:rPr>
        <w:t xml:space="preserve">; impact from the European Commission legal matter </w:t>
      </w:r>
      <w:r>
        <w:rPr>
          <w:rFonts w:ascii="Arial" w:cs="Arial" w:eastAsia="Arial" w:hAnsi="Arial"/>
          <w:sz w:val="18"/>
          <w:szCs w:val="18"/>
          <w:color w:val="auto"/>
          <w:vertAlign w:val="superscript"/>
        </w:rPr>
        <w:t>(14)</w:t>
      </w:r>
      <w:r>
        <w:rPr>
          <w:rFonts w:ascii="Arial" w:cs="Arial" w:eastAsia="Arial" w:hAnsi="Arial"/>
          <w:sz w:val="14"/>
          <w:szCs w:val="14"/>
          <w:color w:val="auto"/>
        </w:rPr>
        <w:t xml:space="preserve">; the impact from pension participation changes </w:t>
      </w:r>
      <w:r>
        <w:rPr>
          <w:rFonts w:ascii="Arial" w:cs="Arial" w:eastAsia="Arial" w:hAnsi="Arial"/>
          <w:sz w:val="18"/>
          <w:szCs w:val="18"/>
          <w:color w:val="auto"/>
          <w:vertAlign w:val="superscript"/>
        </w:rPr>
        <w:t>(15)</w:t>
      </w:r>
      <w:r>
        <w:rPr>
          <w:rFonts w:ascii="Arial" w:cs="Arial" w:eastAsia="Arial" w:hAnsi="Arial"/>
          <w:sz w:val="14"/>
          <w:szCs w:val="14"/>
          <w:color w:val="auto"/>
        </w:rPr>
        <w:t xml:space="preserve">; and operating costs from the ERP System Implementation program </w:t>
      </w:r>
      <w:r>
        <w:rPr>
          <w:rFonts w:ascii="Arial" w:cs="Arial" w:eastAsia="Arial" w:hAnsi="Arial"/>
          <w:sz w:val="18"/>
          <w:szCs w:val="18"/>
          <w:color w:val="auto"/>
          <w:vertAlign w:val="superscript"/>
        </w:rPr>
        <w:t>(16)</w:t>
      </w:r>
      <w:r>
        <w:rPr>
          <w:rFonts w:ascii="Arial" w:cs="Arial" w:eastAsia="Arial" w:hAnsi="Arial"/>
          <w:sz w:val="14"/>
          <w:szCs w:val="14"/>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8"/>
          <w:szCs w:val="18"/>
          <w:color w:val="auto"/>
          <w:vertAlign w:val="superscript"/>
        </w:rPr>
        <w:t>(4)</w:t>
      </w:r>
      <w:r>
        <w:rPr>
          <w:rFonts w:ascii="Arial" w:cs="Arial" w:eastAsia="Arial" w:hAnsi="Arial"/>
          <w:sz w:val="14"/>
          <w:szCs w:val="14"/>
          <w:color w:val="auto"/>
        </w:rPr>
        <w:t>. We believe these measures provide improved comparability of underlying operating results.</w:t>
      </w:r>
    </w:p>
    <w:p>
      <w:pPr>
        <w:spacing w:after="0" w:line="6" w:lineRule="exact"/>
        <w:rPr>
          <w:rFonts w:ascii="Arial" w:cs="Arial" w:eastAsia="Arial" w:hAnsi="Arial"/>
          <w:sz w:val="16"/>
          <w:szCs w:val="16"/>
          <w:color w:val="auto"/>
        </w:rPr>
      </w:pPr>
    </w:p>
    <w:p>
      <w:pPr>
        <w:jc w:val="both"/>
        <w:ind w:left="520" w:hanging="256"/>
        <w:spacing w:after="0" w:line="245"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4"/>
          <w:szCs w:val="14"/>
          <w:color w:val="auto"/>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mark-to-market unrealized gains or losses and realized gains or losses from marketable securities </w:t>
      </w:r>
      <w:r>
        <w:rPr>
          <w:rFonts w:ascii="Arial" w:cs="Arial" w:eastAsia="Arial" w:hAnsi="Arial"/>
          <w:sz w:val="18"/>
          <w:szCs w:val="18"/>
          <w:color w:val="auto"/>
          <w:vertAlign w:val="superscript"/>
        </w:rPr>
        <w:t>(17)</w:t>
      </w:r>
      <w:r>
        <w:rPr>
          <w:rFonts w:ascii="Arial" w:cs="Arial" w:eastAsia="Arial" w:hAnsi="Arial"/>
          <w:sz w:val="14"/>
          <w:szCs w:val="14"/>
          <w:color w:val="auto"/>
        </w:rPr>
        <w:t xml:space="preserve">; initial impacts from enacted tax law changes </w:t>
      </w:r>
      <w:r>
        <w:rPr>
          <w:rFonts w:ascii="Arial" w:cs="Arial" w:eastAsia="Arial" w:hAnsi="Arial"/>
          <w:sz w:val="18"/>
          <w:szCs w:val="18"/>
          <w:color w:val="auto"/>
          <w:vertAlign w:val="superscript"/>
        </w:rPr>
        <w:t>(18)</w:t>
      </w:r>
      <w:r>
        <w:rPr>
          <w:rFonts w:ascii="Arial" w:cs="Arial" w:eastAsia="Arial" w:hAnsi="Arial"/>
          <w:sz w:val="14"/>
          <w:szCs w:val="14"/>
          <w:color w:val="auto"/>
        </w:rPr>
        <w:t xml:space="preserve">; and gains or losses on equity method investment transactions </w:t>
      </w:r>
      <w:r>
        <w:rPr>
          <w:rFonts w:ascii="Arial" w:cs="Arial" w:eastAsia="Arial" w:hAnsi="Arial"/>
          <w:sz w:val="18"/>
          <w:szCs w:val="18"/>
          <w:color w:val="auto"/>
          <w:vertAlign w:val="superscript"/>
        </w:rPr>
        <w:t>(19)</w:t>
      </w:r>
      <w:r>
        <w:rPr>
          <w:rFonts w:ascii="Arial" w:cs="Arial" w:eastAsia="Arial" w:hAnsi="Arial"/>
          <w:sz w:val="14"/>
          <w:szCs w:val="14"/>
          <w:color w:val="auto"/>
        </w:rPr>
        <w:t xml:space="preserve">. We also evaluate growth in our Adjusted EPS on a constant currency basis </w:t>
      </w:r>
      <w:r>
        <w:rPr>
          <w:rFonts w:ascii="Arial" w:cs="Arial" w:eastAsia="Arial" w:hAnsi="Arial"/>
          <w:sz w:val="18"/>
          <w:szCs w:val="18"/>
          <w:color w:val="auto"/>
          <w:vertAlign w:val="superscript"/>
        </w:rPr>
        <w:t>(4)</w:t>
      </w:r>
      <w:r>
        <w:rPr>
          <w:rFonts w:ascii="Arial" w:cs="Arial" w:eastAsia="Arial" w:hAnsi="Arial"/>
          <w:sz w:val="14"/>
          <w:szCs w:val="14"/>
          <w:color w:val="auto"/>
        </w:rPr>
        <w:t>. We believe Adjusted EPS provides improved comparability of underlying operating results.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left="780" w:hanging="259"/>
        <w:spacing w:after="0" w:line="265"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When items no longer impact our current or future presentation of non-GAAP operating results, we remove these items from our non-GAAP definitions. Beginning in Q1 2024, due to a significant devaluation of the Argentinean peso that occurred in December 2023 and the resulting distortion it would cause on our non-GAAP constant currency growth rate measures, we now exclude the impact of pricing in excess of 26% year-over-year ("extreme pricing") in Argentina, which is the level at which hyperinflation generally occurs cumulatively over a 3-year period. We have excluded the impact of extreme pricing in Argentina from our calculation of Organic Net Revenue, Organic Net Revenue growth and other non-GAAP financial constant currency growth measures with a corresponding adjustment to changes in currency exchange rates. We made this change on a prospective basis due to the distorting effect expected in the current period and future periods following the Argentinian peso devaluation that occurred in December 2023 and did not revise our historical non-GAAP constant currency growth measures. Beginning in Q2 2024, we added to the non-GAAP definitions the exclusion of operating expenses associated with the ERP System Implementation program as they represent incremental transformational costs above the normal ongoing level of spending on information technology to support operations (see footnote (16) below).</w:t>
      </w:r>
    </w:p>
    <w:p>
      <w:pPr>
        <w:spacing w:after="0" w:line="127" w:lineRule="exact"/>
        <w:rPr>
          <w:rFonts w:ascii="Arial" w:cs="Arial" w:eastAsia="Arial" w:hAnsi="Arial"/>
          <w:sz w:val="11"/>
          <w:szCs w:val="11"/>
          <w:color w:val="auto"/>
        </w:rPr>
      </w:pPr>
    </w:p>
    <w:p>
      <w:pPr>
        <w:ind w:left="780" w:hanging="259"/>
        <w:spacing w:after="0" w:line="264"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Divestitures include completed sales of businesses, exits of major product lines upon completion of a sale or licensing agreement, the partial or full sale of an equity method investment and changes from equity method investment accounting to accounting for marketable securities.</w:t>
      </w:r>
    </w:p>
    <w:p>
      <w:pPr>
        <w:ind w:left="780" w:hanging="259"/>
        <w:spacing w:after="0" w:line="264"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the fourth quarter of 2023, we began to exclude the operating results from short-term distributor agreements that have been executed in conjunction with the sale of a business. We exclude this item to better facilitate comparisons of our underlying operating performance across periods.</w:t>
      </w:r>
    </w:p>
    <w:p>
      <w:pPr>
        <w:jc w:val="both"/>
        <w:ind w:left="780" w:hanging="259"/>
        <w:spacing w:after="0" w:line="258"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Constant currency operating results are calculated by dividing or multiplying, as appropriate, the current-period local currency operating results by the currency exchange rates used to translate the financial statements in the comparable prior year period to determine what the current-period U.S. dollar operating results would have been if the currency exchange rate had not changed from the comparable prior-year period. Beginning in the first quarter of 2024, we also now include within our currency-related impacts a corresponding adjustment associated with the impact of extreme pricing in Argentina.</w:t>
      </w:r>
    </w:p>
    <w:p>
      <w:pPr>
        <w:ind w:left="780" w:hanging="259"/>
        <w:spacing w:after="0" w:line="264"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780" w:hanging="259"/>
        <w:spacing w:after="0" w:line="258"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Divestiture-related costs, which includes costs incurred in relation to the preparation and completion (including one-time costs such as severance related to the elimination of stranded costs) of our divestitures as defined in footnote (2), also includes costs incurred associated with our publicly-announced processes to sell businesses. We exclude these items to better facilitate comparisons of our underlying operating performance across periods.</w:t>
      </w:r>
    </w:p>
    <w:p>
      <w:pPr>
        <w:jc w:val="both"/>
        <w:ind w:left="780" w:hanging="259"/>
        <w:spacing w:after="0" w:line="258"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Acquisition-related costs, which includes transaction costs such as third party advisor, investment banking and legal fees, also includes one-time compensation expense related to the buyout of non-vested employee stock ownership plan (“ESOP”) shares and realized gains or losses from hedging activities associated with acquisition funds. We exclude these items to better facilitate comparisons of our underlying operating performance across periods.</w:t>
      </w:r>
    </w:p>
    <w:p>
      <w:pPr>
        <w:jc w:val="both"/>
        <w:ind w:left="780" w:hanging="259"/>
        <w:spacing w:after="0" w:line="264"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Acquisition integration costs and contingent consideration adjustments include one-time costs related to the integration of acquisitions as well as any adjustments made to contingent compensation liabilities for earn-outs related to acquisitions that do not relate to recurring employee compensation expense. We exclude these items to better facilitate comparisons of our underlying operating performance across periods. See Note 10, </w:t>
      </w:r>
      <w:r>
        <w:rPr>
          <w:rFonts w:ascii="Arial" w:cs="Arial" w:eastAsia="Arial" w:hAnsi="Arial"/>
          <w:sz w:val="11"/>
          <w:szCs w:val="11"/>
          <w:i w:val="1"/>
          <w:iCs w:val="1"/>
          <w:color w:val="auto"/>
        </w:rPr>
        <w:t>Financial Instruments - Fair Value of Contingent Consideration</w:t>
      </w:r>
      <w:r>
        <w:rPr>
          <w:rFonts w:ascii="Arial" w:cs="Arial" w:eastAsia="Arial" w:hAnsi="Arial"/>
          <w:sz w:val="11"/>
          <w:szCs w:val="11"/>
          <w:color w:val="auto"/>
        </w:rPr>
        <w:t xml:space="preserve"> for additional information.</w:t>
      </w:r>
    </w:p>
    <w:p>
      <w:pPr>
        <w:spacing w:after="0" w:line="1" w:lineRule="exact"/>
        <w:rPr>
          <w:rFonts w:ascii="Arial" w:cs="Arial" w:eastAsia="Arial" w:hAnsi="Arial"/>
          <w:sz w:val="11"/>
          <w:szCs w:val="11"/>
          <w:color w:val="auto"/>
        </w:rPr>
      </w:pPr>
    </w:p>
    <w:p>
      <w:pPr>
        <w:ind w:left="780" w:hanging="259"/>
        <w:spacing w:after="0" w:line="254" w:lineRule="auto"/>
        <w:tabs>
          <w:tab w:leader="none" w:pos="769"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780" w:hanging="259"/>
        <w:spacing w:after="0" w:line="264" w:lineRule="auto"/>
        <w:tabs>
          <w:tab w:leader="none" w:pos="779"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In connection with our applying highly inflationary accounting (refer to Note 1,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for Argentina (beginning in the third quarter of 2018), Türkiye (beginning in the second quarter of 2022) and Egypt and Nigeria (beginning in the fourth quarter of 2024),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spacing w:after="0" w:line="1" w:lineRule="exact"/>
        <w:rPr>
          <w:rFonts w:ascii="Arial" w:cs="Arial" w:eastAsia="Arial" w:hAnsi="Arial"/>
          <w:sz w:val="11"/>
          <w:szCs w:val="11"/>
          <w:color w:val="auto"/>
        </w:rPr>
      </w:pPr>
    </w:p>
    <w:p>
      <w:pPr>
        <w:jc w:val="both"/>
        <w:ind w:left="780" w:hanging="259"/>
        <w:spacing w:after="0" w:line="256" w:lineRule="auto"/>
        <w:tabs>
          <w:tab w:leader="none" w:pos="771" w:val="left"/>
        </w:tabs>
        <w:numPr>
          <w:ilvl w:val="0"/>
          <w:numId w:val="28"/>
        </w:numPr>
        <w:rPr>
          <w:rFonts w:ascii="Arial" w:cs="Arial" w:eastAsia="Arial" w:hAnsi="Arial"/>
          <w:sz w:val="11"/>
          <w:szCs w:val="11"/>
          <w:color w:val="auto"/>
        </w:rPr>
      </w:pPr>
      <w:r>
        <w:rPr>
          <w:rFonts w:ascii="Arial" w:cs="Arial" w:eastAsia="Arial" w:hAnsi="Arial"/>
          <w:sz w:val="11"/>
          <w:szCs w:val="11"/>
          <w:color w:val="auto"/>
        </w:rPr>
        <w:t>We exclude unrealized gains and losses (mark-to-market impacts) from outstanding commodity and forecasted currency and equity method investment transaction derivatives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1" w:lineRule="exact"/>
        <w:rPr>
          <w:rFonts w:ascii="Arial" w:cs="Arial" w:eastAsia="Arial" w:hAnsi="Arial"/>
          <w:sz w:val="11"/>
          <w:szCs w:val="11"/>
          <w:color w:val="auto"/>
        </w:rPr>
      </w:pPr>
    </w:p>
    <w:p>
      <w:pPr>
        <w:ind w:left="780" w:hanging="259"/>
        <w:spacing w:after="0"/>
        <w:tabs>
          <w:tab w:leader="none" w:pos="7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See Note 14,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in our Annual Report on Form 10-K for the year ended December 31, 2022.</w:t>
      </w:r>
    </w:p>
    <w:p>
      <w:pPr>
        <w:spacing w:after="0" w:line="13" w:lineRule="exact"/>
        <w:rPr>
          <w:rFonts w:ascii="Arial" w:cs="Arial" w:eastAsia="Arial" w:hAnsi="Arial"/>
          <w:sz w:val="11"/>
          <w:szCs w:val="11"/>
          <w:color w:val="auto"/>
        </w:rPr>
      </w:pPr>
    </w:p>
    <w:p>
      <w:pPr>
        <w:jc w:val="both"/>
        <w:ind w:left="780" w:hanging="259"/>
        <w:spacing w:after="0" w:line="259" w:lineRule="auto"/>
        <w:tabs>
          <w:tab w:leader="none" w:pos="779"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w:t>
      </w:r>
    </w:p>
    <w:p>
      <w:pPr>
        <w:spacing w:after="0" w:line="1" w:lineRule="exact"/>
        <w:rPr>
          <w:rFonts w:ascii="Arial" w:cs="Arial" w:eastAsia="Arial" w:hAnsi="Arial"/>
          <w:sz w:val="11"/>
          <w:szCs w:val="11"/>
          <w:color w:val="auto"/>
        </w:rPr>
      </w:pPr>
    </w:p>
    <w:p>
      <w:pPr>
        <w:jc w:val="both"/>
        <w:ind w:left="780" w:hanging="259"/>
        <w:spacing w:after="0" w:line="261" w:lineRule="auto"/>
        <w:tabs>
          <w:tab w:leader="none" w:pos="779"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of December 31, 2022, we recorded an estimate of the possible cost to resolve this matter. We have cooperated with the investigation and reached a negotiated, resolution to this matter. We subsequently adjusted our accrual accordingly and fulfilled our payment obligation in August 2024. Due to the unique nature of this matter, we believe it to be infrequent and unusual and therefore exclude it to better facilitate comparisons of our underlying operating performance across periods. Refer to Note 14, </w:t>
      </w:r>
      <w:r>
        <w:rPr>
          <w:rFonts w:ascii="Arial" w:cs="Arial" w:eastAsia="Arial" w:hAnsi="Arial"/>
          <w:sz w:val="11"/>
          <w:szCs w:val="11"/>
          <w:i w:val="1"/>
          <w:iCs w:val="1"/>
          <w:color w:val="auto"/>
        </w:rPr>
        <w:t xml:space="preserve">Commitments and Contingencies </w:t>
      </w:r>
      <w:r>
        <w:rPr>
          <w:rFonts w:ascii="Arial" w:cs="Arial" w:eastAsia="Arial" w:hAnsi="Arial"/>
          <w:sz w:val="11"/>
          <w:szCs w:val="11"/>
          <w:color w:val="auto"/>
        </w:rPr>
        <w:t>for additional information.</w:t>
      </w:r>
    </w:p>
    <w:p>
      <w:pPr>
        <w:spacing w:after="0" w:line="1" w:lineRule="exact"/>
        <w:rPr>
          <w:rFonts w:ascii="Arial" w:cs="Arial" w:eastAsia="Arial" w:hAnsi="Arial"/>
          <w:sz w:val="11"/>
          <w:szCs w:val="11"/>
          <w:color w:val="auto"/>
        </w:rPr>
      </w:pPr>
    </w:p>
    <w:p>
      <w:pPr>
        <w:ind w:left="780" w:hanging="259"/>
        <w:spacing w:after="0" w:line="289" w:lineRule="auto"/>
        <w:tabs>
          <w:tab w:leader="none" w:pos="779"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impact from pension participation changes represents the charges incurred when employee groups are withdrawn from multiemployer pension plans and other changes in employee group pension plan participation. We exclude these charges from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ind w:left="780"/>
        <w:spacing w:after="0"/>
        <w:rPr>
          <w:sz w:val="20"/>
          <w:szCs w:val="20"/>
          <w:color w:val="auto"/>
        </w:rPr>
      </w:pPr>
      <w:r>
        <w:rPr>
          <w:rFonts w:ascii="Arial" w:cs="Arial" w:eastAsia="Arial" w:hAnsi="Arial"/>
          <w:sz w:val="11"/>
          <w:szCs w:val="11"/>
          <w:color w:val="auto"/>
        </w:rPr>
        <w:t xml:space="preserve">our non–GAAP results because those amounts do not reflect our ongoing pension obligations. See Note 11, </w:t>
      </w:r>
      <w:r>
        <w:rPr>
          <w:rFonts w:ascii="Arial" w:cs="Arial" w:eastAsia="Arial" w:hAnsi="Arial"/>
          <w:sz w:val="11"/>
          <w:szCs w:val="11"/>
          <w:i w:val="1"/>
          <w:iCs w:val="1"/>
          <w:color w:val="auto"/>
        </w:rPr>
        <w:t>Benefit Plans</w:t>
      </w:r>
      <w:r>
        <w:rPr>
          <w:rFonts w:ascii="Arial" w:cs="Arial" w:eastAsia="Arial" w:hAnsi="Arial"/>
          <w:sz w:val="11"/>
          <w:szCs w:val="11"/>
          <w:color w:val="auto"/>
        </w:rPr>
        <w:t>, for additional information on the multiemployer pension plan withdrawal.</w:t>
      </w:r>
    </w:p>
    <w:p>
      <w:pPr>
        <w:spacing w:after="0" w:line="23" w:lineRule="exact"/>
        <w:rPr>
          <w:sz w:val="20"/>
          <w:szCs w:val="20"/>
          <w:color w:val="auto"/>
        </w:rPr>
      </w:pPr>
    </w:p>
    <w:p>
      <w:pPr>
        <w:jc w:val="both"/>
        <w:ind w:left="780" w:hanging="259"/>
        <w:spacing w:after="0" w:line="261" w:lineRule="auto"/>
        <w:tabs>
          <w:tab w:leader="none" w:pos="779"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July 2024, our Board of Directors approved funding of $1.2 billion for a multi-year systems transformation program to upgrade our global ERP and supply chain systems (the “ERP System Implementation”), which is comprised of both capital expenditures and operating expenses, of which a majority is expected to be operating expenses. The ERP System Implementation program will be implemented in several phases with spending occurring over the next five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 These operating expenses will be excluded from our non-GAAP financial measures as they are nonrecurring and excluding those costs will better facilitate comparisons of our underlying operating performance across periods.</w:t>
      </w:r>
    </w:p>
    <w:p>
      <w:pPr>
        <w:spacing w:after="0" w:line="1" w:lineRule="exact"/>
        <w:rPr>
          <w:rFonts w:ascii="Arial" w:cs="Arial" w:eastAsia="Arial" w:hAnsi="Arial"/>
          <w:sz w:val="11"/>
          <w:szCs w:val="11"/>
          <w:color w:val="auto"/>
        </w:rPr>
      </w:pPr>
    </w:p>
    <w:p>
      <w:pPr>
        <w:ind w:left="780" w:hanging="259"/>
        <w:spacing w:after="0" w:line="254" w:lineRule="auto"/>
        <w:tabs>
          <w:tab w:leader="none" w:pos="779"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ind w:left="780" w:hanging="259"/>
        <w:spacing w:after="0" w:line="264" w:lineRule="auto"/>
        <w:tabs>
          <w:tab w:leader="none" w:pos="779" w:val="left"/>
        </w:tabs>
        <w:numPr>
          <w:ilvl w:val="0"/>
          <w:numId w:val="29"/>
        </w:numPr>
        <w:rPr>
          <w:rFonts w:ascii="Arial" w:cs="Arial" w:eastAsia="Arial" w:hAnsi="Arial"/>
          <w:sz w:val="11"/>
          <w:szCs w:val="11"/>
          <w:color w:val="auto"/>
        </w:rPr>
      </w:pPr>
      <w:r>
        <w:rPr>
          <w:rFonts w:ascii="Arial" w:cs="Arial" w:eastAsia="Arial" w:hAnsi="Arial"/>
          <w:sz w:val="11"/>
          <w:szCs w:val="11"/>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w:t>
      </w:r>
    </w:p>
    <w:p>
      <w:pPr>
        <w:jc w:val="both"/>
        <w:ind w:left="780" w:hanging="259"/>
        <w:spacing w:after="0" w:line="267" w:lineRule="auto"/>
        <w:tabs>
          <w:tab w:leader="none" w:pos="779" w:val="left"/>
        </w:tabs>
        <w:numPr>
          <w:ilvl w:val="0"/>
          <w:numId w:val="29"/>
        </w:numPr>
        <w:rPr>
          <w:rFonts w:ascii="Arial" w:cs="Arial" w:eastAsia="Arial" w:hAnsi="Arial"/>
          <w:sz w:val="11"/>
          <w:szCs w:val="11"/>
          <w:color w:val="auto"/>
        </w:rPr>
      </w:pPr>
      <w:r>
        <w:rPr>
          <w:rFonts w:ascii="Arial" w:cs="Arial" w:eastAsia="Arial" w:hAnsi="Arial"/>
          <w:sz w:val="11"/>
          <w:szCs w:val="11"/>
          <w:color w:val="auto"/>
        </w:rPr>
        <w:t xml:space="preserve">We exclude gains and losses on equity method transactions including impairments of our equity method investments. In addition, we also exclude from our non-GAAP financial measures any gains or losses realized on economic hedges on sales proceeds from our equity method investment transactions, which have been recorded in </w:t>
      </w:r>
      <w:r>
        <w:rPr>
          <w:rFonts w:ascii="Arial" w:cs="Arial" w:eastAsia="Arial" w:hAnsi="Arial"/>
          <w:sz w:val="11"/>
          <w:szCs w:val="11"/>
          <w:i w:val="1"/>
          <w:iCs w:val="1"/>
          <w:color w:val="auto"/>
        </w:rPr>
        <w:t>Interest and other expense, net</w:t>
      </w:r>
      <w:r>
        <w:rPr>
          <w:rFonts w:ascii="Arial" w:cs="Arial" w:eastAsia="Arial" w:hAnsi="Arial"/>
          <w:sz w:val="11"/>
          <w:szCs w:val="11"/>
          <w:color w:val="auto"/>
        </w:rPr>
        <w:t>. These items are not indicative of underlying operations and are excluded to better facilitate comparisons of our underlying operating performance across periods.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10-K, which can be found above under </w:t>
      </w:r>
      <w:r>
        <w:rPr>
          <w:rFonts w:ascii="Arial" w:cs="Arial" w:eastAsia="Arial" w:hAnsi="Arial"/>
          <w:sz w:val="14"/>
          <w:szCs w:val="14"/>
          <w:i w:val="1"/>
          <w:iCs w:val="1"/>
          <w:color w:val="auto"/>
        </w:rPr>
        <w:t>Consolidated Results of Operations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Indefinite-Life Intangible Assets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review our operating segment and reporting unit structure annually or as significant changes in the organization occur for goodwill testing throughout the year by performing a qualitative review of entity-specific, industry, market and general economic factors affecting our goodwill reporting units. Annually, on July 1, we test goodwill and indefinite-life intangible assets for impairment and may perform qualitative testing, or depending on factors such as prior 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Estimating the fair value of individual reporting units requires us to make assumptions and estimates regarding our future plans and industry and economic conditions based on available information. Given the uncertainty of the global economic environment, those estimates could be significantly different than future performance. If the carrying value of a reporting unit’s net assets exceeds its fair value, we would recognize an impairment charge for the amount by which the carrying value exceeds the reporting unit's fair value.</w:t>
      </w:r>
    </w:p>
    <w:p>
      <w:pPr>
        <w:spacing w:after="0" w:line="33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2024, 2023 and 2022, there were no impairments of goodwill. In connection with our 2024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32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Annually, we assess indefinite-life intangible assets for impairment by performing a qualitative review and assessing events and circumstances that could affect the fair value or carrying value of these assets. If potential impairment risk exists for a specific asset, we quantitatively test it for impairment by comparing its estimated fair value with its carrying value. We utilize estimates of future sales, earnings growth rates, royalty rates and discount rates in determining a brand’s global fair value. If the carrying value of the asset exceeds its estimated fair value, the asset is impaired and its carrying value is reduced to the estimated fair value.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In 2024, we recorded $153 million of intangible asset impairment charges related to two biscuit brands in the Europe segment, one biscuit brand in the AMEA segment and one candy and one biscuit brand in the Latin America segment. The impairment charges were calculated as the excess of the carrying value over the estimated fair value of the intangible assets on a global basis and were recorded within </w:t>
      </w:r>
      <w:r>
        <w:rPr>
          <w:rFonts w:ascii="Arial" w:cs="Arial" w:eastAsia="Arial" w:hAnsi="Arial"/>
          <w:sz w:val="14"/>
          <w:szCs w:val="14"/>
          <w:i w:val="1"/>
          <w:iCs w:val="1"/>
          <w:color w:val="auto"/>
        </w:rPr>
        <w:t>asset impairment and exit costs</w:t>
      </w:r>
      <w:r>
        <w:rPr>
          <w:rFonts w:ascii="Arial" w:cs="Arial" w:eastAsia="Arial" w:hAnsi="Arial"/>
          <w:sz w:val="14"/>
          <w:szCs w:val="14"/>
          <w:color w:val="auto"/>
        </w:rPr>
        <w:t>. We use several accepted valuation methods, including relief from royalty, excess earnings and excess margin, that utilize estimates of future sales, earnings growth rates, royalty rates and discount rates in determining a brand's global fair value. We identified thirteen brands, as part of our annual test, that each had a fair value in excess of book value of 10% or less. The aggregate value of the thirteen brands was $2.9 billion as of December 31, 2024. We believe our current plans for each of these brands will allow them to not be impaired, but if plans to grow brand revenue and earnings, and expand margin are not met or specific valuation factors outside of our control, such as discount rates change significantly, then a brand or brands could become impaired in the future. In 2023, we recorded $26 million of intangible asset impairment charges related to a chocolate brand in North America and a biscuit brand in Europe. In 2022, we recorded $101 million of intangible asset impairment charges related to two biscuit brands in AMEA.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assets acquired and liabilities assumed upon the acquisition or consolidation of a business are recorded at fair value, with the residual of the purchase price allocated to goodwill. We engage third-party valuation specialists to assist management in determining the fair values of certain assets acquired and liabilities assumed. In determining fair value, we utilized various forms of the income approach, depending on the asset being valued. Such valuations require management to make significant judgments, estimates and assumptions, especially with respect to intangible assets. Management makes estimates of fair value based upon the best information available at the date of acquisition. These estimates are based upon historical experience and information obtained from the management of the acquired company and are inherently uncertain. Critical estimates in valuing certain of the intangible assets include, but are not limited to: expected future cash flows of the acquired business, discount and royalty rates and economic lives of customer relationships, trade names and fixed assets. Unanticipated events and circumstances may occur, which may affect the accuracy or validity of such assumptions or estimates.</w:t>
      </w:r>
    </w:p>
    <w:p>
      <w:pPr>
        <w:spacing w:after="0" w:line="33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 Such contingent consideration liabilities are based on best estimates of future expected payment obligations, which are subject to change due to many factors outside of our control. Changes to the estimate of expected future contingent consideration payments may occur, from time to time, due to various reasons, including changing discount rates as well as actual results differing from estimates and adjustments to the revenue or earnings assumptions used as the basis for the liability based on historical experience.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and Marketing Programs</w:t>
      </w:r>
    </w:p>
    <w:p>
      <w:pPr>
        <w:spacing w:after="0" w:line="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sheets and all marketing and advertising costs are recorded as an expense in the year incurred.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Benefit Plans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sponsor various employee benefit plans worldwide, including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amortize the effect of changes in the assumptions over future periods to reflect the cost or benefit of plan changes, such as increasing or decreasing benefits for prior employee service (prior service cost). These changes are deferred and included in expense on a straight-line basis over the average remaining service period of the employees expected to receive benefits.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4"/>
          <w:szCs w:val="14"/>
          <w:i w:val="1"/>
          <w:iCs w:val="1"/>
          <w:color w:val="auto"/>
        </w:rPr>
        <w:t>Benefit Plans</w:t>
      </w:r>
      <w:r>
        <w:rPr>
          <w:rFonts w:ascii="Arial" w:cs="Arial" w:eastAsia="Arial" w:hAnsi="Arial"/>
          <w:sz w:val="14"/>
          <w:szCs w:val="14"/>
          <w:color w:val="auto"/>
        </w:rPr>
        <w:t>, along with additional information on our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 a sensitivity measure, a fifty-basis point change in our discount rates or the expected rate of return on plan assets would have the following effects, increase/(decrease), on our annual benefit plan costs: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As of December 31, 2024</w:t>
            </w: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left="676"/>
              <w:spacing w:after="0"/>
              <w:rPr>
                <w:sz w:val="20"/>
                <w:szCs w:val="20"/>
                <w:color w:val="auto"/>
              </w:rPr>
            </w:pPr>
            <w:r>
              <w:rPr>
                <w:rFonts w:ascii="Arial" w:cs="Arial" w:eastAsia="Arial" w:hAnsi="Arial"/>
                <w:sz w:val="11"/>
                <w:szCs w:val="11"/>
                <w:b w:val="1"/>
                <w:bCs w:val="1"/>
                <w:color w:val="auto"/>
              </w:rPr>
              <w:t>U.S. Plans</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Non-U.S. Plans</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left="676"/>
              <w:spacing w:after="0"/>
              <w:rPr>
                <w:sz w:val="20"/>
                <w:szCs w:val="20"/>
                <w:color w:val="auto"/>
              </w:rPr>
            </w:pPr>
            <w:r>
              <w:rPr>
                <w:rFonts w:ascii="Arial" w:cs="Arial" w:eastAsia="Arial" w:hAnsi="Arial"/>
                <w:sz w:val="11"/>
                <w:szCs w:val="11"/>
                <w:b w:val="1"/>
                <w:bCs w:val="1"/>
                <w:color w:val="auto"/>
              </w:rPr>
              <w:t>Fifty-Basis-Point</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Fifty-Basis-Point</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Increase</w:t>
            </w: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Decrease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Increase</w:t>
            </w: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0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Effect of change in discount rate on</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center"/>
              <w:ind w:left="896"/>
              <w:spacing w:after="0"/>
              <w:rPr>
                <w:sz w:val="20"/>
                <w:szCs w:val="20"/>
                <w:color w:val="auto"/>
              </w:rPr>
            </w:pPr>
            <w:r>
              <w:rPr>
                <w:rFonts w:ascii="Arial" w:cs="Arial" w:eastAsia="Arial" w:hAnsi="Arial"/>
                <w:sz w:val="14"/>
                <w:szCs w:val="14"/>
                <w:color w:val="auto"/>
              </w:rPr>
              <w:t>2</w:t>
            </w:r>
          </w:p>
        </w:tc>
        <w:tc>
          <w:tcPr>
            <w:tcW w:w="5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756"/>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ind w:left="54"/>
              <w:spacing w:after="0"/>
              <w:rPr>
                <w:sz w:val="20"/>
                <w:szCs w:val="20"/>
                <w:color w:val="auto"/>
              </w:rPr>
            </w:pPr>
            <w:r>
              <w:rPr>
                <w:rFonts w:ascii="Arial" w:cs="Arial" w:eastAsia="Arial" w:hAnsi="Arial"/>
                <w:sz w:val="14"/>
                <w:szCs w:val="14"/>
                <w:color w:val="auto"/>
              </w:rPr>
              <w:t>(14)</w:t>
            </w:r>
          </w:p>
        </w:tc>
        <w:tc>
          <w:tcPr>
            <w:tcW w:w="5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pension costs</w:t>
            </w:r>
          </w:p>
        </w:tc>
        <w:tc>
          <w:tcPr>
            <w:tcW w:w="30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020" w:type="dxa"/>
            <w:vAlign w:val="bottom"/>
          </w:tcPr>
          <w:p>
            <w:pPr>
              <w:ind w:left="20"/>
              <w:spacing w:after="0" w:line="140" w:lineRule="exact"/>
              <w:rPr>
                <w:sz w:val="20"/>
                <w:szCs w:val="20"/>
                <w:color w:val="auto"/>
              </w:rPr>
            </w:pPr>
            <w:r>
              <w:rPr>
                <w:rFonts w:ascii="Arial" w:cs="Arial" w:eastAsia="Arial" w:hAnsi="Arial"/>
                <w:sz w:val="14"/>
                <w:szCs w:val="14"/>
                <w:color w:val="auto"/>
              </w:rPr>
              <w:t>Effect of change in expected rate of return on</w:t>
            </w:r>
          </w:p>
        </w:tc>
        <w:tc>
          <w:tcPr>
            <w:tcW w:w="300" w:type="dxa"/>
            <w:vAlign w:val="bottom"/>
          </w:tcPr>
          <w:p>
            <w:pPr>
              <w:spacing w:after="0"/>
              <w:rPr>
                <w:sz w:val="12"/>
                <w:szCs w:val="12"/>
                <w:color w:val="auto"/>
              </w:rPr>
            </w:pPr>
          </w:p>
        </w:tc>
        <w:tc>
          <w:tcPr>
            <w:tcW w:w="1240" w:type="dxa"/>
            <w:vAlign w:val="bottom"/>
            <w:vMerge w:val="restart"/>
          </w:tcPr>
          <w:p>
            <w:pPr>
              <w:jc w:val="center"/>
              <w:ind w:left="876"/>
              <w:spacing w:after="0"/>
              <w:rPr>
                <w:sz w:val="20"/>
                <w:szCs w:val="20"/>
                <w:color w:val="auto"/>
              </w:rPr>
            </w:pPr>
            <w:r>
              <w:rPr>
                <w:rFonts w:ascii="Arial" w:cs="Arial" w:eastAsia="Arial" w:hAnsi="Arial"/>
                <w:sz w:val="14"/>
                <w:szCs w:val="14"/>
                <w:color w:val="auto"/>
              </w:rPr>
              <w:t>(7)</w:t>
            </w:r>
          </w:p>
        </w:tc>
        <w:tc>
          <w:tcPr>
            <w:tcW w:w="500" w:type="dxa"/>
            <w:vAlign w:val="bottom"/>
          </w:tcPr>
          <w:p>
            <w:pPr>
              <w:spacing w:after="0"/>
              <w:rPr>
                <w:sz w:val="12"/>
                <w:szCs w:val="12"/>
                <w:color w:val="auto"/>
              </w:rPr>
            </w:pPr>
          </w:p>
        </w:tc>
        <w:tc>
          <w:tcPr>
            <w:tcW w:w="1040" w:type="dxa"/>
            <w:vAlign w:val="bottom"/>
            <w:vMerge w:val="restart"/>
          </w:tcPr>
          <w:p>
            <w:pPr>
              <w:jc w:val="center"/>
              <w:ind w:left="776"/>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vMerge w:val="restart"/>
          </w:tcPr>
          <w:p>
            <w:pPr>
              <w:jc w:val="center"/>
              <w:ind w:left="54"/>
              <w:spacing w:after="0"/>
              <w:rPr>
                <w:sz w:val="20"/>
                <w:szCs w:val="20"/>
                <w:color w:val="auto"/>
              </w:rPr>
            </w:pPr>
            <w:r>
              <w:rPr>
                <w:rFonts w:ascii="Arial" w:cs="Arial" w:eastAsia="Arial" w:hAnsi="Arial"/>
                <w:sz w:val="14"/>
                <w:szCs w:val="14"/>
                <w:color w:val="auto"/>
              </w:rPr>
              <w:t>(36)</w:t>
            </w:r>
          </w:p>
        </w:tc>
        <w:tc>
          <w:tcPr>
            <w:tcW w:w="5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3"/>
        </w:trPr>
        <w:tc>
          <w:tcPr>
            <w:tcW w:w="5020" w:type="dxa"/>
            <w:vAlign w:val="bottom"/>
          </w:tcPr>
          <w:p>
            <w:pPr>
              <w:ind w:left="140"/>
              <w:spacing w:after="0"/>
              <w:rPr>
                <w:sz w:val="20"/>
                <w:szCs w:val="20"/>
                <w:color w:val="auto"/>
              </w:rPr>
            </w:pPr>
            <w:r>
              <w:rPr>
                <w:rFonts w:ascii="Arial" w:cs="Arial" w:eastAsia="Arial" w:hAnsi="Arial"/>
                <w:sz w:val="14"/>
                <w:szCs w:val="14"/>
                <w:color w:val="auto"/>
              </w:rPr>
              <w:t>plan assets on pension costs</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0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Effect of change in discount rate on</w:t>
            </w:r>
          </w:p>
        </w:tc>
        <w:tc>
          <w:tcPr>
            <w:tcW w:w="3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center"/>
              <w:ind w:left="876"/>
              <w:spacing w:after="0"/>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ind w:left="776"/>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center"/>
              <w:ind w:left="94"/>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postretirement health care costs</w:t>
            </w:r>
          </w:p>
        </w:tc>
        <w:tc>
          <w:tcPr>
            <w:tcW w:w="3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 We review the realizability assessment on a quarterly basis, including impacts from our latest estimates of future taxable income.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sheets and historical income tax provisions. The outcome of these final determinations could have a material effect on our provision for income taxes, net earnings or cash flows in the period in which the determination is made.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additional information on our effective tax rate, current and deferred taxes, valuation allowances and unrecognized tax benefits.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Accounting Guidance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consolidated financial statements for a discussion of new accounting standards.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4"/>
          <w:szCs w:val="14"/>
          <w:i w:val="1"/>
          <w:iCs w:val="1"/>
          <w:color w:val="auto"/>
        </w:rPr>
        <w:t>Consolidated Results of Operations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Results of Operations by Operating Segment</w:t>
      </w:r>
      <w:r>
        <w:rPr>
          <w:rFonts w:ascii="Arial" w:cs="Arial" w:eastAsia="Arial" w:hAnsi="Arial"/>
          <w:sz w:val="14"/>
          <w:szCs w:val="14"/>
          <w:color w:val="auto"/>
        </w:rPr>
        <w:t xml:space="preserve"> under </w:t>
      </w:r>
      <w:r>
        <w:rPr>
          <w:rFonts w:ascii="Arial" w:cs="Arial" w:eastAsia="Arial" w:hAnsi="Arial"/>
          <w:sz w:val="14"/>
          <w:szCs w:val="14"/>
          <w:i w:val="1"/>
          <w:iCs w:val="1"/>
          <w:color w:val="auto"/>
        </w:rPr>
        <w:t>Discussion and Analysis of Historical Results</w:t>
      </w:r>
      <w:r>
        <w:rPr>
          <w:rFonts w:ascii="Arial" w:cs="Arial" w:eastAsia="Arial" w:hAnsi="Arial"/>
          <w:sz w:val="14"/>
          <w:szCs w:val="14"/>
          <w:color w:val="auto"/>
        </w:rPr>
        <w:t xml:space="preserve"> for currency exchange effects on our financial 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4"/>
          <w:szCs w:val="14"/>
          <w:i w:val="1"/>
          <w:iCs w:val="1"/>
          <w:color w:val="auto"/>
        </w:rPr>
        <w:t>Summary of Significant Accounting Policies – Currency Translation and Highly Inflationary Accounting</w:t>
      </w:r>
      <w:r>
        <w:rPr>
          <w:rFonts w:ascii="Arial" w:cs="Arial" w:eastAsia="Arial" w:hAnsi="Arial"/>
          <w:sz w:val="14"/>
          <w:szCs w:val="14"/>
          <w:color w:val="auto"/>
        </w:rPr>
        <w: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 w:cs="Arial" w:eastAsia="Arial" w:hAnsi="Arial"/>
          <w:sz w:val="14"/>
          <w:szCs w:val="14"/>
          <w:i w:val="1"/>
          <w:iCs w:val="1"/>
          <w:color w:val="auto"/>
        </w:rPr>
        <w:t>Recent Developments and Significant Items Affecting Comparability</w:t>
      </w:r>
      <w:r>
        <w:rPr>
          <w:rFonts w:ascii="Arial" w:cs="Arial" w:eastAsia="Arial" w:hAnsi="Arial"/>
          <w:sz w:val="14"/>
          <w:szCs w:val="14"/>
          <w:color w:val="auto"/>
        </w:rPr>
        <w:t xml:space="preserve"> and </w:t>
      </w:r>
      <w:r>
        <w:rPr>
          <w:rFonts w:ascii="Arial" w:cs="Arial" w:eastAsia="Arial" w:hAnsi="Arial"/>
          <w:sz w:val="14"/>
          <w:szCs w:val="14"/>
          <w:i w:val="1"/>
          <w:iCs w:val="1"/>
          <w:color w:val="auto"/>
        </w:rPr>
        <w:t>Financial Outlook</w:t>
      </w:r>
      <w:r>
        <w:rPr>
          <w:rFonts w:ascii="Arial" w:cs="Arial" w:eastAsia="Arial" w:hAnsi="Arial"/>
          <w:sz w:val="14"/>
          <w:szCs w:val="14"/>
          <w:color w:val="auto"/>
        </w:rPr>
        <w:t xml:space="preserve"> above for updates on recent supply chain,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Secured Overnight Financing Rates (“SOFR”). We periodically use interest rate swaps and forward interest rate contracts to achieve a desired proportion of variable versus fixed-rate debt based on current and projected market conditions. For more information on our debt activity, see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derivative activity.</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Value at Risk</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as of each quarter end for our currency exchange, fixed income and commodity risk portfolios using historical market movements.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2024 and 2023,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 of December 31, 2024 and December 31, 2023,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Pre-Tax Earnings Impact</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Fair Value Impact</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2"/>
        </w:trPr>
        <w:tc>
          <w:tcPr>
            <w:tcW w:w="27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At 12/31/24</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Average</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High</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1"/>
                <w:szCs w:val="11"/>
                <w:b w:val="1"/>
                <w:bCs w:val="1"/>
                <w:color w:val="auto"/>
              </w:rPr>
              <w:t>Low</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At 12/31/24</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Average</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High</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Low</w:t>
            </w:r>
          </w:p>
        </w:tc>
      </w:tr>
      <w:tr>
        <w:trPr>
          <w:trHeight w:val="152"/>
        </w:trPr>
        <w:tc>
          <w:tcPr>
            <w:tcW w:w="2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sensitive to:</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3"/>
        </w:trPr>
        <w:tc>
          <w:tcPr>
            <w:tcW w:w="2720" w:type="dxa"/>
            <w:vAlign w:val="bottom"/>
          </w:tcPr>
          <w:p>
            <w:pPr>
              <w:ind w:left="120"/>
              <w:spacing w:after="0"/>
              <w:rPr>
                <w:sz w:val="20"/>
                <w:szCs w:val="20"/>
                <w:color w:val="auto"/>
              </w:rPr>
            </w:pPr>
            <w:r>
              <w:rPr>
                <w:rFonts w:ascii="Arial" w:cs="Arial" w:eastAsia="Arial" w:hAnsi="Arial"/>
                <w:sz w:val="14"/>
                <w:szCs w:val="14"/>
                <w:color w:val="auto"/>
              </w:rPr>
              <w:t>Interest rates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
              <w:spacing w:after="0"/>
              <w:rPr>
                <w:sz w:val="20"/>
                <w:szCs w:val="20"/>
                <w:color w:val="auto"/>
              </w:rPr>
            </w:pPr>
            <w:r>
              <w:rPr>
                <w:rFonts w:ascii="Arial" w:cs="Arial" w:eastAsia="Arial" w:hAnsi="Arial"/>
                <w:sz w:val="14"/>
                <w:szCs w:val="14"/>
                <w:color w:val="auto"/>
              </w:rPr>
              <w:t>76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
              <w:spacing w:after="0"/>
              <w:rPr>
                <w:sz w:val="20"/>
                <w:szCs w:val="20"/>
                <w:color w:val="auto"/>
              </w:rPr>
            </w:pPr>
            <w:r>
              <w:rPr>
                <w:rFonts w:ascii="Arial" w:cs="Arial" w:eastAsia="Arial" w:hAnsi="Arial"/>
                <w:sz w:val="14"/>
                <w:szCs w:val="14"/>
                <w:color w:val="auto"/>
              </w:rPr>
              <w:t>84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95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3"/>
        </w:trPr>
        <w:tc>
          <w:tcPr>
            <w:tcW w:w="2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rates</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760" w:type="dxa"/>
            <w:vAlign w:val="bottom"/>
            <w:shd w:val="clear" w:color="auto" w:fill="CCEEFF"/>
          </w:tcPr>
          <w:p>
            <w:pPr>
              <w:jc w:val="right"/>
              <w:ind w:right="53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9"/>
              </w:rPr>
              <w:t>34</w:t>
            </w:r>
          </w:p>
        </w:tc>
        <w:tc>
          <w:tcPr>
            <w:tcW w:w="660" w:type="dxa"/>
            <w:vAlign w:val="bottom"/>
            <w:shd w:val="clear" w:color="auto" w:fill="CCEEFF"/>
          </w:tcPr>
          <w:p>
            <w:pPr>
              <w:jc w:val="right"/>
              <w:ind w:right="43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0"/>
        </w:trPr>
        <w:tc>
          <w:tcPr>
            <w:tcW w:w="2720" w:type="dxa"/>
            <w:vAlign w:val="bottom"/>
          </w:tcPr>
          <w:p>
            <w:pPr>
              <w:ind w:left="120"/>
              <w:spacing w:after="0"/>
              <w:rPr>
                <w:sz w:val="20"/>
                <w:szCs w:val="20"/>
                <w:color w:val="auto"/>
              </w:rPr>
            </w:pPr>
            <w:r>
              <w:rPr>
                <w:rFonts w:ascii="Arial" w:cs="Arial" w:eastAsia="Arial" w:hAnsi="Arial"/>
                <w:sz w:val="14"/>
                <w:szCs w:val="14"/>
                <w:color w:val="auto"/>
              </w:rPr>
              <w:t>Commodity prices</w:t>
            </w:r>
          </w:p>
        </w:tc>
        <w:tc>
          <w:tcPr>
            <w:tcW w:w="98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89"/>
              </w:rPr>
              <w:t>49</w:t>
            </w:r>
          </w:p>
        </w:tc>
        <w:tc>
          <w:tcPr>
            <w:tcW w:w="66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64"/>
        </w:trPr>
        <w:tc>
          <w:tcPr>
            <w:tcW w:w="2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Pre-Tax Earnings Impact</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Fair Value Impact</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52"/>
        </w:trPr>
        <w:tc>
          <w:tcPr>
            <w:tcW w:w="27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At 12/31/23</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Average</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High</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1"/>
                <w:szCs w:val="11"/>
                <w:b w:val="1"/>
                <w:bCs w:val="1"/>
                <w:color w:val="auto"/>
              </w:rPr>
              <w:t>Low</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At 12/31/23</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Average</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High</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Low</w:t>
            </w:r>
          </w:p>
        </w:tc>
      </w:tr>
      <w:tr>
        <w:trPr>
          <w:trHeight w:val="152"/>
        </w:trPr>
        <w:tc>
          <w:tcPr>
            <w:tcW w:w="2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sensitive to:</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3"/>
        </w:trPr>
        <w:tc>
          <w:tcPr>
            <w:tcW w:w="2720" w:type="dxa"/>
            <w:vAlign w:val="bottom"/>
          </w:tcPr>
          <w:p>
            <w:pPr>
              <w:ind w:left="120"/>
              <w:spacing w:after="0"/>
              <w:rPr>
                <w:sz w:val="20"/>
                <w:szCs w:val="20"/>
                <w:color w:val="auto"/>
              </w:rPr>
            </w:pPr>
            <w:r>
              <w:rPr>
                <w:rFonts w:ascii="Arial" w:cs="Arial" w:eastAsia="Arial" w:hAnsi="Arial"/>
                <w:sz w:val="14"/>
                <w:szCs w:val="14"/>
                <w:color w:val="auto"/>
              </w:rPr>
              <w:t>Interest rates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
              <w:spacing w:after="0"/>
              <w:rPr>
                <w:sz w:val="20"/>
                <w:szCs w:val="20"/>
                <w:color w:val="auto"/>
              </w:rPr>
            </w:pPr>
            <w:r>
              <w:rPr>
                <w:rFonts w:ascii="Arial" w:cs="Arial" w:eastAsia="Arial" w:hAnsi="Arial"/>
                <w:sz w:val="14"/>
                <w:szCs w:val="14"/>
                <w:color w:val="auto"/>
              </w:rPr>
              <w:t>119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
              <w:spacing w:after="0"/>
              <w:rPr>
                <w:sz w:val="20"/>
                <w:szCs w:val="20"/>
                <w:color w:val="auto"/>
              </w:rPr>
            </w:pPr>
            <w:r>
              <w:rPr>
                <w:rFonts w:ascii="Arial" w:cs="Arial" w:eastAsia="Arial" w:hAnsi="Arial"/>
                <w:sz w:val="14"/>
                <w:szCs w:val="14"/>
                <w:color w:val="auto"/>
              </w:rPr>
              <w:t>144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234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3"/>
        </w:trPr>
        <w:tc>
          <w:tcPr>
            <w:tcW w:w="2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rates</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jc w:val="right"/>
              <w:ind w:right="53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9"/>
              </w:rPr>
              <w:t>17</w:t>
            </w:r>
          </w:p>
        </w:tc>
        <w:tc>
          <w:tcPr>
            <w:tcW w:w="660" w:type="dxa"/>
            <w:vAlign w:val="bottom"/>
            <w:shd w:val="clear" w:color="auto" w:fill="CCEEFF"/>
          </w:tcPr>
          <w:p>
            <w:pPr>
              <w:jc w:val="right"/>
              <w:ind w:right="43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0"/>
        </w:trPr>
        <w:tc>
          <w:tcPr>
            <w:tcW w:w="2720" w:type="dxa"/>
            <w:vAlign w:val="bottom"/>
          </w:tcPr>
          <w:p>
            <w:pPr>
              <w:ind w:left="120"/>
              <w:spacing w:after="0"/>
              <w:rPr>
                <w:sz w:val="20"/>
                <w:szCs w:val="20"/>
                <w:color w:val="auto"/>
              </w:rPr>
            </w:pPr>
            <w:r>
              <w:rPr>
                <w:rFonts w:ascii="Arial" w:cs="Arial" w:eastAsia="Arial" w:hAnsi="Arial"/>
                <w:sz w:val="14"/>
                <w:szCs w:val="14"/>
                <w:color w:val="auto"/>
              </w:rPr>
              <w:t>Commodity prices</w:t>
            </w:r>
          </w:p>
        </w:tc>
        <w:tc>
          <w:tcPr>
            <w:tcW w:w="98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89"/>
              </w:rPr>
              <w:t>40</w:t>
            </w:r>
          </w:p>
        </w:tc>
        <w:tc>
          <w:tcPr>
            <w:tcW w:w="66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Mondelēz International, Inc.</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We have audited the accompanying consolidated balance sheets of Mondelēz International, Inc. and its subsidiaries (the “Company”) as of December 31, 2024 and 2023, and the related consolidated statements of earnings, comprehensive earnings, equity and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3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2024 and 2023</w:t>
      </w:r>
      <w:r>
        <w:rPr>
          <w:rFonts w:ascii="Arial" w:cs="Arial" w:eastAsia="Arial" w:hAnsi="Arial"/>
          <w:sz w:val="14"/>
          <w:szCs w:val="14"/>
          <w:b w:val="1"/>
          <w:bCs w:val="1"/>
          <w:color w:val="auto"/>
        </w:rPr>
        <w:t>,</w:t>
      </w:r>
      <w:r>
        <w:rPr>
          <w:rFonts w:ascii="Arial" w:cs="Arial" w:eastAsia="Arial" w:hAnsi="Arial"/>
          <w:sz w:val="14"/>
          <w:szCs w:val="14"/>
          <w:color w:val="auto"/>
        </w:rPr>
        <w:t xml:space="preserve">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COSO.</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described in the Report of Management on Internal Control Over Financial Reporting, management has excluded Evirth (Shanghai) Industrial Co., Ltd (“Evirth”) from its assessment of internal control over financial reporting as of December 31, 2024 because it was acquired by the Company in a purchase business combination during 2024. We have also excluded Evirth from our audit of internal control over financial reporting. Evirth is a majority-owned subsidiary whose total assets and total net revenues excluded from management’s assessment and our audit of internal control over financial reporting represent 0.37% and 0.19%, respectively, of the related consolidated financial statement amounts as of and for the year ended December 31, 2024.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Indefinite-Life Intangible Assets Annual Impairment Assessments for Certain Brand Names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described in Notes 1 and 6 to the consolidated financial statements, the Company’s consolidated indefinite-life intangible assets balance was $17.8 billion as of December 31, 2024, which consists principally of brand names. At least annually management assesses indefinite-life intangible assets for impairment and if significant potential impairment risk exists for a specific asset, management quantitatively tests the asset for impairment by comparing its estimated fair value with its carrying value. Management estimates fair value using several accepted valuation methods, including relief from royalty, excess earnings and excess margin, that utilize estimates of future sales, earnings growth rates, royalty rates and discount rates to determine a brand name’s fair value.</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principal considerations for our determination that performing procedures relating to the indefinite-life intangible assets annual impairment assessments for certain brand names is a critical audit matter are (i) the significant judgment by management when developing the fair value of the indefinite-life intangible assets for certain brand names; (ii) a high degree of auditor judgment, subjectivity, and effort in performing procedures and evaluating management’s significant assumptions related to estimates of future sales, earnings growth rates, royalty rates, and discount rates for certain brand names; and (iii) the audit effort involved the use of professionals with specialized skill and knowledge.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assets impairment assessments, including controls over the annual valuation of certain brand names. These procedures also included, among others (i) testing management’s process for developing the fair value of the indefinite-life intangible assets for certain brand names; (ii) evaluating the appropriateness of the valuation methods; (iii) testing the completeness and accuracy of underlying data used in the valuation methods; and (iv) evaluating the reasonableness of the significant assumptions used by management related to estimates of future sales, earnings growth rates, royalty rates, and discount rates. Evaluating management’s significant assumptions related to estimates of future sales and earnings growth rates involved evaluating whether the assumptions used by management were reasonable considering (i) the current and past performance of the certain brand names; (ii) the consistency with external market and industry data; and (iii) whether these assumptions were consistent with evidence obtained in other areas of the audit. Professionals with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specialized skill and knowledge were used to assist in evaluating (i) the appropriateness of the Company’s valuation methods and (ii) the reasonableness of the royalty rate and discount rate significant assumptions.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February 5, 2025</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Earnings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Years Ended December 31</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of U.S. dollars,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9"/>
              <w:spacing w:after="0"/>
              <w:rPr>
                <w:sz w:val="20"/>
                <w:szCs w:val="20"/>
                <w:color w:val="auto"/>
              </w:rPr>
            </w:pPr>
            <w:r>
              <w:rPr>
                <w:rFonts w:ascii="Arial" w:cs="Arial" w:eastAsia="Arial" w:hAnsi="Arial"/>
                <w:sz w:val="11"/>
                <w:szCs w:val="11"/>
                <w:b w:val="1"/>
                <w:bCs w:val="1"/>
                <w:color w:val="auto"/>
              </w:rPr>
              <w:t>2022</w:t>
            </w:r>
          </w:p>
        </w:tc>
      </w:tr>
      <w:tr>
        <w:trPr>
          <w:trHeight w:val="174"/>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86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31,496</w:t>
            </w:r>
          </w:p>
        </w:tc>
      </w:tr>
      <w:tr>
        <w:trPr>
          <w:trHeight w:val="18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(22,184)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(20,184)</w:t>
            </w:r>
          </w:p>
        </w:tc>
      </w:tr>
      <w:tr>
        <w:trPr>
          <w:trHeight w:val="173"/>
        </w:trPr>
        <w:tc>
          <w:tcPr>
            <w:tcW w:w="6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11,312</w:t>
            </w: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(7,384)</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 and exit costs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Gain on acquisition and divestitures</w:t>
            </w:r>
          </w:p>
        </w:tc>
        <w:tc>
          <w:tcPr>
            <w:tcW w:w="86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73"/>
        </w:trPr>
        <w:tc>
          <w:tcPr>
            <w:tcW w:w="678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86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6,345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3,534</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plan non-service income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Interest and other expense,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marketable securities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6780" w:type="dxa"/>
            <w:vAlign w:val="bottom"/>
          </w:tcPr>
          <w:p>
            <w:pPr>
              <w:ind w:left="140"/>
              <w:spacing w:after="0"/>
              <w:rPr>
                <w:sz w:val="20"/>
                <w:szCs w:val="20"/>
                <w:color w:val="auto"/>
              </w:rPr>
            </w:pPr>
            <w:r>
              <w:rPr>
                <w:rFonts w:ascii="Arial" w:cs="Arial" w:eastAsia="Arial" w:hAnsi="Arial"/>
                <w:sz w:val="14"/>
                <w:szCs w:val="14"/>
                <w:color w:val="auto"/>
              </w:rPr>
              <w:t>Earnings before income taxes</w:t>
            </w:r>
          </w:p>
        </w:tc>
        <w:tc>
          <w:tcPr>
            <w:tcW w:w="8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3,228</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(Loss)/gain on equity method investment transactions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 net earnings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73"/>
        </w:trPr>
        <w:tc>
          <w:tcPr>
            <w:tcW w:w="678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86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4,623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2,726</w:t>
            </w:r>
          </w:p>
        </w:tc>
      </w:tr>
      <w:tr>
        <w:trPr>
          <w:trHeight w:val="183"/>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Noncontrolling interest earnings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3"/>
        </w:trPr>
        <w:tc>
          <w:tcPr>
            <w:tcW w:w="6780" w:type="dxa"/>
            <w:vAlign w:val="bottom"/>
          </w:tcPr>
          <w:p>
            <w:pPr>
              <w:ind w:left="140"/>
              <w:spacing w:after="0"/>
              <w:rPr>
                <w:sz w:val="20"/>
                <w:szCs w:val="20"/>
                <w:color w:val="auto"/>
              </w:rPr>
            </w:pPr>
            <w:r>
              <w:rPr>
                <w:rFonts w:ascii="Arial" w:cs="Arial" w:eastAsia="Arial" w:hAnsi="Arial"/>
                <w:sz w:val="14"/>
                <w:szCs w:val="14"/>
                <w:color w:val="auto"/>
              </w:rPr>
              <w:t>Net earnings attributable to Mondelēz International</w:t>
            </w:r>
          </w:p>
        </w:tc>
        <w:tc>
          <w:tcPr>
            <w:tcW w:w="8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4,611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4"/>
        </w:trPr>
        <w:tc>
          <w:tcPr>
            <w:tcW w:w="678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Per share data:</w:t>
            </w: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3"/>
        </w:trPr>
        <w:tc>
          <w:tcPr>
            <w:tcW w:w="6780" w:type="dxa"/>
            <w:vAlign w:val="bottom"/>
          </w:tcPr>
          <w:p>
            <w:pPr>
              <w:ind w:left="140"/>
              <w:spacing w:after="0"/>
              <w:rPr>
                <w:sz w:val="20"/>
                <w:szCs w:val="20"/>
                <w:color w:val="auto"/>
              </w:rPr>
            </w:pPr>
            <w:r>
              <w:rPr>
                <w:rFonts w:ascii="Arial" w:cs="Arial" w:eastAsia="Arial" w:hAnsi="Arial"/>
                <w:sz w:val="14"/>
                <w:szCs w:val="14"/>
                <w:color w:val="auto"/>
              </w:rPr>
              <w:t>Basic earnings per share attributable to Mondelēz International</w:t>
            </w:r>
          </w:p>
        </w:tc>
        <w:tc>
          <w:tcPr>
            <w:tcW w:w="8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6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 earnings per share attributable to Mondelēz International</w:t>
            </w:r>
          </w:p>
        </w:tc>
        <w:tc>
          <w:tcPr>
            <w:tcW w:w="86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Earnings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Years Ended December 31</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of U.S.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4"/>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0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Other comprehensive earnings/(losses), net of tax:</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83"/>
        </w:trPr>
        <w:tc>
          <w:tcPr>
            <w:tcW w:w="6780" w:type="dxa"/>
            <w:vAlign w:val="bottom"/>
          </w:tcPr>
          <w:p>
            <w:pPr>
              <w:ind w:left="140"/>
              <w:spacing w:after="0"/>
              <w:rPr>
                <w:sz w:val="20"/>
                <w:szCs w:val="20"/>
                <w:color w:val="auto"/>
              </w:rPr>
            </w:pPr>
            <w:r>
              <w:rPr>
                <w:rFonts w:ascii="Arial" w:cs="Arial" w:eastAsia="Arial" w:hAnsi="Arial"/>
                <w:sz w:val="14"/>
                <w:szCs w:val="14"/>
                <w:color w:val="auto"/>
              </w:rPr>
              <w:t>Pension and other benefit plans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cash flow hedges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earnings/(losses)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earnings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140"/>
        </w:trPr>
        <w:tc>
          <w:tcPr>
            <w:tcW w:w="6780" w:type="dxa"/>
            <w:vAlign w:val="bottom"/>
          </w:tcPr>
          <w:p>
            <w:pPr>
              <w:ind w:left="140"/>
              <w:spacing w:after="0" w:line="140" w:lineRule="exact"/>
              <w:rPr>
                <w:sz w:val="20"/>
                <w:szCs w:val="20"/>
                <w:color w:val="auto"/>
              </w:rPr>
            </w:pPr>
            <w:r>
              <w:rPr>
                <w:rFonts w:ascii="Arial" w:cs="Arial" w:eastAsia="Arial" w:hAnsi="Arial"/>
                <w:sz w:val="14"/>
                <w:szCs w:val="14"/>
                <w:color w:val="auto"/>
              </w:rPr>
              <w:t>less: Comprehensive earnings/(losses) attributable to</w:t>
            </w:r>
          </w:p>
        </w:tc>
        <w:tc>
          <w:tcPr>
            <w:tcW w:w="9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6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earnings attributable to Mondelēz International</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3,086</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Balance Sheets, as of December 31</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of U.S. dollars, except share data)</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0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1,351</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receivables, less allowance ($37 and $66, respectively)</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Other receivables, less allowance ($37 and $50, respectively)</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 net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assets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73"/>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11,703</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9,694</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Goodwill</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23,017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23,896</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19,836</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Prepaid pension assets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Equity method investments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73"/>
        </w:trPr>
        <w:tc>
          <w:tcPr>
            <w:tcW w:w="808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9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71,391</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08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LIABILITIES</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8,321</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marketing</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Accrued employment costs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0" w:type="dxa"/>
            <w:vAlign w:val="bottom"/>
          </w:tcPr>
          <w:p>
            <w:pPr>
              <w:spacing w:after="0"/>
              <w:rPr>
                <w:sz w:val="1"/>
                <w:szCs w:val="1"/>
                <w:color w:val="auto"/>
              </w:rPr>
            </w:pPr>
          </w:p>
        </w:tc>
      </w:tr>
      <w:tr>
        <w:trPr>
          <w:trHeight w:val="173"/>
        </w:trPr>
        <w:tc>
          <w:tcPr>
            <w:tcW w:w="8080" w:type="dxa"/>
            <w:vAlign w:val="bottom"/>
          </w:tcPr>
          <w:p>
            <w:pPr>
              <w:ind w:left="260"/>
              <w:spacing w:after="0"/>
              <w:rPr>
                <w:sz w:val="20"/>
                <w:szCs w:val="20"/>
                <w:color w:val="auto"/>
              </w:rPr>
            </w:pPr>
            <w:r>
              <w:rPr>
                <w:rFonts w:ascii="Arial" w:cs="Arial" w:eastAsia="Arial" w:hAnsi="Arial"/>
                <w:sz w:val="14"/>
                <w:szCs w:val="14"/>
                <w:color w:val="auto"/>
              </w:rPr>
              <w:t>Total current liabilities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19,013</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16,887</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Long-term operating lease liabilities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Accrued pension costs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postretirement health care costs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98"/>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w:t>
            </w:r>
          </w:p>
        </w:tc>
        <w:tc>
          <w:tcPr>
            <w:tcW w:w="9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41,539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43,025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14)</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080" w:type="dxa"/>
            <w:vAlign w:val="bottom"/>
          </w:tcPr>
          <w:p>
            <w:pPr>
              <w:ind w:left="140"/>
              <w:spacing w:after="0" w:line="140" w:lineRule="exact"/>
              <w:rPr>
                <w:sz w:val="20"/>
                <w:szCs w:val="20"/>
                <w:color w:val="auto"/>
              </w:rPr>
            </w:pPr>
            <w:r>
              <w:rPr>
                <w:rFonts w:ascii="Arial" w:cs="Arial" w:eastAsia="Arial" w:hAnsi="Arial"/>
                <w:sz w:val="14"/>
                <w:szCs w:val="14"/>
                <w:color w:val="auto"/>
              </w:rPr>
              <w:t>Common Stock, no par value (5,000,000,000 shares authorized, 1,996,537,778</w:t>
            </w:r>
          </w:p>
        </w:tc>
        <w:tc>
          <w:tcPr>
            <w:tcW w:w="94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80" w:type="dxa"/>
            <w:vAlign w:val="bottom"/>
          </w:tcPr>
          <w:p>
            <w:pPr>
              <w:ind w:left="140"/>
              <w:spacing w:after="0"/>
              <w:rPr>
                <w:sz w:val="20"/>
                <w:szCs w:val="20"/>
                <w:color w:val="auto"/>
              </w:rPr>
            </w:pPr>
            <w:r>
              <w:rPr>
                <w:rFonts w:ascii="Arial" w:cs="Arial" w:eastAsia="Arial" w:hAnsi="Arial"/>
                <w:sz w:val="14"/>
                <w:szCs w:val="14"/>
                <w:color w:val="auto"/>
              </w:rPr>
              <w:t>shares issued)</w:t>
            </w:r>
          </w:p>
        </w:tc>
        <w:tc>
          <w:tcPr>
            <w:tcW w:w="9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32,216</w:t>
            </w:r>
          </w:p>
        </w:tc>
        <w:tc>
          <w:tcPr>
            <w:tcW w:w="0" w:type="dxa"/>
            <w:vAlign w:val="bottom"/>
          </w:tcPr>
          <w:p>
            <w:pPr>
              <w:spacing w:after="0"/>
              <w:rPr>
                <w:sz w:val="1"/>
                <w:szCs w:val="1"/>
                <w:color w:val="auto"/>
              </w:rPr>
            </w:pPr>
          </w:p>
        </w:tc>
      </w:tr>
      <w:tr>
        <w:trPr>
          <w:trHeight w:val="183"/>
        </w:trPr>
        <w:tc>
          <w:tcPr>
            <w:tcW w:w="80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36,476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34,236</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(678,708,640 and 648,055,073 shares, respectively)</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(27,174)</w:t>
            </w:r>
          </w:p>
        </w:tc>
        <w:tc>
          <w:tcPr>
            <w:tcW w:w="0" w:type="dxa"/>
            <w:vAlign w:val="bottom"/>
          </w:tcPr>
          <w:p>
            <w:pPr>
              <w:spacing w:after="0"/>
              <w:rPr>
                <w:sz w:val="1"/>
                <w:szCs w:val="1"/>
                <w:color w:val="auto"/>
              </w:rPr>
            </w:pPr>
          </w:p>
        </w:tc>
      </w:tr>
      <w:tr>
        <w:trPr>
          <w:trHeight w:val="173"/>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Mondelēz International Shareholders’ Equity</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28,332</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3"/>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28,366</w:t>
            </w:r>
          </w:p>
        </w:tc>
        <w:tc>
          <w:tcPr>
            <w:tcW w:w="0" w:type="dxa"/>
            <w:vAlign w:val="bottom"/>
          </w:tcPr>
          <w:p>
            <w:pPr>
              <w:spacing w:after="0"/>
              <w:rPr>
                <w:sz w:val="1"/>
                <w:szCs w:val="1"/>
                <w:color w:val="auto"/>
              </w:rPr>
            </w:pPr>
          </w:p>
        </w:tc>
      </w:tr>
      <w:tr>
        <w:trPr>
          <w:trHeight w:val="173"/>
        </w:trPr>
        <w:tc>
          <w:tcPr>
            <w:tcW w:w="8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9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71,391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Consolidated Statements of Equity</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 of U.S. dollars,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520"/>
              <w:spacing w:after="0"/>
              <w:rPr>
                <w:sz w:val="20"/>
                <w:szCs w:val="20"/>
                <w:color w:val="auto"/>
              </w:rPr>
            </w:pPr>
            <w:r>
              <w:rPr>
                <w:rFonts w:ascii="Arial" w:cs="Arial" w:eastAsia="Arial" w:hAnsi="Arial"/>
                <w:sz w:val="11"/>
                <w:szCs w:val="11"/>
                <w:b w:val="1"/>
                <w:bCs w:val="1"/>
                <w:color w:val="auto"/>
              </w:rPr>
              <w:t>Mondelēz International Shareholders’ Equity</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16"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Common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9"/>
                <w:szCs w:val="9"/>
                <w:color w:val="auto"/>
              </w:rPr>
            </w:pPr>
          </w:p>
        </w:tc>
        <w:tc>
          <w:tcPr>
            <w:tcW w:w="136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rPr>
              <w:t>Comprehensive</w:t>
            </w:r>
          </w:p>
        </w:tc>
        <w:tc>
          <w:tcPr>
            <w:tcW w:w="180" w:type="dxa"/>
            <w:vAlign w:val="bottom"/>
          </w:tcPr>
          <w:p>
            <w:pPr>
              <w:spacing w:after="0"/>
              <w:rPr>
                <w:sz w:val="9"/>
                <w:szCs w:val="9"/>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Non-controlling</w:t>
            </w:r>
          </w:p>
        </w:tc>
        <w:tc>
          <w:tcPr>
            <w:tcW w:w="220" w:type="dxa"/>
            <w:vAlign w:val="bottom"/>
          </w:tcPr>
          <w:p>
            <w:pPr>
              <w:spacing w:after="0"/>
              <w:rPr>
                <w:sz w:val="9"/>
                <w:szCs w:val="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18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w:t>
            </w:r>
          </w:p>
        </w:tc>
        <w:tc>
          <w:tcPr>
            <w:tcW w:w="220" w:type="dxa"/>
            <w:vAlign w:val="bottom"/>
          </w:tcPr>
          <w:p>
            <w:pPr>
              <w:spacing w:after="0"/>
              <w:rPr>
                <w:sz w:val="13"/>
                <w:szCs w:val="13"/>
                <w:color w:val="auto"/>
              </w:rPr>
            </w:pPr>
          </w:p>
        </w:tc>
        <w:tc>
          <w:tcPr>
            <w:tcW w:w="800" w:type="dxa"/>
            <w:vAlign w:val="bottom"/>
          </w:tcPr>
          <w:p>
            <w:pPr>
              <w:jc w:val="right"/>
              <w:ind w:right="27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January 1, 2022</w:t>
            </w:r>
          </w:p>
        </w:tc>
        <w:tc>
          <w:tcPr>
            <w:tcW w:w="700" w:type="dxa"/>
            <w:vAlign w:val="bottom"/>
            <w:tcBorders>
              <w:top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32,097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30,806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28,323</w:t>
            </w: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29"/>
        </w:trPr>
        <w:tc>
          <w:tcPr>
            <w:tcW w:w="3180" w:type="dxa"/>
            <w:vAlign w:val="bottom"/>
          </w:tcPr>
          <w:p>
            <w:pPr>
              <w:ind w:left="120"/>
              <w:spacing w:after="0" w:line="129" w:lineRule="exact"/>
              <w:rPr>
                <w:sz w:val="20"/>
                <w:szCs w:val="20"/>
                <w:color w:val="auto"/>
              </w:rPr>
            </w:pPr>
            <w:r>
              <w:rPr>
                <w:rFonts w:ascii="Arial" w:cs="Arial" w:eastAsia="Arial" w:hAnsi="Arial"/>
                <w:sz w:val="13"/>
                <w:szCs w:val="13"/>
                <w:color w:val="auto"/>
              </w:rPr>
              <w:t>Other comprehensive earnings/</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2"/>
        </w:trPr>
        <w:tc>
          <w:tcPr>
            <w:tcW w:w="3180" w:type="dxa"/>
            <w:vAlign w:val="bottom"/>
          </w:tcPr>
          <w:p>
            <w:pPr>
              <w:jc w:val="center"/>
              <w:ind w:right="996"/>
              <w:spacing w:after="0"/>
              <w:rPr>
                <w:sz w:val="20"/>
                <w:szCs w:val="20"/>
                <w:color w:val="auto"/>
              </w:rPr>
            </w:pPr>
            <w:r>
              <w:rPr>
                <w:rFonts w:ascii="Arial" w:cs="Arial" w:eastAsia="Arial" w:hAnsi="Arial"/>
                <w:sz w:val="13"/>
                <w:szCs w:val="13"/>
                <w:color w:val="auto"/>
                <w:w w:val="99"/>
              </w:rPr>
              <w:t>(losses), net of income taxes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Exercise of stock options and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other stock awards</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120"/>
              <w:spacing w:after="0"/>
              <w:rPr>
                <w:sz w:val="20"/>
                <w:szCs w:val="20"/>
                <w:color w:val="auto"/>
              </w:rPr>
            </w:pPr>
            <w:r>
              <w:rPr>
                <w:rFonts w:ascii="Arial" w:cs="Arial" w:eastAsia="Arial" w:hAnsi="Arial"/>
                <w:sz w:val="13"/>
                <w:szCs w:val="13"/>
                <w:color w:val="auto"/>
              </w:rPr>
              <w:t>Common Stock repurchased</w:t>
            </w:r>
          </w:p>
        </w:tc>
        <w:tc>
          <w:tcPr>
            <w:tcW w:w="7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($1.470 per share)</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2"/>
        </w:trPr>
        <w:tc>
          <w:tcPr>
            <w:tcW w:w="3180" w:type="dxa"/>
            <w:vAlign w:val="bottom"/>
          </w:tcPr>
          <w:p>
            <w:pPr>
              <w:ind w:left="120"/>
              <w:spacing w:after="0"/>
              <w:rPr>
                <w:sz w:val="20"/>
                <w:szCs w:val="20"/>
                <w:color w:val="auto"/>
              </w:rPr>
            </w:pPr>
            <w:r>
              <w:rPr>
                <w:rFonts w:ascii="Arial" w:cs="Arial" w:eastAsia="Arial" w:hAnsi="Arial"/>
                <w:sz w:val="13"/>
                <w:szCs w:val="13"/>
                <w:color w:val="auto"/>
              </w:rPr>
              <w:t>interest and other activities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tcBorders>
              <w:top w:val="single" w:sz="8" w:color="CCEEFF"/>
            </w:tcBorders>
            <w:shd w:val="clear" w:color="auto" w:fill="CCEEFF"/>
          </w:tcPr>
          <w:p>
            <w:pPr>
              <w:jc w:val="center"/>
              <w:ind w:right="976"/>
              <w:spacing w:after="0"/>
              <w:rPr>
                <w:sz w:val="20"/>
                <w:szCs w:val="20"/>
                <w:color w:val="auto"/>
              </w:rPr>
            </w:pPr>
            <w:r>
              <w:rPr>
                <w:rFonts w:ascii="Arial" w:cs="Arial" w:eastAsia="Arial" w:hAnsi="Arial"/>
                <w:sz w:val="13"/>
                <w:szCs w:val="13"/>
                <w:color w:val="auto"/>
              </w:rPr>
              <w:t>Balances at December 31, 2022</w:t>
            </w:r>
          </w:p>
        </w:tc>
        <w:tc>
          <w:tcPr>
            <w:tcW w:w="7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26,920</w:t>
            </w:r>
          </w:p>
        </w:tc>
        <w:tc>
          <w:tcPr>
            <w:tcW w:w="0" w:type="dxa"/>
            <w:vAlign w:val="bottom"/>
          </w:tcPr>
          <w:p>
            <w:pPr>
              <w:spacing w:after="0"/>
              <w:rPr>
                <w:sz w:val="1"/>
                <w:szCs w:val="1"/>
                <w:color w:val="auto"/>
              </w:rPr>
            </w:pPr>
          </w:p>
        </w:tc>
      </w:tr>
      <w:tr>
        <w:trPr>
          <w:trHeight w:val="150"/>
        </w:trPr>
        <w:tc>
          <w:tcPr>
            <w:tcW w:w="318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129"/>
        </w:trPr>
        <w:tc>
          <w:tcPr>
            <w:tcW w:w="3180" w:type="dxa"/>
            <w:vAlign w:val="bottom"/>
          </w:tcPr>
          <w:p>
            <w:pPr>
              <w:ind w:left="120"/>
              <w:spacing w:after="0" w:line="129" w:lineRule="exact"/>
              <w:rPr>
                <w:sz w:val="20"/>
                <w:szCs w:val="20"/>
                <w:color w:val="auto"/>
              </w:rPr>
            </w:pPr>
            <w:r>
              <w:rPr>
                <w:rFonts w:ascii="Arial" w:cs="Arial" w:eastAsia="Arial" w:hAnsi="Arial"/>
                <w:sz w:val="13"/>
                <w:szCs w:val="13"/>
                <w:color w:val="auto"/>
              </w:rPr>
              <w:t>Other comprehensive earnings/</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3180" w:type="dxa"/>
            <w:vAlign w:val="bottom"/>
          </w:tcPr>
          <w:p>
            <w:pPr>
              <w:jc w:val="center"/>
              <w:ind w:right="996"/>
              <w:spacing w:after="0"/>
              <w:rPr>
                <w:sz w:val="20"/>
                <w:szCs w:val="20"/>
                <w:color w:val="auto"/>
              </w:rPr>
            </w:pPr>
            <w:r>
              <w:rPr>
                <w:rFonts w:ascii="Arial" w:cs="Arial" w:eastAsia="Arial" w:hAnsi="Arial"/>
                <w:sz w:val="13"/>
                <w:szCs w:val="13"/>
                <w:color w:val="auto"/>
                <w:w w:val="99"/>
              </w:rPr>
              <w:t>(losses), net of income taxes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Exercise of stock options and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other stock awards</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($1.620 per share)</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3180" w:type="dxa"/>
            <w:vAlign w:val="bottom"/>
          </w:tcPr>
          <w:p>
            <w:pPr>
              <w:ind w:left="120"/>
              <w:spacing w:after="0"/>
              <w:rPr>
                <w:sz w:val="20"/>
                <w:szCs w:val="20"/>
                <w:color w:val="auto"/>
              </w:rPr>
            </w:pPr>
            <w:r>
              <w:rPr>
                <w:rFonts w:ascii="Arial" w:cs="Arial" w:eastAsia="Arial" w:hAnsi="Arial"/>
                <w:sz w:val="13"/>
                <w:szCs w:val="13"/>
                <w:color w:val="auto"/>
              </w:rPr>
              <w:t>interest and other activities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tcBorders>
              <w:top w:val="single" w:sz="8" w:color="CCEEFF"/>
            </w:tcBorders>
            <w:shd w:val="clear" w:color="auto" w:fill="CCEEFF"/>
          </w:tcPr>
          <w:p>
            <w:pPr>
              <w:jc w:val="center"/>
              <w:ind w:right="976"/>
              <w:spacing w:after="0"/>
              <w:rPr>
                <w:sz w:val="20"/>
                <w:szCs w:val="20"/>
                <w:color w:val="auto"/>
              </w:rPr>
            </w:pPr>
            <w:r>
              <w:rPr>
                <w:rFonts w:ascii="Arial" w:cs="Arial" w:eastAsia="Arial" w:hAnsi="Arial"/>
                <w:sz w:val="13"/>
                <w:szCs w:val="13"/>
                <w:color w:val="auto"/>
              </w:rPr>
              <w:t>Balances at December 31, 2023</w:t>
            </w:r>
          </w:p>
        </w:tc>
        <w:tc>
          <w:tcPr>
            <w:tcW w:w="7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28,366</w:t>
            </w:r>
          </w:p>
        </w:tc>
        <w:tc>
          <w:tcPr>
            <w:tcW w:w="0" w:type="dxa"/>
            <w:vAlign w:val="bottom"/>
          </w:tcPr>
          <w:p>
            <w:pPr>
              <w:spacing w:after="0"/>
              <w:rPr>
                <w:sz w:val="1"/>
                <w:szCs w:val="1"/>
                <w:color w:val="auto"/>
              </w:rPr>
            </w:pPr>
          </w:p>
        </w:tc>
      </w:tr>
      <w:tr>
        <w:trPr>
          <w:trHeight w:val="150"/>
        </w:trPr>
        <w:tc>
          <w:tcPr>
            <w:tcW w:w="318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4,623</w:t>
            </w:r>
          </w:p>
        </w:tc>
        <w:tc>
          <w:tcPr>
            <w:tcW w:w="0" w:type="dxa"/>
            <w:vAlign w:val="bottom"/>
          </w:tcPr>
          <w:p>
            <w:pPr>
              <w:spacing w:after="0"/>
              <w:rPr>
                <w:sz w:val="1"/>
                <w:szCs w:val="1"/>
                <w:color w:val="auto"/>
              </w:rPr>
            </w:pPr>
          </w:p>
        </w:tc>
      </w:tr>
      <w:tr>
        <w:trPr>
          <w:trHeight w:val="129"/>
        </w:trPr>
        <w:tc>
          <w:tcPr>
            <w:tcW w:w="3180" w:type="dxa"/>
            <w:vAlign w:val="bottom"/>
          </w:tcPr>
          <w:p>
            <w:pPr>
              <w:ind w:left="120"/>
              <w:spacing w:after="0" w:line="129" w:lineRule="exact"/>
              <w:rPr>
                <w:sz w:val="20"/>
                <w:szCs w:val="20"/>
                <w:color w:val="auto"/>
              </w:rPr>
            </w:pPr>
            <w:r>
              <w:rPr>
                <w:rFonts w:ascii="Arial" w:cs="Arial" w:eastAsia="Arial" w:hAnsi="Arial"/>
                <w:sz w:val="13"/>
                <w:szCs w:val="13"/>
                <w:color w:val="auto"/>
              </w:rPr>
              <w:t>Other comprehensive earnings/</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172"/>
        </w:trPr>
        <w:tc>
          <w:tcPr>
            <w:tcW w:w="3180" w:type="dxa"/>
            <w:vAlign w:val="bottom"/>
          </w:tcPr>
          <w:p>
            <w:pPr>
              <w:jc w:val="center"/>
              <w:ind w:right="996"/>
              <w:spacing w:after="0"/>
              <w:rPr>
                <w:sz w:val="20"/>
                <w:szCs w:val="20"/>
                <w:color w:val="auto"/>
              </w:rPr>
            </w:pPr>
            <w:r>
              <w:rPr>
                <w:rFonts w:ascii="Arial" w:cs="Arial" w:eastAsia="Arial" w:hAnsi="Arial"/>
                <w:sz w:val="13"/>
                <w:szCs w:val="13"/>
                <w:color w:val="auto"/>
                <w:w w:val="99"/>
              </w:rPr>
              <w:t>(losses), net of income taxes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Exercise of stock options and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other stock awards</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w:t>
            </w:r>
          </w:p>
        </w:tc>
        <w:tc>
          <w:tcPr>
            <w:tcW w:w="7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($1.790 per share)</w:t>
            </w:r>
          </w:p>
        </w:tc>
        <w:tc>
          <w:tcPr>
            <w:tcW w:w="7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w:t>
            </w:r>
          </w:p>
        </w:tc>
        <w:tc>
          <w:tcPr>
            <w:tcW w:w="70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3180" w:type="dxa"/>
            <w:vAlign w:val="bottom"/>
          </w:tcPr>
          <w:p>
            <w:pPr>
              <w:ind w:left="120"/>
              <w:spacing w:after="0"/>
              <w:rPr>
                <w:sz w:val="20"/>
                <w:szCs w:val="20"/>
                <w:color w:val="auto"/>
              </w:rPr>
            </w:pPr>
            <w:r>
              <w:rPr>
                <w:rFonts w:ascii="Arial" w:cs="Arial" w:eastAsia="Arial" w:hAnsi="Arial"/>
                <w:sz w:val="13"/>
                <w:szCs w:val="13"/>
                <w:color w:val="auto"/>
              </w:rPr>
              <w:t>interest and other activities</w:t>
            </w:r>
          </w:p>
        </w:tc>
        <w:tc>
          <w:tcPr>
            <w:tcW w:w="7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80" w:type="dxa"/>
            <w:vAlign w:val="bottom"/>
            <w:tcBorders>
              <w:top w:val="single" w:sz="8" w:color="CCEEFF"/>
              <w:bottom w:val="single" w:sz="8" w:color="CCEEFF"/>
            </w:tcBorders>
            <w:shd w:val="clear" w:color="auto" w:fill="CCEEFF"/>
          </w:tcPr>
          <w:p>
            <w:pPr>
              <w:jc w:val="center"/>
              <w:ind w:right="976"/>
              <w:spacing w:after="0"/>
              <w:rPr>
                <w:sz w:val="20"/>
                <w:szCs w:val="20"/>
                <w:color w:val="auto"/>
              </w:rPr>
            </w:pPr>
            <w:r>
              <w:rPr>
                <w:rFonts w:ascii="Arial" w:cs="Arial" w:eastAsia="Arial" w:hAnsi="Arial"/>
                <w:sz w:val="13"/>
                <w:szCs w:val="13"/>
                <w:color w:val="auto"/>
              </w:rPr>
              <w:t>Balances at December 31, 2024</w:t>
            </w:r>
          </w:p>
        </w:tc>
        <w:tc>
          <w:tcPr>
            <w:tcW w:w="7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00"/>
          </w:cols>
          <w:pgMar w:left="300" w:top="126" w:right="39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For the Years Ended December 31</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 of U.S. dollars)</w:t>
      </w:r>
    </w:p>
    <w:p>
      <w:pPr>
        <w:spacing w:after="0" w:line="111" w:lineRule="exact"/>
        <w:rPr>
          <w:sz w:val="20"/>
          <w:szCs w:val="20"/>
          <w:color w:val="auto"/>
        </w:rPr>
      </w:pPr>
    </w:p>
    <w:tbl>
      <w:tblPr>
        <w:tblLayout w:type="fixed"/>
        <w:tblInd w:w="100" w:type="dxa"/>
        <w:tblCellMar>
          <w:top w:w="0" w:type="dxa"/>
          <w:left w:w="0" w:type="dxa"/>
          <w:bottom w:w="0" w:type="dxa"/>
          <w:right w:w="0" w:type="dxa"/>
        </w:tblCellMar>
      </w:tblPr>
      <w:tr>
        <w:trPr>
          <w:trHeight w:val="158"/>
        </w:trPr>
        <w:tc>
          <w:tcPr>
            <w:tcW w:w="7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2"/>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BY/(USED IN) OPERATING ACTIVITIES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60" w:type="dxa"/>
            <w:vAlign w:val="bottom"/>
          </w:tcPr>
          <w:p>
            <w:pPr>
              <w:jc w:val="right"/>
              <w:ind w:right="61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4,623</w:t>
            </w:r>
          </w:p>
        </w:tc>
        <w:tc>
          <w:tcPr>
            <w:tcW w:w="8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4,968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2,726</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earnings to operating cash flows: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20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1,107</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expense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0"/>
        </w:trPr>
        <w:tc>
          <w:tcPr>
            <w:tcW w:w="7200" w:type="dxa"/>
            <w:vAlign w:val="bottom"/>
          </w:tcPr>
          <w:p>
            <w:pPr>
              <w:ind w:left="220"/>
              <w:spacing w:after="0"/>
              <w:rPr>
                <w:sz w:val="20"/>
                <w:szCs w:val="20"/>
                <w:color w:val="auto"/>
              </w:rPr>
            </w:pPr>
            <w:r>
              <w:rPr>
                <w:rFonts w:ascii="Arial" w:cs="Arial" w:eastAsia="Arial" w:hAnsi="Arial"/>
                <w:sz w:val="13"/>
                <w:szCs w:val="13"/>
                <w:color w:val="auto"/>
              </w:rPr>
              <w:t>Deferred income tax provision/(benefit)</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Asset impairments and accelerated depreciation</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70"/>
        </w:trPr>
        <w:tc>
          <w:tcPr>
            <w:tcW w:w="7200" w:type="dxa"/>
            <w:vAlign w:val="bottom"/>
          </w:tcPr>
          <w:p>
            <w:pPr>
              <w:ind w:left="220"/>
              <w:spacing w:after="0"/>
              <w:rPr>
                <w:sz w:val="20"/>
                <w:szCs w:val="20"/>
                <w:color w:val="auto"/>
              </w:rPr>
            </w:pPr>
            <w:r>
              <w:rPr>
                <w:rFonts w:ascii="Arial" w:cs="Arial" w:eastAsia="Arial" w:hAnsi="Arial"/>
                <w:sz w:val="13"/>
                <w:szCs w:val="13"/>
                <w:color w:val="auto"/>
              </w:rPr>
              <w:t>Gain on acquisition and divestitures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Loss/(gain) on equity method investment transactions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0"/>
        </w:trPr>
        <w:tc>
          <w:tcPr>
            <w:tcW w:w="7200" w:type="dxa"/>
            <w:vAlign w:val="bottom"/>
          </w:tcPr>
          <w:p>
            <w:pPr>
              <w:ind w:left="220"/>
              <w:spacing w:after="0"/>
              <w:rPr>
                <w:sz w:val="20"/>
                <w:szCs w:val="20"/>
                <w:color w:val="auto"/>
              </w:rPr>
            </w:pPr>
            <w:r>
              <w:rPr>
                <w:rFonts w:ascii="Arial" w:cs="Arial" w:eastAsia="Arial" w:hAnsi="Arial"/>
                <w:sz w:val="13"/>
                <w:szCs w:val="13"/>
                <w:color w:val="auto"/>
              </w:rPr>
              <w:t>Equity method investment net earnings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Distributions from equity method investments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70"/>
        </w:trPr>
        <w:tc>
          <w:tcPr>
            <w:tcW w:w="7200" w:type="dxa"/>
            <w:vAlign w:val="bottom"/>
          </w:tcPr>
          <w:p>
            <w:pPr>
              <w:ind w:left="260"/>
              <w:spacing w:after="0"/>
              <w:rPr>
                <w:sz w:val="20"/>
                <w:szCs w:val="20"/>
                <w:color w:val="auto"/>
              </w:rPr>
            </w:pPr>
            <w:r>
              <w:rPr>
                <w:rFonts w:ascii="Arial" w:cs="Arial" w:eastAsia="Arial" w:hAnsi="Arial"/>
                <w:sz w:val="13"/>
                <w:szCs w:val="13"/>
                <w:color w:val="auto"/>
              </w:rPr>
              <w:t>Unrealized (gain)/loss on derivative contracts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on marketable securities</w:t>
            </w:r>
          </w:p>
        </w:tc>
        <w:tc>
          <w:tcPr>
            <w:tcW w:w="7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200" w:type="dxa"/>
            <w:vAlign w:val="bottom"/>
          </w:tcPr>
          <w:p>
            <w:pPr>
              <w:ind w:left="260"/>
              <w:spacing w:after="0"/>
              <w:rPr>
                <w:sz w:val="20"/>
                <w:szCs w:val="20"/>
                <w:color w:val="auto"/>
              </w:rPr>
            </w:pPr>
            <w:r>
              <w:rPr>
                <w:rFonts w:ascii="Arial" w:cs="Arial" w:eastAsia="Arial" w:hAnsi="Arial"/>
                <w:sz w:val="13"/>
                <w:szCs w:val="13"/>
                <w:color w:val="auto"/>
              </w:rPr>
              <w:t>Contingent consideration adjustments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non-cash items, net</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0"/>
        </w:trPr>
        <w:tc>
          <w:tcPr>
            <w:tcW w:w="7200" w:type="dxa"/>
            <w:vAlign w:val="bottom"/>
          </w:tcPr>
          <w:p>
            <w:pPr>
              <w:ind w:left="220"/>
              <w:spacing w:after="0"/>
              <w:rPr>
                <w:sz w:val="20"/>
                <w:szCs w:val="20"/>
                <w:color w:val="auto"/>
              </w:rPr>
            </w:pPr>
            <w:r>
              <w:rPr>
                <w:rFonts w:ascii="Arial" w:cs="Arial" w:eastAsia="Arial" w:hAnsi="Arial"/>
                <w:sz w:val="13"/>
                <w:szCs w:val="13"/>
                <w:color w:val="auto"/>
              </w:rPr>
              <w:t>Change in assets and liabilities, net of acquisitions and divestitures: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Receivables, net</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70"/>
        </w:trPr>
        <w:tc>
          <w:tcPr>
            <w:tcW w:w="7200" w:type="dxa"/>
            <w:vAlign w:val="bottom"/>
          </w:tcPr>
          <w:p>
            <w:pPr>
              <w:ind w:left="440"/>
              <w:spacing w:after="0"/>
              <w:rPr>
                <w:sz w:val="20"/>
                <w:szCs w:val="20"/>
                <w:color w:val="auto"/>
              </w:rPr>
            </w:pPr>
            <w:r>
              <w:rPr>
                <w:rFonts w:ascii="Arial" w:cs="Arial" w:eastAsia="Arial" w:hAnsi="Arial"/>
                <w:sz w:val="13"/>
                <w:szCs w:val="13"/>
                <w:color w:val="auto"/>
              </w:rPr>
              <w:t>Inventories, net</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Accounts payable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170"/>
        </w:trPr>
        <w:tc>
          <w:tcPr>
            <w:tcW w:w="7200" w:type="dxa"/>
            <w:vAlign w:val="bottom"/>
          </w:tcPr>
          <w:p>
            <w:pPr>
              <w:ind w:left="440"/>
              <w:spacing w:after="0"/>
              <w:rPr>
                <w:sz w:val="20"/>
                <w:szCs w:val="20"/>
                <w:color w:val="auto"/>
              </w:rPr>
            </w:pPr>
            <w:r>
              <w:rPr>
                <w:rFonts w:ascii="Arial" w:cs="Arial" w:eastAsia="Arial" w:hAnsi="Arial"/>
                <w:sz w:val="13"/>
                <w:szCs w:val="13"/>
                <w:color w:val="auto"/>
              </w:rPr>
              <w:t>Other current assets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Other current liabilities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70"/>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Change in pension and postretirement assets and liabilities, net</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64"/>
        </w:trPr>
        <w:tc>
          <w:tcPr>
            <w:tcW w:w="72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provided by operating activities</w:t>
            </w: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3,908</w:t>
            </w:r>
          </w:p>
        </w:tc>
        <w:tc>
          <w:tcPr>
            <w:tcW w:w="0" w:type="dxa"/>
            <w:vAlign w:val="bottom"/>
          </w:tcPr>
          <w:p>
            <w:pPr>
              <w:spacing w:after="0"/>
              <w:rPr>
                <w:sz w:val="1"/>
                <w:szCs w:val="1"/>
                <w:color w:val="auto"/>
              </w:rPr>
            </w:pPr>
          </w:p>
        </w:tc>
      </w:tr>
      <w:tr>
        <w:trPr>
          <w:trHeight w:val="150"/>
        </w:trPr>
        <w:tc>
          <w:tcPr>
            <w:tcW w:w="7200" w:type="dxa"/>
            <w:vAlign w:val="bottom"/>
          </w:tcPr>
          <w:p>
            <w:pPr>
              <w:ind w:left="20"/>
              <w:spacing w:after="0"/>
              <w:rPr>
                <w:sz w:val="20"/>
                <w:szCs w:val="20"/>
                <w:color w:val="auto"/>
              </w:rPr>
            </w:pPr>
            <w:r>
              <w:rPr>
                <w:rFonts w:ascii="Arial" w:cs="Arial" w:eastAsia="Arial" w:hAnsi="Arial"/>
                <w:sz w:val="13"/>
                <w:szCs w:val="13"/>
                <w:color w:val="auto"/>
              </w:rPr>
              <w:t>CASH PROVIDED BY/(USED IN) INVESTING ACTIVITIES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expenditures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Acquisitions, net of cash received</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(5,286)</w:t>
            </w:r>
          </w:p>
        </w:tc>
        <w:tc>
          <w:tcPr>
            <w:tcW w:w="0" w:type="dxa"/>
            <w:vAlign w:val="bottom"/>
          </w:tcPr>
          <w:p>
            <w:pPr>
              <w:spacing w:after="0"/>
              <w:rPr>
                <w:sz w:val="1"/>
                <w:szCs w:val="1"/>
                <w:color w:val="auto"/>
              </w:rPr>
            </w:pPr>
          </w:p>
        </w:tc>
      </w:tr>
      <w:tr>
        <w:trPr>
          <w:trHeight w:val="131"/>
        </w:trPr>
        <w:tc>
          <w:tcPr>
            <w:tcW w:w="72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Proceeds from divestitures including equity method and marketable security</w:t>
            </w:r>
          </w:p>
        </w:tc>
        <w:tc>
          <w:tcPr>
            <w:tcW w:w="7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4,099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investments</w:t>
            </w:r>
          </w:p>
        </w:tc>
        <w:tc>
          <w:tcPr>
            <w:tcW w:w="7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0" w:type="dxa"/>
            <w:vAlign w:val="bottom"/>
          </w:tcPr>
          <w:p>
            <w:pPr>
              <w:ind w:left="100"/>
              <w:spacing w:after="0"/>
              <w:rPr>
                <w:sz w:val="20"/>
                <w:szCs w:val="20"/>
                <w:color w:val="auto"/>
              </w:rPr>
            </w:pPr>
            <w:r>
              <w:rPr>
                <w:rFonts w:ascii="Arial" w:cs="Arial" w:eastAsia="Arial" w:hAnsi="Arial"/>
                <w:sz w:val="13"/>
                <w:szCs w:val="13"/>
                <w:color w:val="auto"/>
              </w:rPr>
              <w:t>Proceeds from derivative settlements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 for derivative settlements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0"/>
        </w:trPr>
        <w:tc>
          <w:tcPr>
            <w:tcW w:w="7200" w:type="dxa"/>
            <w:vAlign w:val="bottom"/>
          </w:tcPr>
          <w:p>
            <w:pPr>
              <w:ind w:left="100"/>
              <w:spacing w:after="0"/>
              <w:rPr>
                <w:sz w:val="20"/>
                <w:szCs w:val="20"/>
                <w:color w:val="auto"/>
              </w:rPr>
            </w:pPr>
            <w:r>
              <w:rPr>
                <w:rFonts w:ascii="Arial" w:cs="Arial" w:eastAsia="Arial" w:hAnsi="Arial"/>
                <w:sz w:val="13"/>
                <w:szCs w:val="13"/>
                <w:color w:val="auto"/>
              </w:rPr>
              <w:t>Contributions to investments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sale of property, plant and equipment and other</w:t>
            </w: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1"/>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provided by/(used in) by investing activities</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(4,888)</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BY/(USED IN) FINANCING ACTIVITIES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Issuances of commercial paper, maturities greater than 90 days</w:t>
            </w:r>
          </w:p>
        </w:tc>
        <w:tc>
          <w:tcPr>
            <w:tcW w:w="7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Repayments of commercial paper, maturities greater than 90 days</w:t>
            </w:r>
          </w:p>
        </w:tc>
        <w:tc>
          <w:tcPr>
            <w:tcW w:w="7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Net (repayments)/issuances of short-term borrowings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1,914</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proceeds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4,490</w:t>
            </w: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Long-term debt repayments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(3,032)</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70"/>
        </w:trPr>
        <w:tc>
          <w:tcPr>
            <w:tcW w:w="7200" w:type="dxa"/>
            <w:vAlign w:val="bottom"/>
          </w:tcPr>
          <w:p>
            <w:pPr>
              <w:ind w:left="120"/>
              <w:spacing w:after="0"/>
              <w:rPr>
                <w:sz w:val="20"/>
                <w:szCs w:val="20"/>
                <w:color w:val="auto"/>
              </w:rPr>
            </w:pPr>
            <w:r>
              <w:rPr>
                <w:rFonts w:ascii="Arial" w:cs="Arial" w:eastAsia="Arial" w:hAnsi="Arial"/>
                <w:sz w:val="13"/>
                <w:szCs w:val="13"/>
                <w:color w:val="auto"/>
              </w:rPr>
              <w:t>Dividends paid</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(1,985)</w:t>
            </w: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61"/>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used in financing activities</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64"/>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0"/>
        </w:trPr>
        <w:tc>
          <w:tcPr>
            <w:tcW w:w="72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Decrease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w:t>
            </w:r>
          </w:p>
        </w:tc>
        <w:tc>
          <w:tcPr>
            <w:tcW w:w="0" w:type="dxa"/>
            <w:vAlign w:val="bottom"/>
          </w:tcPr>
          <w:p>
            <w:pPr>
              <w:spacing w:after="0"/>
              <w:rPr>
                <w:sz w:val="1"/>
                <w:szCs w:val="1"/>
                <w:color w:val="auto"/>
              </w:rPr>
            </w:pPr>
          </w:p>
        </w:tc>
      </w:tr>
      <w:tr>
        <w:trPr>
          <w:trHeight w:val="170"/>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Balance at beginning of period</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3,553</w:t>
            </w:r>
          </w:p>
        </w:tc>
        <w:tc>
          <w:tcPr>
            <w:tcW w:w="0" w:type="dxa"/>
            <w:vAlign w:val="bottom"/>
          </w:tcPr>
          <w:p>
            <w:pPr>
              <w:spacing w:after="0"/>
              <w:rPr>
                <w:sz w:val="1"/>
                <w:szCs w:val="1"/>
                <w:color w:val="auto"/>
              </w:rPr>
            </w:pPr>
          </w:p>
        </w:tc>
      </w:tr>
      <w:tr>
        <w:trPr>
          <w:trHeight w:val="188"/>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Balance at end of period</w:t>
            </w:r>
          </w:p>
        </w:tc>
        <w:tc>
          <w:tcPr>
            <w:tcW w:w="76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paid:</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2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w:t>
            </w:r>
          </w:p>
        </w:tc>
        <w:tc>
          <w:tcPr>
            <w:tcW w:w="76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Income taxes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200" w:type="dxa"/>
            <w:vAlign w:val="bottom"/>
            <w:vMerge w:val="continue"/>
          </w:tcPr>
          <w:p>
            <w:pPr>
              <w:spacing w:after="0"/>
              <w:rPr>
                <w:sz w:val="11"/>
                <w:szCs w:val="11"/>
                <w:color w:val="auto"/>
              </w:rPr>
            </w:pPr>
          </w:p>
        </w:tc>
        <w:tc>
          <w:tcPr>
            <w:tcW w:w="760" w:type="dxa"/>
            <w:vAlign w:val="bottom"/>
            <w:tcBorders>
              <w:bottom w:val="single" w:sz="8" w:color="auto"/>
            </w:tcBorders>
          </w:tcPr>
          <w:p>
            <w:pPr>
              <w:jc w:val="right"/>
              <w:ind w:right="617"/>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1,474</w:t>
            </w:r>
          </w:p>
        </w:tc>
        <w:tc>
          <w:tcPr>
            <w:tcW w:w="80" w:type="dxa"/>
            <w:vAlign w:val="bottom"/>
          </w:tcPr>
          <w:p>
            <w:pPr>
              <w:spacing w:after="0"/>
              <w:rPr>
                <w:sz w:val="11"/>
                <w:szCs w:val="11"/>
                <w:color w:val="auto"/>
              </w:rPr>
            </w:pPr>
          </w:p>
        </w:tc>
        <w:tc>
          <w:tcPr>
            <w:tcW w:w="300" w:type="dxa"/>
            <w:vAlign w:val="bottom"/>
            <w:tcBorders>
              <w:bottom w:val="single" w:sz="8" w:color="auto"/>
            </w:tcBorders>
          </w:tcPr>
          <w:p>
            <w:pPr>
              <w:jc w:val="right"/>
              <w:ind w:right="136"/>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1,607</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1,103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25"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Summary of Significant 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 of Business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is no readily determinable fair value for the equity interests, these investments are carried at cost with changes in the investment recognized to the extent cash is received.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estimates include valuation assumptions of goodwill and intangible assets, useful lives of long-lived assets, restructuring program liabilities, contingent consideration,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our estimates could be significantly different than future performance. If actual amounts differ from estimates, we include the updates in our consolidated results of operations in the period the actual amounts become known.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 in Ukraine</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We reversed $22 million during the remainder of 2022 of previously recorded charges primarily as a result of higher than expected collection of trade receivables and inventory recoveries. In the second quarter of 2024, we fully resumed production at both facilities after completing targeted repairs. We continue to consolidate both our Ukrainian and Russian subsidiaries and continue to evaluate our ability to control our operating activities and businesses on an ongoing basis. We continue to evaluate the uncertainty of the ongoing effects of the war in Ukraine and its impact on the global economic environment, and we cannot predict if it will have a significant impact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Currency Translation and Highly Inflationary Accounting</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15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During the fourth quarter of 2024, primarily based on published estimates indicating three-year cumulative inflation rates exceeding 100% for Egypt and Nigeria, we concluded that both countries became highly inflationary economies for accounting purposes. We began to apply highly inflationary accounting for our subsidiaries operating in Egypt and Nigeria and changed their functional currencies from the Egyptian Pound and Nigerian Naira, respectively, to the U.S. dollar during the fourth quarter of 2024.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At this time, within our consolidated entities, Argentina, Türkiye, Egypt and Nigeria are accounted for as highly inflationary economies. Argentina, Türkiye, Egypt and Nigeria represent 1.5%, 0.7%, 0.4% and 0.2%, respectively, of our consolidated net revenues for the year ended December 31, 2024. Given the continued volatility of these currencies, impacts to our financial statements in future periods could be significantly different from historical levels.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share of our remeasurement gains/(losses) for the highly inflationary countries are summarized as follows </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2"/>
        </w:trPr>
        <w:tc>
          <w:tcPr>
            <w:tcW w:w="5720" w:type="dxa"/>
            <w:vAlign w:val="bottom"/>
          </w:tcPr>
          <w:p>
            <w:pPr>
              <w:spacing w:after="0"/>
              <w:rPr>
                <w:sz w:val="13"/>
                <w:szCs w:val="13"/>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2"/>
              <w:spacing w:after="0"/>
              <w:rPr>
                <w:sz w:val="20"/>
                <w:szCs w:val="20"/>
                <w:color w:val="auto"/>
              </w:rPr>
            </w:pPr>
            <w:r>
              <w:rPr>
                <w:rFonts w:ascii="Arial" w:cs="Arial" w:eastAsia="Arial" w:hAnsi="Arial"/>
                <w:sz w:val="11"/>
                <w:szCs w:val="11"/>
                <w:b w:val="1"/>
                <w:bCs w:val="1"/>
                <w:color w:val="auto"/>
              </w:rPr>
              <w:t>2022</w:t>
            </w:r>
          </w:p>
        </w:tc>
      </w:tr>
      <w:tr>
        <w:trPr>
          <w:trHeight w:val="163"/>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Argentina</w:t>
            </w:r>
          </w:p>
        </w:tc>
        <w:tc>
          <w:tcPr>
            <w:tcW w:w="1280" w:type="dxa"/>
            <w:vAlign w:val="bottom"/>
            <w:shd w:val="clear" w:color="auto" w:fill="CCEEFF"/>
          </w:tcPr>
          <w:p>
            <w:pPr>
              <w:jc w:val="right"/>
              <w:ind w:right="111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Türkiye</w:t>
            </w:r>
          </w:p>
        </w:tc>
        <w:tc>
          <w:tcPr>
            <w:tcW w:w="1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losses</w:t>
            </w:r>
          </w:p>
        </w:tc>
        <w:tc>
          <w:tcPr>
            <w:tcW w:w="128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(1) Remeasurement gains for Egypt and Nigeria were not material in 2024.</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Cash Equivalents and Restricted Cash</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Cash and cash equivalents include demand deposits with financial institutions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$ 49 million as of December 31, 2024 and $74 million as of December 31, 2023. Total cash, cash equivalents and restricted cash was $1,400 million as of December 31, 2024 and $1,884 million as of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Allowances for Credit Losses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Changes in allowances for credit losses consisted of:</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Allowance for Trade</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Allowance for Other</w:t>
            </w:r>
          </w:p>
        </w:tc>
        <w:tc>
          <w:tcPr>
            <w:tcW w:w="100" w:type="dxa"/>
            <w:vAlign w:val="bottom"/>
          </w:tcPr>
          <w:p>
            <w:pPr>
              <w:spacing w:after="0"/>
              <w:rPr>
                <w:sz w:val="10"/>
                <w:szCs w:val="10"/>
                <w:color w:val="auto"/>
              </w:rPr>
            </w:pPr>
          </w:p>
        </w:tc>
        <w:tc>
          <w:tcPr>
            <w:tcW w:w="1260" w:type="dxa"/>
            <w:vAlign w:val="bottom"/>
          </w:tcPr>
          <w:p>
            <w:pPr>
              <w:jc w:val="right"/>
              <w:ind w:right="71"/>
              <w:spacing w:after="0"/>
              <w:rPr>
                <w:sz w:val="20"/>
                <w:szCs w:val="20"/>
                <w:color w:val="auto"/>
              </w:rPr>
            </w:pPr>
            <w:r>
              <w:rPr>
                <w:rFonts w:ascii="Arial" w:cs="Arial" w:eastAsia="Arial" w:hAnsi="Arial"/>
                <w:sz w:val="11"/>
                <w:szCs w:val="11"/>
                <w:b w:val="1"/>
                <w:bCs w:val="1"/>
                <w:color w:val="auto"/>
              </w:rPr>
              <w:t>Allowance for Long-</w:t>
            </w:r>
          </w:p>
        </w:tc>
      </w:tr>
      <w:tr>
        <w:trPr>
          <w:trHeight w:val="150"/>
        </w:trPr>
        <w:tc>
          <w:tcPr>
            <w:tcW w:w="6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Receivables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Current Receivables</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Term Receivables</w:t>
            </w:r>
          </w:p>
        </w:tc>
      </w:tr>
      <w:tr>
        <w:trPr>
          <w:trHeight w:val="162"/>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6960" w:type="dxa"/>
            <w:vAlign w:val="bottom"/>
          </w:tcPr>
          <w:p>
            <w:pPr>
              <w:ind w:left="120"/>
              <w:spacing w:after="0"/>
              <w:rPr>
                <w:sz w:val="20"/>
                <w:szCs w:val="20"/>
                <w:color w:val="auto"/>
              </w:rPr>
            </w:pPr>
            <w:r>
              <w:rPr>
                <w:rFonts w:ascii="Arial" w:cs="Arial" w:eastAsia="Arial" w:hAnsi="Arial"/>
                <w:sz w:val="14"/>
                <w:szCs w:val="14"/>
                <w:color w:val="auto"/>
              </w:rPr>
              <w:t>Net (provision)/recovery for expected credit losses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Write-offs charged against the allowance</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960" w:type="dxa"/>
            <w:vAlign w:val="bottom"/>
          </w:tcPr>
          <w:p>
            <w:pPr>
              <w:ind w:left="120"/>
              <w:spacing w:after="0"/>
              <w:rPr>
                <w:sz w:val="20"/>
                <w:szCs w:val="20"/>
                <w:color w:val="auto"/>
              </w:rPr>
            </w:pPr>
            <w:r>
              <w:rPr>
                <w:rFonts w:ascii="Arial" w:cs="Arial" w:eastAsia="Arial" w:hAnsi="Arial"/>
                <w:sz w:val="14"/>
                <w:szCs w:val="14"/>
                <w:color w:val="auto"/>
              </w:rPr>
              <w:t>Recoveries of amounts previously written off</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3"/>
        </w:trPr>
        <w:tc>
          <w:tcPr>
            <w:tcW w:w="6960" w:type="dxa"/>
            <w:vAlign w:val="bottom"/>
          </w:tcPr>
          <w:p>
            <w:pPr>
              <w:ind w:left="20"/>
              <w:spacing w:after="0"/>
              <w:rPr>
                <w:sz w:val="20"/>
                <w:szCs w:val="20"/>
                <w:color w:val="auto"/>
              </w:rPr>
            </w:pPr>
            <w:r>
              <w:rPr>
                <w:rFonts w:ascii="Arial" w:cs="Arial" w:eastAsia="Arial" w:hAnsi="Arial"/>
                <w:sz w:val="14"/>
                <w:szCs w:val="14"/>
                <w:color w:val="auto"/>
              </w:rPr>
              <w:t>Balance at December 31, 2023</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recovery/(provision) for expected credit losses</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6960" w:type="dxa"/>
            <w:vAlign w:val="bottom"/>
          </w:tcPr>
          <w:p>
            <w:pPr>
              <w:ind w:left="120"/>
              <w:spacing w:after="0"/>
              <w:rPr>
                <w:sz w:val="20"/>
                <w:szCs w:val="20"/>
                <w:color w:val="auto"/>
              </w:rPr>
            </w:pPr>
            <w:r>
              <w:rPr>
                <w:rFonts w:ascii="Arial" w:cs="Arial" w:eastAsia="Arial" w:hAnsi="Arial"/>
                <w:sz w:val="14"/>
                <w:szCs w:val="14"/>
                <w:color w:val="auto"/>
              </w:rPr>
              <w:t>Write-offs charged against the allowance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3"/>
        </w:trPr>
        <w:tc>
          <w:tcPr>
            <w:tcW w:w="696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Transfers of Financial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account for transfers of financial assets, such as uncommitted revolving non-recourse accounts receivable factoring arrangements, when we have surrendered control over the related assets. We use receivable factoring arrangements periodically when circumstances are favorable to manage liquidity. We have nonrecourse factoring arrangements in which we sell eligible trade receivables primarily to financial institutions in exchange for cash. We may continue to collect the receivables sold, acting solely as a collecting agent on behalf of the financial institutions. The outstanding principal amount of receivables under these arrangements amounted to $159 million as of December 31, 2024, $262 million as of December 31, 2023 and $516 million as of December 31, 2022.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incremental costs of factoring receivables under these arrangements were not material for all periods presented. The proceeds from the sales of receivables are included in cash from operating activities in the consolidated statements of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record our inventory using the average cost method and record inventory reserves for excess and obsolete inventory.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Long-Lived Assets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Property, plant and equipment are stated at historical cost and depreciated by the straight-line method over the estimated useful lives of the assets with the expense recorded in cost of sales or selling, general and administrative expenses depending on the nature of the long-lived assets. Machinery and equipment are depreciated over periods ranging from 3 to 20 years and buildings and building improvements over periods up to 40 years.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review long-lived assets, including definite-life intangible assets, for realizability on an ongoing basis. Changes in depreciation, generally accelerated depreciation, are determined and recorded when estimates of the remaining useful lives or residual values of long-term assets change. We amortize definite-life intangible assets over their estimated useful lives and evaluate them for impairment as we do other long-lived assets. We review for impairment when conditions exist that indicate the carrying amount of the assets may not be fully recoverable. In those circumstances, we perform undiscounted operating cash flow analyses for asset groups at the lowest level for which cash flows are separately identifiable to determine if an impairment exists.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determine whether a contract is or contains a lease at contract inception. For short-term operating leases with terms of 12 months or less, we do not recognize right-of-use (“ROU”) assets and lease liabilities.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implicit interest rate in the lease is not readily determinable, we use our country-specific incremental borrowing rate to discount the lease liabilities.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leases may include options to extend or terminate the lease, which are included in the lease term when it is reasonably certain that we will exercise that option. Our lease agreements do not contain any material residual value guarantees or material restrictive covenants. Many of our leases contain non-lease components (e.g., product costs, common-area or other maintenance costs) that relate to the lease components of the agreement. We account for lease and non-lease components as a single lease component.</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Amortization of ROU lease assets is calculated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for operating leases. Variable lease payments, which are primarily comprised of product costs, insurance and tax payments based on usage or output, are recognized when the expense is incurred. Finance lease ROU assets are presented in property, plant and equipment and the related finance lease liabilities are presented in the current portion of long-term debt and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Internal Use Software Costs</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Cloud Computing Arrangements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capitalize certain implementation costs of cloud computing arrangements during the application-development stage, consistent with the capitalization criteria used for internal use software. Capitalized costs are recorded to other assets on the consolidated balance sheets and within net cash provided by operating activities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consolidated statement of cash flows. Capitalized cloud computing arrangement implementation costs are amortized using the straight-line method over the remaining term of the contract.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Indefinite-Life Intangible Assets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Annually, we may perform qualitative testing, or depending on factors such as prior 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If the carrying value of a reporting unit’s net assets exceeds its fair value, we would recognize an impairment charge for the amount by which the carrying value exceeds the reporting unit’s fair value.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Annually, we assess indefinite-life intangible assets for impairment by performing a qualitative review and assessing events and circumstances that could affect the fair value or carrying value of these intangible assets. If potential impairment risk exists for a specific asset, we quantitatively test it for impairment by comparing its estimated fair value with its carrying value. During our annual testing, we use several accepted valuation methods, including relief from royalty, excess earnings and excess margin, that utilize estimates of future sales, earnings growth rates, royalty rates and discount rates in determining a brand’s global fair value. If the carrying value of the asset exceeds its fair value, we consider the asset impaired and reduce its carrying value to the estimated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assets acquired and liabilities assumed upon the acquisition or consolidation of a business are recorded at fair value, with the residual of the purchase price allocated to goodwill. During the measurement period, which may be up to one year from the acquisition date, we may record adjustments to assets acquired and liabilities assumed with the corresponding offset to goodwill. The results of operations of an acquired business are included in our operating results from the date of acquisition.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Legal costs, due diligence costs, business valuation costs and all other business acquisition costs are expensed when incurred.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Method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Insurance and Self-Insurance</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recognize revenue when control over the products transfers to our customers, which generally occurs upon delivery or shipment of the products.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Advertising and Research and Development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sheets and all marketing and advertising costs are recorded as an expense in the year incurred. Advertising expense was $2,112 million in 2024, $2,057 million in 2023 and $1,670 million in 2022. We expense product research and development costs as incurred. Research and development expense was $400 million in 2024, $380 million in 2023 and $346 million in 2022. We record marketing and advertising as well as research and development expenses within selling,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maintain a share-based compensation plan, which authorizes the granting of various equity-based incentives, including stock options (including stock appreciation rights), deferred stock units (DSUs) and performance share units (PSUs). Stock compensation expense is amortized to expense over the vesting period, generally three years.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Stock options are granted with an exercise price equal to the closing market price of our Common Stock on the grant date. Substantially all of the options become exercisable in three annual installments beginning a year from the grant date and generally expire 10 years from the grant date. We use the Black-Scholes Model to measure the fair value of stock options granted to employees. The expected life of the options represents the period of time the options are expected to be outstanding and is based on historical trends. Expected stock price volatility is based on the implied and historical volatility of the Company’s stock. The expected dividend yield is based on the Company’s most recent annual dividend rate. The risk-free interest rate is based on the U.S. Treasury yield curve in effect at the time of grant with a term equal to the expected life.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DSUs are typically granted to selected management employees on an annual basis and vest over three years. Dividend equivalents are paid during the vesting period for DSUs granted prior to February 27, 2024. For DSUs granted on or after February 27, 2024, dividend equivalents accumulated over the vesting period are paid after vesting. The fair value of our DSUs and other stock-based awards is measured at the market price of our Common Stock on the grant date.</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PSUs vest based on varying performance, market and service conditions. Dividend equivalents accumulated over the vesting period are paid after vesting. The grant date fair value of PSUs is determined based on the Monte Carlo simulation model for the market-based component and the market price of our Common Stock on the grant date for performance-based components. The final award may equal 0-200 percent of the target grant, based on the achievement of the performance and market-based components</w:t>
      </w:r>
      <w:r>
        <w:rPr>
          <w:rFonts w:ascii="Calibri" w:cs="Calibri" w:eastAsia="Calibri" w:hAnsi="Calibri"/>
          <w:sz w:val="14"/>
          <w:szCs w:val="14"/>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Forfeitures are estimated on the grant date for all of our stock-based compensation awards.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Benefit Plans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When we use derivatives, we are exposed to credit and market risks.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We manage derivative market risk by limiting the types of derivative instruments, derivative strategies we use and the degree of market risk that we plan to hedge through the use of derivative instruments.</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record derivative financial instruments on a gross basis in our consolidated balance sheets. The fair value of our instruments are recorded within other current assets, other assets, other current liabilities and other liabilities in our consolidated balance sheets.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Mark-to-market gains or losses related to our economic hedges are separately presented in the consolidated statements of cash flows within operating activities. Cash flows related to the settlement of derivative instruments designated as hedges of net investments in non-U.S. operations are classified in the consolidated statements of cash flows within investing activities. Cash flows related to derivative instruments that are designated or settled economic hedges are classified in the same line item as the cash flows of the related hedged item. Cash flows related to the settlement of all other free-standing derivative instruments are classified within investing activities.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Commodity derivatives</w:t>
      </w:r>
      <w:r>
        <w:rPr>
          <w:rFonts w:ascii="Arial" w:cs="Arial" w:eastAsia="Arial" w:hAnsi="Arial"/>
          <w:sz w:val="14"/>
          <w:szCs w:val="14"/>
          <w:color w:val="auto"/>
        </w:rPr>
        <w:t>. We are exposed to price risk related to forecasted purchases of certain commodities that we primarily use as raw materials. We enter into commodity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forward, futures, option and swap contracts. Commodity forward contracts generally are not subject to the accounting requirements for derivative instruments and hedging activities under the normal purchases exception. We sell commodity futures to hedge future purchase commitments. We occasionally use related futures to cross-hedge a commodity exposure. We are not a party to leveraged derivatives and do not use financial instruments for speculative purposes. Any mark-to-market gains or losses are recorded in earnings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i w:val="1"/>
          <w:iCs w:val="1"/>
          <w:color w:val="auto"/>
        </w:rPr>
        <w:t>Currency exchange derivatives</w:t>
      </w:r>
      <w:r>
        <w:rPr>
          <w:rFonts w:ascii="Arial" w:cs="Arial" w:eastAsia="Arial" w:hAnsi="Arial"/>
          <w:sz w:val="14"/>
          <w:szCs w:val="14"/>
          <w:color w:val="auto"/>
        </w:rPr>
        <w:t xml:space="preserve">. We enter into currency exchange forward, futures, option and swap contracts to mitigate our exposure to changes in exchange rates from third-party and intercompany current and forecasted transactions. Any mark-to-market gains or losses are recorded in earnings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Interest rate cash flow hedges</w:t>
      </w:r>
      <w:r>
        <w:rPr>
          <w:rFonts w:ascii="Arial" w:cs="Arial" w:eastAsia="Arial" w:hAnsi="Arial"/>
          <w:sz w:val="14"/>
          <w:szCs w:val="14"/>
          <w:color w:val="auto"/>
        </w:rPr>
        <w:t>. We manage interest rate volatility by modifying the pricing or maturity characteristics of certain liabilities so that the net impact on expense is not,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 a material basis, adversely affected by movements in interest rates. We use derivative instruments, including interest rate swaps that have indices related to the pricing of specific liabilities as part of our interest rate risk management strategy. We use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 Changes in the fair value of derivatives that are designated as a cash flow hedge, to the extent the hedge is effective, are recorded in accumulated other comprehensive earnings/(losses), net of deferred taxes, and reclassified to earnings when the hedged item affects earnings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33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Hedges of net investments in non-U.S. operations</w:t>
      </w:r>
      <w:r>
        <w:rPr>
          <w:rFonts w:ascii="Arial" w:cs="Arial" w:eastAsia="Arial" w:hAnsi="Arial"/>
          <w:sz w:val="14"/>
          <w:szCs w:val="14"/>
          <w:color w:val="auto"/>
        </w:rPr>
        <w:t>. We have numerous investments outside the United States. The net assets of these subsidiaries are exposed to changes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volatility in currency exchange rates. We use local currency denominated debt to hedge our non-U.S. net investments against adverse movements in exchange rates. We may designate non-U.S. dollar-denominated borrowings in the U.S. as a net investment hedge of a portion of our overall non-U.S. operations. The gains and losses on our net investment in these designated non-U.S. operations are economically offset by losses and gains designated dollar-denominated borrowings. The revaluation of designated borrowings, net of deferred taxes, is recorded within currency translation adjustment in accumulated other comprehensive earnings/(losses)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We use derivatives instruments to hedge certain investments in our non-U.S. operations against movements in exchange rates. These instruments may include cross-currency interest rate swaps, forwards and options. The after-tax gain/(loss) on these net investment hedge contracts, net of deferred taxes, is recorded within cumulative translation adjustment in accumulated other comprehensive earnings/(losses) (see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Supply Chain Financing</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w:t>
      </w:r>
      <w:r>
        <w:rPr>
          <w:rFonts w:ascii="Arial" w:cs="Arial" w:eastAsia="Arial" w:hAnsi="Arial"/>
          <w:sz w:val="14"/>
          <w:szCs w:val="14"/>
          <w:i w:val="1"/>
          <w:iCs w:val="1"/>
          <w:color w:val="auto"/>
        </w:rPr>
        <w:t>accounts payable</w:t>
      </w:r>
      <w:r>
        <w:rPr>
          <w:rFonts w:ascii="Arial" w:cs="Arial" w:eastAsia="Arial" w:hAnsi="Arial"/>
          <w:sz w:val="14"/>
          <w:szCs w:val="14"/>
          <w:color w:val="auto"/>
        </w:rPr>
        <w:t xml:space="preserve"> in our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roll-forward of our outstanding obligations confirmed as valid under our SCF program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For the Year Ended December 31,</w:t>
            </w:r>
          </w:p>
        </w:tc>
      </w:tr>
      <w:tr>
        <w:trPr>
          <w:trHeight w:val="142"/>
        </w:trPr>
        <w:tc>
          <w:tcPr>
            <w:tcW w:w="9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894"/>
              <w:spacing w:after="0"/>
              <w:rPr>
                <w:sz w:val="20"/>
                <w:szCs w:val="20"/>
                <w:color w:val="auto"/>
              </w:rPr>
            </w:pPr>
            <w:r>
              <w:rPr>
                <w:rFonts w:ascii="Arial" w:cs="Arial" w:eastAsia="Arial" w:hAnsi="Arial"/>
                <w:sz w:val="11"/>
                <w:szCs w:val="11"/>
                <w:b w:val="1"/>
                <w:bCs w:val="1"/>
                <w:color w:val="auto"/>
              </w:rPr>
              <w:t>2024</w:t>
            </w:r>
          </w:p>
        </w:tc>
      </w:tr>
      <w:tr>
        <w:trPr>
          <w:trHeight w:val="141"/>
        </w:trPr>
        <w:tc>
          <w:tcPr>
            <w:tcW w:w="9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(in millions)</w:t>
            </w:r>
          </w:p>
        </w:tc>
      </w:tr>
      <w:tr>
        <w:trPr>
          <w:trHeight w:val="195"/>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Confirmed obligations outstanding at the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w:t>
            </w:r>
          </w:p>
        </w:tc>
      </w:tr>
      <w:tr>
        <w:trPr>
          <w:trHeight w:val="197"/>
        </w:trPr>
        <w:tc>
          <w:tcPr>
            <w:tcW w:w="9100" w:type="dxa"/>
            <w:vAlign w:val="bottom"/>
          </w:tcPr>
          <w:p>
            <w:pPr>
              <w:ind w:left="200"/>
              <w:spacing w:after="0"/>
              <w:rPr>
                <w:sz w:val="20"/>
                <w:szCs w:val="20"/>
                <w:color w:val="auto"/>
              </w:rPr>
            </w:pPr>
            <w:r>
              <w:rPr>
                <w:rFonts w:ascii="Arial" w:cs="Arial" w:eastAsia="Arial" w:hAnsi="Arial"/>
                <w:sz w:val="14"/>
                <w:szCs w:val="14"/>
                <w:color w:val="auto"/>
              </w:rPr>
              <w:t>New invoices confirmed during the year</w:t>
            </w: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10,378</w:t>
            </w:r>
          </w:p>
        </w:tc>
      </w:tr>
      <w:tr>
        <w:trPr>
          <w:trHeight w:val="211"/>
        </w:trPr>
        <w:tc>
          <w:tcPr>
            <w:tcW w:w="9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Confirmed invoices paid during the year</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(9,133)</w:t>
            </w:r>
          </w:p>
        </w:tc>
      </w:tr>
      <w:tr>
        <w:trPr>
          <w:trHeight w:val="197"/>
        </w:trPr>
        <w:tc>
          <w:tcPr>
            <w:tcW w:w="9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Currency</w:t>
            </w: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2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Confirmed obligations outstanding at the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Accounting Pronouncements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adopted, with the exception of the roll-forward requirement in the first quarter of 2023 and the subsequent roll-forward requirement on a prospective basis in the fourth quarter of 2024. This adoption did not have a material impact on our consolidated financial statements and related disclosures.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November 2023, the FASB issued an ASU which improves reportable segment disclosure requirements, primarily through enhanced disclosures about significant segment expenses. The ASU is effective for fiscal years beginning after December 15, 2023 and early adoption is permitted. We adopted this standard, retrospectively to all comparative periods, in the fourth quarter of 2024 and it did not have a material impact on our consolidated financial statements and related segment disclosures.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December 2023, the FASB issued an ASU which enhances the transparency of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November 2024, the FASB issued an ASU which requires incremental disclosures in the notes to the financial statements to disaggregate certain income statement expense line items. The ASU is effective for fiscal years beginning after December 15, 2026 and early adoption is permitted. We are currently assessing the impact on our consolidated financial statements and related disclosures.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Evirth</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November 1, 2024, we acquired Evirth (Shanghai) Industrial Co., Ltd. (“Evirth”), a leading manufacturer of cakes and pastries in China. The acquisition will continue to expand our growth in the cakes and pastries categories. The cash consideration paid for Evirth totaled ¥1.7 billion ($240 million), net of cash received.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We are working to complete the valuation of assets acquired and liabilities assumed and have recorded a preliminary purchase price allocation as of December 31, 2024.</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Within definite-lived intangible assets, we allocated $117 million to customer relationships which have an estimated useful life of 17 years. The fair value of customer relationships at the acquisition date was determined using the multi-period excess earnings method under the income approach. The fair value measurements are based on significant unobservable inputs, and thus represent Level 3 inputs. Significant assumptions used in assessing the fair values of the intangible assets include discounted cash flows, customer attrition rates and discount rates.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Goodwill of $122 million was determined as the excess of the purchase price over the fair value of the net assets acquired and arises principally as a result of expansion opportunities and synergies across China. None of the goodwill recognized will be deductible for income tax purposes. All of the goodwill was assigned to the AMEA operating segment. For further detail, refer to </w:t>
      </w:r>
      <w:r>
        <w:rPr>
          <w:rFonts w:ascii="Arial" w:cs="Arial" w:eastAsia="Arial" w:hAnsi="Arial"/>
          <w:sz w:val="14"/>
          <w:szCs w:val="14"/>
          <w:i w:val="1"/>
          <w:iCs w:val="1"/>
          <w:color w:val="auto"/>
        </w:rPr>
        <w:t>Note 6. Goodwill and Intangible Assets.</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incurred acquisition integration and contingent consideration adjustment costs of $8 million, acquisition-related costs of $3 million and an inventory step-up charge of $3 million in 2024.</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Ricolino</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incurred acquisition integration costs of $21 million in 2024, $50 million in 2023 and $11 million in 2022. In 2022, we also incurred an inventory step-up charge of $5 million and recorded several items within acquisition-related costs that resulted in income of $64 million as realized gains related to hedging contracts associated with acquisition funds more than offset other acquisition transaction costs.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Clif Bar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$ 2.6 billion, net of cash received, and one-time compensation expense of $0.3 billion related to the buyout of the non-vested employee stock ownership plan ("ESOP") shares. This compensation expense is considered an acquisition-related cost. We also incurred a contingent consideration liability with an acquisition date fair value of $440 million.</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We recorded a net gain in acquisition integration costs and contingent consideration adjustments of $393 million in 2024 and incurred acquisition integration costs and contingent consideration adjustments of $164 million in 2023 and $30 million in 2022.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for additional information on the changes to the contingent consideration liability. We also incurred acquisition-related costs of $296 million, primarily related to the buyout of the non-vested ESOP shares, and an inventory step-up charge of $20 million in 2022.</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Chipita</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€0.4 billion ($0.4 billion) for a total purchase price of €1.7 billion ($1.8 billion).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We incurred acquisition integration costs of $20 million in 2024, $17 million in 2023 and $90 million in 2022. We incurred acquisition-related costs of $22 million in 2022.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Developed Market Gum</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October 1, 2023, we completed the sale of our developed market gum business in the United States, Canada and Europe to Perfetti Van Melle Group, excluding the Portugal business which we retained pending regulatory approval. After obtaining the regulatory approval, we completed the sale of the Portugal business to Perfetti Van Melle Group on October 23, 2023. We received cash proceeds of $1.4 billion. We recorded a pre-tax gain of $108 million on the sale. We recorded divestiture-related costs of $1 million in 2024, $83 million in 2023 and $15 million in 2022.</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This disposition was not considered a strategic shift that would have a major effect on our operations or financial results; therefore, the results of the disposed business were not classified as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Inventories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Inventories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1"/>
                <w:szCs w:val="11"/>
                <w:b w:val="1"/>
                <w:bCs w:val="1"/>
                <w:color w:val="auto"/>
              </w:rPr>
              <w:t>As of December 31,</w:t>
            </w: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3"/>
        </w:trPr>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3"/>
          </w:tcPr>
          <w:p>
            <w:pPr>
              <w:jc w:val="center"/>
              <w:ind w:left="693"/>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Finished product</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173"/>
        </w:trPr>
        <w:tc>
          <w:tcPr>
            <w:tcW w:w="7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Inventory reserves</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8"/>
        </w:trPr>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Inventories, net</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Note 4. Property, Plant and Equipment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500" w:type="dxa"/>
            <w:vAlign w:val="bottom"/>
          </w:tcPr>
          <w:p>
            <w:pPr>
              <w:spacing w:after="0"/>
              <w:rPr>
                <w:sz w:val="20"/>
                <w:szCs w:val="20"/>
                <w:color w:val="auto"/>
              </w:rPr>
            </w:pPr>
            <w:r>
              <w:rPr>
                <w:rFonts w:ascii="Arial" w:cs="Arial" w:eastAsia="Arial" w:hAnsi="Arial"/>
                <w:sz w:val="14"/>
                <w:szCs w:val="14"/>
                <w:color w:val="auto"/>
              </w:rPr>
              <w:t>Property, plant and equipment consisted of the following:</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5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1"/>
                <w:szCs w:val="11"/>
                <w:b w:val="1"/>
                <w:bCs w:val="1"/>
                <w:color w:val="auto"/>
              </w:rPr>
              <w:t>As of December 31,</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7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3"/>
        </w:trPr>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3"/>
          </w:tcPr>
          <w:p>
            <w:pPr>
              <w:jc w:val="center"/>
              <w:ind w:left="693"/>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and land improvements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3"/>
        </w:trPr>
        <w:tc>
          <w:tcPr>
            <w:tcW w:w="7500" w:type="dxa"/>
            <w:vAlign w:val="bottom"/>
          </w:tcPr>
          <w:p>
            <w:pPr>
              <w:ind w:left="20"/>
              <w:spacing w:after="0"/>
              <w:rPr>
                <w:sz w:val="20"/>
                <w:szCs w:val="20"/>
                <w:color w:val="auto"/>
              </w:rPr>
            </w:pPr>
            <w:r>
              <w:rPr>
                <w:rFonts w:ascii="Arial" w:cs="Arial" w:eastAsia="Arial" w:hAnsi="Arial"/>
                <w:sz w:val="14"/>
                <w:szCs w:val="14"/>
                <w:color w:val="auto"/>
              </w:rPr>
              <w:t>Buildings and building improvements</w:t>
            </w: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3,452</w:t>
            </w:r>
          </w:p>
        </w:tc>
        <w:tc>
          <w:tcPr>
            <w:tcW w:w="0" w:type="dxa"/>
            <w:vAlign w:val="bottom"/>
          </w:tcPr>
          <w:p>
            <w:pPr>
              <w:spacing w:after="0"/>
              <w:rPr>
                <w:sz w:val="1"/>
                <w:szCs w:val="1"/>
                <w:color w:val="auto"/>
              </w:rPr>
            </w:pPr>
          </w:p>
        </w:tc>
      </w:tr>
      <w:tr>
        <w:trPr>
          <w:trHeight w:val="183"/>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12,736</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73"/>
        </w:trPr>
        <w:tc>
          <w:tcPr>
            <w:tcW w:w="7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17,690</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(7,996)</w:t>
            </w:r>
          </w:p>
        </w:tc>
        <w:tc>
          <w:tcPr>
            <w:tcW w:w="0" w:type="dxa"/>
            <w:vAlign w:val="bottom"/>
          </w:tcPr>
          <w:p>
            <w:pPr>
              <w:spacing w:after="0"/>
              <w:rPr>
                <w:sz w:val="1"/>
                <w:szCs w:val="1"/>
                <w:color w:val="auto"/>
              </w:rPr>
            </w:pPr>
          </w:p>
        </w:tc>
      </w:tr>
      <w:tr>
        <w:trPr>
          <w:trHeight w:val="198"/>
        </w:trPr>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Property, plant and equipment, net</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Capital expenditures as presented on the statement of cash flow were approximately $1.4 billion, $1.1 billion and $0.9 billion for the years ending December 31, 2024, 2023 and 2022, respectively, and excluded $458 million, $471 million and $324 million, respectively, for accrued capital expenditures not yet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Leases</w:t>
      </w:r>
    </w:p>
    <w:p>
      <w:pPr>
        <w:spacing w:after="0" w:line="20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have operating and finance leases for manufacturing and distribution facilities, vehicles, equipment and office space. Our leases generally have remaining lease terms of 1 to 15 years, some of which include options to extend the leases for up to 10 years.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auto"/>
              </w:rPr>
              <w:t>For the Years Ended December 31,</w:t>
            </w: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2024</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92"/>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jc w:val="right"/>
              <w:ind w:right="710"/>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880" w:type="dxa"/>
            <w:vAlign w:val="bottom"/>
            <w:gridSpan w:val="3"/>
            <w:shd w:val="clear" w:color="auto" w:fill="CCEEFF"/>
          </w:tcPr>
          <w:p>
            <w:pPr>
              <w:jc w:val="right"/>
              <w:ind w:right="1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120"/>
              <w:spacing w:after="0"/>
              <w:rPr>
                <w:sz w:val="20"/>
                <w:szCs w:val="20"/>
                <w:color w:val="auto"/>
              </w:rPr>
            </w:pPr>
            <w:r>
              <w:rPr>
                <w:rFonts w:ascii="Arial" w:cs="Arial" w:eastAsia="Arial" w:hAnsi="Arial"/>
                <w:sz w:val="14"/>
                <w:szCs w:val="14"/>
                <w:color w:val="auto"/>
              </w:rPr>
              <w:t>Amortization of ROU assets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on lease liabilities</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960" w:type="dxa"/>
            <w:vAlign w:val="bottom"/>
          </w:tcPr>
          <w:p>
            <w:pPr>
              <w:ind w:left="100"/>
              <w:spacing w:after="0"/>
              <w:rPr>
                <w:sz w:val="20"/>
                <w:szCs w:val="20"/>
                <w:color w:val="auto"/>
              </w:rPr>
            </w:pPr>
            <w:r>
              <w:rPr>
                <w:rFonts w:ascii="Arial" w:cs="Arial" w:eastAsia="Arial" w:hAnsi="Arial"/>
                <w:sz w:val="14"/>
                <w:szCs w:val="14"/>
                <w:color w:val="auto"/>
              </w:rPr>
              <w:t>Total lease cost</w:t>
            </w:r>
          </w:p>
        </w:tc>
        <w:tc>
          <w:tcPr>
            <w:tcW w:w="6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1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Supplemental cash flow information related to leases was as follows:</w:t>
            </w: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9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2024</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12"/>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jc w:val="right"/>
              <w:ind w:right="690"/>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9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Cash paid for amounts included in the measurement of</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w:t>
            </w: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120"/>
              <w:spacing w:after="0"/>
              <w:rPr>
                <w:sz w:val="20"/>
                <w:szCs w:val="20"/>
                <w:color w:val="auto"/>
              </w:rPr>
            </w:pPr>
            <w:r>
              <w:rPr>
                <w:rFonts w:ascii="Arial" w:cs="Arial" w:eastAsia="Arial" w:hAnsi="Arial"/>
                <w:sz w:val="14"/>
                <w:szCs w:val="14"/>
                <w:color w:val="auto"/>
              </w:rPr>
              <w:t>Operating cash flows from operating leases</w:t>
            </w:r>
          </w:p>
        </w:tc>
        <w:tc>
          <w:tcPr>
            <w:tcW w:w="1880" w:type="dxa"/>
            <w:vAlign w:val="bottom"/>
            <w:gridSpan w:val="3"/>
          </w:tcPr>
          <w:p>
            <w:pPr>
              <w:jc w:val="right"/>
              <w:ind w:right="1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(228)</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(222)</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cash flows from finance leases</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120"/>
              <w:spacing w:after="0"/>
              <w:rPr>
                <w:sz w:val="20"/>
                <w:szCs w:val="20"/>
                <w:color w:val="auto"/>
              </w:rPr>
            </w:pPr>
            <w:r>
              <w:rPr>
                <w:rFonts w:ascii="Arial" w:cs="Arial" w:eastAsia="Arial" w:hAnsi="Arial"/>
                <w:sz w:val="14"/>
                <w:szCs w:val="14"/>
                <w:color w:val="auto"/>
              </w:rPr>
              <w:t>Financing cash flows from finance leases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(139)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(125)</w:t>
            </w:r>
          </w:p>
        </w:tc>
        <w:tc>
          <w:tcPr>
            <w:tcW w:w="46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rPr>
                <w:sz w:val="20"/>
                <w:szCs w:val="20"/>
                <w:color w:val="auto"/>
              </w:rPr>
            </w:pPr>
            <w:r>
              <w:rPr>
                <w:rFonts w:ascii="Arial" w:cs="Arial" w:eastAsia="Arial" w:hAnsi="Arial"/>
                <w:sz w:val="14"/>
                <w:szCs w:val="14"/>
                <w:color w:val="auto"/>
              </w:rPr>
              <w:t>ROU assets obtained in exchange for lease obligations: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1880" w:type="dxa"/>
            <w:vAlign w:val="bottom"/>
            <w:gridSpan w:val="3"/>
            <w:shd w:val="clear" w:color="auto" w:fill="CCEEFF"/>
          </w:tcPr>
          <w:p>
            <w:pPr>
              <w:jc w:val="right"/>
              <w:ind w:right="1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60" w:type="dxa"/>
            <w:vAlign w:val="bottom"/>
          </w:tcPr>
          <w:p>
            <w:pPr>
              <w:ind w:left="120"/>
              <w:spacing w:after="0"/>
              <w:rPr>
                <w:sz w:val="20"/>
                <w:szCs w:val="20"/>
                <w:color w:val="auto"/>
              </w:rPr>
            </w:pPr>
            <w:r>
              <w:rPr>
                <w:rFonts w:ascii="Arial" w:cs="Arial" w:eastAsia="Arial" w:hAnsi="Arial"/>
                <w:sz w:val="14"/>
                <w:szCs w:val="14"/>
                <w:color w:val="auto"/>
              </w:rPr>
              <w:t>Finance leases</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3"/>
        </w:trPr>
        <w:tc>
          <w:tcPr>
            <w:tcW w:w="4960" w:type="dxa"/>
            <w:vAlign w:val="bottom"/>
          </w:tcPr>
          <w:p>
            <w:pPr>
              <w:spacing w:after="0"/>
              <w:rPr>
                <w:sz w:val="24"/>
                <w:szCs w:val="24"/>
                <w:color w:val="auto"/>
              </w:rPr>
            </w:pPr>
          </w:p>
        </w:tc>
        <w:tc>
          <w:tcPr>
            <w:tcW w:w="1880" w:type="dxa"/>
            <w:vAlign w:val="bottom"/>
            <w:gridSpan w:val="3"/>
          </w:tcPr>
          <w:p>
            <w:pPr>
              <w:jc w:val="right"/>
              <w:ind w:right="1120"/>
              <w:spacing w:after="0"/>
              <w:rPr>
                <w:sz w:val="20"/>
                <w:szCs w:val="20"/>
                <w:color w:val="auto"/>
              </w:rPr>
            </w:pPr>
            <w:r>
              <w:rPr>
                <w:rFonts w:ascii="Arial" w:cs="Arial" w:eastAsia="Arial" w:hAnsi="Arial"/>
                <w:sz w:val="14"/>
                <w:szCs w:val="14"/>
                <w:color w:val="auto"/>
              </w:rPr>
              <w:t>83</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-313055</wp:posOffset>
            </wp:positionV>
            <wp:extent cx="224790" cy="149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As of December 31,</w:t>
            </w:r>
          </w:p>
        </w:tc>
        <w:tc>
          <w:tcPr>
            <w:tcW w:w="1380" w:type="dxa"/>
            <w:vAlign w:val="bottom"/>
            <w:tcBorders>
              <w:bottom w:val="single" w:sz="8" w:color="auto"/>
            </w:tcBorders>
          </w:tcPr>
          <w:p>
            <w:pPr>
              <w:spacing w:after="0"/>
              <w:rPr>
                <w:sz w:val="13"/>
                <w:szCs w:val="13"/>
                <w:color w:val="auto"/>
              </w:rPr>
            </w:pPr>
          </w:p>
        </w:tc>
      </w:tr>
      <w:tr>
        <w:trPr>
          <w:trHeight w:val="152"/>
        </w:trPr>
        <w:tc>
          <w:tcPr>
            <w:tcW w:w="7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7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1"/>
                <w:szCs w:val="11"/>
                <w:b w:val="1"/>
                <w:bCs w:val="1"/>
                <w:color w:val="auto"/>
              </w:rPr>
              <w:t>2023</w:t>
            </w:r>
          </w:p>
        </w:tc>
      </w:tr>
      <w:tr>
        <w:trPr>
          <w:trHeight w:val="152"/>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188"/>
              <w:spacing w:after="0"/>
              <w:rPr>
                <w:sz w:val="20"/>
                <w:szCs w:val="20"/>
                <w:color w:val="auto"/>
              </w:rPr>
            </w:pPr>
            <w:r>
              <w:rPr>
                <w:rFonts w:ascii="Arial" w:cs="Arial" w:eastAsia="Arial" w:hAnsi="Arial"/>
                <w:sz w:val="11"/>
                <w:szCs w:val="11"/>
                <w:b w:val="1"/>
                <w:bCs w:val="1"/>
                <w:color w:val="auto"/>
              </w:rPr>
              <w:t>(in millions)</w:t>
            </w:r>
          </w:p>
        </w:tc>
        <w:tc>
          <w:tcPr>
            <w:tcW w:w="1380" w:type="dxa"/>
            <w:vAlign w:val="bottom"/>
          </w:tcPr>
          <w:p>
            <w:pPr>
              <w:spacing w:after="0"/>
              <w:rPr>
                <w:sz w:val="13"/>
                <w:szCs w:val="13"/>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Operating lease ROU assets, net of amortization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380" w:type="dxa"/>
            <w:vAlign w:val="bottom"/>
          </w:tcPr>
          <w:p>
            <w:pPr>
              <w:jc w:val="right"/>
              <w:ind w:right="110"/>
              <w:spacing w:after="0"/>
              <w:rPr>
                <w:sz w:val="20"/>
                <w:szCs w:val="20"/>
                <w:color w:val="auto"/>
              </w:rPr>
            </w:pPr>
            <w:r>
              <w:rPr>
                <w:rFonts w:ascii="Arial" w:cs="Arial" w:eastAsia="Arial" w:hAnsi="Arial"/>
                <w:sz w:val="14"/>
                <w:szCs w:val="14"/>
                <w:color w:val="auto"/>
              </w:rPr>
              <w:t>683</w:t>
            </w:r>
          </w:p>
        </w:tc>
      </w:tr>
      <w:tr>
        <w:trPr>
          <w:trHeight w:val="215"/>
        </w:trPr>
        <w:tc>
          <w:tcPr>
            <w:tcW w:w="7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380" w:type="dxa"/>
            <w:vAlign w:val="bottom"/>
          </w:tcPr>
          <w:p>
            <w:pPr>
              <w:jc w:val="right"/>
              <w:ind w:right="110"/>
              <w:spacing w:after="0"/>
              <w:rPr>
                <w:sz w:val="20"/>
                <w:szCs w:val="20"/>
                <w:color w:val="auto"/>
              </w:rPr>
            </w:pPr>
            <w:r>
              <w:rPr>
                <w:rFonts w:ascii="Arial" w:cs="Arial" w:eastAsia="Arial" w:hAnsi="Arial"/>
                <w:sz w:val="14"/>
                <w:szCs w:val="14"/>
                <w:color w:val="auto"/>
              </w:rPr>
              <w:t>165</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537</w:t>
            </w:r>
          </w:p>
        </w:tc>
      </w:tr>
      <w:tr>
        <w:trPr>
          <w:trHeight w:val="173"/>
        </w:trPr>
        <w:tc>
          <w:tcPr>
            <w:tcW w:w="7340" w:type="dxa"/>
            <w:vAlign w:val="bottom"/>
          </w:tcPr>
          <w:p>
            <w:pPr>
              <w:ind w:left="20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702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6"/>
        </w:trPr>
        <w:tc>
          <w:tcPr>
            <w:tcW w:w="7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Finance Leases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 net of amortization (within property, plant and equipment)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325</w:t>
            </w:r>
          </w:p>
        </w:tc>
      </w:tr>
      <w:tr>
        <w:trPr>
          <w:trHeight w:val="215"/>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122</w:t>
            </w:r>
          </w:p>
        </w:tc>
      </w:tr>
      <w:tr>
        <w:trPr>
          <w:trHeight w:val="183"/>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214</w:t>
            </w:r>
          </w:p>
        </w:tc>
      </w:tr>
      <w:tr>
        <w:trPr>
          <w:trHeight w:val="198"/>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finance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336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15"/>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r>
      <w:tr>
        <w:trPr>
          <w:trHeight w:val="433"/>
        </w:trPr>
        <w:tc>
          <w:tcPr>
            <w:tcW w:w="7340" w:type="dxa"/>
            <w:vAlign w:val="bottom"/>
          </w:tcPr>
          <w:p>
            <w:pPr>
              <w:spacing w:after="0"/>
              <w:rPr>
                <w:sz w:val="20"/>
                <w:szCs w:val="20"/>
                <w:color w:val="auto"/>
              </w:rPr>
            </w:pPr>
            <w:r>
              <w:rPr>
                <w:rFonts w:ascii="Arial" w:cs="Arial" w:eastAsia="Arial" w:hAnsi="Arial"/>
                <w:sz w:val="14"/>
                <w:szCs w:val="14"/>
                <w:color w:val="auto"/>
              </w:rPr>
              <w:t>Maturities of lease liabilities were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4"/>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1"/>
                <w:szCs w:val="11"/>
                <w:b w:val="1"/>
                <w:bCs w:val="1"/>
                <w:color w:val="auto"/>
              </w:rPr>
              <w:t>As of December 31, 2024</w:t>
            </w:r>
          </w:p>
        </w:tc>
      </w:tr>
      <w:tr>
        <w:trPr>
          <w:trHeight w:val="152"/>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Operating Leases</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Finance Leases</w:t>
            </w:r>
          </w:p>
        </w:tc>
      </w:tr>
      <w:tr>
        <w:trPr>
          <w:trHeight w:val="152"/>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left="1032"/>
              <w:spacing w:after="0"/>
              <w:rPr>
                <w:sz w:val="20"/>
                <w:szCs w:val="20"/>
                <w:color w:val="auto"/>
              </w:rPr>
            </w:pPr>
            <w:r>
              <w:rPr>
                <w:rFonts w:ascii="Arial" w:cs="Arial" w:eastAsia="Arial" w:hAnsi="Arial"/>
                <w:sz w:val="11"/>
                <w:szCs w:val="11"/>
                <w:b w:val="1"/>
                <w:bCs w:val="1"/>
                <w:color w:val="auto"/>
              </w:rPr>
              <w:t>(in millions)</w:t>
            </w:r>
          </w:p>
        </w:tc>
        <w:tc>
          <w:tcPr>
            <w:tcW w:w="1380" w:type="dxa"/>
            <w:vAlign w:val="bottom"/>
          </w:tcPr>
          <w:p>
            <w:pPr>
              <w:spacing w:after="0"/>
              <w:rPr>
                <w:sz w:val="13"/>
                <w:szCs w:val="13"/>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2025</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5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2028</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7340" w:type="dxa"/>
            <w:vAlign w:val="bottom"/>
          </w:tcPr>
          <w:p>
            <w:pPr>
              <w:ind w:left="120"/>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3"/>
        </w:trPr>
        <w:tc>
          <w:tcPr>
            <w:tcW w:w="7340" w:type="dxa"/>
            <w:vAlign w:val="bottom"/>
          </w:tcPr>
          <w:p>
            <w:pPr>
              <w:ind w:left="200"/>
              <w:spacing w:after="0"/>
              <w:rPr>
                <w:sz w:val="20"/>
                <w:szCs w:val="20"/>
                <w:color w:val="auto"/>
              </w:rPr>
            </w:pPr>
            <w:r>
              <w:rPr>
                <w:rFonts w:ascii="Arial" w:cs="Arial" w:eastAsia="Arial" w:hAnsi="Arial"/>
                <w:sz w:val="14"/>
                <w:szCs w:val="14"/>
                <w:color w:val="auto"/>
              </w:rPr>
              <w:t>Total future undiscounted lease payments</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183"/>
        </w:trPr>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imputed interest</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73"/>
        </w:trPr>
        <w:tc>
          <w:tcPr>
            <w:tcW w:w="7340" w:type="dxa"/>
            <w:vAlign w:val="bottom"/>
          </w:tcPr>
          <w:p>
            <w:pPr>
              <w:ind w:left="200"/>
              <w:spacing w:after="0"/>
              <w:rPr>
                <w:sz w:val="20"/>
                <w:szCs w:val="20"/>
                <w:color w:val="auto"/>
              </w:rPr>
            </w:pPr>
            <w:r>
              <w:rPr>
                <w:rFonts w:ascii="Arial" w:cs="Arial" w:eastAsia="Arial" w:hAnsi="Arial"/>
                <w:sz w:val="14"/>
                <w:szCs w:val="14"/>
                <w:color w:val="auto"/>
              </w:rPr>
              <w:t>Total reported lease liability</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Goodwill and Intangible Assets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Changes in goodwill consisted of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Arial" w:cs="Arial" w:eastAsia="Arial" w:hAnsi="Arial"/>
                <w:sz w:val="11"/>
                <w:szCs w:val="11"/>
                <w:b w:val="1"/>
                <w:bCs w:val="1"/>
                <w:color w:val="auto"/>
              </w:rPr>
              <w:t>Latin America</w:t>
            </w:r>
          </w:p>
        </w:tc>
        <w:tc>
          <w:tcPr>
            <w:tcW w:w="34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AMEA</w:t>
            </w:r>
          </w:p>
        </w:tc>
        <w:tc>
          <w:tcPr>
            <w:tcW w:w="32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Europe</w:t>
            </w: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Arial" w:cs="Arial" w:eastAsia="Arial" w:hAnsi="Arial"/>
                <w:sz w:val="11"/>
                <w:szCs w:val="11"/>
                <w:b w:val="1"/>
                <w:bCs w:val="1"/>
                <w:color w:val="auto"/>
              </w:rPr>
              <w:t>North America</w:t>
            </w:r>
          </w:p>
        </w:tc>
        <w:tc>
          <w:tcPr>
            <w:tcW w:w="360" w:type="dxa"/>
            <w:vAlign w:val="bottom"/>
          </w:tcPr>
          <w:p>
            <w:pPr>
              <w:spacing w:after="0"/>
              <w:rPr>
                <w:sz w:val="13"/>
                <w:szCs w:val="13"/>
                <w:color w:val="auto"/>
              </w:rPr>
            </w:pPr>
          </w:p>
        </w:tc>
        <w:tc>
          <w:tcPr>
            <w:tcW w:w="1160" w:type="dxa"/>
            <w:vAlign w:val="bottom"/>
          </w:tcPr>
          <w:p>
            <w:pPr>
              <w:jc w:val="right"/>
              <w:ind w:right="550"/>
              <w:spacing w:after="0"/>
              <w:rPr>
                <w:sz w:val="20"/>
                <w:szCs w:val="20"/>
                <w:color w:val="auto"/>
              </w:rPr>
            </w:pPr>
            <w:r>
              <w:rPr>
                <w:rFonts w:ascii="Arial" w:cs="Arial" w:eastAsia="Arial" w:hAnsi="Arial"/>
                <w:sz w:val="11"/>
                <w:szCs w:val="11"/>
                <w:b w:val="1"/>
                <w:bCs w:val="1"/>
                <w:color w:val="auto"/>
              </w:rPr>
              <w:t>Total</w:t>
            </w:r>
          </w:p>
        </w:tc>
      </w:tr>
      <w:tr>
        <w:trPr>
          <w:trHeight w:val="17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1, 2023</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10,888</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23,450</w:t>
            </w:r>
          </w:p>
        </w:tc>
      </w:tr>
      <w:tr>
        <w:trPr>
          <w:trHeight w:val="183"/>
        </w:trPr>
        <w:tc>
          <w:tcPr>
            <w:tcW w:w="3320" w:type="dxa"/>
            <w:vAlign w:val="bottom"/>
          </w:tcPr>
          <w:p>
            <w:pPr>
              <w:ind w:left="100"/>
              <w:spacing w:after="0"/>
              <w:rPr>
                <w:sz w:val="20"/>
                <w:szCs w:val="20"/>
                <w:color w:val="auto"/>
              </w:rPr>
            </w:pPr>
            <w:r>
              <w:rPr>
                <w:rFonts w:ascii="Arial" w:cs="Arial" w:eastAsia="Arial" w:hAnsi="Arial"/>
                <w:sz w:val="14"/>
                <w:szCs w:val="14"/>
                <w:color w:val="auto"/>
              </w:rPr>
              <w:t>Currency</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83"/>
        </w:trPr>
        <w:tc>
          <w:tcPr>
            <w:tcW w:w="3320" w:type="dxa"/>
            <w:vAlign w:val="bottom"/>
            <w:shd w:val="clear" w:color="auto" w:fill="CCEEFF"/>
          </w:tcPr>
          <w:p>
            <w:pPr>
              <w:ind w:left="100"/>
              <w:spacing w:after="0" w:line="18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320" w:type="dxa"/>
            <w:vAlign w:val="bottom"/>
          </w:tcPr>
          <w:p>
            <w:pPr>
              <w:ind w:left="20"/>
              <w:spacing w:after="0"/>
              <w:rPr>
                <w:sz w:val="20"/>
                <w:szCs w:val="20"/>
                <w:color w:val="auto"/>
              </w:rPr>
            </w:pPr>
            <w:r>
              <w:rPr>
                <w:rFonts w:ascii="Arial" w:cs="Arial" w:eastAsia="Arial" w:hAnsi="Arial"/>
                <w:sz w:val="14"/>
                <w:szCs w:val="14"/>
                <w:color w:val="auto"/>
              </w:rPr>
              <w:t>Balance at December 31, 2023</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8,350</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10,874</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23,896</w:t>
            </w:r>
          </w:p>
        </w:tc>
      </w:tr>
      <w:tr>
        <w:trPr>
          <w:trHeight w:val="183"/>
        </w:trPr>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Currency</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r>
      <w:tr>
        <w:trPr>
          <w:trHeight w:val="183"/>
        </w:trPr>
        <w:tc>
          <w:tcPr>
            <w:tcW w:w="3320" w:type="dxa"/>
            <w:vAlign w:val="bottom"/>
          </w:tcPr>
          <w:p>
            <w:pPr>
              <w:ind w:left="100"/>
              <w:spacing w:after="0" w:line="182" w:lineRule="exact"/>
              <w:rPr>
                <w:sz w:val="20"/>
                <w:szCs w:val="20"/>
                <w:color w:val="auto"/>
              </w:rPr>
            </w:pPr>
            <w:r>
              <w:rPr>
                <w:rFonts w:ascii="Arial" w:cs="Arial" w:eastAsia="Arial" w:hAnsi="Arial"/>
                <w:sz w:val="14"/>
                <w:szCs w:val="14"/>
                <w:color w:val="auto"/>
              </w:rPr>
              <w:t xml:space="preserve">Acquisition </w:t>
            </w:r>
            <w:r>
              <w:rPr>
                <w:rFonts w:ascii="Arial" w:cs="Arial" w:eastAsia="Arial" w:hAnsi="Arial"/>
                <w:sz w:val="18"/>
                <w:szCs w:val="18"/>
                <w:color w:val="auto"/>
                <w:vertAlign w:val="superscript"/>
              </w:rPr>
              <w:t>(2)</w:t>
            </w:r>
          </w:p>
        </w:tc>
        <w:tc>
          <w:tcPr>
            <w:tcW w:w="2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9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2024</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260" w:hanging="254"/>
        <w:spacing w:after="0"/>
        <w:tabs>
          <w:tab w:leader="none" w:pos="2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Relates to purchase price allocation adjustments for Ricolino and Clif Bar during 2023.</w:t>
      </w:r>
    </w:p>
    <w:p>
      <w:pPr>
        <w:spacing w:after="0" w:line="12" w:lineRule="exact"/>
        <w:rPr>
          <w:rFonts w:ascii="Arial" w:cs="Arial" w:eastAsia="Arial" w:hAnsi="Arial"/>
          <w:sz w:val="11"/>
          <w:szCs w:val="11"/>
          <w:color w:val="auto"/>
        </w:rPr>
      </w:pPr>
    </w:p>
    <w:p>
      <w:pPr>
        <w:ind w:left="260" w:hanging="254"/>
        <w:spacing w:after="0"/>
        <w:tabs>
          <w:tab w:leader="none" w:pos="2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 xml:space="preserve">Relates to purchase price allocation for Evirth during 2024. Refer to Note 2, </w:t>
      </w:r>
      <w:r>
        <w:rPr>
          <w:rFonts w:ascii="Arial" w:cs="Arial" w:eastAsia="Arial" w:hAnsi="Arial"/>
          <w:sz w:val="11"/>
          <w:szCs w:val="11"/>
          <w:i w:val="1"/>
          <w:iCs w:val="1"/>
          <w:color w:val="auto"/>
        </w:rPr>
        <w:t>Acquisitions and Divestitures</w:t>
      </w:r>
      <w:r>
        <w:rPr>
          <w:rFonts w:ascii="Arial" w:cs="Arial" w:eastAsia="Arial" w:hAnsi="Arial"/>
          <w:sz w:val="11"/>
          <w:szCs w:val="11"/>
          <w:color w:val="auto"/>
        </w:rPr>
        <w:t xml:space="preserve">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consisted of the following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As of December 31, 2024</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As of December 31, 2023</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ind w:right="94"/>
              <w:spacing w:after="0" w:line="112" w:lineRule="exact"/>
              <w:rPr>
                <w:sz w:val="20"/>
                <w:szCs w:val="20"/>
                <w:color w:val="auto"/>
              </w:rPr>
            </w:pPr>
            <w:r>
              <w:rPr>
                <w:rFonts w:ascii="Arial" w:cs="Arial" w:eastAsia="Arial" w:hAnsi="Arial"/>
                <w:sz w:val="11"/>
                <w:szCs w:val="11"/>
                <w:b w:val="1"/>
                <w:bCs w:val="1"/>
                <w:color w:val="auto"/>
              </w:rPr>
              <w:t>Gross carrying</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rPr>
              <w:t>Accumulated</w:t>
            </w:r>
          </w:p>
        </w:tc>
        <w:tc>
          <w:tcPr>
            <w:tcW w:w="12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Net carrying amount</w:t>
            </w:r>
          </w:p>
        </w:tc>
        <w:tc>
          <w:tcPr>
            <w:tcW w:w="140" w:type="dxa"/>
            <w:vAlign w:val="bottom"/>
          </w:tcPr>
          <w:p>
            <w:pPr>
              <w:spacing w:after="0"/>
              <w:rPr>
                <w:sz w:val="9"/>
                <w:szCs w:val="9"/>
                <w:color w:val="auto"/>
              </w:rPr>
            </w:pPr>
          </w:p>
        </w:tc>
        <w:tc>
          <w:tcPr>
            <w:tcW w:w="1040" w:type="dxa"/>
            <w:vAlign w:val="bottom"/>
          </w:tcPr>
          <w:p>
            <w:pPr>
              <w:jc w:val="right"/>
              <w:ind w:right="114"/>
              <w:spacing w:after="0" w:line="112" w:lineRule="exact"/>
              <w:rPr>
                <w:sz w:val="20"/>
                <w:szCs w:val="20"/>
                <w:color w:val="auto"/>
              </w:rPr>
            </w:pPr>
            <w:r>
              <w:rPr>
                <w:rFonts w:ascii="Arial" w:cs="Arial" w:eastAsia="Arial" w:hAnsi="Arial"/>
                <w:sz w:val="11"/>
                <w:szCs w:val="11"/>
                <w:b w:val="1"/>
                <w:bCs w:val="1"/>
                <w:color w:val="auto"/>
              </w:rPr>
              <w:t>Gross carrying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Accumulated</w:t>
            </w: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amortization</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314"/>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amortization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4"/>
                <w:szCs w:val="14"/>
                <w:color w:val="auto"/>
              </w:rPr>
              <w:t xml:space="preserve">Indefinite-life intangible assets </w:t>
            </w:r>
            <w:r>
              <w:rPr>
                <w:rFonts w:ascii="Arial" w:cs="Arial" w:eastAsia="Arial" w:hAnsi="Arial"/>
                <w:sz w:val="18"/>
                <w:szCs w:val="18"/>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18,669</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Definite-life intangible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98"/>
        </w:trPr>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(1)</w:t>
        <w:tab/>
        <w:t xml:space="preserve">We recorded intangible asset impairments of $153 million in 2024 and $26 million in 2023 within </w:t>
      </w:r>
      <w:r>
        <w:rPr>
          <w:rFonts w:ascii="Arial" w:cs="Arial" w:eastAsia="Arial" w:hAnsi="Arial"/>
          <w:sz w:val="11"/>
          <w:szCs w:val="11"/>
          <w:i w:val="1"/>
          <w:iCs w:val="1"/>
          <w:color w:val="auto"/>
        </w:rPr>
        <w:t>asset impairment and exit costs</w:t>
      </w:r>
      <w:r>
        <w:rPr>
          <w:rFonts w:ascii="Arial" w:cs="Arial" w:eastAsia="Arial" w:hAnsi="Arial"/>
          <w:sz w:val="11"/>
          <w:szCs w:val="11"/>
          <w:color w:val="auto"/>
        </w:rPr>
        <w: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Indefinite-life intangible assets consist principally of brand names purchased through our acquisitions of Nabisco Holdings Corp., the global </w:t>
      </w:r>
      <w:r>
        <w:rPr>
          <w:rFonts w:ascii="Arial" w:cs="Arial" w:eastAsia="Arial" w:hAnsi="Arial"/>
          <w:sz w:val="14"/>
          <w:szCs w:val="14"/>
          <w:i w:val="1"/>
          <w:iCs w:val="1"/>
          <w:color w:val="auto"/>
        </w:rPr>
        <w:t>LU</w:t>
      </w:r>
      <w:r>
        <w:rPr>
          <w:rFonts w:ascii="Arial" w:cs="Arial" w:eastAsia="Arial" w:hAnsi="Arial"/>
          <w:sz w:val="14"/>
          <w:szCs w:val="14"/>
          <w:color w:val="auto"/>
        </w:rPr>
        <w:t xml:space="preserve"> biscuit business of Groupe Danone S.A., Cadbury Limited and Clif Bar. Definite-life intangible assets consist primarily of trademarks, customer-related intangibles, process technology, licenses and non-compete agreements.</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Amortization expense for intangible assets was $153 million in 2024, $151 million in 2023 and $132 million in 2022. For the next five years, we estimate annual amortization expense of approximately $135 million in 2025, $110 million in 2026, $90 million in 2027 and $85 million in 2028 and 2029 (reflecting December 31, 2024 exchange rates).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2024, 2023 and 2022,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2024, we recorded $153 million of intangible asset impairment charges related to two biscuit brands in the Europe segment, one biscuit brand in the AMEA segment and one candy and one biscuit brand in the Latin America segment. We identified thirteen brands, as part of our annual test, that each had a fair value in excess of book value of 10% or less. The aggregate value of the thirteen brands was $2.9 billion as of December 31, 2024. We believe our current plans for each of these brands will allow them to not be impaired, but if plans to grow brand revenue and earnings, and expand margin are not met or specific valuation factors outside of our control, such as discount rates, change significantly, then a brand or brands could become impaired in the future.</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2023, we recorded $26 million of intangible asset impairment charges related to a chocolate brand in North America and a biscuit brand in Europe. In 2022, we recorded $101 million of intangible asset impairment charges related to two biscuit brands in AMEA.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Method Investments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equity method investments include, but are not limited to, our ownership interests in Dong Suh Foods Corporation and Dong Suh Oil &amp; Fats Co. Ltd. Our ownership interests may change over time due to investee stock-based compensation arrangements, share issuances or other equity-related transactions. As of December 31, 2024, we owned 50.0% and 49.0%, respectively, of these companies' outstanding shares.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November 29, 2024, we sold our remaining 85.9 million shares in JDE Peet’s (Euronext Amsterdam: “JDEP”) to JAB Holdings Company. We received €2.2 billion ($2.3 billion) of proceeds at a price of €25.10 per share and recorded a gain on equity method investment transactions of €313 million ($332 million) during 2024. As a result of this transaction, we have fully exited our investment in the company.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investments accounted for under the equity method of accounting totaled $0.6 billion as of December 31, 2024 and $3.2 billion as of December 31, 2023. The investment balance as of December 31, 2023 is inclusive of our prior investment in JDEP. We recorded equity earnings and cash dividends of $168 million and $115 million in 2024, equity earnings and cash dividends of $160 million and $137 million in 2023 and equity earnings and cash dividends of $385 million and $184 million in 2022.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JDEP Transactions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In 2024, we determined there was an other-than-temporary impairment for JDEP based on the period of time for which the quoted market price fair value had been less than the carrying value of the investment and the uncertainty surrounding JDEP's stock price recovering to the carrying value. As a result, the investment was written down to its estimated fair value based on the closing price of the underlying equity security of €19.46 per share on March 28, 2024, resulting in an impairment charge of €612 million ($665 million). This charge was included within </w:t>
      </w:r>
      <w:r>
        <w:rPr>
          <w:rFonts w:ascii="Arial" w:cs="Arial" w:eastAsia="Arial" w:hAnsi="Arial"/>
          <w:sz w:val="14"/>
          <w:szCs w:val="14"/>
          <w:i w:val="1"/>
          <w:iCs w:val="1"/>
          <w:color w:val="auto"/>
        </w:rPr>
        <w:t>(Loss)/gain on equity method investment transactions</w:t>
      </w:r>
      <w:r>
        <w:rPr>
          <w:rFonts w:ascii="Arial" w:cs="Arial" w:eastAsia="Arial" w:hAnsi="Arial"/>
          <w:sz w:val="14"/>
          <w:szCs w:val="14"/>
          <w:color w:val="auto"/>
        </w:rPr>
        <w:t xml:space="preserve"> in the consolidated statement of earnings.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2023, we sold approximately 9.9 million shares of JDEP, which reduced our ownership interest by 2.0 percentage points, from 19.7% to 17.7%. We received cash proceeds of €255 million ($279 million) and recorded a loss of €21 million ($23 million).</w:t>
      </w:r>
    </w:p>
    <w:p>
      <w:pPr>
        <w:spacing w:after="0" w:line="13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2022, we sold approximately 18.6 million of our JDEP shares back to JDEP, which reduced our ownership interest by approximately 3.0 percentage points. We received cash proceeds of €500 million ($529 million) and recorded a loss of €8 million ($8 million) on this sale during 2022.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Marketable Securities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first quarter of 2023, our ownership in Keurig Dr Pepper Inc. (Nasdaq: "KDP") fell to below 5% of the outstanding shares, resulting in a change of accounting for our KDP investment, from equity method investment accounting to accounting for equity interests with readily determinable fair values ("marketable securities") as we no longer retained significant influence. Marketable securities are measured at fair value based on quoted prices in active markets for identical assets (Level 1).</w:t>
      </w:r>
    </w:p>
    <w:p>
      <w:pPr>
        <w:spacing w:after="0" w:line="15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Subsequently in 2023, we sold the remainder of our shares of KDP and exited our investment in the company. In total during 2023, we sold approximately 76 million shares and received proceeds of $2.4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Pre-tax gains for marketable securities are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Year Ended December 31, 2023</w:t>
            </w:r>
          </w:p>
        </w:tc>
      </w:tr>
      <w:tr>
        <w:trPr>
          <w:trHeight w:val="163"/>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594"/>
              <w:spacing w:after="0"/>
              <w:rPr>
                <w:sz w:val="20"/>
                <w:szCs w:val="20"/>
                <w:color w:val="auto"/>
              </w:rPr>
            </w:pPr>
            <w:r>
              <w:rPr>
                <w:rFonts w:ascii="Arial" w:cs="Arial" w:eastAsia="Arial" w:hAnsi="Arial"/>
                <w:sz w:val="11"/>
                <w:szCs w:val="11"/>
                <w:b w:val="1"/>
                <w:bCs w:val="1"/>
                <w:color w:val="auto"/>
              </w:rPr>
              <w:t>(in millions)</w:t>
            </w:r>
          </w:p>
        </w:tc>
      </w:tr>
      <w:tr>
        <w:trPr>
          <w:trHeight w:val="183"/>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marketable securities sold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183"/>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Dividend income and other</w:t>
            </w: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gain on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the table above, gain on marketable securities sold during the period reflects the difference between the sale proceeds and the carrying value of the equity securities at the date of the change of accounting for our investment in KDP.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Prior to the change of accounting for our KDP investment, we recorded a pre-tax gain on equity method transactions of $493 million ($368 million after-tax) during 2023.</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Restructuring Program</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$ 5.7 billion program consisted of approximately $4.1 billion of restructuring program costs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consisted of $5.4 billion of program charges ($4.1 billion of cash costs and $1.3 billion of non-cash costs) and total capital expenditures of $2.3 billion incurred over the life of the program. This restructuring program, as increased and extended by these actions, was the Simplify to Grow Program.</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primary objective of the Simplify to Grow Program, which ended on December 31, 2024, was to reduce our operating cost structure in both our supply chain and overhead costs. The program covered severance as well as asset disposals and other manufacturing and procurement-related one-time costs. Since inception, we incurred total restructuring and related implementation charges of $5.4 billion related to the Simplify to Grow Program.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Costs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Simplify to Grow Program liability activity for the years ended December 31, 2024 and 2023 was: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tcPr>
          <w:p>
            <w:pPr>
              <w:spacing w:after="0"/>
              <w:rPr>
                <w:sz w:val="10"/>
                <w:szCs w:val="10"/>
                <w:color w:val="auto"/>
              </w:rPr>
            </w:pPr>
          </w:p>
        </w:tc>
        <w:tc>
          <w:tcPr>
            <w:tcW w:w="1400" w:type="dxa"/>
            <w:vAlign w:val="bottom"/>
          </w:tcPr>
          <w:p>
            <w:pPr>
              <w:jc w:val="center"/>
              <w:ind w:left="397"/>
              <w:spacing w:after="0"/>
              <w:rPr>
                <w:sz w:val="20"/>
                <w:szCs w:val="20"/>
                <w:color w:val="auto"/>
              </w:rPr>
            </w:pPr>
            <w:r>
              <w:rPr>
                <w:rFonts w:ascii="Arial" w:cs="Arial" w:eastAsia="Arial" w:hAnsi="Arial"/>
                <w:sz w:val="11"/>
                <w:szCs w:val="11"/>
                <w:b w:val="1"/>
                <w:bCs w:val="1"/>
                <w:color w:val="auto"/>
              </w:rPr>
              <w:t>Severance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9"/>
              </w:rPr>
              <w:t>Asset</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520" w:type="dxa"/>
            <w:vAlign w:val="bottom"/>
          </w:tcPr>
          <w:p>
            <w:pPr>
              <w:spacing w:after="0"/>
              <w:rPr>
                <w:sz w:val="9"/>
                <w:szCs w:val="9"/>
                <w:color w:val="auto"/>
              </w:rPr>
            </w:pPr>
          </w:p>
        </w:tc>
        <w:tc>
          <w:tcPr>
            <w:tcW w:w="1400" w:type="dxa"/>
            <w:vAlign w:val="bottom"/>
          </w:tcPr>
          <w:p>
            <w:pPr>
              <w:jc w:val="center"/>
              <w:ind w:left="397"/>
              <w:spacing w:after="0" w:line="107" w:lineRule="exact"/>
              <w:rPr>
                <w:sz w:val="20"/>
                <w:szCs w:val="20"/>
                <w:color w:val="auto"/>
              </w:rPr>
            </w:pPr>
            <w:r>
              <w:rPr>
                <w:rFonts w:ascii="Arial" w:cs="Arial" w:eastAsia="Arial" w:hAnsi="Arial"/>
                <w:sz w:val="11"/>
                <w:szCs w:val="11"/>
                <w:b w:val="1"/>
                <w:bCs w:val="1"/>
                <w:color w:val="auto"/>
              </w:rPr>
              <w:t>and related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3"/>
                <w:szCs w:val="13"/>
                <w:color w:val="auto"/>
              </w:rPr>
            </w:pPr>
          </w:p>
        </w:tc>
        <w:tc>
          <w:tcPr>
            <w:tcW w:w="1400" w:type="dxa"/>
            <w:vAlign w:val="bottom"/>
            <w:tcBorders>
              <w:bottom w:val="single" w:sz="8" w:color="auto"/>
            </w:tcBorders>
          </w:tcPr>
          <w:p>
            <w:pPr>
              <w:jc w:val="center"/>
              <w:ind w:left="397"/>
              <w:spacing w:after="0"/>
              <w:rPr>
                <w:sz w:val="20"/>
                <w:szCs w:val="20"/>
                <w:color w:val="auto"/>
              </w:rPr>
            </w:pPr>
            <w:r>
              <w:rPr>
                <w:rFonts w:ascii="Arial" w:cs="Arial" w:eastAsia="Arial" w:hAnsi="Arial"/>
                <w:sz w:val="11"/>
                <w:szCs w:val="11"/>
                <w:b w:val="1"/>
                <w:bCs w:val="1"/>
                <w:color w:val="auto"/>
              </w:rPr>
              <w:t>costs</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 xml:space="preserve">Write-downs and Other </w:t>
            </w:r>
            <w:r>
              <w:rPr>
                <w:rFonts w:ascii="Arial" w:cs="Arial" w:eastAsia="Arial" w:hAnsi="Arial"/>
                <w:sz w:val="7"/>
                <w:szCs w:val="7"/>
                <w:b w:val="1"/>
                <w:bCs w:val="1"/>
                <w:color w:val="auto"/>
              </w:rPr>
              <w:t>(1)</w:t>
            </w: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 Balance, January 1, 2023</w:t>
            </w:r>
          </w:p>
        </w:tc>
        <w:tc>
          <w:tcPr>
            <w:tcW w:w="1400" w:type="dxa"/>
            <w:vAlign w:val="bottom"/>
            <w:shd w:val="clear" w:color="auto" w:fill="CCEEFF"/>
          </w:tcPr>
          <w:p>
            <w:pPr>
              <w:jc w:val="right"/>
              <w:ind w:right="123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3"/>
        </w:trPr>
        <w:tc>
          <w:tcPr>
            <w:tcW w:w="5520" w:type="dxa"/>
            <w:vAlign w:val="bottom"/>
          </w:tcPr>
          <w:p>
            <w:pPr>
              <w:ind w:left="120"/>
              <w:spacing w:after="0" w:line="182"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8"/>
                <w:szCs w:val="18"/>
                <w:color w:val="auto"/>
                <w:vertAlign w:val="superscript"/>
              </w:rPr>
              <w:t>(2)</w:t>
            </w:r>
          </w:p>
        </w:tc>
        <w:tc>
          <w:tcPr>
            <w:tcW w:w="1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Cash spent </w:t>
            </w:r>
            <w:r>
              <w:rPr>
                <w:rFonts w:ascii="Arial" w:cs="Arial" w:eastAsia="Arial" w:hAnsi="Arial"/>
                <w:sz w:val="18"/>
                <w:szCs w:val="18"/>
                <w:color w:val="auto"/>
                <w:vertAlign w:val="superscript"/>
              </w:rPr>
              <w:t>(3)</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5520" w:type="dxa"/>
            <w:vAlign w:val="bottom"/>
          </w:tcPr>
          <w:p>
            <w:pPr>
              <w:ind w:left="120"/>
              <w:spacing w:after="0" w:line="182" w:lineRule="exact"/>
              <w:rPr>
                <w:sz w:val="20"/>
                <w:szCs w:val="20"/>
                <w:color w:val="auto"/>
              </w:rPr>
            </w:pPr>
            <w:r>
              <w:rPr>
                <w:rFonts w:ascii="Arial" w:cs="Arial" w:eastAsia="Arial" w:hAnsi="Arial"/>
                <w:sz w:val="14"/>
                <w:szCs w:val="14"/>
                <w:color w:val="auto"/>
              </w:rPr>
              <w:t xml:space="preserve">Non-cash items </w:t>
            </w:r>
            <w:r>
              <w:rPr>
                <w:rFonts w:ascii="Arial" w:cs="Arial" w:eastAsia="Arial" w:hAnsi="Arial"/>
                <w:sz w:val="18"/>
                <w:szCs w:val="18"/>
                <w:color w:val="auto"/>
                <w:vertAlign w:val="superscript"/>
              </w:rPr>
              <w:t>(4)</w:t>
            </w:r>
          </w:p>
        </w:tc>
        <w:tc>
          <w:tcPr>
            <w:tcW w:w="14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Liability Balance, December 31, 2023</w:t>
            </w:r>
          </w:p>
        </w:tc>
        <w:tc>
          <w:tcPr>
            <w:tcW w:w="14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73"/>
        </w:trPr>
        <w:tc>
          <w:tcPr>
            <w:tcW w:w="5520" w:type="dxa"/>
            <w:vAlign w:val="bottom"/>
            <w:shd w:val="clear" w:color="auto" w:fill="CCEEFF"/>
          </w:tcPr>
          <w:p>
            <w:pPr>
              <w:ind w:left="120"/>
              <w:spacing w:after="0" w:line="173"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8"/>
                <w:szCs w:val="18"/>
                <w:color w:val="auto"/>
                <w:vertAlign w:val="superscript"/>
              </w:rPr>
              <w:t>(2)</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3"/>
        </w:trPr>
        <w:tc>
          <w:tcPr>
            <w:tcW w:w="5520" w:type="dxa"/>
            <w:vAlign w:val="bottom"/>
          </w:tcPr>
          <w:p>
            <w:pPr>
              <w:ind w:left="120"/>
              <w:spacing w:after="0" w:line="182" w:lineRule="exact"/>
              <w:rPr>
                <w:sz w:val="20"/>
                <w:szCs w:val="20"/>
                <w:color w:val="auto"/>
              </w:rPr>
            </w:pPr>
            <w:r>
              <w:rPr>
                <w:rFonts w:ascii="Arial" w:cs="Arial" w:eastAsia="Arial" w:hAnsi="Arial"/>
                <w:sz w:val="14"/>
                <w:szCs w:val="14"/>
                <w:color w:val="auto"/>
              </w:rPr>
              <w:t xml:space="preserve">Cash spent </w:t>
            </w:r>
            <w:r>
              <w:rPr>
                <w:rFonts w:ascii="Arial" w:cs="Arial" w:eastAsia="Arial" w:hAnsi="Arial"/>
                <w:sz w:val="18"/>
                <w:szCs w:val="18"/>
                <w:color w:val="auto"/>
                <w:vertAlign w:val="superscript"/>
              </w:rPr>
              <w:t>(3)</w:t>
            </w:r>
          </w:p>
        </w:tc>
        <w:tc>
          <w:tcPr>
            <w:tcW w:w="1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Non-cash items </w:t>
            </w:r>
            <w:r>
              <w:rPr>
                <w:rFonts w:ascii="Arial" w:cs="Arial" w:eastAsia="Arial" w:hAnsi="Arial"/>
                <w:sz w:val="18"/>
                <w:szCs w:val="18"/>
                <w:color w:val="auto"/>
                <w:vertAlign w:val="superscript"/>
              </w:rPr>
              <w:t>(4)</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5520" w:type="dxa"/>
            <w:vAlign w:val="bottom"/>
          </w:tcPr>
          <w:p>
            <w:pPr>
              <w:ind w:left="120"/>
              <w:spacing w:after="0"/>
              <w:rPr>
                <w:sz w:val="20"/>
                <w:szCs w:val="20"/>
                <w:color w:val="auto"/>
              </w:rPr>
            </w:pPr>
            <w:r>
              <w:rPr>
                <w:rFonts w:ascii="Arial" w:cs="Arial" w:eastAsia="Arial" w:hAnsi="Arial"/>
                <w:sz w:val="14"/>
                <w:szCs w:val="14"/>
                <w:color w:val="auto"/>
              </w:rPr>
              <w:t>Currency</w:t>
            </w:r>
          </w:p>
        </w:tc>
        <w:tc>
          <w:tcPr>
            <w:tcW w:w="1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520" w:type="dxa"/>
            <w:vAlign w:val="bottom"/>
            <w:tcBorders>
              <w:top w:val="single" w:sz="8" w:color="CCEEFF"/>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4"/>
                <w:szCs w:val="14"/>
                <w:color w:val="auto"/>
              </w:rPr>
              <w:t xml:space="preserve">Liability balance, December 31, 2024 </w:t>
            </w:r>
            <w:r>
              <w:rPr>
                <w:rFonts w:ascii="Arial" w:cs="Arial" w:eastAsia="Arial" w:hAnsi="Arial"/>
                <w:sz w:val="18"/>
                <w:szCs w:val="18"/>
                <w:color w:val="auto"/>
                <w:vertAlign w:val="superscript"/>
              </w:rPr>
              <w:t>(5)</w:t>
            </w:r>
          </w:p>
        </w:tc>
        <w:tc>
          <w:tcPr>
            <w:tcW w:w="1400" w:type="dxa"/>
            <w:vAlign w:val="bottom"/>
            <w:tcBorders>
              <w:top w:val="single" w:sz="8" w:color="auto"/>
              <w:bottom w:val="single" w:sz="8" w:color="auto"/>
            </w:tcBorders>
            <w:shd w:val="clear" w:color="auto" w:fill="CCEEFF"/>
          </w:tcPr>
          <w:p>
            <w:pPr>
              <w:jc w:val="right"/>
              <w:ind w:right="1237"/>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hanging="174"/>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asset write-downs, net of gains on assets sold which were included in the restructuring program.</w:t>
      </w:r>
    </w:p>
    <w:p>
      <w:pPr>
        <w:spacing w:after="0" w:line="23" w:lineRule="exact"/>
        <w:rPr>
          <w:rFonts w:ascii="Arial" w:cs="Arial" w:eastAsia="Arial" w:hAnsi="Arial"/>
          <w:sz w:val="11"/>
          <w:szCs w:val="11"/>
          <w:color w:val="auto"/>
        </w:rPr>
      </w:pPr>
    </w:p>
    <w:p>
      <w:pPr>
        <w:ind w:left="180" w:hanging="174"/>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 xml:space="preserve">We recorded restructuring charges of $77 million in 2024, $106 million in 2023 and $36 million in 2022 within </w:t>
      </w:r>
      <w:r>
        <w:rPr>
          <w:rFonts w:ascii="Arial" w:cs="Arial" w:eastAsia="Arial" w:hAnsi="Arial"/>
          <w:sz w:val="11"/>
          <w:szCs w:val="11"/>
          <w:i w:val="1"/>
          <w:iCs w:val="1"/>
          <w:color w:val="auto"/>
        </w:rPr>
        <w:t>asset impairment and exit costs</w:t>
      </w:r>
      <w:r>
        <w:rPr>
          <w:rFonts w:ascii="Arial" w:cs="Arial" w:eastAsia="Arial" w:hAnsi="Arial"/>
          <w:sz w:val="11"/>
          <w:szCs w:val="11"/>
          <w:color w:val="auto"/>
        </w:rPr>
        <w:t xml:space="preserve"> and </w:t>
      </w:r>
      <w:r>
        <w:rPr>
          <w:rFonts w:ascii="Arial" w:cs="Arial" w:eastAsia="Arial" w:hAnsi="Arial"/>
          <w:sz w:val="11"/>
          <w:szCs w:val="11"/>
          <w:i w:val="1"/>
          <w:iCs w:val="1"/>
          <w:color w:val="auto"/>
        </w:rPr>
        <w:t>benefit plan non-service income</w:t>
      </w:r>
      <w:r>
        <w:rPr>
          <w:rFonts w:ascii="Arial" w:cs="Arial" w:eastAsia="Arial" w:hAnsi="Arial"/>
          <w:sz w:val="11"/>
          <w:szCs w:val="11"/>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ind w:left="180" w:hanging="174"/>
        <w:spacing w:after="0"/>
        <w:tabs>
          <w:tab w:leader="none" w:pos="1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We spent $48 million in 2024 and $67 million in 2023 in cash severance and related costs.</w:t>
      </w:r>
    </w:p>
    <w:p>
      <w:pPr>
        <w:spacing w:after="0" w:line="23" w:lineRule="exact"/>
        <w:rPr>
          <w:rFonts w:ascii="Arial" w:cs="Arial" w:eastAsia="Arial" w:hAnsi="Arial"/>
          <w:sz w:val="11"/>
          <w:szCs w:val="11"/>
          <w:color w:val="auto"/>
        </w:rPr>
      </w:pPr>
    </w:p>
    <w:p>
      <w:pPr>
        <w:ind w:left="200" w:hanging="194"/>
        <w:spacing w:after="0" w:line="254" w:lineRule="auto"/>
        <w:tabs>
          <w:tab w:leader="none" w:pos="189" w:val="left"/>
        </w:tabs>
        <w:numPr>
          <w:ilvl w:val="0"/>
          <w:numId w:val="32"/>
        </w:numPr>
        <w:rPr>
          <w:rFonts w:ascii="Arial" w:cs="Arial" w:eastAsia="Arial" w:hAnsi="Arial"/>
          <w:sz w:val="11"/>
          <w:szCs w:val="11"/>
          <w:color w:val="auto"/>
        </w:rPr>
      </w:pPr>
      <w:r>
        <w:rPr>
          <w:rFonts w:ascii="Arial" w:cs="Arial" w:eastAsia="Arial" w:hAnsi="Arial"/>
          <w:sz w:val="11"/>
          <w:szCs w:val="11"/>
          <w:color w:val="auto"/>
        </w:rPr>
        <w:t>We recognized non-cash asset write-downs (including accelerated depreciation and asset impairments) and other non-cash adjustments, including gains on sales of restructuring program assets, which totaled a charge of $22 million in 2024 and $17 million in 2023.</w:t>
      </w:r>
    </w:p>
    <w:p>
      <w:pPr>
        <w:ind w:left="180" w:hanging="174"/>
        <w:spacing w:after="0"/>
        <w:tabs>
          <w:tab w:leader="none" w:pos="1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 xml:space="preserve">At December 31, 2024, $115 million of our net restructuring liability was recorded within </w:t>
      </w:r>
      <w:r>
        <w:rPr>
          <w:rFonts w:ascii="Arial" w:cs="Arial" w:eastAsia="Arial" w:hAnsi="Arial"/>
          <w:sz w:val="11"/>
          <w:szCs w:val="11"/>
          <w:i w:val="1"/>
          <w:iCs w:val="1"/>
          <w:color w:val="auto"/>
        </w:rPr>
        <w:t>other current liabilities</w:t>
      </w:r>
      <w:r>
        <w:rPr>
          <w:rFonts w:ascii="Arial" w:cs="Arial" w:eastAsia="Arial" w:hAnsi="Arial"/>
          <w:sz w:val="11"/>
          <w:szCs w:val="11"/>
          <w:color w:val="auto"/>
        </w:rPr>
        <w:t xml:space="preserve"> and $73 million was recorded within </w:t>
      </w:r>
      <w:r>
        <w:rPr>
          <w:rFonts w:ascii="Arial" w:cs="Arial" w:eastAsia="Arial" w:hAnsi="Arial"/>
          <w:sz w:val="11"/>
          <w:szCs w:val="11"/>
          <w:i w:val="1"/>
          <w:iCs w:val="1"/>
          <w:color w:val="auto"/>
        </w:rPr>
        <w:t>other long-term liabilities</w:t>
      </w:r>
      <w:r>
        <w:rPr>
          <w:rFonts w:ascii="Arial" w:cs="Arial" w:eastAsia="Arial" w:hAnsi="Arial"/>
          <w:sz w:val="11"/>
          <w:szCs w:val="11"/>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Implementation Costs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related to reorganizing our operations and facilities in connection with our supply chain reinvention program and other identified productivity and cost saving initiatives. The costs included incremental expenses related to the closure of facilities, costs to terminate certain contracts and the simplification of our information systems. Within our continuing results of operations, we recorded implementation costs of $72 million in 2024, $25 million in 2023 and $87 million in 2022. We recorded these costs within </w:t>
      </w:r>
      <w:r>
        <w:rPr>
          <w:rFonts w:ascii="Arial" w:cs="Arial" w:eastAsia="Arial" w:hAnsi="Arial"/>
          <w:sz w:val="14"/>
          <w:szCs w:val="14"/>
          <w:i w:val="1"/>
          <w:iCs w:val="1"/>
          <w:color w:val="auto"/>
        </w:rPr>
        <w:t>cost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sales </w:t>
      </w:r>
      <w:r>
        <w:rPr>
          <w:rFonts w:ascii="Arial" w:cs="Arial" w:eastAsia="Arial" w:hAnsi="Arial"/>
          <w:sz w:val="14"/>
          <w:szCs w:val="14"/>
          <w:color w:val="auto"/>
        </w:rPr>
        <w:t>and general corporate expense within</w:t>
      </w:r>
      <w:r>
        <w:rPr>
          <w:rFonts w:ascii="Arial" w:cs="Arial" w:eastAsia="Arial" w:hAnsi="Arial"/>
          <w:sz w:val="14"/>
          <w:szCs w:val="14"/>
          <w:i w:val="1"/>
          <w:iCs w:val="1"/>
          <w:color w:val="auto"/>
        </w:rPr>
        <w:t xml:space="preserve"> selling, general and administrative expenses</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and Implementation Costs in Operating Income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During 2024, 2023 and 2022, and since inception of the Simplify to Grow Program, we recorded the following restructuring and implementation costs within segment operating income and earnings before income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900" w:type="dxa"/>
            <w:vAlign w:val="bottom"/>
          </w:tcPr>
          <w:p>
            <w:pPr>
              <w:jc w:val="right"/>
              <w:ind w:right="71"/>
              <w:spacing w:after="0"/>
              <w:rPr>
                <w:sz w:val="20"/>
                <w:szCs w:val="20"/>
                <w:color w:val="auto"/>
              </w:rPr>
            </w:pPr>
            <w:r>
              <w:rPr>
                <w:rFonts w:ascii="Arial" w:cs="Arial" w:eastAsia="Arial" w:hAnsi="Arial"/>
                <w:sz w:val="11"/>
                <w:szCs w:val="11"/>
                <w:b w:val="1"/>
                <w:bCs w:val="1"/>
                <w:color w:val="auto"/>
              </w:rPr>
              <w:t>Latin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1"/>
                <w:szCs w:val="11"/>
                <w:b w:val="1"/>
                <w:bCs w:val="1"/>
                <w:color w:val="auto"/>
              </w:rPr>
              <w:t>AMEA</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Europe</w:t>
            </w:r>
          </w:p>
        </w:tc>
        <w:tc>
          <w:tcPr>
            <w:tcW w:w="360" w:type="dxa"/>
            <w:vAlign w:val="bottom"/>
          </w:tcPr>
          <w:p>
            <w:pPr>
              <w:spacing w:after="0"/>
              <w:rPr>
                <w:sz w:val="10"/>
                <w:szCs w:val="10"/>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North</w:t>
            </w:r>
          </w:p>
        </w:tc>
        <w:tc>
          <w:tcPr>
            <w:tcW w:w="240" w:type="dxa"/>
            <w:vAlign w:val="bottom"/>
          </w:tcPr>
          <w:p>
            <w:pPr>
              <w:spacing w:after="0"/>
              <w:rPr>
                <w:sz w:val="10"/>
                <w:szCs w:val="10"/>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Corporate</w:t>
            </w:r>
          </w:p>
        </w:tc>
        <w:tc>
          <w:tcPr>
            <w:tcW w:w="28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America</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America</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For the Year Ended</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2024</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Implementation Costs</w:t>
            </w:r>
          </w:p>
        </w:tc>
        <w:tc>
          <w:tcPr>
            <w:tcW w:w="9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0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For the Year Ended</w:t>
            </w:r>
          </w:p>
        </w:tc>
        <w:tc>
          <w:tcPr>
            <w:tcW w:w="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2023</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Implementation Costs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00"/>
              <w:spacing w:after="0"/>
              <w:rPr>
                <w:sz w:val="20"/>
                <w:szCs w:val="20"/>
                <w:color w:val="auto"/>
              </w:rPr>
            </w:pPr>
            <w:r>
              <w:rPr>
                <w:rFonts w:ascii="Arial" w:cs="Arial" w:eastAsia="Arial" w:hAnsi="Arial"/>
                <w:sz w:val="14"/>
                <w:szCs w:val="14"/>
                <w:color w:val="auto"/>
              </w:rPr>
              <w:t>Total</w:t>
            </w:r>
          </w:p>
        </w:tc>
        <w:tc>
          <w:tcPr>
            <w:tcW w:w="90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For the Year Ended</w:t>
            </w:r>
          </w:p>
        </w:tc>
        <w:tc>
          <w:tcPr>
            <w:tcW w:w="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Implementation Costs</w:t>
            </w:r>
          </w:p>
        </w:tc>
        <w:tc>
          <w:tcPr>
            <w:tcW w:w="9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0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Project</w:t>
            </w:r>
          </w:p>
        </w:tc>
        <w:tc>
          <w:tcPr>
            <w:tcW w:w="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(Inception to Date)</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5"/>
                <w:szCs w:val="15"/>
                <w:color w:val="auto"/>
              </w:rPr>
            </w:pP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Implementation Costs</w:t>
            </w:r>
          </w:p>
        </w:tc>
        <w:tc>
          <w:tcPr>
            <w:tcW w:w="9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0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3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-313055</wp:posOffset>
            </wp:positionV>
            <wp:extent cx="224790" cy="149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Debt and Borrowing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Short-Term Borrowings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short-term borrowings and related weighted-average interest rates consisted of:</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7"/>
          </w:tcPr>
          <w:p>
            <w:pPr>
              <w:jc w:val="right"/>
              <w:ind w:right="1280"/>
              <w:spacing w:after="0"/>
              <w:rPr>
                <w:sz w:val="20"/>
                <w:szCs w:val="20"/>
                <w:color w:val="auto"/>
              </w:rPr>
            </w:pPr>
            <w:r>
              <w:rPr>
                <w:rFonts w:ascii="Arial" w:cs="Arial" w:eastAsia="Arial" w:hAnsi="Arial"/>
                <w:sz w:val="11"/>
                <w:szCs w:val="11"/>
                <w:b w:val="1"/>
                <w:bCs w:val="1"/>
                <w:color w:val="auto"/>
              </w:rPr>
              <w:t>As of December 31,</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2024</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2023</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09"/>
        </w:trPr>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3"/>
          </w:tcPr>
          <w:p>
            <w:pPr>
              <w:jc w:val="center"/>
              <w:ind w:right="540"/>
              <w:spacing w:after="0" w:line="110"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9"/>
                <w:szCs w:val="9"/>
                <w:color w:val="auto"/>
              </w:rPr>
            </w:pPr>
          </w:p>
        </w:tc>
        <w:tc>
          <w:tcPr>
            <w:tcW w:w="1400" w:type="dxa"/>
            <w:vAlign w:val="bottom"/>
            <w:gridSpan w:val="2"/>
          </w:tcPr>
          <w:p>
            <w:pPr>
              <w:jc w:val="right"/>
              <w:ind w:right="640"/>
              <w:spacing w:after="0" w:line="110"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3"/>
          </w:tcPr>
          <w:p>
            <w:pPr>
              <w:jc w:val="center"/>
              <w:ind w:right="660"/>
              <w:spacing w:after="0" w:line="110"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9"/>
                <w:szCs w:val="9"/>
                <w:color w:val="auto"/>
              </w:rPr>
            </w:pPr>
          </w:p>
        </w:tc>
        <w:tc>
          <w:tcPr>
            <w:tcW w:w="1340" w:type="dxa"/>
            <w:vAlign w:val="bottom"/>
          </w:tcPr>
          <w:p>
            <w:pPr>
              <w:jc w:val="right"/>
              <w:ind w:right="493"/>
              <w:spacing w:after="0" w:line="110" w:lineRule="exact"/>
              <w:rPr>
                <w:sz w:val="20"/>
                <w:szCs w:val="20"/>
                <w:color w:val="auto"/>
              </w:rPr>
            </w:pPr>
            <w:r>
              <w:rPr>
                <w:rFonts w:ascii="Arial" w:cs="Arial" w:eastAsia="Arial" w:hAnsi="Arial"/>
                <w:sz w:val="11"/>
                <w:szCs w:val="11"/>
                <w:b w:val="1"/>
                <w:bCs w:val="1"/>
                <w:color w:val="auto"/>
              </w:rPr>
              <w:t>Weighted-</w:t>
            </w:r>
          </w:p>
        </w:tc>
        <w:tc>
          <w:tcPr>
            <w:tcW w:w="40" w:type="dxa"/>
            <w:vAlign w:val="bottom"/>
          </w:tcPr>
          <w:p>
            <w:pPr>
              <w:spacing w:after="0"/>
              <w:rPr>
                <w:sz w:val="9"/>
                <w:szCs w:val="9"/>
                <w:color w:val="auto"/>
              </w:rPr>
            </w:pPr>
          </w:p>
        </w:tc>
      </w:tr>
      <w:tr>
        <w:trPr>
          <w:trHeight w:val="150"/>
        </w:trPr>
        <w:tc>
          <w:tcPr>
            <w:tcW w:w="4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35"/>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1"/>
                <w:szCs w:val="11"/>
                <w:b w:val="1"/>
                <w:bCs w:val="1"/>
                <w:color w:val="auto"/>
              </w:rPr>
              <w:t>Average Rate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35"/>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Average Rate</w:t>
            </w:r>
          </w:p>
        </w:tc>
        <w:tc>
          <w:tcPr>
            <w:tcW w:w="40" w:type="dxa"/>
            <w:vAlign w:val="bottom"/>
          </w:tcPr>
          <w:p>
            <w:pPr>
              <w:spacing w:after="0"/>
              <w:rPr>
                <w:sz w:val="13"/>
                <w:szCs w:val="13"/>
                <w:color w:val="auto"/>
              </w:rPr>
            </w:pPr>
          </w:p>
        </w:tc>
      </w:tr>
      <w:tr>
        <w:trPr>
          <w:trHeight w:val="15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40" w:type="dxa"/>
            <w:vAlign w:val="bottom"/>
          </w:tcPr>
          <w:p>
            <w:pPr>
              <w:spacing w:after="0"/>
              <w:rPr>
                <w:sz w:val="15"/>
                <w:szCs w:val="15"/>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Bank loans</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17.2 %</w:t>
            </w:r>
          </w:p>
        </w:tc>
        <w:tc>
          <w:tcPr>
            <w:tcW w:w="40" w:type="dxa"/>
            <w:vAlign w:val="bottom"/>
          </w:tcPr>
          <w:p>
            <w:pPr>
              <w:spacing w:after="0"/>
              <w:rPr>
                <w:sz w:val="15"/>
                <w:szCs w:val="15"/>
                <w:color w:val="auto"/>
              </w:rPr>
            </w:pPr>
          </w:p>
        </w:tc>
      </w:tr>
      <w:tr>
        <w:trPr>
          <w:trHeight w:val="198"/>
        </w:trPr>
        <w:tc>
          <w:tcPr>
            <w:tcW w:w="4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short-term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4880" w:type="dxa"/>
            <w:vAlign w:val="bottom"/>
            <w:gridSpan w:val="3"/>
          </w:tcPr>
          <w:p>
            <w:pPr>
              <w:spacing w:after="0"/>
              <w:rPr>
                <w:sz w:val="20"/>
                <w:szCs w:val="20"/>
                <w:color w:val="auto"/>
              </w:rPr>
            </w:pPr>
            <w:r>
              <w:rPr>
                <w:rFonts w:ascii="Arial" w:cs="Arial" w:eastAsia="Arial" w:hAnsi="Arial"/>
                <w:sz w:val="14"/>
                <w:szCs w:val="14"/>
                <w:color w:val="auto"/>
              </w:rPr>
              <w:t>Our uncommitted credit lines and committed credit lines available include: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9"/>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1"/>
                <w:szCs w:val="11"/>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52"/>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1"/>
                <w:szCs w:val="11"/>
                <w:b w:val="1"/>
                <w:bCs w:val="1"/>
                <w:color w:val="auto"/>
              </w:rPr>
              <w:t>2024</w:t>
            </w: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1"/>
                <w:szCs w:val="11"/>
                <w:b w:val="1"/>
                <w:bCs w:val="1"/>
                <w:color w:val="auto"/>
              </w:rPr>
              <w:t>2023</w:t>
            </w:r>
          </w:p>
        </w:tc>
        <w:tc>
          <w:tcPr>
            <w:tcW w:w="1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2"/>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Facility Amount</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Borrowed Amount</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1"/>
                <w:szCs w:val="11"/>
                <w:b w:val="1"/>
                <w:bCs w:val="1"/>
                <w:color w:val="auto"/>
              </w:rPr>
              <w:t>Facility Amount</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Borrowed Amount</w:t>
            </w:r>
          </w:p>
        </w:tc>
        <w:tc>
          <w:tcPr>
            <w:tcW w:w="40" w:type="dxa"/>
            <w:vAlign w:val="bottom"/>
            <w:tcBorders>
              <w:bottom w:val="single" w:sz="8" w:color="auto"/>
            </w:tcBorders>
          </w:tcPr>
          <w:p>
            <w:pPr>
              <w:spacing w:after="0"/>
              <w:rPr>
                <w:sz w:val="13"/>
                <w:szCs w:val="13"/>
                <w:color w:val="auto"/>
              </w:rPr>
            </w:pPr>
          </w:p>
        </w:tc>
      </w:tr>
      <w:tr>
        <w:trPr>
          <w:trHeight w:val="152"/>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tcPr>
          <w:p>
            <w:pPr>
              <w:jc w:val="center"/>
              <w:ind w:left="1015"/>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58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Uncommitted credit facilities </w:t>
            </w:r>
            <w:r>
              <w:rPr>
                <w:rFonts w:ascii="Arial" w:cs="Arial" w:eastAsia="Arial" w:hAnsi="Arial"/>
                <w:sz w:val="18"/>
                <w:szCs w:val="18"/>
                <w:color w:val="auto"/>
                <w:vertAlign w:val="superscript"/>
              </w:rPr>
              <w:t>(1)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5"/>
                <w:szCs w:val="15"/>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color w:val="auto"/>
              </w:rPr>
              <w:t>Credit facilities: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4580" w:type="dxa"/>
            <w:vAlign w:val="bottom"/>
            <w:shd w:val="clear" w:color="auto" w:fill="CCEEFF"/>
          </w:tcPr>
          <w:p>
            <w:pPr>
              <w:ind w:left="200"/>
              <w:spacing w:after="0" w:line="182" w:lineRule="exact"/>
              <w:rPr>
                <w:sz w:val="20"/>
                <w:szCs w:val="20"/>
                <w:color w:val="auto"/>
              </w:rPr>
            </w:pPr>
            <w:r>
              <w:rPr>
                <w:rFonts w:ascii="Arial" w:cs="Arial" w:eastAsia="Arial" w:hAnsi="Arial"/>
                <w:sz w:val="14"/>
                <w:szCs w:val="14"/>
                <w:color w:val="auto"/>
              </w:rPr>
              <w:t xml:space="preserve">February 21, 2024 </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r>
      <w:tr>
        <w:trPr>
          <w:trHeight w:val="183"/>
        </w:trPr>
        <w:tc>
          <w:tcPr>
            <w:tcW w:w="4580" w:type="dxa"/>
            <w:vAlign w:val="bottom"/>
          </w:tcPr>
          <w:p>
            <w:pPr>
              <w:ind w:left="200"/>
              <w:spacing w:after="0" w:line="182" w:lineRule="exact"/>
              <w:rPr>
                <w:sz w:val="20"/>
                <w:szCs w:val="20"/>
                <w:color w:val="auto"/>
              </w:rPr>
            </w:pPr>
            <w:r>
              <w:rPr>
                <w:rFonts w:ascii="Arial" w:cs="Arial" w:eastAsia="Arial" w:hAnsi="Arial"/>
                <w:sz w:val="14"/>
                <w:szCs w:val="14"/>
                <w:color w:val="auto"/>
              </w:rPr>
              <w:t xml:space="preserve">February 19, 2025 </w:t>
            </w:r>
            <w:r>
              <w:rPr>
                <w:rFonts w:ascii="Arial" w:cs="Arial" w:eastAsia="Arial" w:hAnsi="Arial"/>
                <w:sz w:val="18"/>
                <w:szCs w:val="18"/>
                <w:color w:val="auto"/>
                <w:vertAlign w:val="superscript"/>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83"/>
        </w:trPr>
        <w:tc>
          <w:tcPr>
            <w:tcW w:w="4580" w:type="dxa"/>
            <w:vAlign w:val="bottom"/>
            <w:shd w:val="clear" w:color="auto" w:fill="CCEEFF"/>
          </w:tcPr>
          <w:p>
            <w:pPr>
              <w:ind w:left="200"/>
              <w:spacing w:after="0" w:line="182" w:lineRule="exact"/>
              <w:rPr>
                <w:sz w:val="20"/>
                <w:szCs w:val="20"/>
                <w:color w:val="auto"/>
              </w:rPr>
            </w:pPr>
            <w:r>
              <w:rPr>
                <w:rFonts w:ascii="Arial" w:cs="Arial" w:eastAsia="Arial" w:hAnsi="Arial"/>
                <w:sz w:val="14"/>
                <w:szCs w:val="14"/>
                <w:color w:val="auto"/>
              </w:rPr>
              <w:t xml:space="preserve">February 23, 2027 </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r>
      <w:tr>
        <w:trPr>
          <w:trHeight w:val="253"/>
        </w:trPr>
        <w:tc>
          <w:tcPr>
            <w:tcW w:w="4580" w:type="dxa"/>
            <w:vAlign w:val="bottom"/>
          </w:tcPr>
          <w:p>
            <w:pPr>
              <w:ind w:left="200"/>
              <w:spacing w:after="0"/>
              <w:rPr>
                <w:sz w:val="20"/>
                <w:szCs w:val="20"/>
                <w:color w:val="auto"/>
              </w:rPr>
            </w:pPr>
            <w:r>
              <w:rPr>
                <w:rFonts w:ascii="Arial" w:cs="Arial" w:eastAsia="Arial" w:hAnsi="Arial"/>
                <w:sz w:val="14"/>
                <w:szCs w:val="14"/>
                <w:color w:val="auto"/>
              </w:rPr>
              <w:t xml:space="preserve">Various </w:t>
            </w:r>
            <w:r>
              <w:rPr>
                <w:rFonts w:ascii="Arial" w:cs="Arial" w:eastAsia="Arial" w:hAnsi="Arial"/>
                <w:sz w:val="18"/>
                <w:szCs w:val="18"/>
                <w:color w:val="auto"/>
                <w:vertAlign w:val="superscript"/>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277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277</w:t>
            </w:r>
          </w:p>
        </w:tc>
        <w:tc>
          <w:tcPr>
            <w:tcW w:w="40" w:type="dxa"/>
            <w:vAlign w:val="bottom"/>
          </w:tcPr>
          <w:p>
            <w:pPr>
              <w:spacing w:after="0"/>
              <w:rPr>
                <w:sz w:val="21"/>
                <w:szCs w:val="21"/>
                <w:color w:val="auto"/>
              </w:rPr>
            </w:pPr>
          </w:p>
        </w:tc>
      </w:tr>
    </w:tbl>
    <w:p>
      <w:pPr>
        <w:spacing w:after="0" w:line="192" w:lineRule="exact"/>
        <w:rPr>
          <w:sz w:val="20"/>
          <w:szCs w:val="20"/>
          <w:color w:val="auto"/>
        </w:rPr>
      </w:pPr>
    </w:p>
    <w:p>
      <w:pPr>
        <w:ind w:left="180" w:hanging="174"/>
        <w:spacing w:after="0"/>
        <w:tabs>
          <w:tab w:leader="none" w:pos="1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Prior year facility amount has been revised.</w:t>
      </w:r>
    </w:p>
    <w:p>
      <w:pPr>
        <w:spacing w:after="0" w:line="23" w:lineRule="exact"/>
        <w:rPr>
          <w:rFonts w:ascii="Arial" w:cs="Arial" w:eastAsia="Arial" w:hAnsi="Arial"/>
          <w:sz w:val="11"/>
          <w:szCs w:val="11"/>
          <w:color w:val="auto"/>
        </w:rPr>
      </w:pPr>
    </w:p>
    <w:p>
      <w:pPr>
        <w:jc w:val="both"/>
        <w:ind w:left="200" w:hanging="194"/>
        <w:spacing w:after="0" w:line="256" w:lineRule="auto"/>
        <w:tabs>
          <w:tab w:leader="none" w:pos="189" w:val="left"/>
        </w:tabs>
        <w:numPr>
          <w:ilvl w:val="0"/>
          <w:numId w:val="33"/>
        </w:numPr>
        <w:rPr>
          <w:rFonts w:ascii="Arial" w:cs="Arial" w:eastAsia="Arial" w:hAnsi="Arial"/>
          <w:sz w:val="11"/>
          <w:szCs w:val="11"/>
          <w:color w:val="auto"/>
        </w:rPr>
      </w:pPr>
      <w:r>
        <w:rPr>
          <w:rFonts w:ascii="Arial" w:cs="Arial" w:eastAsia="Arial" w:hAnsi="Arial"/>
          <w:sz w:val="11"/>
          <w:szCs w:val="11"/>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2024, we complied with this covenant as our shareholders' equity, as defined by the covenant, was $39.4 billion. The revolving credit facility also contains customary representations, covenants and events of default. There are no credit rating triggers, provisions or other financial covenants that could require us to post collateral as security.</w:t>
      </w:r>
    </w:p>
    <w:p>
      <w:pPr>
        <w:spacing w:after="0" w:line="1" w:lineRule="exact"/>
        <w:rPr>
          <w:rFonts w:ascii="Arial" w:cs="Arial" w:eastAsia="Arial" w:hAnsi="Arial"/>
          <w:sz w:val="11"/>
          <w:szCs w:val="11"/>
          <w:color w:val="auto"/>
        </w:rPr>
      </w:pPr>
    </w:p>
    <w:p>
      <w:pPr>
        <w:ind w:left="200" w:hanging="194"/>
        <w:spacing w:after="0" w:line="269" w:lineRule="auto"/>
        <w:tabs>
          <w:tab w:leader="none" w:pos="189" w:val="left"/>
        </w:tabs>
        <w:numPr>
          <w:ilvl w:val="0"/>
          <w:numId w:val="33"/>
        </w:numPr>
        <w:rPr>
          <w:rFonts w:ascii="Arial" w:cs="Arial" w:eastAsia="Arial" w:hAnsi="Arial"/>
          <w:sz w:val="11"/>
          <w:szCs w:val="11"/>
          <w:color w:val="auto"/>
        </w:rPr>
      </w:pPr>
      <w:r>
        <w:rPr>
          <w:rFonts w:ascii="Arial" w:cs="Arial" w:eastAsia="Arial" w:hAnsi="Arial"/>
          <w:sz w:val="11"/>
          <w:szCs w:val="11"/>
          <w:color w:val="auto"/>
        </w:rPr>
        <w:t>On April 18, 2023, and subsequently amended on October 3, 2023 and April 4, 2024, we entered into a credit facility secured by pledged deposits classified as long-term other assets. Draw downs on the facility bore a variable rate based on SOFR plus applicable margin. On August 13, 2024, we repaid all amounts borrowed and terminated this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During 2023, we repaid $2.0 billion in term loans related to 2022 credit facility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long-term debt consisted of (interest rates are as of December 31,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xml:space="preserve">2024 </w:t>
            </w:r>
            <w:r>
              <w:rPr>
                <w:rFonts w:ascii="Arial" w:cs="Arial" w:eastAsia="Arial" w:hAnsi="Arial"/>
                <w:sz w:val="14"/>
                <w:szCs w:val="14"/>
                <w:b w:val="1"/>
                <w:bCs w:val="1"/>
                <w:color w:val="auto"/>
                <w:vertAlign w:val="superscript"/>
              </w:rPr>
              <w:t>(1)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3"/>
          </w:tcPr>
          <w:p>
            <w:pPr>
              <w:jc w:val="right"/>
              <w:ind w:right="188"/>
              <w:spacing w:after="0"/>
              <w:rPr>
                <w:sz w:val="20"/>
                <w:szCs w:val="20"/>
                <w:color w:val="auto"/>
              </w:rPr>
            </w:pPr>
            <w:r>
              <w:rPr>
                <w:rFonts w:ascii="Arial" w:cs="Arial" w:eastAsia="Arial" w:hAnsi="Arial"/>
                <w:sz w:val="11"/>
                <w:szCs w:val="11"/>
                <w:b w:val="1"/>
                <w:bCs w:val="1"/>
                <w:color w:val="auto"/>
              </w:rPr>
              <w:t>(in millions)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 notes and term loans, 1.250% to 7.000% (weighted-average effective rate 3.143%), due through 2050</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9,562</w:t>
            </w:r>
          </w:p>
        </w:tc>
        <w:tc>
          <w:tcPr>
            <w:tcW w:w="0" w:type="dxa"/>
            <w:vAlign w:val="bottom"/>
          </w:tcPr>
          <w:p>
            <w:pPr>
              <w:spacing w:after="0"/>
              <w:rPr>
                <w:sz w:val="1"/>
                <w:szCs w:val="1"/>
                <w:color w:val="auto"/>
              </w:rPr>
            </w:pPr>
          </w:p>
        </w:tc>
      </w:tr>
      <w:tr>
        <w:trPr>
          <w:trHeight w:val="140"/>
        </w:trPr>
        <w:tc>
          <w:tcPr>
            <w:tcW w:w="8300" w:type="dxa"/>
            <w:vAlign w:val="bottom"/>
          </w:tcPr>
          <w:p>
            <w:pPr>
              <w:ind w:left="20"/>
              <w:spacing w:after="0" w:line="140" w:lineRule="exact"/>
              <w:rPr>
                <w:sz w:val="20"/>
                <w:szCs w:val="20"/>
                <w:color w:val="auto"/>
              </w:rPr>
            </w:pPr>
            <w:r>
              <w:rPr>
                <w:rFonts w:ascii="Arial" w:cs="Arial" w:eastAsia="Arial" w:hAnsi="Arial"/>
                <w:sz w:val="14"/>
                <w:szCs w:val="14"/>
                <w:color w:val="auto"/>
              </w:rPr>
              <w:t>Euro notes, 0.000% to 2.375% (weighted-average effective rate 0.975%),</w:t>
            </w:r>
          </w:p>
        </w:tc>
        <w:tc>
          <w:tcPr>
            <w:tcW w:w="9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7,122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7,916</w:t>
            </w:r>
          </w:p>
        </w:tc>
        <w:tc>
          <w:tcPr>
            <w:tcW w:w="0" w:type="dxa"/>
            <w:vAlign w:val="bottom"/>
          </w:tcPr>
          <w:p>
            <w:pPr>
              <w:spacing w:after="0"/>
              <w:rPr>
                <w:sz w:val="1"/>
                <w:szCs w:val="1"/>
                <w:color w:val="auto"/>
              </w:rPr>
            </w:pPr>
          </w:p>
        </w:tc>
      </w:tr>
      <w:tr>
        <w:trPr>
          <w:trHeight w:val="193"/>
        </w:trPr>
        <w:tc>
          <w:tcPr>
            <w:tcW w:w="8300" w:type="dxa"/>
            <w:vAlign w:val="bottom"/>
          </w:tcPr>
          <w:p>
            <w:pPr>
              <w:ind w:left="140"/>
              <w:spacing w:after="0"/>
              <w:rPr>
                <w:sz w:val="20"/>
                <w:szCs w:val="20"/>
                <w:color w:val="auto"/>
              </w:rPr>
            </w:pPr>
            <w:r>
              <w:rPr>
                <w:rFonts w:ascii="Arial" w:cs="Arial" w:eastAsia="Arial" w:hAnsi="Arial"/>
                <w:sz w:val="14"/>
                <w:szCs w:val="14"/>
                <w:color w:val="auto"/>
              </w:rPr>
              <w:t>due through 2041</w:t>
            </w:r>
          </w:p>
        </w:tc>
        <w:tc>
          <w:tcPr>
            <w:tcW w:w="9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3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Pound sterling notes, 3.875% to 4.500% (weighted-average effective rate 4.151%),</w:t>
            </w: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through 2045</w:t>
            </w:r>
          </w:p>
        </w:tc>
        <w:tc>
          <w:tcPr>
            <w:tcW w:w="9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300" w:type="dxa"/>
            <w:vAlign w:val="bottom"/>
          </w:tcPr>
          <w:p>
            <w:pPr>
              <w:ind w:left="20"/>
              <w:spacing w:after="0" w:line="140" w:lineRule="exact"/>
              <w:rPr>
                <w:sz w:val="20"/>
                <w:szCs w:val="20"/>
                <w:color w:val="auto"/>
              </w:rPr>
            </w:pPr>
            <w:r>
              <w:rPr>
                <w:rFonts w:ascii="Arial" w:cs="Arial" w:eastAsia="Arial" w:hAnsi="Arial"/>
                <w:sz w:val="14"/>
                <w:szCs w:val="14"/>
                <w:color w:val="auto"/>
              </w:rPr>
              <w:t>Swiss franc notes, 1.125% (effective rate 1.061%),</w:t>
            </w:r>
          </w:p>
        </w:tc>
        <w:tc>
          <w:tcPr>
            <w:tcW w:w="9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3"/>
        </w:trPr>
        <w:tc>
          <w:tcPr>
            <w:tcW w:w="8300" w:type="dxa"/>
            <w:vAlign w:val="bottom"/>
          </w:tcPr>
          <w:p>
            <w:pPr>
              <w:ind w:left="140"/>
              <w:spacing w:after="0"/>
              <w:rPr>
                <w:sz w:val="20"/>
                <w:szCs w:val="20"/>
                <w:color w:val="auto"/>
              </w:rPr>
            </w:pPr>
            <w:r>
              <w:rPr>
                <w:rFonts w:ascii="Arial" w:cs="Arial" w:eastAsia="Arial" w:hAnsi="Arial"/>
                <w:sz w:val="14"/>
                <w:szCs w:val="14"/>
                <w:color w:val="auto"/>
              </w:rPr>
              <w:t>due through 2025</w:t>
            </w:r>
          </w:p>
        </w:tc>
        <w:tc>
          <w:tcPr>
            <w:tcW w:w="9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3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Canadian dollar notes, 3.250% to 4.625% (weighted-average effective rate 4.048%),</w:t>
            </w: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through 2030</w:t>
            </w:r>
          </w:p>
        </w:tc>
        <w:tc>
          <w:tcPr>
            <w:tcW w:w="9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Finance leases and other</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7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18,988</w:t>
            </w: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current portion of long-term debt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98"/>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(1) Amounts are shown net of unamortized premiums, discounts and bank fees of $(119) million and imputed interest on finance leases of $(28) million.</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Over the next five years, aggregate principal maturities, including finance leases, of our long-term debt are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1"/>
                <w:szCs w:val="11"/>
                <w:b w:val="1"/>
                <w:bCs w:val="1"/>
                <w:color w:val="auto"/>
              </w:rPr>
              <w:t>2028</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Thereafter</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Total</w:t>
            </w:r>
          </w:p>
        </w:tc>
      </w:tr>
      <w:tr>
        <w:trPr>
          <w:trHeight w:val="174"/>
        </w:trPr>
        <w:tc>
          <w:tcPr>
            <w:tcW w:w="150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3"/>
              <w:spacing w:after="0"/>
              <w:rPr>
                <w:sz w:val="20"/>
                <w:szCs w:val="20"/>
                <w:color w:val="auto"/>
              </w:rPr>
            </w:pPr>
            <w:r>
              <w:rPr>
                <w:rFonts w:ascii="Arial" w:cs="Arial" w:eastAsia="Arial" w:hAnsi="Arial"/>
                <w:sz w:val="14"/>
                <w:szCs w:val="14"/>
                <w:color w:val="auto"/>
              </w:rPr>
              <w:t>$9,761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436"/>
              <w:spacing w:after="0"/>
              <w:rPr>
                <w:sz w:val="20"/>
                <w:szCs w:val="20"/>
                <w:color w:val="auto"/>
              </w:rPr>
            </w:pPr>
            <w:r>
              <w:rPr>
                <w:rFonts w:ascii="Arial" w:cs="Arial" w:eastAsia="Arial" w:hAnsi="Arial"/>
                <w:sz w:val="14"/>
                <w:szCs w:val="14"/>
                <w:color w:val="auto"/>
              </w:rPr>
              <w:t>$17,825</w:t>
            </w:r>
          </w:p>
        </w:tc>
        <w:tc>
          <w:tcPr>
            <w:tcW w:w="20" w:type="dxa"/>
            <w:vAlign w:val="bottom"/>
            <w:shd w:val="clear" w:color="auto" w:fill="CCEEFF"/>
          </w:tcPr>
          <w:p>
            <w:pPr>
              <w:spacing w:after="0"/>
              <w:rPr>
                <w:sz w:val="15"/>
                <w:szCs w:val="15"/>
                <w:color w:val="auto"/>
              </w:rPr>
            </w:pPr>
          </w:p>
        </w:tc>
      </w:tr>
      <w:tr>
        <w:trPr>
          <w:trHeight w:val="415"/>
        </w:trPr>
        <w:tc>
          <w:tcPr>
            <w:tcW w:w="1940" w:type="dxa"/>
            <w:vAlign w:val="bottom"/>
            <w:gridSpan w:val="3"/>
          </w:tcPr>
          <w:p>
            <w:pPr>
              <w:spacing w:after="0"/>
              <w:rPr>
                <w:sz w:val="20"/>
                <w:szCs w:val="20"/>
                <w:color w:val="auto"/>
              </w:rPr>
            </w:pPr>
            <w:r>
              <w:rPr>
                <w:rFonts w:ascii="Arial" w:cs="Arial" w:eastAsia="Arial" w:hAnsi="Arial"/>
                <w:sz w:val="14"/>
                <w:szCs w:val="14"/>
                <w:i w:val="1"/>
                <w:iCs w:val="1"/>
                <w:color w:val="auto"/>
              </w:rPr>
              <w:t>Debt Repayments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3520" w:type="dxa"/>
            <w:vAlign w:val="bottom"/>
            <w:gridSpan w:val="8"/>
          </w:tcPr>
          <w:p>
            <w:pPr>
              <w:spacing w:after="0"/>
              <w:rPr>
                <w:sz w:val="20"/>
                <w:szCs w:val="20"/>
                <w:color w:val="auto"/>
              </w:rPr>
            </w:pPr>
            <w:r>
              <w:rPr>
                <w:rFonts w:ascii="Arial" w:cs="Arial" w:eastAsia="Arial" w:hAnsi="Arial"/>
                <w:sz w:val="14"/>
                <w:szCs w:val="14"/>
                <w:color w:val="auto"/>
              </w:rPr>
              <w:t>During 2024, we repaid the following notes (in millions):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940" w:type="dxa"/>
            <w:vAlign w:val="bottom"/>
            <w:gridSpan w:val="3"/>
          </w:tcPr>
          <w:p>
            <w:pPr>
              <w:jc w:val="center"/>
              <w:ind w:left="731"/>
              <w:spacing w:after="0"/>
              <w:rPr>
                <w:sz w:val="20"/>
                <w:szCs w:val="20"/>
                <w:color w:val="auto"/>
              </w:rPr>
            </w:pPr>
            <w:r>
              <w:rPr>
                <w:rFonts w:ascii="Arial" w:cs="Arial" w:eastAsia="Arial" w:hAnsi="Arial"/>
                <w:sz w:val="11"/>
                <w:szCs w:val="11"/>
                <w:b w:val="1"/>
                <w:bCs w:val="1"/>
                <w:color w:val="auto"/>
              </w:rPr>
              <w:t>Interest Rate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Maturity Date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3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4"/>
          </w:tcPr>
          <w:p>
            <w:pPr>
              <w:jc w:val="center"/>
              <w:ind w:right="800"/>
              <w:spacing w:after="0"/>
              <w:rPr>
                <w:sz w:val="20"/>
                <w:szCs w:val="20"/>
                <w:color w:val="auto"/>
              </w:rPr>
            </w:pPr>
            <w:r>
              <w:rPr>
                <w:rFonts w:ascii="Arial" w:cs="Arial" w:eastAsia="Arial" w:hAnsi="Arial"/>
                <w:sz w:val="11"/>
                <w:szCs w:val="11"/>
                <w:b w:val="1"/>
                <w:bCs w:val="1"/>
                <w:color w:val="auto"/>
              </w:rPr>
              <w:t>USD Equivalent</w:t>
            </w:r>
          </w:p>
        </w:tc>
      </w:tr>
      <w:tr>
        <w:trPr>
          <w:trHeight w:val="174"/>
        </w:trPr>
        <w:tc>
          <w:tcPr>
            <w:tcW w:w="1940" w:type="dxa"/>
            <w:vAlign w:val="bottom"/>
            <w:tcBorders>
              <w:top w:val="single" w:sz="8" w:color="auto"/>
            </w:tcBorders>
            <w:gridSpan w:val="3"/>
            <w:shd w:val="clear" w:color="auto" w:fill="CCEEFF"/>
          </w:tcPr>
          <w:p>
            <w:pPr>
              <w:jc w:val="center"/>
              <w:ind w:left="731"/>
              <w:spacing w:after="0"/>
              <w:rPr>
                <w:sz w:val="20"/>
                <w:szCs w:val="20"/>
                <w:color w:val="auto"/>
              </w:rPr>
            </w:pPr>
            <w:r>
              <w:rPr>
                <w:rFonts w:ascii="Arial" w:cs="Arial" w:eastAsia="Arial" w:hAnsi="Arial"/>
                <w:sz w:val="14"/>
                <w:szCs w:val="14"/>
                <w:color w:val="auto"/>
              </w:rPr>
              <w:t>2.125%</w:t>
            </w: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gridSpan w:val="3"/>
            <w:shd w:val="clear" w:color="auto" w:fill="CCEEFF"/>
          </w:tcPr>
          <w:p>
            <w:pPr>
              <w:jc w:val="center"/>
              <w:ind w:right="260"/>
              <w:spacing w:after="0"/>
              <w:rPr>
                <w:sz w:val="20"/>
                <w:szCs w:val="20"/>
                <w:color w:val="auto"/>
              </w:rPr>
            </w:pPr>
            <w:r>
              <w:rPr>
                <w:rFonts w:ascii="Arial" w:cs="Arial" w:eastAsia="Arial" w:hAnsi="Arial"/>
                <w:sz w:val="14"/>
                <w:szCs w:val="14"/>
                <w:color w:val="auto"/>
              </w:rPr>
              <w:t>March 2024</w:t>
            </w: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right="332"/>
              <w:spacing w:after="0"/>
              <w:rPr>
                <w:sz w:val="20"/>
                <w:szCs w:val="20"/>
                <w:color w:val="auto"/>
              </w:rPr>
            </w:pPr>
            <w:r>
              <w:rPr>
                <w:rFonts w:ascii="Arial" w:cs="Arial" w:eastAsia="Arial" w:hAnsi="Arial"/>
                <w:sz w:val="14"/>
                <w:szCs w:val="14"/>
                <w:color w:val="auto"/>
              </w:rPr>
              <w:t>$500</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gridSpan w:val="3"/>
            <w:shd w:val="clear" w:color="auto" w:fill="CCEEFF"/>
          </w:tcPr>
          <w:p>
            <w:pPr>
              <w:jc w:val="center"/>
              <w:ind w:right="736"/>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5"/>
                <w:szCs w:val="15"/>
                <w:color w:val="auto"/>
              </w:rPr>
            </w:pPr>
          </w:p>
        </w:tc>
      </w:tr>
      <w:tr>
        <w:trPr>
          <w:trHeight w:val="183"/>
        </w:trPr>
        <w:tc>
          <w:tcPr>
            <w:tcW w:w="1940" w:type="dxa"/>
            <w:vAlign w:val="bottom"/>
            <w:gridSpan w:val="3"/>
          </w:tcPr>
          <w:p>
            <w:pPr>
              <w:jc w:val="center"/>
              <w:ind w:left="731"/>
              <w:spacing w:after="0"/>
              <w:rPr>
                <w:sz w:val="20"/>
                <w:szCs w:val="20"/>
                <w:color w:val="auto"/>
              </w:rPr>
            </w:pPr>
            <w:r>
              <w:rPr>
                <w:rFonts w:ascii="Arial" w:cs="Arial" w:eastAsia="Arial" w:hAnsi="Arial"/>
                <w:sz w:val="14"/>
                <w:szCs w:val="14"/>
                <w:color w:val="auto"/>
              </w:rPr>
              <w:t>2.250%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center"/>
              <w:ind w:right="240"/>
              <w:spacing w:after="0" w:line="182" w:lineRule="exact"/>
              <w:rPr>
                <w:sz w:val="20"/>
                <w:szCs w:val="20"/>
                <w:color w:val="auto"/>
              </w:rPr>
            </w:pPr>
            <w:r>
              <w:rPr>
                <w:rFonts w:ascii="Arial" w:cs="Arial" w:eastAsia="Arial" w:hAnsi="Arial"/>
                <w:sz w:val="14"/>
                <w:szCs w:val="14"/>
                <w:color w:val="auto"/>
                <w:w w:val="99"/>
              </w:rPr>
              <w:t xml:space="preserve">September 2024 </w:t>
            </w:r>
            <w:r>
              <w:rPr>
                <w:rFonts w:ascii="Arial" w:cs="Arial" w:eastAsia="Arial" w:hAnsi="Arial"/>
                <w:sz w:val="18"/>
                <w:szCs w:val="18"/>
                <w:color w:val="auto"/>
                <w:w w:val="99"/>
                <w:vertAlign w:val="superscript"/>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332"/>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60" w:type="dxa"/>
            <w:vAlign w:val="bottom"/>
            <w:gridSpan w:val="3"/>
          </w:tcPr>
          <w:p>
            <w:pPr>
              <w:jc w:val="center"/>
              <w:ind w:right="736"/>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5"/>
                <w:szCs w:val="15"/>
                <w:color w:val="auto"/>
              </w:rPr>
            </w:pPr>
          </w:p>
        </w:tc>
      </w:tr>
      <w:tr>
        <w:trPr>
          <w:trHeight w:val="183"/>
        </w:trPr>
        <w:tc>
          <w:tcPr>
            <w:tcW w:w="1940" w:type="dxa"/>
            <w:vAlign w:val="bottom"/>
            <w:gridSpan w:val="3"/>
            <w:shd w:val="clear" w:color="auto" w:fill="CCEEFF"/>
          </w:tcPr>
          <w:p>
            <w:pPr>
              <w:jc w:val="center"/>
              <w:ind w:left="731"/>
              <w:spacing w:after="0"/>
              <w:rPr>
                <w:sz w:val="20"/>
                <w:szCs w:val="20"/>
                <w:color w:val="auto"/>
              </w:rPr>
            </w:pPr>
            <w:r>
              <w:rPr>
                <w:rFonts w:ascii="Arial" w:cs="Arial" w:eastAsia="Arial" w:hAnsi="Arial"/>
                <w:sz w:val="14"/>
                <w:szCs w:val="14"/>
                <w:color w:val="auto"/>
              </w:rPr>
              <w:t>0.000%</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center"/>
              <w:ind w:right="260"/>
              <w:spacing w:after="0" w:line="182" w:lineRule="exact"/>
              <w:rPr>
                <w:sz w:val="20"/>
                <w:szCs w:val="20"/>
                <w:color w:val="auto"/>
              </w:rPr>
            </w:pPr>
            <w:r>
              <w:rPr>
                <w:rFonts w:ascii="Arial" w:cs="Arial" w:eastAsia="Arial" w:hAnsi="Arial"/>
                <w:sz w:val="14"/>
                <w:szCs w:val="14"/>
                <w:color w:val="auto"/>
                <w:w w:val="97"/>
              </w:rPr>
              <w:t xml:space="preserve">September 2024 </w:t>
            </w:r>
            <w:r>
              <w:rPr>
                <w:rFonts w:ascii="Arial" w:cs="Arial" w:eastAsia="Arial" w:hAnsi="Arial"/>
                <w:sz w:val="18"/>
                <w:szCs w:val="18"/>
                <w:color w:val="auto"/>
                <w:w w:val="97"/>
                <w:vertAlign w:val="superscript"/>
              </w:rPr>
              <w:t>(1) (2)</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center"/>
              <w:ind w:right="736"/>
              <w:spacing w:after="0"/>
              <w:rPr>
                <w:sz w:val="20"/>
                <w:szCs w:val="20"/>
                <w:color w:val="auto"/>
              </w:rPr>
            </w:pPr>
            <w:r>
              <w:rPr>
                <w:rFonts w:ascii="Arial" w:cs="Arial" w:eastAsia="Arial" w:hAnsi="Arial"/>
                <w:sz w:val="14"/>
                <w:szCs w:val="14"/>
                <w:color w:val="auto"/>
              </w:rPr>
              <w:t>$333</w:t>
            </w:r>
          </w:p>
        </w:tc>
        <w:tc>
          <w:tcPr>
            <w:tcW w:w="20" w:type="dxa"/>
            <w:vAlign w:val="bottom"/>
          </w:tcPr>
          <w:p>
            <w:pPr>
              <w:spacing w:after="0"/>
              <w:rPr>
                <w:sz w:val="15"/>
                <w:szCs w:val="15"/>
                <w:color w:val="auto"/>
              </w:rPr>
            </w:pPr>
          </w:p>
        </w:tc>
      </w:tr>
      <w:tr>
        <w:trPr>
          <w:trHeight w:val="183"/>
        </w:trPr>
        <w:tc>
          <w:tcPr>
            <w:tcW w:w="1940" w:type="dxa"/>
            <w:vAlign w:val="bottom"/>
            <w:gridSpan w:val="3"/>
          </w:tcPr>
          <w:p>
            <w:pPr>
              <w:jc w:val="center"/>
              <w:ind w:left="731"/>
              <w:spacing w:after="0"/>
              <w:rPr>
                <w:sz w:val="20"/>
                <w:szCs w:val="20"/>
                <w:color w:val="auto"/>
              </w:rPr>
            </w:pPr>
            <w:r>
              <w:rPr>
                <w:rFonts w:ascii="Arial" w:cs="Arial" w:eastAsia="Arial" w:hAnsi="Arial"/>
                <w:sz w:val="14"/>
                <w:szCs w:val="14"/>
                <w:color w:val="auto"/>
              </w:rPr>
              <w:t>0.750%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center"/>
              <w:ind w:right="240"/>
              <w:spacing w:after="0" w:line="182" w:lineRule="exact"/>
              <w:rPr>
                <w:sz w:val="20"/>
                <w:szCs w:val="20"/>
                <w:color w:val="auto"/>
              </w:rPr>
            </w:pPr>
            <w:r>
              <w:rPr>
                <w:rFonts w:ascii="Arial" w:cs="Arial" w:eastAsia="Arial" w:hAnsi="Arial"/>
                <w:sz w:val="14"/>
                <w:szCs w:val="14"/>
                <w:color w:val="auto"/>
                <w:w w:val="99"/>
              </w:rPr>
              <w:t xml:space="preserve">September 2024 </w:t>
            </w:r>
            <w:r>
              <w:rPr>
                <w:rFonts w:ascii="Arial" w:cs="Arial" w:eastAsia="Arial" w:hAnsi="Arial"/>
                <w:sz w:val="18"/>
                <w:szCs w:val="18"/>
                <w:color w:val="auto"/>
                <w:w w:val="99"/>
                <w:vertAlign w:val="superscript"/>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332"/>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60" w:type="dxa"/>
            <w:vAlign w:val="bottom"/>
            <w:gridSpan w:val="3"/>
          </w:tcPr>
          <w:p>
            <w:pPr>
              <w:jc w:val="center"/>
              <w:ind w:right="736"/>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5"/>
                <w:szCs w:val="15"/>
                <w:color w:val="auto"/>
              </w:rPr>
            </w:pPr>
          </w:p>
        </w:tc>
      </w:tr>
      <w:tr>
        <w:trPr>
          <w:trHeight w:val="183"/>
        </w:trPr>
        <w:tc>
          <w:tcPr>
            <w:tcW w:w="1940" w:type="dxa"/>
            <w:vAlign w:val="bottom"/>
            <w:gridSpan w:val="3"/>
            <w:shd w:val="clear" w:color="auto" w:fill="CCEEFF"/>
          </w:tcPr>
          <w:p>
            <w:pPr>
              <w:jc w:val="center"/>
              <w:ind w:left="731"/>
              <w:spacing w:after="0"/>
              <w:rPr>
                <w:sz w:val="20"/>
                <w:szCs w:val="20"/>
                <w:color w:val="auto"/>
              </w:rPr>
            </w:pPr>
            <w:r>
              <w:rPr>
                <w:rFonts w:ascii="Arial" w:cs="Arial" w:eastAsia="Arial" w:hAnsi="Arial"/>
                <w:sz w:val="14"/>
                <w:szCs w:val="14"/>
                <w:color w:val="auto"/>
              </w:rPr>
              <w:t>0.617%</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September 2024</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w w:val="98"/>
              </w:rPr>
              <w:t>Fr.125</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center"/>
              <w:ind w:right="736"/>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5"/>
                <w:szCs w:val="15"/>
                <w:color w:val="auto"/>
              </w:rPr>
            </w:pPr>
          </w:p>
        </w:tc>
      </w:tr>
    </w:tbl>
    <w:p>
      <w:pPr>
        <w:spacing w:after="0" w:line="69" w:lineRule="exact"/>
        <w:rPr>
          <w:sz w:val="20"/>
          <w:szCs w:val="20"/>
          <w:color w:val="auto"/>
        </w:rPr>
      </w:pPr>
    </w:p>
    <w:p>
      <w:pPr>
        <w:ind w:left="180" w:hanging="174"/>
        <w:spacing w:after="0"/>
        <w:tabs>
          <w:tab w:leader="none" w:pos="1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Repaid by Mondelez International Holdings Netherlands B.V. ("MIHN"), a wholly owned Dutch subsidiary of Mondelēz International, Inc.</w:t>
      </w:r>
    </w:p>
    <w:p>
      <w:pPr>
        <w:spacing w:after="0" w:line="23" w:lineRule="exact"/>
        <w:rPr>
          <w:rFonts w:ascii="Arial" w:cs="Arial" w:eastAsia="Arial" w:hAnsi="Arial"/>
          <w:sz w:val="11"/>
          <w:szCs w:val="11"/>
          <w:color w:val="auto"/>
        </w:rPr>
      </w:pPr>
    </w:p>
    <w:p>
      <w:pPr>
        <w:ind w:left="180" w:hanging="174"/>
        <w:spacing w:after="0"/>
        <w:tabs>
          <w:tab w:leader="none" w:pos="1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 xml:space="preserve">Repayment of €300 million exchangeable bonds. Refer to Note 10, </w:t>
      </w:r>
      <w:r>
        <w:rPr>
          <w:rFonts w:ascii="Arial" w:cs="Arial" w:eastAsia="Arial" w:hAnsi="Arial"/>
          <w:sz w:val="11"/>
          <w:szCs w:val="11"/>
          <w:i w:val="1"/>
          <w:iCs w:val="1"/>
          <w:color w:val="auto"/>
        </w:rPr>
        <w:t>Financial Instruments</w:t>
      </w:r>
      <w:r>
        <w:rPr>
          <w:rFonts w:ascii="Arial" w:cs="Arial" w:eastAsia="Arial" w:hAnsi="Arial"/>
          <w:sz w:val="11"/>
          <w:szCs w:val="11"/>
          <w:color w:val="auto"/>
        </w:rPr>
        <w:t xml:space="preserve"> for additional detail on these exchangeable bonds.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During 2023, we repaid the following notes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Interest Rate</w:t>
            </w:r>
          </w:p>
        </w:tc>
        <w:tc>
          <w:tcPr>
            <w:tcW w:w="2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Maturity Date</w:t>
            </w:r>
          </w:p>
        </w:tc>
        <w:tc>
          <w:tcPr>
            <w:tcW w:w="2860" w:type="dxa"/>
            <w:vAlign w:val="bottom"/>
            <w:gridSpan w:val="2"/>
          </w:tcPr>
          <w:p>
            <w:pPr>
              <w:ind w:left="1160"/>
              <w:spacing w:after="0"/>
              <w:rPr>
                <w:sz w:val="20"/>
                <w:szCs w:val="20"/>
                <w:color w:val="auto"/>
              </w:rPr>
            </w:pPr>
            <w:r>
              <w:rPr>
                <w:rFonts w:ascii="Arial" w:cs="Arial" w:eastAsia="Arial" w:hAnsi="Arial"/>
                <w:sz w:val="11"/>
                <w:szCs w:val="11"/>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1"/>
                <w:szCs w:val="11"/>
                <w:b w:val="1"/>
                <w:bCs w:val="1"/>
                <w:color w:val="auto"/>
              </w:rPr>
              <w:t>USD Equivalent</w:t>
            </w:r>
          </w:p>
        </w:tc>
      </w:tr>
      <w:tr>
        <w:trPr>
          <w:trHeight w:val="174"/>
        </w:trPr>
        <w:tc>
          <w:tcPr>
            <w:tcW w:w="274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4"/>
                <w:szCs w:val="14"/>
                <w:color w:val="auto"/>
              </w:rPr>
              <w:t>1.125%</w:t>
            </w:r>
          </w:p>
        </w:tc>
        <w:tc>
          <w:tcPr>
            <w:tcW w:w="1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December 2023</w:t>
            </w:r>
          </w:p>
        </w:tc>
        <w:tc>
          <w:tcPr>
            <w:tcW w:w="10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Fr.265</w:t>
            </w:r>
          </w:p>
        </w:tc>
        <w:tc>
          <w:tcPr>
            <w:tcW w:w="100" w:type="dxa"/>
            <w:vAlign w:val="bottom"/>
            <w:tcBorders>
              <w:top w:val="single" w:sz="8" w:color="CCEEFF"/>
            </w:tcBorders>
            <w:shd w:val="clear" w:color="auto" w:fill="CCEEFF"/>
          </w:tcPr>
          <w:p>
            <w:pPr>
              <w:spacing w:after="0"/>
              <w:rPr>
                <w:sz w:val="15"/>
                <w:szCs w:val="15"/>
                <w:color w:val="auto"/>
              </w:rPr>
            </w:pPr>
          </w:p>
        </w:tc>
        <w:tc>
          <w:tcPr>
            <w:tcW w:w="2740" w:type="dxa"/>
            <w:vAlign w:val="bottom"/>
            <w:tcBorders>
              <w:top w:val="single" w:sz="8" w:color="auto"/>
            </w:tcBorders>
            <w:shd w:val="clear" w:color="auto" w:fill="CCEEFF"/>
          </w:tcPr>
          <w:p>
            <w:pPr>
              <w:jc w:val="right"/>
              <w:ind w:right="1156"/>
              <w:spacing w:after="0"/>
              <w:rPr>
                <w:sz w:val="20"/>
                <w:szCs w:val="20"/>
                <w:color w:val="auto"/>
              </w:rPr>
            </w:pPr>
            <w:r>
              <w:rPr>
                <w:rFonts w:ascii="Arial" w:cs="Arial" w:eastAsia="Arial" w:hAnsi="Arial"/>
                <w:sz w:val="14"/>
                <w:szCs w:val="14"/>
                <w:color w:val="auto"/>
              </w:rPr>
              <w:t>$306</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Issuances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During 2024, we issued the following notes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Issuance Date</w:t>
            </w:r>
          </w:p>
        </w:tc>
        <w:tc>
          <w:tcPr>
            <w:tcW w:w="2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Interest Rate</w:t>
            </w:r>
          </w:p>
        </w:tc>
        <w:tc>
          <w:tcPr>
            <w:tcW w:w="2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Maturity Date</w:t>
            </w:r>
          </w:p>
        </w:tc>
        <w:tc>
          <w:tcPr>
            <w:tcW w:w="2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 xml:space="preserve">Gross Proceeds </w:t>
            </w:r>
            <w:r>
              <w:rPr>
                <w:rFonts w:ascii="Arial" w:cs="Arial" w:eastAsia="Arial" w:hAnsi="Arial"/>
                <w:sz w:val="14"/>
                <w:szCs w:val="14"/>
                <w:b w:val="1"/>
                <w:bCs w:val="1"/>
                <w:color w:val="auto"/>
                <w:w w:val="99"/>
                <w:vertAlign w:val="superscript"/>
              </w:rPr>
              <w:t>(1)</w:t>
            </w:r>
          </w:p>
        </w:tc>
        <w:tc>
          <w:tcPr>
            <w:tcW w:w="2180" w:type="dxa"/>
            <w:vAlign w:val="bottom"/>
          </w:tcPr>
          <w:p>
            <w:pPr>
              <w:jc w:val="center"/>
              <w:spacing w:after="0"/>
              <w:rPr>
                <w:sz w:val="20"/>
                <w:szCs w:val="20"/>
                <w:color w:val="auto"/>
              </w:rPr>
            </w:pPr>
            <w:r>
              <w:rPr>
                <w:rFonts w:ascii="Arial" w:cs="Arial" w:eastAsia="Arial" w:hAnsi="Arial"/>
                <w:sz w:val="11"/>
                <w:szCs w:val="11"/>
                <w:b w:val="1"/>
                <w:bCs w:val="1"/>
                <w:color w:val="auto"/>
              </w:rPr>
              <w:t>Gross Proceeds USD Equivalent</w:t>
            </w:r>
          </w:p>
        </w:tc>
      </w:tr>
      <w:tr>
        <w:trPr>
          <w:trHeight w:val="173"/>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February 2024</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4.750%</w:t>
            </w:r>
          </w:p>
        </w:tc>
        <w:tc>
          <w:tcPr>
            <w:tcW w:w="8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February 2029</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$550</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$550</w:t>
            </w:r>
          </w:p>
        </w:tc>
      </w:tr>
      <w:tr>
        <w:trPr>
          <w:trHeight w:val="183"/>
        </w:trPr>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July 2024</w:t>
            </w:r>
          </w:p>
        </w:tc>
        <w:tc>
          <w:tcPr>
            <w:tcW w:w="2180" w:type="dxa"/>
            <w:vAlign w:val="bottom"/>
          </w:tcPr>
          <w:p>
            <w:pPr>
              <w:jc w:val="center"/>
              <w:spacing w:after="0"/>
              <w:rPr>
                <w:sz w:val="20"/>
                <w:szCs w:val="20"/>
                <w:color w:val="auto"/>
              </w:rPr>
            </w:pPr>
            <w:r>
              <w:rPr>
                <w:rFonts w:ascii="Arial" w:cs="Arial" w:eastAsia="Arial" w:hAnsi="Arial"/>
                <w:sz w:val="14"/>
                <w:szCs w:val="14"/>
                <w:color w:val="auto"/>
              </w:rPr>
              <w:t>4.625%</w:t>
            </w:r>
          </w:p>
        </w:tc>
        <w:tc>
          <w:tcPr>
            <w:tcW w:w="80" w:type="dxa"/>
            <w:vAlign w:val="bottom"/>
          </w:tcPr>
          <w:p>
            <w:pPr>
              <w:spacing w:after="0"/>
              <w:rPr>
                <w:sz w:val="15"/>
                <w:szCs w:val="15"/>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July 2031</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C$650</w:t>
            </w:r>
          </w:p>
        </w:tc>
        <w:tc>
          <w:tcPr>
            <w:tcW w:w="2180" w:type="dxa"/>
            <w:vAlign w:val="bottom"/>
          </w:tcPr>
          <w:p>
            <w:pPr>
              <w:jc w:val="center"/>
              <w:spacing w:after="0"/>
              <w:rPr>
                <w:sz w:val="20"/>
                <w:szCs w:val="20"/>
                <w:color w:val="auto"/>
              </w:rPr>
            </w:pPr>
            <w:r>
              <w:rPr>
                <w:rFonts w:ascii="Arial" w:cs="Arial" w:eastAsia="Arial" w:hAnsi="Arial"/>
                <w:sz w:val="14"/>
                <w:szCs w:val="14"/>
                <w:color w:val="auto"/>
              </w:rPr>
              <w:t>$473</w:t>
            </w:r>
          </w:p>
        </w:tc>
      </w:tr>
      <w:tr>
        <w:trPr>
          <w:trHeight w:val="183"/>
        </w:trPr>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August 2024</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4.750%</w:t>
            </w:r>
          </w:p>
        </w:tc>
        <w:tc>
          <w:tcPr>
            <w:tcW w:w="8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August 2034</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$500</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(1) Represents gross proceeds from the issuance of notes excluding debt issuance costs, discounts and premiums.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During 2023, we did not complete any debt issuances.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Our Debt</w:t>
      </w:r>
    </w:p>
    <w:p>
      <w:pPr>
        <w:spacing w:after="0" w:line="2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fair value of our short-term borrowings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rPr>
              <w:t>As of December 31,</w:t>
            </w:r>
          </w:p>
        </w:tc>
        <w:tc>
          <w:tcPr>
            <w:tcW w:w="1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52"/>
        </w:trPr>
        <w:tc>
          <w:tcPr>
            <w:tcW w:w="6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2024</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bottom w:val="single" w:sz="8" w:color="auto"/>
            </w:tcBorders>
          </w:tcPr>
          <w:p>
            <w:pPr>
              <w:spacing w:after="0"/>
              <w:rPr>
                <w:sz w:val="13"/>
                <w:szCs w:val="13"/>
                <w:color w:val="auto"/>
              </w:rPr>
            </w:pPr>
          </w:p>
        </w:tc>
      </w:tr>
      <w:tr>
        <w:trPr>
          <w:trHeight w:val="152"/>
        </w:trPr>
        <w:tc>
          <w:tcPr>
            <w:tcW w:w="6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15,846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17,506</w:t>
            </w:r>
          </w:p>
        </w:tc>
        <w:tc>
          <w:tcPr>
            <w:tcW w:w="60" w:type="dxa"/>
            <w:vAlign w:val="bottom"/>
            <w:shd w:val="clear" w:color="auto" w:fill="CCEEFF"/>
          </w:tcPr>
          <w:p>
            <w:pPr>
              <w:spacing w:after="0"/>
              <w:rPr>
                <w:sz w:val="15"/>
                <w:szCs w:val="15"/>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4"/>
                <w:szCs w:val="14"/>
                <w:color w:val="auto"/>
              </w:rPr>
              <w:t>Carrying Value</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620"/>
              <w:spacing w:after="0"/>
              <w:rPr>
                <w:sz w:val="20"/>
                <w:szCs w:val="20"/>
                <w:color w:val="auto"/>
              </w:rPr>
            </w:pPr>
            <w:r>
              <w:rPr>
                <w:rFonts w:ascii="Arial" w:cs="Arial" w:eastAsia="Arial" w:hAnsi="Arial"/>
                <w:sz w:val="14"/>
                <w:szCs w:val="14"/>
                <w:color w:val="auto"/>
              </w:rPr>
              <w:t>17,749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19,408</w:t>
            </w:r>
          </w:p>
        </w:tc>
        <w:tc>
          <w:tcPr>
            <w:tcW w:w="60" w:type="dxa"/>
            <w:vAlign w:val="bottom"/>
          </w:tcPr>
          <w:p>
            <w:pPr>
              <w:spacing w:after="0"/>
              <w:rPr>
                <w:sz w:val="16"/>
                <w:szCs w:val="16"/>
                <w:color w:val="auto"/>
              </w:rPr>
            </w:pPr>
          </w:p>
        </w:tc>
      </w:tr>
      <w:tr>
        <w:trPr>
          <w:trHeight w:val="419"/>
        </w:trPr>
        <w:tc>
          <w:tcPr>
            <w:tcW w:w="6420" w:type="dxa"/>
            <w:vAlign w:val="bottom"/>
          </w:tcPr>
          <w:p>
            <w:pPr>
              <w:spacing w:after="0"/>
              <w:rPr>
                <w:sz w:val="20"/>
                <w:szCs w:val="20"/>
                <w:color w:val="auto"/>
              </w:rPr>
            </w:pPr>
            <w:r>
              <w:rPr>
                <w:rFonts w:ascii="Arial" w:cs="Arial" w:eastAsia="Arial" w:hAnsi="Arial"/>
                <w:sz w:val="14"/>
                <w:szCs w:val="14"/>
                <w:i w:val="1"/>
                <w:iCs w:val="1"/>
                <w:color w:val="auto"/>
              </w:rPr>
              <w:t>Interest and Other Expense, net</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6420" w:type="dxa"/>
            <w:vAlign w:val="bottom"/>
          </w:tcPr>
          <w:p>
            <w:pPr>
              <w:spacing w:after="0"/>
              <w:rPr>
                <w:sz w:val="20"/>
                <w:szCs w:val="20"/>
                <w:color w:val="auto"/>
              </w:rPr>
            </w:pPr>
            <w:r>
              <w:rPr>
                <w:rFonts w:ascii="Arial" w:cs="Arial" w:eastAsia="Arial" w:hAnsi="Arial"/>
                <w:sz w:val="14"/>
                <w:szCs w:val="14"/>
                <w:color w:val="auto"/>
              </w:rPr>
              <w:t>Interest and other expense, net within our results of continuing operations consisted of:</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64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3"/>
        </w:trPr>
        <w:tc>
          <w:tcPr>
            <w:tcW w:w="6420" w:type="dxa"/>
            <w:vAlign w:val="bottom"/>
          </w:tcPr>
          <w:p>
            <w:pPr>
              <w:spacing w:after="0"/>
              <w:rPr>
                <w:sz w:val="14"/>
                <w:szCs w:val="14"/>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4"/>
                <w:szCs w:val="14"/>
                <w:color w:val="auto"/>
              </w:rPr>
            </w:pPr>
          </w:p>
        </w:tc>
      </w:tr>
      <w:tr>
        <w:trPr>
          <w:trHeight w:val="163"/>
        </w:trPr>
        <w:tc>
          <w:tcPr>
            <w:tcW w:w="6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6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debt</w:t>
            </w:r>
          </w:p>
        </w:tc>
        <w:tc>
          <w:tcPr>
            <w:tcW w:w="1120" w:type="dxa"/>
            <w:vAlign w:val="bottom"/>
            <w:shd w:val="clear" w:color="auto" w:fill="CCEEFF"/>
          </w:tcPr>
          <w:p>
            <w:pPr>
              <w:jc w:val="right"/>
              <w:ind w:right="953"/>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center"/>
              <w:ind w:left="692"/>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15"/>
                <w:szCs w:val="15"/>
                <w:color w:val="auto"/>
              </w:rPr>
            </w:pPr>
          </w:p>
        </w:tc>
      </w:tr>
      <w:tr>
        <w:trPr>
          <w:trHeight w:val="183"/>
        </w:trPr>
        <w:tc>
          <w:tcPr>
            <w:tcW w:w="6420" w:type="dxa"/>
            <w:vAlign w:val="bottom"/>
          </w:tcPr>
          <w:p>
            <w:pPr>
              <w:ind w:left="120"/>
              <w:spacing w:after="0"/>
              <w:rPr>
                <w:sz w:val="20"/>
                <w:szCs w:val="20"/>
                <w:color w:val="auto"/>
              </w:rPr>
            </w:pPr>
            <w:r>
              <w:rPr>
                <w:rFonts w:ascii="Arial" w:cs="Arial" w:eastAsia="Arial" w:hAnsi="Arial"/>
                <w:sz w:val="14"/>
                <w:szCs w:val="14"/>
                <w:color w:val="auto"/>
              </w:rPr>
              <w:t>Loss on debt extinguishment and related expenses</w:t>
            </w:r>
          </w:p>
        </w:tc>
        <w:tc>
          <w:tcPr>
            <w:tcW w:w="11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center"/>
              <w:ind w:left="692"/>
              <w:spacing w:after="0"/>
              <w:rPr>
                <w:sz w:val="20"/>
                <w:szCs w:val="20"/>
                <w:color w:val="auto"/>
              </w:rPr>
            </w:pPr>
            <w:r>
              <w:rPr>
                <w:rFonts w:ascii="Arial" w:cs="Arial" w:eastAsia="Arial" w:hAnsi="Arial"/>
                <w:sz w:val="14"/>
                <w:szCs w:val="14"/>
                <w:color w:val="auto"/>
              </w:rPr>
              <w:t>129</w:t>
            </w:r>
          </w:p>
        </w:tc>
        <w:tc>
          <w:tcPr>
            <w:tcW w:w="60" w:type="dxa"/>
            <w:vAlign w:val="bottom"/>
          </w:tcPr>
          <w:p>
            <w:pPr>
              <w:spacing w:after="0"/>
              <w:rPr>
                <w:sz w:val="15"/>
                <w:szCs w:val="15"/>
                <w:color w:val="auto"/>
              </w:rPr>
            </w:pPr>
          </w:p>
        </w:tc>
      </w:tr>
      <w:tr>
        <w:trPr>
          <w:trHeight w:val="183"/>
        </w:trPr>
        <w:tc>
          <w:tcPr>
            <w:tcW w:w="6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net</w:t>
            </w:r>
          </w:p>
        </w:tc>
        <w:tc>
          <w:tcPr>
            <w:tcW w:w="1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4"/>
                <w:szCs w:val="14"/>
                <w:color w:val="auto"/>
                <w:w w:val="97"/>
              </w:rPr>
              <w:t>(134)</w:t>
            </w:r>
          </w:p>
        </w:tc>
        <w:tc>
          <w:tcPr>
            <w:tcW w:w="60" w:type="dxa"/>
            <w:vAlign w:val="bottom"/>
          </w:tcPr>
          <w:p>
            <w:pPr>
              <w:spacing w:after="0"/>
              <w:rPr>
                <w:sz w:val="15"/>
                <w:szCs w:val="15"/>
                <w:color w:val="auto"/>
              </w:rPr>
            </w:pPr>
          </w:p>
        </w:tc>
      </w:tr>
      <w:tr>
        <w:trPr>
          <w:trHeight w:val="173"/>
        </w:trPr>
        <w:tc>
          <w:tcPr>
            <w:tcW w:w="6420" w:type="dxa"/>
            <w:vAlign w:val="bottom"/>
          </w:tcPr>
          <w:p>
            <w:pPr>
              <w:ind w:left="20"/>
              <w:spacing w:after="0"/>
              <w:rPr>
                <w:sz w:val="20"/>
                <w:szCs w:val="20"/>
                <w:color w:val="auto"/>
              </w:rPr>
            </w:pPr>
            <w:r>
              <w:rPr>
                <w:rFonts w:ascii="Arial" w:cs="Arial" w:eastAsia="Arial" w:hAnsi="Arial"/>
                <w:sz w:val="14"/>
                <w:szCs w:val="14"/>
                <w:color w:val="auto"/>
              </w:rPr>
              <w:t>Interest and other expense, net</w:t>
            </w:r>
          </w:p>
        </w:tc>
        <w:tc>
          <w:tcPr>
            <w:tcW w:w="112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color w:val="auto"/>
              </w:rPr>
              <w:t>423</w:t>
            </w:r>
          </w:p>
        </w:tc>
        <w:tc>
          <w:tcPr>
            <w:tcW w:w="60" w:type="dxa"/>
            <w:vAlign w:val="bottom"/>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 xml:space="preserve">Other income, net includes amounts excluded from the assessment of hedge effectiveness related to our net investment hedge derivative contracts and movement in foreign currency exchange rates on certain foreign currency denominated assets and liabilities, related economic hedges and other items.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Financial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Derivative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Derivative instruments were recorded at fair value in the consolidated balance sheets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2"/>
        </w:trPr>
        <w:tc>
          <w:tcPr>
            <w:tcW w:w="4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1"/>
                <w:szCs w:val="11"/>
                <w:b w:val="1"/>
                <w:bCs w:val="1"/>
                <w:color w:val="auto"/>
              </w:rPr>
              <w:t>2024</w:t>
            </w:r>
          </w:p>
        </w:tc>
        <w:tc>
          <w:tcPr>
            <w:tcW w:w="1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1"/>
                <w:szCs w:val="11"/>
                <w:b w:val="1"/>
                <w:bCs w:val="1"/>
                <w:color w:val="auto"/>
              </w:rPr>
              <w:t>2023</w:t>
            </w:r>
          </w:p>
        </w:tc>
        <w:tc>
          <w:tcPr>
            <w:tcW w:w="1280" w:type="dxa"/>
            <w:vAlign w:val="bottom"/>
            <w:tcBorders>
              <w:bottom w:val="single" w:sz="8" w:color="auto"/>
            </w:tcBorders>
          </w:tcPr>
          <w:p>
            <w:pPr>
              <w:spacing w:after="0"/>
              <w:rPr>
                <w:sz w:val="13"/>
                <w:szCs w:val="13"/>
                <w:color w:val="auto"/>
              </w:rPr>
            </w:pPr>
          </w:p>
        </w:tc>
      </w:tr>
      <w:tr>
        <w:trPr>
          <w:trHeight w:val="109"/>
        </w:trPr>
        <w:tc>
          <w:tcPr>
            <w:tcW w:w="4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tcPr>
          <w:p>
            <w:pPr>
              <w:jc w:val="center"/>
              <w:ind w:right="380"/>
              <w:spacing w:after="0" w:line="110" w:lineRule="exact"/>
              <w:rPr>
                <w:sz w:val="20"/>
                <w:szCs w:val="20"/>
                <w:color w:val="auto"/>
              </w:rPr>
            </w:pPr>
            <w:r>
              <w:rPr>
                <w:rFonts w:ascii="Arial" w:cs="Arial" w:eastAsia="Arial" w:hAnsi="Arial"/>
                <w:sz w:val="11"/>
                <w:szCs w:val="11"/>
                <w:b w:val="1"/>
                <w:bCs w:val="1"/>
                <w:color w:val="auto"/>
                <w:w w:val="99"/>
              </w:rPr>
              <w:t>Asset</w:t>
            </w:r>
          </w:p>
        </w:tc>
        <w:tc>
          <w:tcPr>
            <w:tcW w:w="280" w:type="dxa"/>
            <w:vAlign w:val="bottom"/>
          </w:tcPr>
          <w:p>
            <w:pPr>
              <w:spacing w:after="0"/>
              <w:rPr>
                <w:sz w:val="9"/>
                <w:szCs w:val="9"/>
                <w:color w:val="auto"/>
              </w:rPr>
            </w:pPr>
          </w:p>
        </w:tc>
        <w:tc>
          <w:tcPr>
            <w:tcW w:w="1380" w:type="dxa"/>
            <w:vAlign w:val="bottom"/>
            <w:gridSpan w:val="2"/>
          </w:tcPr>
          <w:p>
            <w:pPr>
              <w:jc w:val="center"/>
              <w:ind w:right="380"/>
              <w:spacing w:after="0" w:line="110" w:lineRule="exact"/>
              <w:rPr>
                <w:sz w:val="20"/>
                <w:szCs w:val="20"/>
                <w:color w:val="auto"/>
              </w:rPr>
            </w:pPr>
            <w:r>
              <w:rPr>
                <w:rFonts w:ascii="Arial" w:cs="Arial" w:eastAsia="Arial" w:hAnsi="Arial"/>
                <w:sz w:val="11"/>
                <w:szCs w:val="11"/>
                <w:b w:val="1"/>
                <w:bCs w:val="1"/>
                <w:color w:val="auto"/>
              </w:rPr>
              <w:t>Liability</w:t>
            </w:r>
          </w:p>
        </w:tc>
        <w:tc>
          <w:tcPr>
            <w:tcW w:w="500" w:type="dxa"/>
            <w:vAlign w:val="bottom"/>
          </w:tcPr>
          <w:p>
            <w:pPr>
              <w:spacing w:after="0"/>
              <w:rPr>
                <w:sz w:val="9"/>
                <w:szCs w:val="9"/>
                <w:color w:val="auto"/>
              </w:rPr>
            </w:pPr>
          </w:p>
        </w:tc>
        <w:tc>
          <w:tcPr>
            <w:tcW w:w="1180" w:type="dxa"/>
            <w:vAlign w:val="bottom"/>
            <w:gridSpan w:val="2"/>
          </w:tcPr>
          <w:p>
            <w:pPr>
              <w:jc w:val="center"/>
              <w:ind w:right="580"/>
              <w:spacing w:after="0" w:line="110" w:lineRule="exact"/>
              <w:rPr>
                <w:sz w:val="20"/>
                <w:szCs w:val="20"/>
                <w:color w:val="auto"/>
              </w:rPr>
            </w:pPr>
            <w:r>
              <w:rPr>
                <w:rFonts w:ascii="Arial" w:cs="Arial" w:eastAsia="Arial" w:hAnsi="Arial"/>
                <w:sz w:val="11"/>
                <w:szCs w:val="11"/>
                <w:b w:val="1"/>
                <w:bCs w:val="1"/>
                <w:color w:val="auto"/>
              </w:rPr>
              <w:t>Asset</w:t>
            </w:r>
          </w:p>
        </w:tc>
        <w:tc>
          <w:tcPr>
            <w:tcW w:w="300" w:type="dxa"/>
            <w:vAlign w:val="bottom"/>
          </w:tcPr>
          <w:p>
            <w:pPr>
              <w:spacing w:after="0"/>
              <w:rPr>
                <w:sz w:val="9"/>
                <w:szCs w:val="9"/>
                <w:color w:val="auto"/>
              </w:rPr>
            </w:pPr>
          </w:p>
        </w:tc>
        <w:tc>
          <w:tcPr>
            <w:tcW w:w="1280" w:type="dxa"/>
            <w:vAlign w:val="bottom"/>
          </w:tcPr>
          <w:p>
            <w:pPr>
              <w:jc w:val="right"/>
              <w:ind w:right="511"/>
              <w:spacing w:after="0" w:line="110" w:lineRule="exact"/>
              <w:rPr>
                <w:sz w:val="20"/>
                <w:szCs w:val="20"/>
                <w:color w:val="auto"/>
              </w:rPr>
            </w:pPr>
            <w:r>
              <w:rPr>
                <w:rFonts w:ascii="Arial" w:cs="Arial" w:eastAsia="Arial" w:hAnsi="Arial"/>
                <w:sz w:val="11"/>
                <w:szCs w:val="11"/>
                <w:b w:val="1"/>
                <w:bCs w:val="1"/>
                <w:color w:val="auto"/>
              </w:rPr>
              <w:t>Liability</w:t>
            </w:r>
          </w:p>
        </w:tc>
      </w:tr>
      <w:tr>
        <w:trPr>
          <w:trHeight w:val="150"/>
        </w:trPr>
        <w:tc>
          <w:tcPr>
            <w:tcW w:w="4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Derivatives</w:t>
            </w: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Derivatives</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1"/>
                <w:szCs w:val="11"/>
                <w:b w:val="1"/>
                <w:bCs w:val="1"/>
                <w:color w:val="auto"/>
              </w:rPr>
              <w:t>Derivatives</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Derivatives</w:t>
            </w:r>
          </w:p>
        </w:tc>
      </w:tr>
      <w:tr>
        <w:trPr>
          <w:trHeight w:val="151"/>
        </w:trPr>
        <w:tc>
          <w:tcPr>
            <w:tcW w:w="4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right"/>
              <w:ind w:right="148"/>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0"/>
        </w:trPr>
        <w:tc>
          <w:tcPr>
            <w:tcW w:w="468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Derivatives designated as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93"/>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accounting hedges: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Interest rate contracts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46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Net investment hedge derivative contracts </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r>
      <w:tr>
        <w:trPr>
          <w:trHeight w:val="173"/>
        </w:trPr>
        <w:tc>
          <w:tcPr>
            <w:tcW w:w="4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r>
      <w:tr>
        <w:trPr>
          <w:trHeight w:val="120"/>
        </w:trPr>
        <w:tc>
          <w:tcPr>
            <w:tcW w:w="46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Derivatives not designated as</w:t>
            </w: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93"/>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accounting hedges: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Currency exchange contracts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Interest rate contracts</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73"/>
        </w:trPr>
        <w:tc>
          <w:tcPr>
            <w:tcW w:w="46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73"/>
        </w:trPr>
        <w:tc>
          <w:tcPr>
            <w:tcW w:w="4680" w:type="dxa"/>
            <w:vAlign w:val="bottom"/>
          </w:tcPr>
          <w:p>
            <w:pPr>
              <w:ind w:left="100"/>
              <w:spacing w:after="0"/>
              <w:rPr>
                <w:sz w:val="20"/>
                <w:szCs w:val="20"/>
                <w:color w:val="auto"/>
              </w:rPr>
            </w:pPr>
            <w:r>
              <w:rPr>
                <w:rFonts w:ascii="Arial" w:cs="Arial" w:eastAsia="Arial" w:hAnsi="Arial"/>
                <w:sz w:val="14"/>
                <w:szCs w:val="14"/>
                <w:color w:val="auto"/>
              </w:rPr>
              <w:t>Total fair value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200" w:hanging="194"/>
        <w:spacing w:after="0" w:line="284" w:lineRule="auto"/>
        <w:tabs>
          <w:tab w:leader="none" w:pos="189" w:val="left"/>
        </w:tabs>
        <w:numPr>
          <w:ilvl w:val="0"/>
          <w:numId w:val="35"/>
        </w:numPr>
        <w:rPr>
          <w:rFonts w:ascii="Arial" w:cs="Arial" w:eastAsia="Arial" w:hAnsi="Arial"/>
          <w:sz w:val="11"/>
          <w:szCs w:val="11"/>
          <w:color w:val="auto"/>
        </w:rPr>
      </w:pPr>
      <w:r>
        <w:rPr>
          <w:rFonts w:ascii="Arial" w:cs="Arial" w:eastAsia="Arial" w:hAnsi="Arial"/>
          <w:sz w:val="11"/>
          <w:szCs w:val="11"/>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1"/>
          <w:szCs w:val="11"/>
          <w:i w:val="1"/>
          <w:iCs w:val="1"/>
          <w:color w:val="auto"/>
        </w:rPr>
        <w:t>Debt and Borrowing Arrangements</w:t>
      </w:r>
      <w:r>
        <w:rPr>
          <w:rFonts w:ascii="Arial" w:cs="Arial" w:eastAsia="Arial" w:hAnsi="Arial"/>
          <w:sz w:val="11"/>
          <w:szCs w:val="11"/>
          <w:color w:val="auto"/>
        </w:rPr>
        <w:t xml:space="preserve">. Both net investment hedge derivative contracts and non-U.S. dollar denominated debt acting as net investment hedges are also disclosed in the </w:t>
      </w:r>
      <w:r>
        <w:rPr>
          <w:rFonts w:ascii="Arial" w:cs="Arial" w:eastAsia="Arial" w:hAnsi="Arial"/>
          <w:sz w:val="11"/>
          <w:szCs w:val="11"/>
          <w:i w:val="1"/>
          <w:iCs w:val="1"/>
          <w:color w:val="auto"/>
        </w:rPr>
        <w:t>Derivative Volume</w:t>
      </w:r>
      <w:r>
        <w:rPr>
          <w:rFonts w:ascii="Arial" w:cs="Arial" w:eastAsia="Arial" w:hAnsi="Arial"/>
          <w:sz w:val="11"/>
          <w:szCs w:val="11"/>
          <w:color w:val="auto"/>
        </w:rPr>
        <w:t xml:space="preserve"> table and the </w:t>
      </w:r>
      <w:r>
        <w:rPr>
          <w:rFonts w:ascii="Arial" w:cs="Arial" w:eastAsia="Arial" w:hAnsi="Arial"/>
          <w:sz w:val="11"/>
          <w:szCs w:val="11"/>
          <w:i w:val="1"/>
          <w:iCs w:val="1"/>
          <w:color w:val="auto"/>
        </w:rPr>
        <w:t>Hedges of Net Investments in International Operations</w:t>
      </w:r>
      <w:r>
        <w:rPr>
          <w:rFonts w:ascii="Arial" w:cs="Arial" w:eastAsia="Arial" w:hAnsi="Arial"/>
          <w:sz w:val="11"/>
          <w:szCs w:val="11"/>
          <w:color w:val="auto"/>
        </w:rPr>
        <w:t xml:space="preserve"> section appearing later in this footnote.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We recorded the fair value of our derivative instruments in the consolidated balance sheet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As of December 31,</w:t>
            </w:r>
          </w:p>
        </w:tc>
        <w:tc>
          <w:tcPr>
            <w:tcW w:w="2240" w:type="dxa"/>
            <w:vAlign w:val="bottom"/>
            <w:tcBorders>
              <w:bottom w:val="single" w:sz="8" w:color="auto"/>
            </w:tcBorders>
          </w:tcPr>
          <w:p>
            <w:pPr>
              <w:spacing w:after="0"/>
              <w:rPr>
                <w:sz w:val="13"/>
                <w:szCs w:val="13"/>
                <w:color w:val="auto"/>
              </w:rPr>
            </w:pPr>
          </w:p>
        </w:tc>
      </w:tr>
      <w:tr>
        <w:trPr>
          <w:trHeight w:val="152"/>
        </w:trPr>
        <w:tc>
          <w:tcPr>
            <w:tcW w:w="4660" w:type="dxa"/>
            <w:vAlign w:val="bottom"/>
          </w:tcPr>
          <w:p>
            <w:pPr>
              <w:spacing w:after="0"/>
              <w:rPr>
                <w:sz w:val="13"/>
                <w:szCs w:val="13"/>
                <w:color w:val="auto"/>
              </w:rPr>
            </w:pPr>
          </w:p>
        </w:tc>
        <w:tc>
          <w:tcPr>
            <w:tcW w:w="222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2024</w:t>
            </w: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ind w:right="1411"/>
              <w:spacing w:after="0"/>
              <w:rPr>
                <w:sz w:val="20"/>
                <w:szCs w:val="20"/>
                <w:color w:val="auto"/>
              </w:rPr>
            </w:pPr>
            <w:r>
              <w:rPr>
                <w:rFonts w:ascii="Arial" w:cs="Arial" w:eastAsia="Arial" w:hAnsi="Arial"/>
                <w:sz w:val="11"/>
                <w:szCs w:val="11"/>
                <w:b w:val="1"/>
                <w:bCs w:val="1"/>
                <w:color w:val="auto"/>
              </w:rPr>
              <w:t>2023</w:t>
            </w:r>
          </w:p>
        </w:tc>
      </w:tr>
      <w:tr>
        <w:trPr>
          <w:trHeight w:val="152"/>
        </w:trPr>
        <w:tc>
          <w:tcPr>
            <w:tcW w:w="4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gridSpan w:val="2"/>
          </w:tcPr>
          <w:p>
            <w:pPr>
              <w:jc w:val="center"/>
              <w:spacing w:after="0"/>
              <w:rPr>
                <w:sz w:val="20"/>
                <w:szCs w:val="20"/>
                <w:color w:val="auto"/>
              </w:rPr>
            </w:pPr>
            <w:r>
              <w:rPr>
                <w:rFonts w:ascii="Arial" w:cs="Arial" w:eastAsia="Arial" w:hAnsi="Arial"/>
                <w:sz w:val="11"/>
                <w:szCs w:val="11"/>
                <w:b w:val="1"/>
                <w:bCs w:val="1"/>
                <w:color w:val="auto"/>
              </w:rPr>
              <w:t>(in millions)</w:t>
            </w:r>
          </w:p>
        </w:tc>
        <w:tc>
          <w:tcPr>
            <w:tcW w:w="2240" w:type="dxa"/>
            <w:vAlign w:val="bottom"/>
          </w:tcPr>
          <w:p>
            <w:pPr>
              <w:spacing w:after="0"/>
              <w:rPr>
                <w:sz w:val="13"/>
                <w:szCs w:val="13"/>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220" w:type="dxa"/>
            <w:vAlign w:val="bottom"/>
            <w:shd w:val="clear" w:color="auto" w:fill="CCEEFF"/>
          </w:tcPr>
          <w:p>
            <w:pPr>
              <w:jc w:val="right"/>
              <w:ind w:right="2076"/>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2,545</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2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354</w:t>
            </w:r>
          </w:p>
        </w:tc>
        <w:tc>
          <w:tcPr>
            <w:tcW w:w="104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1,641</w:t>
            </w:r>
          </w:p>
        </w:tc>
        <w:tc>
          <w:tcPr>
            <w:tcW w:w="104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r>
      <w:tr>
        <w:trPr>
          <w:trHeight w:val="190"/>
        </w:trPr>
        <w:tc>
          <w:tcPr>
            <w:tcW w:w="46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22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84</w:t>
            </w:r>
          </w:p>
        </w:tc>
        <w:tc>
          <w:tcPr>
            <w:tcW w:w="104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values (asset/(liability)) of our derivative instruments were determined using: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1"/>
                <w:szCs w:val="11"/>
                <w:b w:val="1"/>
                <w:bCs w:val="1"/>
                <w:color w:val="auto"/>
              </w:rPr>
              <w:t>As of December 31, 2024</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rPr>
              <w:t>Quoted Prices in</w:t>
            </w:r>
          </w:p>
        </w:tc>
        <w:tc>
          <w:tcPr>
            <w:tcW w:w="300" w:type="dxa"/>
            <w:vAlign w:val="bottom"/>
          </w:tcPr>
          <w:p>
            <w:pPr>
              <w:spacing w:after="0"/>
              <w:rPr>
                <w:sz w:val="9"/>
                <w:szCs w:val="9"/>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rPr>
              <w:t>Significant</w:t>
            </w:r>
          </w:p>
        </w:tc>
        <w:tc>
          <w:tcPr>
            <w:tcW w:w="200" w:type="dxa"/>
            <w:vAlign w:val="bottom"/>
          </w:tcPr>
          <w:p>
            <w:pPr>
              <w:spacing w:after="0"/>
              <w:rPr>
                <w:sz w:val="9"/>
                <w:szCs w:val="9"/>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07"/>
        </w:trPr>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Total</w:t>
            </w:r>
          </w:p>
        </w:tc>
        <w:tc>
          <w:tcPr>
            <w:tcW w:w="220" w:type="dxa"/>
            <w:vAlign w:val="bottom"/>
          </w:tcPr>
          <w:p>
            <w:pPr>
              <w:spacing w:after="0"/>
              <w:rPr>
                <w:sz w:val="9"/>
                <w:szCs w:val="9"/>
                <w:color w:val="auto"/>
              </w:rPr>
            </w:pPr>
          </w:p>
        </w:tc>
        <w:tc>
          <w:tcPr>
            <w:tcW w:w="1480" w:type="dxa"/>
            <w:vAlign w:val="bottom"/>
            <w:gridSpan w:val="2"/>
          </w:tcPr>
          <w:p>
            <w:pPr>
              <w:jc w:val="center"/>
              <w:ind w:right="320"/>
              <w:spacing w:after="0" w:line="107" w:lineRule="exact"/>
              <w:rPr>
                <w:sz w:val="20"/>
                <w:szCs w:val="20"/>
                <w:color w:val="auto"/>
              </w:rPr>
            </w:pPr>
            <w:r>
              <w:rPr>
                <w:rFonts w:ascii="Arial" w:cs="Arial" w:eastAsia="Arial" w:hAnsi="Arial"/>
                <w:sz w:val="11"/>
                <w:szCs w:val="11"/>
                <w:b w:val="1"/>
                <w:bCs w:val="1"/>
                <w:color w:val="auto"/>
              </w:rPr>
              <w:t>Active Markets</w:t>
            </w:r>
          </w:p>
        </w:tc>
        <w:tc>
          <w:tcPr>
            <w:tcW w:w="3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rPr>
              <w:t>for Identical</w:t>
            </w:r>
          </w:p>
        </w:tc>
        <w:tc>
          <w:tcPr>
            <w:tcW w:w="300" w:type="dxa"/>
            <w:vAlign w:val="bottom"/>
          </w:tcPr>
          <w:p>
            <w:pPr>
              <w:spacing w:after="0"/>
              <w:rPr>
                <w:sz w:val="10"/>
                <w:szCs w:val="10"/>
                <w:color w:val="auto"/>
              </w:rPr>
            </w:pPr>
          </w:p>
        </w:tc>
        <w:tc>
          <w:tcPr>
            <w:tcW w:w="150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rPr>
              <w:t>Other Observable</w:t>
            </w:r>
          </w:p>
        </w:tc>
        <w:tc>
          <w:tcPr>
            <w:tcW w:w="200" w:type="dxa"/>
            <w:vAlign w:val="bottom"/>
          </w:tcPr>
          <w:p>
            <w:pPr>
              <w:spacing w:after="0"/>
              <w:rPr>
                <w:sz w:val="10"/>
                <w:szCs w:val="10"/>
                <w:color w:val="auto"/>
              </w:rPr>
            </w:pPr>
          </w:p>
        </w:tc>
        <w:tc>
          <w:tcPr>
            <w:tcW w:w="1220" w:type="dxa"/>
            <w:vAlign w:val="bottom"/>
          </w:tcPr>
          <w:p>
            <w:pPr>
              <w:jc w:val="center"/>
              <w:ind w:right="155"/>
              <w:spacing w:after="0" w:line="119"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Fair Value of Net</w:t>
            </w:r>
          </w:p>
        </w:tc>
        <w:tc>
          <w:tcPr>
            <w:tcW w:w="220" w:type="dxa"/>
            <w:vAlign w:val="bottom"/>
          </w:tcPr>
          <w:p>
            <w:pPr>
              <w:spacing w:after="0"/>
              <w:rPr>
                <w:sz w:val="10"/>
                <w:szCs w:val="10"/>
                <w:color w:val="auto"/>
              </w:rPr>
            </w:pPr>
          </w:p>
        </w:tc>
        <w:tc>
          <w:tcPr>
            <w:tcW w:w="14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9"/>
              </w:rPr>
              <w:t>Assets</w:t>
            </w:r>
          </w:p>
        </w:tc>
        <w:tc>
          <w:tcPr>
            <w:tcW w:w="30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rPr>
              <w:t>Inputs</w:t>
            </w:r>
          </w:p>
        </w:tc>
        <w:tc>
          <w:tcPr>
            <w:tcW w:w="200" w:type="dxa"/>
            <w:vAlign w:val="bottom"/>
          </w:tcPr>
          <w:p>
            <w:pPr>
              <w:spacing w:after="0"/>
              <w:rPr>
                <w:sz w:val="10"/>
                <w:szCs w:val="10"/>
                <w:color w:val="auto"/>
              </w:rPr>
            </w:pPr>
          </w:p>
        </w:tc>
        <w:tc>
          <w:tcPr>
            <w:tcW w:w="122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Asset/(Liability)</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left="957"/>
              <w:spacing w:after="0"/>
              <w:rPr>
                <w:sz w:val="20"/>
                <w:szCs w:val="20"/>
                <w:color w:val="auto"/>
              </w:rPr>
            </w:pPr>
            <w:r>
              <w:rPr>
                <w:rFonts w:ascii="Arial" w:cs="Arial" w:eastAsia="Arial" w:hAnsi="Arial"/>
                <w:sz w:val="11"/>
                <w:szCs w:val="11"/>
                <w:b w:val="1"/>
                <w:bCs w:val="1"/>
                <w:color w:val="auto"/>
              </w:rPr>
              <w:t>(in millions)</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exchange contracts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Net investment hedge contracts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derivatives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1"/>
                <w:szCs w:val="11"/>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rPr>
              <w:t>Quoted Prices in</w:t>
            </w:r>
          </w:p>
        </w:tc>
        <w:tc>
          <w:tcPr>
            <w:tcW w:w="300" w:type="dxa"/>
            <w:vAlign w:val="bottom"/>
          </w:tcPr>
          <w:p>
            <w:pPr>
              <w:spacing w:after="0"/>
              <w:rPr>
                <w:sz w:val="9"/>
                <w:szCs w:val="9"/>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rPr>
              <w:t>Significant</w:t>
            </w:r>
          </w:p>
        </w:tc>
        <w:tc>
          <w:tcPr>
            <w:tcW w:w="200" w:type="dxa"/>
            <w:vAlign w:val="bottom"/>
          </w:tcPr>
          <w:p>
            <w:pPr>
              <w:spacing w:after="0"/>
              <w:rPr>
                <w:sz w:val="9"/>
                <w:szCs w:val="9"/>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07"/>
        </w:trPr>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Total</w:t>
            </w:r>
          </w:p>
        </w:tc>
        <w:tc>
          <w:tcPr>
            <w:tcW w:w="220" w:type="dxa"/>
            <w:vAlign w:val="bottom"/>
          </w:tcPr>
          <w:p>
            <w:pPr>
              <w:spacing w:after="0"/>
              <w:rPr>
                <w:sz w:val="9"/>
                <w:szCs w:val="9"/>
                <w:color w:val="auto"/>
              </w:rPr>
            </w:pPr>
          </w:p>
        </w:tc>
        <w:tc>
          <w:tcPr>
            <w:tcW w:w="1480" w:type="dxa"/>
            <w:vAlign w:val="bottom"/>
            <w:gridSpan w:val="2"/>
          </w:tcPr>
          <w:p>
            <w:pPr>
              <w:jc w:val="center"/>
              <w:ind w:right="320"/>
              <w:spacing w:after="0" w:line="107" w:lineRule="exact"/>
              <w:rPr>
                <w:sz w:val="20"/>
                <w:szCs w:val="20"/>
                <w:color w:val="auto"/>
              </w:rPr>
            </w:pPr>
            <w:r>
              <w:rPr>
                <w:rFonts w:ascii="Arial" w:cs="Arial" w:eastAsia="Arial" w:hAnsi="Arial"/>
                <w:sz w:val="11"/>
                <w:szCs w:val="11"/>
                <w:b w:val="1"/>
                <w:bCs w:val="1"/>
                <w:color w:val="auto"/>
              </w:rPr>
              <w:t>Active Markets</w:t>
            </w:r>
          </w:p>
        </w:tc>
        <w:tc>
          <w:tcPr>
            <w:tcW w:w="3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rPr>
              <w:t>for Identical</w:t>
            </w:r>
          </w:p>
        </w:tc>
        <w:tc>
          <w:tcPr>
            <w:tcW w:w="300" w:type="dxa"/>
            <w:vAlign w:val="bottom"/>
          </w:tcPr>
          <w:p>
            <w:pPr>
              <w:spacing w:after="0"/>
              <w:rPr>
                <w:sz w:val="10"/>
                <w:szCs w:val="10"/>
                <w:color w:val="auto"/>
              </w:rPr>
            </w:pPr>
          </w:p>
        </w:tc>
        <w:tc>
          <w:tcPr>
            <w:tcW w:w="150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rPr>
              <w:t>Other Observable</w:t>
            </w:r>
          </w:p>
        </w:tc>
        <w:tc>
          <w:tcPr>
            <w:tcW w:w="200" w:type="dxa"/>
            <w:vAlign w:val="bottom"/>
          </w:tcPr>
          <w:p>
            <w:pPr>
              <w:spacing w:after="0"/>
              <w:rPr>
                <w:sz w:val="10"/>
                <w:szCs w:val="10"/>
                <w:color w:val="auto"/>
              </w:rPr>
            </w:pPr>
          </w:p>
        </w:tc>
        <w:tc>
          <w:tcPr>
            <w:tcW w:w="1220" w:type="dxa"/>
            <w:vAlign w:val="bottom"/>
          </w:tcPr>
          <w:p>
            <w:pPr>
              <w:jc w:val="center"/>
              <w:ind w:right="155"/>
              <w:spacing w:after="0" w:line="119"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Fair Value of Net</w:t>
            </w:r>
          </w:p>
        </w:tc>
        <w:tc>
          <w:tcPr>
            <w:tcW w:w="220" w:type="dxa"/>
            <w:vAlign w:val="bottom"/>
          </w:tcPr>
          <w:p>
            <w:pPr>
              <w:spacing w:after="0"/>
              <w:rPr>
                <w:sz w:val="10"/>
                <w:szCs w:val="10"/>
                <w:color w:val="auto"/>
              </w:rPr>
            </w:pPr>
          </w:p>
        </w:tc>
        <w:tc>
          <w:tcPr>
            <w:tcW w:w="14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9"/>
              </w:rPr>
              <w:t>Assets</w:t>
            </w:r>
          </w:p>
        </w:tc>
        <w:tc>
          <w:tcPr>
            <w:tcW w:w="30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rPr>
              <w:t>Inputs</w:t>
            </w:r>
          </w:p>
        </w:tc>
        <w:tc>
          <w:tcPr>
            <w:tcW w:w="200" w:type="dxa"/>
            <w:vAlign w:val="bottom"/>
          </w:tcPr>
          <w:p>
            <w:pPr>
              <w:spacing w:after="0"/>
              <w:rPr>
                <w:sz w:val="10"/>
                <w:szCs w:val="10"/>
                <w:color w:val="auto"/>
              </w:rPr>
            </w:pPr>
          </w:p>
        </w:tc>
        <w:tc>
          <w:tcPr>
            <w:tcW w:w="122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Asset/(Liability)</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left="957"/>
              <w:spacing w:after="0"/>
              <w:rPr>
                <w:sz w:val="20"/>
                <w:szCs w:val="20"/>
                <w:color w:val="auto"/>
              </w:rPr>
            </w:pPr>
            <w:r>
              <w:rPr>
                <w:rFonts w:ascii="Arial" w:cs="Arial" w:eastAsia="Arial" w:hAnsi="Arial"/>
                <w:sz w:val="11"/>
                <w:szCs w:val="11"/>
                <w:b w:val="1"/>
                <w:bCs w:val="1"/>
                <w:color w:val="auto"/>
              </w:rPr>
              <w:t>(in millions)</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exchange contracts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Net investment hedge contracts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derivatives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Level 1 financial assets and liabilities consist of exchange-traded commodity futures and listed options. The fair value of these instruments is determined based on quoted market prices on commodity exchanges.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Derivative Volume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gross notional values of our derivative instruments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Notional Amount</w:t>
            </w:r>
          </w:p>
        </w:tc>
        <w:tc>
          <w:tcPr>
            <w:tcW w:w="1160" w:type="dxa"/>
            <w:vAlign w:val="bottom"/>
            <w:tcBorders>
              <w:bottom w:val="single" w:sz="8" w:color="auto"/>
            </w:tcBorders>
          </w:tcPr>
          <w:p>
            <w:pPr>
              <w:spacing w:after="0"/>
              <w:rPr>
                <w:sz w:val="13"/>
                <w:szCs w:val="13"/>
                <w:color w:val="auto"/>
              </w:rPr>
            </w:pPr>
          </w:p>
        </w:tc>
      </w:tr>
      <w:tr>
        <w:trPr>
          <w:trHeight w:val="163"/>
        </w:trPr>
        <w:tc>
          <w:tcPr>
            <w:tcW w:w="75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As of December 31,</w:t>
            </w:r>
          </w:p>
        </w:tc>
        <w:tc>
          <w:tcPr>
            <w:tcW w:w="1160" w:type="dxa"/>
            <w:vAlign w:val="bottom"/>
            <w:tcBorders>
              <w:bottom w:val="single" w:sz="8" w:color="auto"/>
            </w:tcBorders>
          </w:tcPr>
          <w:p>
            <w:pPr>
              <w:spacing w:after="0"/>
              <w:rPr>
                <w:sz w:val="14"/>
                <w:szCs w:val="14"/>
                <w:color w:val="auto"/>
              </w:rPr>
            </w:pPr>
          </w:p>
        </w:tc>
      </w:tr>
      <w:tr>
        <w:trPr>
          <w:trHeight w:val="163"/>
        </w:trPr>
        <w:tc>
          <w:tcPr>
            <w:tcW w:w="7560" w:type="dxa"/>
            <w:vAlign w:val="bottom"/>
          </w:tcPr>
          <w:p>
            <w:pPr>
              <w:spacing w:after="0"/>
              <w:rPr>
                <w:sz w:val="14"/>
                <w:szCs w:val="14"/>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2024</w:t>
            </w: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2023</w:t>
            </w:r>
          </w:p>
        </w:tc>
      </w:tr>
      <w:tr>
        <w:trPr>
          <w:trHeight w:val="163"/>
        </w:trPr>
        <w:tc>
          <w:tcPr>
            <w:tcW w:w="7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4"/>
                <w:szCs w:val="14"/>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exchange contracts: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3"/>
        </w:trPr>
        <w:tc>
          <w:tcPr>
            <w:tcW w:w="7560" w:type="dxa"/>
            <w:vAlign w:val="bottom"/>
          </w:tcPr>
          <w:p>
            <w:pPr>
              <w:ind w:left="180"/>
              <w:spacing w:after="0"/>
              <w:rPr>
                <w:sz w:val="20"/>
                <w:szCs w:val="20"/>
                <w:color w:val="auto"/>
              </w:rPr>
            </w:pPr>
            <w:r>
              <w:rPr>
                <w:rFonts w:ascii="Arial" w:cs="Arial" w:eastAsia="Arial" w:hAnsi="Arial"/>
                <w:sz w:val="14"/>
                <w:szCs w:val="14"/>
                <w:color w:val="auto"/>
              </w:rPr>
              <w:t>Intercompany loans and forecasted interest payments</w:t>
            </w:r>
          </w:p>
        </w:tc>
        <w:tc>
          <w:tcPr>
            <w:tcW w:w="1160" w:type="dxa"/>
            <w:vAlign w:val="bottom"/>
          </w:tcPr>
          <w:p>
            <w:pPr>
              <w:jc w:val="right"/>
              <w:ind w:right="1016"/>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4,406</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2,860</w:t>
            </w: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Forecasted transactions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9,132</w:t>
            </w: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16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16,210</w:t>
            </w:r>
          </w:p>
        </w:tc>
        <w:tc>
          <w:tcPr>
            <w:tcW w:w="7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16,631</w:t>
            </w: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5,336</w:t>
            </w: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color w:val="auto"/>
              </w:rPr>
              <w:t>Net investment hedges:</w:t>
            </w: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investment hedge derivative contracts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8,647</w:t>
            </w: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7,456</w:t>
            </w:r>
          </w:p>
        </w:tc>
      </w:tr>
      <w:tr>
        <w:trPr>
          <w:trHeight w:val="183"/>
        </w:trPr>
        <w:tc>
          <w:tcPr>
            <w:tcW w:w="7560" w:type="dxa"/>
            <w:vAlign w:val="bottom"/>
          </w:tcPr>
          <w:p>
            <w:pPr>
              <w:ind w:left="180"/>
              <w:spacing w:after="0"/>
              <w:rPr>
                <w:sz w:val="20"/>
                <w:szCs w:val="20"/>
                <w:color w:val="auto"/>
              </w:rPr>
            </w:pPr>
            <w:r>
              <w:rPr>
                <w:rFonts w:ascii="Arial" w:cs="Arial" w:eastAsia="Arial" w:hAnsi="Arial"/>
                <w:sz w:val="14"/>
                <w:szCs w:val="14"/>
                <w:color w:val="auto"/>
              </w:rPr>
              <w:t>Non-U.S. dollar debt designated as net investment hedges:</w:t>
            </w: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Euro notes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3,298</w:t>
            </w: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r>
      <w:tr>
        <w:trPr>
          <w:trHeight w:val="183"/>
        </w:trPr>
        <w:tc>
          <w:tcPr>
            <w:tcW w:w="7560" w:type="dxa"/>
            <w:vAlign w:val="bottom"/>
          </w:tcPr>
          <w:p>
            <w:pPr>
              <w:ind w:left="340"/>
              <w:spacing w:after="0"/>
              <w:rPr>
                <w:sz w:val="20"/>
                <w:szCs w:val="20"/>
                <w:color w:val="auto"/>
              </w:rPr>
            </w:pPr>
            <w:r>
              <w:rPr>
                <w:rFonts w:ascii="Arial" w:cs="Arial" w:eastAsia="Arial" w:hAnsi="Arial"/>
                <w:sz w:val="14"/>
                <w:szCs w:val="14"/>
                <w:color w:val="auto"/>
              </w:rPr>
              <w:t>Swiss franc notes</w:t>
            </w:r>
          </w:p>
        </w:tc>
        <w:tc>
          <w:tcPr>
            <w:tcW w:w="116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220</w:t>
            </w:r>
          </w:p>
        </w:tc>
        <w:tc>
          <w:tcPr>
            <w:tcW w:w="7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386</w:t>
            </w:r>
          </w:p>
        </w:tc>
      </w:tr>
      <w:tr>
        <w:trPr>
          <w:trHeight w:val="183"/>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Canadian dollar notes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869</w:t>
            </w: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Hedges</w:t>
      </w:r>
    </w:p>
    <w:p>
      <w:pPr>
        <w:spacing w:after="0" w:line="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Cash flow hedge activity, net of taxes, is recorded within accumulated other comprehensive earnings/(losses). Refer to Note 15, </w:t>
      </w:r>
      <w:r>
        <w:rPr>
          <w:rFonts w:ascii="Arial" w:cs="Arial" w:eastAsia="Arial" w:hAnsi="Arial"/>
          <w:sz w:val="14"/>
          <w:szCs w:val="14"/>
          <w:i w:val="1"/>
          <w:iCs w:val="1"/>
          <w:color w:val="auto"/>
        </w:rPr>
        <w:t>Reclassifications from Accumulated 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Comprehensive Income </w:t>
      </w:r>
      <w:r>
        <w:rPr>
          <w:rFonts w:ascii="Arial" w:cs="Arial" w:eastAsia="Arial" w:hAnsi="Arial"/>
          <w:sz w:val="14"/>
          <w:szCs w:val="14"/>
          <w:color w:val="auto"/>
        </w:rPr>
        <w:t>for further information on current period activity. Based on current market conditions, we would expect to transfer losses of $31 million (net of taxes) for</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rate cash flow hedges to earnings during the next 12 months.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 Hedge Coverage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our longest dated cash flow hedges were interest rate swaps that hedge forecasted interest rate payments over the next 4 years.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Hedges of Net Investments in International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investment hedge (“NIH”) derivative contracts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enter into cross-currency interest rate swaps, forwards and options to hedge certain investments in our non-U.S. operations against movements in exchange rates. As of December 31, 2024, the aggregate notional value of these NIH derivative contracts was $8.6 billion and their impact on other comprehensive earnings and net earnings during the years presented below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2"/>
        </w:trPr>
        <w:tc>
          <w:tcPr>
            <w:tcW w:w="5980" w:type="dxa"/>
            <w:vAlign w:val="bottom"/>
          </w:tcPr>
          <w:p>
            <w:pPr>
              <w:spacing w:after="0"/>
              <w:rPr>
                <w:sz w:val="13"/>
                <w:szCs w:val="1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338"/>
              <w:spacing w:after="0"/>
              <w:rPr>
                <w:sz w:val="20"/>
                <w:szCs w:val="20"/>
                <w:color w:val="auto"/>
              </w:rPr>
            </w:pPr>
            <w:r>
              <w:rPr>
                <w:rFonts w:ascii="Arial" w:cs="Arial" w:eastAsia="Arial" w:hAnsi="Arial"/>
                <w:sz w:val="11"/>
                <w:szCs w:val="11"/>
                <w:b w:val="1"/>
                <w:bCs w:val="1"/>
                <w:color w:val="auto"/>
                <w:w w:val="97"/>
              </w:rPr>
              <w:t>2023</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1"/>
                <w:szCs w:val="11"/>
                <w:b w:val="1"/>
                <w:bCs w:val="1"/>
                <w:color w:val="auto"/>
              </w:rPr>
              <w:t>2022</w:t>
            </w:r>
          </w:p>
        </w:tc>
      </w:tr>
      <w:tr>
        <w:trPr>
          <w:trHeight w:val="152"/>
        </w:trPr>
        <w:tc>
          <w:tcPr>
            <w:tcW w:w="5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center"/>
              <w:ind w:right="33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598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After-tax gain/(loss) on NIH contracts </w:t>
            </w:r>
            <w:r>
              <w:rPr>
                <w:rFonts w:ascii="Arial" w:cs="Arial" w:eastAsia="Arial" w:hAnsi="Arial"/>
                <w:sz w:val="18"/>
                <w:szCs w:val="18"/>
                <w:color w:val="auto"/>
                <w:vertAlign w:val="superscript"/>
              </w:rPr>
              <w:t>(1)</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440" w:type="dxa"/>
            <w:vAlign w:val="bottom"/>
            <w:shd w:val="clear" w:color="auto" w:fill="CCEEFF"/>
          </w:tcPr>
          <w:p>
            <w:pPr>
              <w:jc w:val="right"/>
              <w:ind w:right="156"/>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(185)</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r>
    </w:tbl>
    <w:p>
      <w:pPr>
        <w:spacing w:after="0" w:line="262" w:lineRule="exact"/>
        <w:rPr>
          <w:sz w:val="20"/>
          <w:szCs w:val="20"/>
          <w:color w:val="auto"/>
        </w:rPr>
      </w:pPr>
    </w:p>
    <w:p>
      <w:pPr>
        <w:ind w:left="200" w:hanging="194"/>
        <w:spacing w:after="0" w:line="288" w:lineRule="auto"/>
        <w:tabs>
          <w:tab w:leader="none" w:pos="189" w:val="left"/>
        </w:tabs>
        <w:numPr>
          <w:ilvl w:val="0"/>
          <w:numId w:val="36"/>
        </w:numPr>
        <w:rPr>
          <w:rFonts w:ascii="Arial" w:cs="Arial" w:eastAsia="Arial" w:hAnsi="Arial"/>
          <w:sz w:val="11"/>
          <w:szCs w:val="11"/>
          <w:color w:val="auto"/>
        </w:rPr>
      </w:pPr>
      <w:r>
        <w:rPr>
          <w:rFonts w:ascii="Arial" w:cs="Arial" w:eastAsia="Arial" w:hAnsi="Arial"/>
          <w:sz w:val="11"/>
          <w:szCs w:val="11"/>
          <w:color w:val="auto"/>
        </w:rPr>
        <w:t xml:space="preserve">Amounts recorded for unsettled and settled NIH derivative contracts are recorded in the </w:t>
      </w:r>
      <w:r>
        <w:rPr>
          <w:rFonts w:ascii="Arial" w:cs="Arial" w:eastAsia="Arial" w:hAnsi="Arial"/>
          <w:sz w:val="11"/>
          <w:szCs w:val="11"/>
          <w:i w:val="1"/>
          <w:iCs w:val="1"/>
          <w:color w:val="auto"/>
        </w:rPr>
        <w:t>cumulative translation adjustment</w:t>
      </w:r>
      <w:r>
        <w:rPr>
          <w:rFonts w:ascii="Arial" w:cs="Arial" w:eastAsia="Arial" w:hAnsi="Arial"/>
          <w:sz w:val="11"/>
          <w:szCs w:val="11"/>
          <w:color w:val="auto"/>
        </w:rPr>
        <w:t xml:space="preserve"> within other comprehensive earnings. The cash flows from the settled contracts are reported within </w:t>
      </w:r>
      <w:r>
        <w:rPr>
          <w:rFonts w:ascii="Arial" w:cs="Arial" w:eastAsia="Arial" w:hAnsi="Arial"/>
          <w:sz w:val="11"/>
          <w:szCs w:val="11"/>
          <w:i w:val="1"/>
          <w:iCs w:val="1"/>
          <w:color w:val="auto"/>
        </w:rPr>
        <w:t>proceeds from derivative settlements</w:t>
      </w:r>
      <w:r>
        <w:rPr>
          <w:rFonts w:ascii="Arial" w:cs="Arial" w:eastAsia="Arial" w:hAnsi="Arial"/>
          <w:sz w:val="11"/>
          <w:szCs w:val="11"/>
          <w:color w:val="auto"/>
        </w:rPr>
        <w:t xml:space="preserve"> and </w:t>
      </w:r>
      <w:r>
        <w:rPr>
          <w:rFonts w:ascii="Arial" w:cs="Arial" w:eastAsia="Arial" w:hAnsi="Arial"/>
          <w:sz w:val="11"/>
          <w:szCs w:val="11"/>
          <w:i w:val="1"/>
          <w:iCs w:val="1"/>
          <w:color w:val="auto"/>
        </w:rPr>
        <w:t>payments for derivative settlements</w:t>
      </w:r>
      <w:r>
        <w:rPr>
          <w:rFonts w:ascii="Arial" w:cs="Arial" w:eastAsia="Arial" w:hAnsi="Arial"/>
          <w:sz w:val="11"/>
          <w:szCs w:val="11"/>
          <w:color w:val="auto"/>
        </w:rPr>
        <w:t xml:space="preserve"> in the consolidated statement of cash flows.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338"/>
              <w:spacing w:after="0"/>
              <w:rPr>
                <w:sz w:val="20"/>
                <w:szCs w:val="20"/>
                <w:color w:val="auto"/>
              </w:rPr>
            </w:pPr>
            <w:r>
              <w:rPr>
                <w:rFonts w:ascii="Arial" w:cs="Arial" w:eastAsia="Arial" w:hAnsi="Arial"/>
                <w:sz w:val="11"/>
                <w:szCs w:val="11"/>
                <w:b w:val="1"/>
                <w:bCs w:val="1"/>
                <w:color w:val="auto"/>
                <w:w w:val="97"/>
              </w:rPr>
              <w:t>2023</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center"/>
              <w:ind w:right="338"/>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8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Amounts excluded from the assessment of</w:t>
            </w:r>
          </w:p>
        </w:tc>
        <w:tc>
          <w:tcPr>
            <w:tcW w:w="1180" w:type="dxa"/>
            <w:vAlign w:val="bottom"/>
            <w:vMerge w:val="restart"/>
            <w:shd w:val="clear" w:color="auto" w:fill="CCEEFF"/>
          </w:tcPr>
          <w:p>
            <w:pPr>
              <w:jc w:val="right"/>
              <w:ind w:right="1016"/>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440" w:type="dxa"/>
            <w:vAlign w:val="bottom"/>
            <w:vMerge w:val="restart"/>
            <w:shd w:val="clear" w:color="auto" w:fill="CCEEFF"/>
          </w:tcPr>
          <w:p>
            <w:pPr>
              <w:jc w:val="right"/>
              <w:ind w:right="156"/>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98"/>
              <w:spacing w:after="0"/>
              <w:rPr>
                <w:sz w:val="20"/>
                <w:szCs w:val="20"/>
                <w:color w:val="auto"/>
              </w:rPr>
            </w:pPr>
            <w:r>
              <w:rPr>
                <w:rFonts w:ascii="Arial" w:cs="Arial" w:eastAsia="Arial" w:hAnsi="Arial"/>
                <w:sz w:val="14"/>
                <w:szCs w:val="14"/>
                <w:color w:val="auto"/>
              </w:rPr>
              <w:t>148</w:t>
            </w: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3"/>
        </w:trPr>
        <w:tc>
          <w:tcPr>
            <w:tcW w:w="5980" w:type="dxa"/>
            <w:vAlign w:val="bottom"/>
            <w:shd w:val="clear" w:color="auto" w:fill="CCEEFF"/>
          </w:tcPr>
          <w:p>
            <w:pPr>
              <w:ind w:left="140"/>
              <w:spacing w:after="0" w:line="194" w:lineRule="exact"/>
              <w:rPr>
                <w:sz w:val="20"/>
                <w:szCs w:val="20"/>
                <w:color w:val="auto"/>
              </w:rPr>
            </w:pPr>
            <w:r>
              <w:rPr>
                <w:rFonts w:ascii="Arial" w:cs="Arial" w:eastAsia="Arial" w:hAnsi="Arial"/>
                <w:sz w:val="14"/>
                <w:szCs w:val="14"/>
                <w:color w:val="auto"/>
              </w:rPr>
              <w:t xml:space="preserve">hedge effectiveness </w:t>
            </w:r>
            <w:r>
              <w:rPr>
                <w:rFonts w:ascii="Arial" w:cs="Arial" w:eastAsia="Arial" w:hAnsi="Arial"/>
                <w:sz w:val="18"/>
                <w:szCs w:val="18"/>
                <w:color w:val="auto"/>
                <w:vertAlign w:val="superscript"/>
              </w:rPr>
              <w:t>(1)</w:t>
            </w:r>
          </w:p>
        </w:tc>
        <w:tc>
          <w:tcPr>
            <w:tcW w:w="118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(1) We elected to record changes in the fair value of amounts excluded from the assessment of effectiveness in net earnings within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Non-U.S. dollar debt designated as net investment hedges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After-tax gains/(losses) related to hedges of net investments in international operations were recorded within the cumulative translation adjustment section of other comprehensive income and were: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4"/>
          </w:tcPr>
          <w:p>
            <w:pPr>
              <w:jc w:val="right"/>
              <w:ind w:right="156"/>
              <w:spacing w:after="0"/>
              <w:rPr>
                <w:sz w:val="20"/>
                <w:szCs w:val="20"/>
                <w:color w:val="auto"/>
              </w:rPr>
            </w:pPr>
            <w:r>
              <w:rPr>
                <w:rFonts w:ascii="Arial" w:cs="Arial" w:eastAsia="Arial" w:hAnsi="Arial"/>
                <w:sz w:val="11"/>
                <w:szCs w:val="11"/>
                <w:b w:val="1"/>
                <w:bCs w:val="1"/>
                <w:color w:val="auto"/>
              </w:rPr>
              <w:t>2024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840"/>
              <w:spacing w:after="0"/>
              <w:rPr>
                <w:sz w:val="20"/>
                <w:szCs w:val="20"/>
                <w:color w:val="auto"/>
              </w:rPr>
            </w:pPr>
            <w:r>
              <w:rPr>
                <w:rFonts w:ascii="Arial" w:cs="Arial" w:eastAsia="Arial" w:hAnsi="Arial"/>
                <w:sz w:val="11"/>
                <w:szCs w:val="11"/>
                <w:b w:val="1"/>
                <w:bCs w:val="1"/>
                <w:color w:val="auto"/>
              </w:rPr>
              <w:t>2023</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639"/>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640"/>
              <w:spacing w:after="0"/>
              <w:rPr>
                <w:sz w:val="20"/>
                <w:szCs w:val="20"/>
                <w:color w:val="auto"/>
              </w:rPr>
            </w:pPr>
            <w:r>
              <w:rPr>
                <w:rFonts w:ascii="Arial" w:cs="Arial" w:eastAsia="Arial" w:hAnsi="Arial"/>
                <w:sz w:val="11"/>
                <w:szCs w:val="11"/>
                <w:b w:val="1"/>
                <w:bCs w:val="1"/>
                <w:color w:val="auto"/>
              </w:rPr>
              <w:t>(in millions)</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 notes</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036"/>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167</w:t>
            </w:r>
          </w:p>
        </w:tc>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4"/>
                <w:szCs w:val="14"/>
                <w:color w:val="auto"/>
                <w:w w:val="96"/>
              </w:rPr>
              <w:t>(81)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color w:val="auto"/>
              </w:rPr>
              <w:t>British pound sterling notes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jc w:val="right"/>
              <w:ind w:right="10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Swiss franc notes</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4"/>
                <w:szCs w:val="14"/>
                <w:color w:val="auto"/>
                <w:w w:val="96"/>
              </w:rPr>
              <w:t>(41)</w:t>
            </w: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Canadian notes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gridSpan w:val="3"/>
          </w:tcPr>
          <w:p>
            <w:pPr>
              <w:jc w:val="right"/>
              <w:ind w:right="63"/>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320" w:type="dxa"/>
            <w:vAlign w:val="bottom"/>
          </w:tcPr>
          <w:p>
            <w:pPr>
              <w:spacing w:after="0"/>
              <w:rPr>
                <w:sz w:val="20"/>
                <w:szCs w:val="20"/>
                <w:color w:val="auto"/>
              </w:rPr>
            </w:pPr>
            <w:r>
              <w:rPr>
                <w:rFonts w:ascii="Arial" w:cs="Arial" w:eastAsia="Arial" w:hAnsi="Arial"/>
                <w:sz w:val="14"/>
                <w:szCs w:val="14"/>
                <w:b w:val="1"/>
                <w:bCs w:val="1"/>
                <w:color w:val="auto"/>
              </w:rPr>
              <w:t>Economic Hedges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360" w:type="dxa"/>
            <w:vAlign w:val="bottom"/>
            <w:gridSpan w:val="2"/>
          </w:tcPr>
          <w:p>
            <w:pPr>
              <w:spacing w:after="0"/>
              <w:rPr>
                <w:sz w:val="20"/>
                <w:szCs w:val="20"/>
                <w:color w:val="auto"/>
              </w:rPr>
            </w:pPr>
            <w:r>
              <w:rPr>
                <w:rFonts w:ascii="Arial" w:cs="Arial" w:eastAsia="Arial" w:hAnsi="Arial"/>
                <w:sz w:val="14"/>
                <w:szCs w:val="14"/>
                <w:color w:val="auto"/>
              </w:rPr>
              <w:t>Pre-tax gains/(losses) recorded in net earnings for economic hedges were:</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7"/>
          </w:tcPr>
          <w:p>
            <w:pPr>
              <w:jc w:val="center"/>
              <w:ind w:right="1057"/>
              <w:spacing w:after="0"/>
              <w:rPr>
                <w:sz w:val="20"/>
                <w:szCs w:val="20"/>
                <w:color w:val="auto"/>
              </w:rPr>
            </w:pPr>
            <w:r>
              <w:rPr>
                <w:rFonts w:ascii="Arial" w:cs="Arial" w:eastAsia="Arial" w:hAnsi="Arial"/>
                <w:sz w:val="11"/>
                <w:szCs w:val="11"/>
                <w:b w:val="1"/>
                <w:bCs w:val="1"/>
                <w:color w:val="auto"/>
              </w:rPr>
              <w:t>For the Years Ended December 31,</w:t>
            </w:r>
          </w:p>
        </w:tc>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Recognized</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Arial" w:cs="Arial" w:eastAsia="Arial" w:hAnsi="Arial"/>
                <w:sz w:val="11"/>
                <w:szCs w:val="11"/>
                <w:b w:val="1"/>
                <w:bCs w:val="1"/>
                <w:color w:val="auto"/>
              </w:rPr>
              <w:t>2024</w:t>
            </w:r>
          </w:p>
        </w:tc>
        <w:tc>
          <w:tcPr>
            <w:tcW w:w="480" w:type="dxa"/>
            <w:vAlign w:val="bottom"/>
          </w:tcPr>
          <w:p>
            <w:pPr>
              <w:spacing w:after="0"/>
              <w:rPr>
                <w:sz w:val="14"/>
                <w:szCs w:val="14"/>
                <w:color w:val="auto"/>
              </w:rPr>
            </w:pPr>
          </w:p>
        </w:tc>
        <w:tc>
          <w:tcPr>
            <w:tcW w:w="1340" w:type="dxa"/>
            <w:vAlign w:val="bottom"/>
            <w:gridSpan w:val="4"/>
          </w:tcPr>
          <w:p>
            <w:pPr>
              <w:jc w:val="center"/>
              <w:ind w:left="457"/>
              <w:spacing w:after="0"/>
              <w:rPr>
                <w:sz w:val="20"/>
                <w:szCs w:val="20"/>
                <w:color w:val="auto"/>
              </w:rPr>
            </w:pPr>
            <w:r>
              <w:rPr>
                <w:rFonts w:ascii="Arial" w:cs="Arial" w:eastAsia="Arial" w:hAnsi="Arial"/>
                <w:sz w:val="11"/>
                <w:szCs w:val="11"/>
                <w:b w:val="1"/>
                <w:bCs w:val="1"/>
                <w:color w:val="auto"/>
              </w:rPr>
              <w:t>2023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640"/>
              <w:spacing w:after="0"/>
              <w:rPr>
                <w:sz w:val="20"/>
                <w:szCs w:val="20"/>
                <w:color w:val="auto"/>
              </w:rPr>
            </w:pPr>
            <w:r>
              <w:rPr>
                <w:rFonts w:ascii="Arial" w:cs="Arial" w:eastAsia="Arial" w:hAnsi="Arial"/>
                <w:sz w:val="11"/>
                <w:szCs w:val="11"/>
                <w:b w:val="1"/>
                <w:bCs w:val="1"/>
                <w:color w:val="auto"/>
              </w:rPr>
              <w:t>2022</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in Earnings</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left="316"/>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exchange contracts:</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ind w:left="140"/>
              <w:spacing w:after="0"/>
              <w:rPr>
                <w:sz w:val="20"/>
                <w:szCs w:val="20"/>
                <w:color w:val="auto"/>
              </w:rPr>
            </w:pPr>
            <w:r>
              <w:rPr>
                <w:rFonts w:ascii="Arial" w:cs="Arial" w:eastAsia="Arial" w:hAnsi="Arial"/>
                <w:sz w:val="14"/>
                <w:szCs w:val="14"/>
                <w:color w:val="auto"/>
              </w:rPr>
              <w:t>Intercompany loans and</w:t>
            </w:r>
          </w:p>
        </w:tc>
        <w:tc>
          <w:tcPr>
            <w:tcW w:w="1040" w:type="dxa"/>
            <w:vAlign w:val="bottom"/>
            <w:vMerge w:val="restart"/>
          </w:tcPr>
          <w:p>
            <w:pPr>
              <w:jc w:val="right"/>
              <w:ind w:right="873"/>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340" w:type="dxa"/>
            <w:vAlign w:val="bottom"/>
            <w:gridSpan w:val="4"/>
            <w:vMerge w:val="restart"/>
          </w:tcPr>
          <w:p>
            <w:pPr>
              <w:jc w:val="right"/>
              <w:ind w:right="1036"/>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color w:val="auto"/>
              </w:rPr>
              <w:t>Interest and other</w:t>
            </w:r>
          </w:p>
        </w:tc>
        <w:tc>
          <w:tcPr>
            <w:tcW w:w="0" w:type="dxa"/>
            <w:vAlign w:val="bottom"/>
          </w:tcPr>
          <w:p>
            <w:pPr>
              <w:spacing w:after="0"/>
              <w:rPr>
                <w:sz w:val="1"/>
                <w:szCs w:val="1"/>
                <w:color w:val="auto"/>
              </w:rPr>
            </w:pPr>
          </w:p>
        </w:tc>
      </w:tr>
      <w:tr>
        <w:trPr>
          <w:trHeight w:val="150"/>
        </w:trPr>
        <w:tc>
          <w:tcPr>
            <w:tcW w:w="4320" w:type="dxa"/>
            <w:vAlign w:val="bottom"/>
          </w:tcPr>
          <w:p>
            <w:pPr>
              <w:ind w:left="260"/>
              <w:spacing w:after="0" w:line="151" w:lineRule="exact"/>
              <w:rPr>
                <w:sz w:val="20"/>
                <w:szCs w:val="20"/>
                <w:color w:val="auto"/>
              </w:rPr>
            </w:pPr>
            <w:r>
              <w:rPr>
                <w:rFonts w:ascii="Arial" w:cs="Arial" w:eastAsia="Arial" w:hAnsi="Arial"/>
                <w:sz w:val="14"/>
                <w:szCs w:val="14"/>
                <w:color w:val="auto"/>
              </w:rPr>
              <w:t>forecasted interest payments</w:t>
            </w:r>
          </w:p>
        </w:tc>
        <w:tc>
          <w:tcPr>
            <w:tcW w:w="10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1"/>
                <w:szCs w:val="11"/>
                <w:color w:val="auto"/>
              </w:rPr>
              <w:t>expense, net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Forecasted transactions</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right="379"/>
              <w:spacing w:after="0"/>
              <w:rPr>
                <w:sz w:val="20"/>
                <w:szCs w:val="20"/>
                <w:color w:val="auto"/>
              </w:rPr>
            </w:pPr>
            <w:r>
              <w:rPr>
                <w:rFonts w:ascii="Arial" w:cs="Arial" w:eastAsia="Arial" w:hAnsi="Arial"/>
                <w:sz w:val="11"/>
                <w:szCs w:val="11"/>
                <w:color w:val="auto"/>
              </w:rPr>
              <w:t>Cost of sales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320" w:type="dxa"/>
            <w:vAlign w:val="bottom"/>
            <w:vMerge w:val="restart"/>
          </w:tcPr>
          <w:p>
            <w:pPr>
              <w:ind w:left="140"/>
              <w:spacing w:after="0"/>
              <w:rPr>
                <w:sz w:val="20"/>
                <w:szCs w:val="20"/>
                <w:color w:val="auto"/>
              </w:rPr>
            </w:pPr>
            <w:r>
              <w:rPr>
                <w:rFonts w:ascii="Arial" w:cs="Arial" w:eastAsia="Arial" w:hAnsi="Arial"/>
                <w:sz w:val="14"/>
                <w:szCs w:val="14"/>
                <w:color w:val="auto"/>
              </w:rPr>
              <w:t>Forecasted transactions</w:t>
            </w:r>
          </w:p>
        </w:tc>
        <w:tc>
          <w:tcPr>
            <w:tcW w:w="10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tcPr>
          <w:p>
            <w:pPr>
              <w:jc w:val="center"/>
              <w:ind w:right="460"/>
              <w:spacing w:after="0" w:line="123" w:lineRule="exact"/>
              <w:rPr>
                <w:sz w:val="20"/>
                <w:szCs w:val="20"/>
                <w:color w:val="auto"/>
              </w:rPr>
            </w:pPr>
            <w:r>
              <w:rPr>
                <w:rFonts w:ascii="Arial" w:cs="Arial" w:eastAsia="Arial" w:hAnsi="Arial"/>
                <w:sz w:val="11"/>
                <w:szCs w:val="11"/>
                <w:color w:val="auto"/>
              </w:rPr>
              <w:t>Interest and other</w:t>
            </w:r>
          </w:p>
        </w:tc>
        <w:tc>
          <w:tcPr>
            <w:tcW w:w="0" w:type="dxa"/>
            <w:vAlign w:val="bottom"/>
          </w:tcPr>
          <w:p>
            <w:pPr>
              <w:spacing w:after="0"/>
              <w:rPr>
                <w:sz w:val="1"/>
                <w:szCs w:val="1"/>
                <w:color w:val="auto"/>
              </w:rPr>
            </w:pPr>
          </w:p>
        </w:tc>
      </w:tr>
      <w:tr>
        <w:trPr>
          <w:trHeight w:val="146"/>
        </w:trPr>
        <w:tc>
          <w:tcPr>
            <w:tcW w:w="43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1"/>
                <w:szCs w:val="11"/>
                <w:color w:val="auto"/>
              </w:rPr>
              <w:t>expense, net</w:t>
            </w:r>
          </w:p>
        </w:tc>
        <w:tc>
          <w:tcPr>
            <w:tcW w:w="0" w:type="dxa"/>
            <w:vAlign w:val="bottom"/>
          </w:tcPr>
          <w:p>
            <w:pPr>
              <w:spacing w:after="0"/>
              <w:rPr>
                <w:sz w:val="1"/>
                <w:szCs w:val="1"/>
                <w:color w:val="auto"/>
              </w:rPr>
            </w:pPr>
          </w:p>
        </w:tc>
      </w:tr>
      <w:tr>
        <w:trPr>
          <w:trHeight w:val="123"/>
        </w:trPr>
        <w:tc>
          <w:tcPr>
            <w:tcW w:w="4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500" w:type="dxa"/>
            <w:vAlign w:val="bottom"/>
            <w:shd w:val="clear" w:color="auto" w:fill="CCEEFF"/>
          </w:tcPr>
          <w:p>
            <w:pPr>
              <w:jc w:val="center"/>
              <w:ind w:right="359"/>
              <w:spacing w:after="0" w:line="123" w:lineRule="exact"/>
              <w:rPr>
                <w:sz w:val="20"/>
                <w:szCs w:val="20"/>
                <w:color w:val="auto"/>
              </w:rPr>
            </w:pPr>
            <w:r>
              <w:rPr>
                <w:rFonts w:ascii="Arial" w:cs="Arial" w:eastAsia="Arial" w:hAnsi="Arial"/>
                <w:sz w:val="11"/>
                <w:szCs w:val="11"/>
                <w:color w:val="auto"/>
              </w:rPr>
              <w:t>Selling, general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3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Forecasted transactions</w:t>
            </w:r>
          </w:p>
        </w:tc>
        <w:tc>
          <w:tcPr>
            <w:tcW w:w="10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500" w:type="dxa"/>
            <w:vAlign w:val="bottom"/>
            <w:shd w:val="clear" w:color="auto" w:fill="CCEEFF"/>
          </w:tcPr>
          <w:p>
            <w:pPr>
              <w:jc w:val="center"/>
              <w:ind w:right="359"/>
              <w:spacing w:after="0" w:line="119" w:lineRule="exact"/>
              <w:rPr>
                <w:sz w:val="20"/>
                <w:szCs w:val="20"/>
                <w:color w:val="auto"/>
              </w:rPr>
            </w:pPr>
            <w:r>
              <w:rPr>
                <w:rFonts w:ascii="Arial" w:cs="Arial" w:eastAsia="Arial" w:hAnsi="Arial"/>
                <w:sz w:val="11"/>
                <w:szCs w:val="11"/>
                <w:color w:val="auto"/>
              </w:rPr>
              <w:t>and administrative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2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right="359"/>
              <w:spacing w:after="0"/>
              <w:rPr>
                <w:sz w:val="20"/>
                <w:szCs w:val="20"/>
                <w:color w:val="auto"/>
              </w:rPr>
            </w:pPr>
            <w:r>
              <w:rPr>
                <w:rFonts w:ascii="Arial" w:cs="Arial" w:eastAsia="Arial" w:hAnsi="Arial"/>
                <w:sz w:val="11"/>
                <w:szCs w:val="11"/>
                <w:color w:val="auto"/>
              </w:rPr>
              <w:t>expenses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0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color w:val="auto"/>
              </w:rPr>
              <w:t>Cost of sales</w:t>
            </w:r>
          </w:p>
        </w:tc>
        <w:tc>
          <w:tcPr>
            <w:tcW w:w="0" w:type="dxa"/>
            <w:vAlign w:val="bottom"/>
          </w:tcPr>
          <w:p>
            <w:pPr>
              <w:spacing w:after="0"/>
              <w:rPr>
                <w:sz w:val="1"/>
                <w:szCs w:val="1"/>
                <w:color w:val="auto"/>
              </w:rPr>
            </w:pPr>
          </w:p>
        </w:tc>
      </w:tr>
      <w:tr>
        <w:trPr>
          <w:trHeight w:val="123"/>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Equity method investment contracts </w:t>
            </w:r>
            <w:r>
              <w:rPr>
                <w:rFonts w:ascii="Arial" w:cs="Arial" w:eastAsia="Arial" w:hAnsi="Arial"/>
                <w:sz w:val="18"/>
                <w:szCs w:val="18"/>
                <w:color w:val="auto"/>
                <w:vertAlign w:val="superscript"/>
              </w:rPr>
              <w:t>(1)</w:t>
            </w:r>
          </w:p>
        </w:tc>
        <w:tc>
          <w:tcPr>
            <w:tcW w:w="10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20" w:type="dxa"/>
            <w:vAlign w:val="bottom"/>
            <w:gridSpan w:val="3"/>
            <w:shd w:val="clear" w:color="auto" w:fill="CCEEFF"/>
          </w:tcPr>
          <w:p>
            <w:pPr>
              <w:jc w:val="center"/>
              <w:spacing w:after="0" w:line="123" w:lineRule="exact"/>
              <w:rPr>
                <w:sz w:val="20"/>
                <w:szCs w:val="20"/>
                <w:color w:val="auto"/>
              </w:rPr>
            </w:pPr>
            <w:r>
              <w:rPr>
                <w:rFonts w:ascii="Arial" w:cs="Arial" w:eastAsia="Arial" w:hAnsi="Arial"/>
                <w:sz w:val="11"/>
                <w:szCs w:val="11"/>
                <w:color w:val="auto"/>
              </w:rPr>
              <w:t>Gain on equity method investment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20" w:type="dxa"/>
            <w:vAlign w:val="bottom"/>
            <w:vMerge w:val="continue"/>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right="359"/>
              <w:spacing w:after="0"/>
              <w:rPr>
                <w:sz w:val="20"/>
                <w:szCs w:val="20"/>
                <w:color w:val="auto"/>
              </w:rPr>
            </w:pPr>
            <w:r>
              <w:rPr>
                <w:rFonts w:ascii="Arial" w:cs="Arial" w:eastAsia="Arial" w:hAnsi="Arial"/>
                <w:sz w:val="11"/>
                <w:szCs w:val="11"/>
                <w:color w:val="auto"/>
              </w:rPr>
              <w:t>contracts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ind w:left="10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w:t>
            </w:r>
          </w:p>
        </w:tc>
        <w:tc>
          <w:tcPr>
            <w:tcW w:w="6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180" w:type="dxa"/>
            <w:vAlign w:val="bottom"/>
            <w:tcBorders>
              <w:bottom w:val="single" w:sz="8" w:color="auto"/>
            </w:tcBorders>
          </w:tcPr>
          <w:p>
            <w:pPr>
              <w:jc w:val="right"/>
              <w:ind w:right="1036"/>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0" w:hanging="194"/>
        <w:spacing w:after="0" w:line="308" w:lineRule="auto"/>
        <w:tabs>
          <w:tab w:leader="none" w:pos="182"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Equity method investment contracts consisted of the bifurcated embedded derivative option that were a component of the September 20, 2021 €300 million exchangeable bonds issuance and expired on September 20, 2024. Refer to Note 9, </w:t>
      </w:r>
      <w:r>
        <w:rPr>
          <w:rFonts w:ascii="Arial" w:cs="Arial" w:eastAsia="Arial" w:hAnsi="Arial"/>
          <w:sz w:val="11"/>
          <w:szCs w:val="11"/>
          <w:i w:val="1"/>
          <w:iCs w:val="1"/>
          <w:color w:val="auto"/>
        </w:rPr>
        <w:t>Debt and Borrowing Arrangements</w:t>
      </w:r>
      <w:r>
        <w:rPr>
          <w:rFonts w:ascii="Arial" w:cs="Arial" w:eastAsia="Arial" w:hAnsi="Arial"/>
          <w:sz w:val="11"/>
          <w:szCs w:val="11"/>
          <w:color w:val="auto"/>
        </w:rPr>
        <w:t xml:space="preserve"> for additional information</w:t>
      </w:r>
      <w:r>
        <w:rPr>
          <w:rFonts w:ascii="Arial" w:cs="Arial" w:eastAsia="Arial" w:hAnsi="Arial"/>
          <w:sz w:val="11"/>
          <w:szCs w:val="1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Contingent Consideration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our contingent consideration liability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1"/>
                <w:szCs w:val="11"/>
                <w:b w:val="1"/>
                <w:bCs w:val="1"/>
                <w:color w:val="auto"/>
              </w:rPr>
              <w:t>For the Years Ended December 31,</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37"/>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417"/>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 at the beginning of the period</w:t>
            </w:r>
          </w:p>
        </w:tc>
        <w:tc>
          <w:tcPr>
            <w:tcW w:w="7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3"/>
        </w:trPr>
        <w:tc>
          <w:tcPr>
            <w:tcW w:w="4620" w:type="dxa"/>
            <w:vAlign w:val="bottom"/>
          </w:tcPr>
          <w:p>
            <w:pPr>
              <w:ind w:left="120"/>
              <w:spacing w:after="0"/>
              <w:rPr>
                <w:sz w:val="20"/>
                <w:szCs w:val="20"/>
                <w:color w:val="auto"/>
              </w:rPr>
            </w:pPr>
            <w:r>
              <w:rPr>
                <w:rFonts w:ascii="Arial" w:cs="Arial" w:eastAsia="Arial" w:hAnsi="Arial"/>
                <w:sz w:val="14"/>
                <w:szCs w:val="14"/>
                <w:color w:val="auto"/>
              </w:rPr>
              <w:t>Contingent consideration arising from acquisitions</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fair value</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3"/>
        </w:trPr>
        <w:tc>
          <w:tcPr>
            <w:tcW w:w="4620" w:type="dxa"/>
            <w:vAlign w:val="bottom"/>
          </w:tcPr>
          <w:p>
            <w:pPr>
              <w:ind w:left="120"/>
              <w:spacing w:after="0"/>
              <w:rPr>
                <w:sz w:val="20"/>
                <w:szCs w:val="20"/>
                <w:color w:val="auto"/>
              </w:rPr>
            </w:pPr>
            <w:r>
              <w:rPr>
                <w:rFonts w:ascii="Arial" w:cs="Arial" w:eastAsia="Arial" w:hAnsi="Arial"/>
                <w:sz w:val="14"/>
                <w:szCs w:val="14"/>
                <w:color w:val="auto"/>
              </w:rPr>
              <w:t>Payments</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left="935"/>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4620" w:type="dxa"/>
            <w:vAlign w:val="bottom"/>
          </w:tcPr>
          <w:p>
            <w:pPr>
              <w:ind w:left="20"/>
              <w:spacing w:after="0"/>
              <w:rPr>
                <w:sz w:val="20"/>
                <w:szCs w:val="20"/>
                <w:color w:val="auto"/>
              </w:rPr>
            </w:pPr>
            <w:r>
              <w:rPr>
                <w:rFonts w:ascii="Arial" w:cs="Arial" w:eastAsia="Arial" w:hAnsi="Arial"/>
                <w:sz w:val="14"/>
                <w:szCs w:val="14"/>
                <w:color w:val="auto"/>
              </w:rPr>
              <w:t>Liability at the end of the period</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7"/>
          </w:tcPr>
          <w:p>
            <w:pPr>
              <w:spacing w:after="0"/>
              <w:rPr>
                <w:sz w:val="20"/>
                <w:szCs w:val="20"/>
                <w:color w:val="auto"/>
              </w:rPr>
            </w:pPr>
            <w:r>
              <w:rPr>
                <w:rFonts w:ascii="Arial" w:cs="Arial" w:eastAsia="Arial" w:hAnsi="Arial"/>
                <w:sz w:val="14"/>
                <w:szCs w:val="14"/>
                <w:color w:val="auto"/>
              </w:rPr>
              <w:t>Contingent consideration was recorded at fair value in the condensed consolidated balance sheets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1"/>
                <w:szCs w:val="11"/>
                <w:b w:val="1"/>
                <w:bCs w:val="1"/>
                <w:color w:val="auto"/>
              </w:rPr>
              <w:t>As of December 31, 2024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Quoted Prices 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Significant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16"/>
        </w:trPr>
        <w:tc>
          <w:tcPr>
            <w:tcW w:w="4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Active Markets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for Identical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Other Observable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jc w:val="center"/>
              <w:ind w:right="155"/>
              <w:spacing w:after="0" w:line="107"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Total Fair Value of Liability</w:t>
            </w:r>
          </w:p>
        </w:tc>
        <w:tc>
          <w:tcPr>
            <w:tcW w:w="2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Assets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Inputs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(Level 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6"/>
          </w:tcPr>
          <w:p>
            <w:pPr>
              <w:jc w:val="center"/>
              <w:ind w:left="999"/>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Clif Bar </w:t>
            </w:r>
            <w:r>
              <w:rPr>
                <w:rFonts w:ascii="Arial" w:cs="Arial" w:eastAsia="Arial" w:hAnsi="Arial"/>
                <w:sz w:val="18"/>
                <w:szCs w:val="18"/>
                <w:color w:val="auto"/>
                <w:vertAlign w:val="superscript"/>
              </w:rPr>
              <w:t>(1)</w:t>
            </w:r>
          </w:p>
        </w:tc>
        <w:tc>
          <w:tcPr>
            <w:tcW w:w="70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7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contingent consideration</w:t>
            </w:r>
          </w:p>
        </w:tc>
        <w:tc>
          <w:tcPr>
            <w:tcW w:w="70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gridSpan w:val="2"/>
            <w:shd w:val="clear" w:color="auto" w:fill="CCEEFF"/>
          </w:tcPr>
          <w:p>
            <w:pPr>
              <w:jc w:val="center"/>
              <w:ind w:left="468"/>
              <w:spacing w:after="0"/>
              <w:rPr>
                <w:sz w:val="20"/>
                <w:szCs w:val="20"/>
                <w:color w:val="auto"/>
              </w:rPr>
            </w:pPr>
            <w:r>
              <w:rPr>
                <w:rFonts w:ascii="Arial" w:cs="Arial" w:eastAsia="Arial" w:hAnsi="Arial"/>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4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1"/>
                <w:szCs w:val="11"/>
                <w:b w:val="1"/>
                <w:bCs w:val="1"/>
                <w:color w:val="auto"/>
              </w:rPr>
              <w:t>As of December 31, 2023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Quoted Prices 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Significant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07"/>
        </w:trPr>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Active Markets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for Identical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Other Observable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5"/>
              <w:spacing w:after="0" w:line="119"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Total Fair Value of Liability</w:t>
            </w:r>
          </w:p>
        </w:tc>
        <w:tc>
          <w:tcPr>
            <w:tcW w:w="2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Assets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Inputs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(Level 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6"/>
          </w:tcPr>
          <w:p>
            <w:pPr>
              <w:jc w:val="center"/>
              <w:ind w:left="999"/>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Clif Bar </w:t>
            </w:r>
            <w:r>
              <w:rPr>
                <w:rFonts w:ascii="Arial" w:cs="Arial" w:eastAsia="Arial" w:hAnsi="Arial"/>
                <w:sz w:val="18"/>
                <w:szCs w:val="18"/>
                <w:color w:val="auto"/>
                <w:vertAlign w:val="superscript"/>
              </w:rPr>
              <w:t>(1)</w:t>
            </w:r>
          </w:p>
        </w:tc>
        <w:tc>
          <w:tcPr>
            <w:tcW w:w="70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700" w:type="dxa"/>
            <w:vAlign w:val="bottom"/>
          </w:tcPr>
          <w:p>
            <w:pPr>
              <w:spacing w:after="0"/>
              <w:rPr>
                <w:sz w:val="15"/>
                <w:szCs w:val="15"/>
                <w:color w:val="auto"/>
              </w:rPr>
            </w:pPr>
          </w:p>
        </w:tc>
        <w:tc>
          <w:tcPr>
            <w:tcW w:w="900" w:type="dxa"/>
            <w:vAlign w:val="bottom"/>
            <w:gridSpan w:val="2"/>
          </w:tcPr>
          <w:p>
            <w:pPr>
              <w:jc w:val="center"/>
              <w:ind w:left="46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contingent consideration</w:t>
            </w:r>
          </w:p>
        </w:tc>
        <w:tc>
          <w:tcPr>
            <w:tcW w:w="70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gridSpan w:val="2"/>
            <w:shd w:val="clear" w:color="auto" w:fill="CCEEFF"/>
          </w:tcPr>
          <w:p>
            <w:pPr>
              <w:jc w:val="center"/>
              <w:ind w:left="468"/>
              <w:spacing w:after="0"/>
              <w:rPr>
                <w:sz w:val="20"/>
                <w:szCs w:val="20"/>
                <w:color w:val="auto"/>
              </w:rPr>
            </w:pPr>
            <w:r>
              <w:rPr>
                <w:rFonts w:ascii="Arial" w:cs="Arial" w:eastAsia="Arial" w:hAnsi="Arial"/>
                <w:sz w:val="14"/>
                <w:szCs w:val="14"/>
                <w:color w:val="auto"/>
              </w:rPr>
              <w:t>680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260" w:hanging="254"/>
        <w:spacing w:after="0" w:line="269" w:lineRule="auto"/>
        <w:tabs>
          <w:tab w:leader="none" w:pos="249" w:val="left"/>
        </w:tabs>
        <w:numPr>
          <w:ilvl w:val="0"/>
          <w:numId w:val="38"/>
        </w:numPr>
        <w:rPr>
          <w:rFonts w:ascii="Arial" w:cs="Arial" w:eastAsia="Arial" w:hAnsi="Arial"/>
          <w:sz w:val="11"/>
          <w:szCs w:val="11"/>
          <w:color w:val="auto"/>
        </w:rPr>
      </w:pPr>
      <w:r>
        <w:rPr>
          <w:rFonts w:ascii="Arial" w:cs="Arial" w:eastAsia="Arial" w:hAnsi="Arial"/>
          <w:sz w:val="11"/>
          <w:szCs w:val="11"/>
          <w:color w:val="auto"/>
        </w:rPr>
        <w:t xml:space="preserve">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contingent consideration liabilities are recorded at fair value within long-term liabilities. The estimated fair value of the contingent consideration obligation is determined using a Monte Carlo simulation. Significant assumptions used in assessing the fair value of the liability include financial projections for net revenue, gross profit, and EBITDA, as well as discount and volatility rates. Fair value adjustments are primarily recorded in </w:t>
      </w: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xml:space="preserve"> in the condensed consolidated statement of earnings. During 2024, the expected forecast for 2025 and 2026 was updated to reflect recent trends in business performance and market outlook, resulting in a reduction in the fair value of the contingent consideration.</w:t>
      </w:r>
    </w:p>
    <w:p>
      <w:pPr>
        <w:spacing w:after="0" w:line="125" w:lineRule="exact"/>
        <w:rPr>
          <w:rFonts w:ascii="Arial" w:cs="Arial" w:eastAsia="Arial" w:hAnsi="Arial"/>
          <w:sz w:val="11"/>
          <w:szCs w:val="11"/>
          <w:color w:val="auto"/>
        </w:rPr>
      </w:pPr>
    </w:p>
    <w:p>
      <w:pPr>
        <w:ind w:left="260" w:hanging="254"/>
        <w:spacing w:after="0" w:line="289" w:lineRule="auto"/>
        <w:tabs>
          <w:tab w:leader="none" w:pos="249" w:val="left"/>
        </w:tabs>
        <w:numPr>
          <w:ilvl w:val="0"/>
          <w:numId w:val="38"/>
        </w:numPr>
        <w:rPr>
          <w:rFonts w:ascii="Arial" w:cs="Arial" w:eastAsia="Arial" w:hAnsi="Arial"/>
          <w:sz w:val="11"/>
          <w:szCs w:val="11"/>
          <w:color w:val="auto"/>
        </w:rPr>
      </w:pPr>
      <w:r>
        <w:rPr>
          <w:rFonts w:ascii="Arial" w:cs="Arial" w:eastAsia="Arial" w:hAnsi="Arial"/>
          <w:sz w:val="11"/>
          <w:szCs w:val="11"/>
          <w:color w:val="auto"/>
        </w:rPr>
        <w:t xml:space="preserve">Other contingent consideration liabilities are recorded at fair value, with $55 million classified as long-term liabilities at December 31, 2024 and $132 million classified as other current liabilities at December 31, 2023. Fair value adjustments are recorded in </w:t>
      </w: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xml:space="preserve"> in the condensed consolidated statement of earnings.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Plans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Obligations and Funded Status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projected benefit obligations, plan assets and funded status of our pension plans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1"/>
                <w:szCs w:val="11"/>
                <w:b w:val="1"/>
                <w:bCs w:val="1"/>
                <w:color w:val="auto"/>
              </w:rPr>
              <w:t>U.S. Plans</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1"/>
                <w:szCs w:val="11"/>
                <w:b w:val="1"/>
                <w:bCs w:val="1"/>
                <w:color w:val="auto"/>
              </w:rPr>
              <w:t>Non-U.S. Plans</w:t>
            </w:r>
          </w:p>
        </w:tc>
        <w:tc>
          <w:tcPr>
            <w:tcW w:w="1040" w:type="dxa"/>
            <w:vAlign w:val="bottom"/>
            <w:tcBorders>
              <w:bottom w:val="single" w:sz="8" w:color="auto"/>
            </w:tcBorders>
          </w:tcPr>
          <w:p>
            <w:pPr>
              <w:spacing w:after="0"/>
              <w:rPr>
                <w:sz w:val="13"/>
                <w:szCs w:val="13"/>
                <w:color w:val="auto"/>
              </w:rPr>
            </w:pPr>
          </w:p>
        </w:tc>
      </w:tr>
      <w:tr>
        <w:trPr>
          <w:trHeight w:val="163"/>
        </w:trPr>
        <w:tc>
          <w:tcPr>
            <w:tcW w:w="4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2023</w:t>
            </w:r>
          </w:p>
        </w:tc>
      </w:tr>
      <w:tr>
        <w:trPr>
          <w:trHeight w:val="163"/>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benefit obligation at January 1</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6,878</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Benefits paid</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Settlements paid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Actuarial losses/(gains)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Divestitures</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Currency</w:t>
            </w:r>
          </w:p>
        </w:tc>
        <w:tc>
          <w:tcPr>
            <w:tcW w:w="3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Projected benefit obligation at December 31</w:t>
            </w: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6,753</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7,404</w:t>
            </w:r>
          </w:p>
        </w:tc>
      </w:tr>
      <w:tr>
        <w:trPr>
          <w:trHeight w:val="17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January 1</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Actual return on plan assets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Contributions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Benefits paid</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Settlements paid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Divestitures</w:t>
            </w:r>
          </w:p>
        </w:tc>
        <w:tc>
          <w:tcPr>
            <w:tcW w:w="3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183"/>
        </w:trPr>
        <w:tc>
          <w:tcPr>
            <w:tcW w:w="4780" w:type="dxa"/>
            <w:vAlign w:val="bottom"/>
          </w:tcPr>
          <w:p>
            <w:pPr>
              <w:ind w:left="1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 at December 31</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7,907</w:t>
            </w:r>
          </w:p>
        </w:tc>
      </w:tr>
      <w:tr>
        <w:trPr>
          <w:trHeight w:val="173"/>
        </w:trPr>
        <w:tc>
          <w:tcPr>
            <w:tcW w:w="4780" w:type="dxa"/>
            <w:vAlign w:val="bottom"/>
          </w:tcPr>
          <w:p>
            <w:pPr>
              <w:ind w:left="100"/>
              <w:spacing w:after="0"/>
              <w:rPr>
                <w:sz w:val="20"/>
                <w:szCs w:val="20"/>
                <w:color w:val="auto"/>
              </w:rPr>
            </w:pPr>
            <w:r>
              <w:rPr>
                <w:rFonts w:ascii="Arial" w:cs="Arial" w:eastAsia="Arial" w:hAnsi="Arial"/>
                <w:sz w:val="14"/>
                <w:szCs w:val="14"/>
                <w:color w:val="auto"/>
              </w:rPr>
              <w:t>Net pension assets at December 31</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accumulated benefit obligation, which represents benefits earned to the measurement date, for U.S. pension plans was $1.2 billion at December 31, 2024 and December 31, 2023. The accumulated benefit obligation for non-U.S. pension plans was $6.6 billion at December 31, 2024 and $7.3 billion at December 31, 2023.</w:t>
      </w:r>
    </w:p>
    <w:p>
      <w:pPr>
        <w:spacing w:after="0" w:line="137"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actuarial (gain)/loss for all pension plans in 2024 and 2023 was primarily related to changes in assumptions including discount rates used to measure the benefit obligations of those plans.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The combined U.S. and non-U.S. pension plans resulted in a net pension asset of $561 million as of December 31, 2024 and a net pension asset of $574 million as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 We recognized these amounts in our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As of December 31,</w:t>
            </w: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5140" w:type="dxa"/>
            <w:vAlign w:val="bottom"/>
            <w:gridSpan w:val="2"/>
          </w:tcPr>
          <w:p>
            <w:pPr>
              <w:jc w:val="right"/>
              <w:ind w:right="68"/>
              <w:spacing w:after="0"/>
              <w:rPr>
                <w:sz w:val="20"/>
                <w:szCs w:val="20"/>
                <w:color w:val="auto"/>
              </w:rPr>
            </w:pPr>
            <w:r>
              <w:rPr>
                <w:rFonts w:ascii="Arial" w:cs="Arial" w:eastAsia="Arial" w:hAnsi="Arial"/>
                <w:sz w:val="11"/>
                <w:szCs w:val="11"/>
                <w:b w:val="1"/>
                <w:bCs w:val="1"/>
                <w:color w:val="auto"/>
              </w:rPr>
              <w:t>2024</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731"/>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right"/>
              <w:ind w:right="288"/>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pension assets</w:t>
            </w:r>
          </w:p>
        </w:tc>
        <w:tc>
          <w:tcPr>
            <w:tcW w:w="5140" w:type="dxa"/>
            <w:vAlign w:val="bottom"/>
            <w:gridSpan w:val="2"/>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3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costs</w:t>
            </w:r>
          </w:p>
        </w:tc>
        <w:tc>
          <w:tcPr>
            <w:tcW w:w="396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1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960" w:type="dxa"/>
            <w:vAlign w:val="bottom"/>
            <w:vMerge w:val="restart"/>
          </w:tcPr>
          <w:p>
            <w:pPr>
              <w:jc w:val="right"/>
              <w:ind w:right="1713"/>
              <w:spacing w:after="0"/>
              <w:rPr>
                <w:sz w:val="20"/>
                <w:szCs w:val="20"/>
                <w:color w:val="auto"/>
              </w:rPr>
            </w:pPr>
            <w:r>
              <w:rPr>
                <w:rFonts w:ascii="Arial" w:cs="Arial" w:eastAsia="Arial" w:hAnsi="Arial"/>
                <w:sz w:val="14"/>
                <w:szCs w:val="14"/>
                <w:color w:val="auto"/>
              </w:rPr>
              <w:t>97</w:t>
            </w: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35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-313055</wp:posOffset>
            </wp:positionV>
            <wp:extent cx="224790"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36"/>
              <w:spacing w:after="0"/>
              <w:rPr>
                <w:sz w:val="20"/>
                <w:szCs w:val="20"/>
                <w:color w:val="auto"/>
              </w:rPr>
            </w:pPr>
            <w:r>
              <w:rPr>
                <w:rFonts w:ascii="Arial" w:cs="Arial" w:eastAsia="Arial" w:hAnsi="Arial"/>
                <w:sz w:val="11"/>
                <w:szCs w:val="11"/>
                <w:b w:val="1"/>
                <w:bCs w:val="1"/>
                <w:color w:val="auto"/>
              </w:rPr>
              <w:t>U.S. Plans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Non-U.S. Plans</w:t>
            </w:r>
          </w:p>
        </w:tc>
        <w:tc>
          <w:tcPr>
            <w:tcW w:w="780" w:type="dxa"/>
            <w:vAlign w:val="bottom"/>
            <w:tcBorders>
              <w:bottom w:val="single" w:sz="8" w:color="auto"/>
            </w:tcBorders>
          </w:tcPr>
          <w:p>
            <w:pPr>
              <w:spacing w:after="0"/>
              <w:rPr>
                <w:sz w:val="13"/>
                <w:szCs w:val="13"/>
                <w:color w:val="auto"/>
              </w:rPr>
            </w:pPr>
          </w:p>
        </w:tc>
      </w:tr>
      <w:tr>
        <w:trPr>
          <w:trHeight w:val="163"/>
        </w:trPr>
        <w:tc>
          <w:tcPr>
            <w:tcW w:w="5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16"/>
              <w:spacing w:after="0"/>
              <w:rPr>
                <w:sz w:val="20"/>
                <w:szCs w:val="20"/>
                <w:color w:val="auto"/>
              </w:rPr>
            </w:pPr>
            <w:r>
              <w:rPr>
                <w:rFonts w:ascii="Arial" w:cs="Arial" w:eastAsia="Arial" w:hAnsi="Arial"/>
                <w:sz w:val="11"/>
                <w:szCs w:val="11"/>
                <w:b w:val="1"/>
                <w:bCs w:val="1"/>
                <w:color w:val="auto"/>
              </w:rPr>
              <w:t>As of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As of December 31,</w:t>
            </w:r>
          </w:p>
        </w:tc>
        <w:tc>
          <w:tcPr>
            <w:tcW w:w="780" w:type="dxa"/>
            <w:vAlign w:val="bottom"/>
            <w:tcBorders>
              <w:bottom w:val="single" w:sz="8" w:color="auto"/>
            </w:tcBorders>
          </w:tcPr>
          <w:p>
            <w:pPr>
              <w:spacing w:after="0"/>
              <w:rPr>
                <w:sz w:val="14"/>
                <w:szCs w:val="14"/>
                <w:color w:val="auto"/>
              </w:rPr>
            </w:pPr>
          </w:p>
        </w:tc>
      </w:tr>
      <w:tr>
        <w:trPr>
          <w:trHeight w:val="163"/>
        </w:trPr>
        <w:tc>
          <w:tcPr>
            <w:tcW w:w="58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w w:val="97"/>
              </w:rPr>
              <w:t>2023</w:t>
            </w:r>
          </w:p>
        </w:tc>
      </w:tr>
      <w:tr>
        <w:trPr>
          <w:trHeight w:val="163"/>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456"/>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benefit obligation</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24</w:t>
            </w:r>
          </w:p>
        </w:tc>
        <w:tc>
          <w:tcPr>
            <w:tcW w:w="98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557</w:t>
            </w:r>
          </w:p>
        </w:tc>
        <w:tc>
          <w:tcPr>
            <w:tcW w:w="6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Accumulated benefit obligation</w:t>
            </w:r>
          </w:p>
        </w:tc>
        <w:tc>
          <w:tcPr>
            <w:tcW w:w="78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24</w:t>
            </w:r>
          </w:p>
        </w:tc>
        <w:tc>
          <w:tcPr>
            <w:tcW w:w="9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514</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18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157</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We used the following weighted-average assumptions to determine our benefit obligations under the pension plans: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U.S. Plans</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b w:val="1"/>
                <w:bCs w:val="1"/>
                <w:color w:val="auto"/>
              </w:rPr>
              <w:t>Non-U.S. Plans</w:t>
            </w:r>
          </w:p>
        </w:tc>
        <w:tc>
          <w:tcPr>
            <w:tcW w:w="840" w:type="dxa"/>
            <w:vAlign w:val="bottom"/>
            <w:tcBorders>
              <w:bottom w:val="single" w:sz="8" w:color="auto"/>
            </w:tcBorders>
          </w:tcPr>
          <w:p>
            <w:pPr>
              <w:spacing w:after="0"/>
              <w:rPr>
                <w:sz w:val="13"/>
                <w:szCs w:val="13"/>
                <w:color w:val="auto"/>
              </w:rPr>
            </w:pPr>
          </w:p>
        </w:tc>
      </w:tr>
      <w:tr>
        <w:trPr>
          <w:trHeight w:val="163"/>
        </w:trPr>
        <w:tc>
          <w:tcPr>
            <w:tcW w:w="5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As of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1"/>
                <w:szCs w:val="11"/>
                <w:b w:val="1"/>
                <w:bCs w:val="1"/>
                <w:color w:val="auto"/>
              </w:rPr>
              <w:t>As of December 31,</w:t>
            </w:r>
          </w:p>
        </w:tc>
        <w:tc>
          <w:tcPr>
            <w:tcW w:w="840" w:type="dxa"/>
            <w:vAlign w:val="bottom"/>
            <w:tcBorders>
              <w:bottom w:val="single" w:sz="8" w:color="auto"/>
            </w:tcBorders>
          </w:tcPr>
          <w:p>
            <w:pPr>
              <w:spacing w:after="0"/>
              <w:rPr>
                <w:sz w:val="14"/>
                <w:szCs w:val="14"/>
                <w:color w:val="auto"/>
              </w:rPr>
            </w:pPr>
          </w:p>
        </w:tc>
      </w:tr>
      <w:tr>
        <w:trPr>
          <w:trHeight w:val="163"/>
        </w:trPr>
        <w:tc>
          <w:tcPr>
            <w:tcW w:w="6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2024</w:t>
            </w:r>
          </w:p>
        </w:tc>
        <w:tc>
          <w:tcPr>
            <w:tcW w:w="1460" w:type="dxa"/>
            <w:vAlign w:val="bottom"/>
            <w:gridSpan w:val="3"/>
          </w:tcPr>
          <w:p>
            <w:pPr>
              <w:ind w:left="1160"/>
              <w:spacing w:after="0"/>
              <w:rPr>
                <w:sz w:val="20"/>
                <w:szCs w:val="20"/>
                <w:color w:val="auto"/>
              </w:rPr>
            </w:pPr>
            <w:r>
              <w:rPr>
                <w:rFonts w:ascii="Arial" w:cs="Arial" w:eastAsia="Arial" w:hAnsi="Arial"/>
                <w:sz w:val="11"/>
                <w:szCs w:val="11"/>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ind w:left="540"/>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93"/>
              <w:spacing w:after="0"/>
              <w:rPr>
                <w:sz w:val="20"/>
                <w:szCs w:val="20"/>
                <w:color w:val="auto"/>
              </w:rPr>
            </w:pPr>
            <w:r>
              <w:rPr>
                <w:rFonts w:ascii="Arial" w:cs="Arial" w:eastAsia="Arial" w:hAnsi="Arial"/>
                <w:sz w:val="11"/>
                <w:szCs w:val="11"/>
                <w:b w:val="1"/>
                <w:bCs w:val="1"/>
                <w:color w:val="auto"/>
              </w:rPr>
              <w:t>2023</w:t>
            </w:r>
          </w:p>
        </w:tc>
      </w:tr>
      <w:tr>
        <w:trPr>
          <w:trHeight w:val="17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8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5.18 %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5.22 %</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4.45 %</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4.03 %</w:t>
            </w:r>
          </w:p>
        </w:tc>
      </w:tr>
      <w:tr>
        <w:trPr>
          <w:trHeight w:val="190"/>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Rate of compensation increase</w:t>
            </w:r>
          </w:p>
        </w:tc>
        <w:tc>
          <w:tcPr>
            <w:tcW w:w="500" w:type="dxa"/>
            <w:vAlign w:val="bottom"/>
          </w:tcPr>
          <w:p>
            <w:pPr>
              <w:ind w:left="40"/>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6"/>
                <w:szCs w:val="16"/>
                <w:color w:val="auto"/>
              </w:rPr>
            </w:pPr>
          </w:p>
        </w:tc>
        <w:tc>
          <w:tcPr>
            <w:tcW w:w="1340" w:type="dxa"/>
            <w:vAlign w:val="bottom"/>
          </w:tcPr>
          <w:p>
            <w:pPr>
              <w:ind w:left="880"/>
              <w:spacing w:after="0"/>
              <w:rPr>
                <w:sz w:val="20"/>
                <w:szCs w:val="20"/>
                <w:color w:val="auto"/>
              </w:rPr>
            </w:pPr>
            <w:r>
              <w:rPr>
                <w:rFonts w:ascii="Arial" w:cs="Arial" w:eastAsia="Arial" w:hAnsi="Arial"/>
                <w:sz w:val="14"/>
                <w:szCs w:val="14"/>
                <w:color w:val="auto"/>
              </w:rPr>
              <w:t>3.10 %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3.22 %</w:t>
            </w:r>
          </w:p>
        </w:tc>
      </w:tr>
    </w:tbl>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Mondelēz Global LLC Retirement Plan Update</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third quarter of 2024, we entered into an agreement with two third party insurance companies for the Mondelēz Global LLC Retirement Plan (“MDLZ Global Plan”), the pension plan for US salaried employees. The agreement features a buy-in of the plan assets with an option to elect a future buy-out conversion. As part of the buy-in, all of the MDLZ Global Plan assets were transferred to the insurance companies in exchange for an annuity contract during the third quarter of 2024 to further reduce the risk of plan asset value volatility. The annuity contract provides all future benefit plan payments to the MDLZ Global Plan participants upon execution of the plan amendment to terminate the plan. However, we continue to retain the primary benefit obligation until the buy-out conversion is completed. Upon election of the buy-out conversion, we will transfer full responsibility of the MDLZ Global Plan obligations to the insurance companies, at which time we will derecognize the assets and liabilities of the pension plan and realize a settlement loss as a component of net periodic pension cost.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plan amendment to terminate the MDLZ Global Plan was executed on December 31, 2024 and we intend to execute the buy-out conversion in 2025.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Components of Net Periodic Pension Cost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Net periodic pension cost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rPr>
              <w:t>U.S. Plans</w:t>
            </w: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Non-U.S. Plans</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63"/>
        </w:trPr>
        <w:tc>
          <w:tcPr>
            <w:tcW w:w="4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313"/>
              <w:spacing w:after="0"/>
              <w:rPr>
                <w:sz w:val="20"/>
                <w:szCs w:val="20"/>
                <w:color w:val="auto"/>
              </w:rPr>
            </w:pPr>
            <w:r>
              <w:rPr>
                <w:rFonts w:ascii="Arial" w:cs="Arial" w:eastAsia="Arial" w:hAnsi="Arial"/>
                <w:sz w:val="11"/>
                <w:szCs w:val="11"/>
                <w:b w:val="1"/>
                <w:bCs w:val="1"/>
                <w:color w:val="auto"/>
              </w:rPr>
              <w:t>For the Years Ended December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r>
      <w:tr>
        <w:trPr>
          <w:trHeight w:val="163"/>
        </w:trPr>
        <w:tc>
          <w:tcPr>
            <w:tcW w:w="42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296"/>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2022</w:t>
            </w:r>
          </w:p>
        </w:tc>
      </w:tr>
      <w:tr>
        <w:trPr>
          <w:trHeight w:val="163"/>
        </w:trPr>
        <w:tc>
          <w:tcPr>
            <w:tcW w:w="4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3"/>
          </w:tcPr>
          <w:p>
            <w:pPr>
              <w:jc w:val="right"/>
              <w:ind w:right="333"/>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70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3"/>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7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8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4240" w:type="dxa"/>
            <w:vAlign w:val="bottom"/>
          </w:tcPr>
          <w:p>
            <w:pPr>
              <w:ind w:left="280"/>
              <w:spacing w:after="0"/>
              <w:rPr>
                <w:sz w:val="20"/>
                <w:szCs w:val="20"/>
                <w:color w:val="auto"/>
              </w:rPr>
            </w:pPr>
            <w:r>
              <w:rPr>
                <w:rFonts w:ascii="Arial" w:cs="Arial" w:eastAsia="Arial" w:hAnsi="Arial"/>
                <w:sz w:val="14"/>
                <w:szCs w:val="14"/>
                <w:color w:val="auto"/>
              </w:rPr>
              <w:t>Prior service cost/(benefit)</w:t>
            </w:r>
          </w:p>
        </w:tc>
        <w:tc>
          <w:tcPr>
            <w:tcW w:w="7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Curtailment expense/(credit)</w:t>
            </w: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losses and other expenses</w:t>
            </w: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periodic pension benefit</w:t>
            </w:r>
          </w:p>
        </w:tc>
        <w:tc>
          <w:tcPr>
            <w:tcW w:w="7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determine our expected rate of return on plan assets from the plan assets’ historical long-term investment performance, current asset allocation and estimates of future long-term returns by asset class. For the U.S. plans, we determine the expected return on plan assets component of net periodic (benefit)/cost using a calculated market-related value</w:t>
      </w:r>
    </w:p>
    <w:p>
      <w:pPr>
        <w:jc w:val="both"/>
        <w:spacing w:after="0" w:line="285" w:lineRule="auto"/>
        <w:rPr>
          <w:sz w:val="20"/>
          <w:szCs w:val="20"/>
          <w:color w:val="auto"/>
        </w:rPr>
      </w:pPr>
      <w:r>
        <w:rPr>
          <w:rFonts w:ascii="Arial" w:cs="Arial" w:eastAsia="Arial" w:hAnsi="Arial"/>
          <w:sz w:val="14"/>
          <w:szCs w:val="14"/>
          <w:color w:val="auto"/>
        </w:rPr>
        <w:t>of plan assets methodology that averages gains and losses on the plan assets over a four-year period to determine future pension expense. For our non-U.S. plans, we utilize a similar approach with varying cost recognition periods for some plans, and with others, we determine the expected return on plan assets based on asset fair values as of the measurement date.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used the following weighted-average assumptions to determine our net periodic pension cost:</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Discount rate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rate of return</w:t>
      </w:r>
    </w:p>
    <w:p>
      <w:pPr>
        <w:ind w:left="20"/>
        <w:spacing w:after="0"/>
        <w:rPr>
          <w:sz w:val="20"/>
          <w:szCs w:val="20"/>
          <w:color w:val="auto"/>
        </w:rPr>
      </w:pPr>
      <w:r>
        <w:rPr>
          <w:rFonts w:ascii="Arial" w:cs="Arial" w:eastAsia="Arial" w:hAnsi="Arial"/>
          <w:sz w:val="14"/>
          <w:szCs w:val="14"/>
          <w:color w:val="auto"/>
        </w:rPr>
        <w:t>on plan assets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Rate of compensation increase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1"/>
                <w:szCs w:val="11"/>
                <w:b w:val="1"/>
                <w:bCs w:val="1"/>
                <w:color w:val="auto"/>
              </w:rPr>
              <w:t>U.S. Plans</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1"/>
                <w:szCs w:val="11"/>
                <w:b w:val="1"/>
                <w:bCs w:val="1"/>
                <w:color w:val="auto"/>
              </w:rPr>
              <w:t>Non-U.S. Plans</w:t>
            </w:r>
          </w:p>
        </w:tc>
        <w:tc>
          <w:tcPr>
            <w:tcW w:w="780" w:type="dxa"/>
            <w:vAlign w:val="bottom"/>
            <w:tcBorders>
              <w:bottom w:val="single" w:sz="8" w:color="auto"/>
            </w:tcBorders>
          </w:tcPr>
          <w:p>
            <w:pPr>
              <w:spacing w:after="0"/>
              <w:rPr>
                <w:sz w:val="13"/>
                <w:szCs w:val="13"/>
                <w:color w:val="auto"/>
              </w:rPr>
            </w:pPr>
          </w:p>
        </w:tc>
      </w:tr>
      <w:tr>
        <w:trPr>
          <w:trHeight w:val="152"/>
        </w:trPr>
        <w:tc>
          <w:tcPr>
            <w:tcW w:w="2820" w:type="dxa"/>
            <w:vAlign w:val="bottom"/>
            <w:tcBorders>
              <w:bottom w:val="single" w:sz="8" w:color="auto"/>
            </w:tcBorders>
            <w:gridSpan w:val="5"/>
          </w:tcPr>
          <w:p>
            <w:pPr>
              <w:jc w:val="center"/>
              <w:ind w:left="714"/>
              <w:spacing w:after="0"/>
              <w:rPr>
                <w:sz w:val="20"/>
                <w:szCs w:val="20"/>
                <w:color w:val="auto"/>
              </w:rPr>
            </w:pPr>
            <w:r>
              <w:rPr>
                <w:rFonts w:ascii="Arial" w:cs="Arial" w:eastAsia="Arial" w:hAnsi="Arial"/>
                <w:sz w:val="11"/>
                <w:szCs w:val="11"/>
                <w:b w:val="1"/>
                <w:bCs w:val="1"/>
                <w:color w:val="auto"/>
              </w:rPr>
              <w:t>For the Years Ended 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tcBorders>
              <w:bottom w:val="single" w:sz="8" w:color="auto"/>
            </w:tcBorders>
            <w:gridSpan w:val="5"/>
          </w:tcPr>
          <w:p>
            <w:pPr>
              <w:jc w:val="center"/>
              <w:ind w:left="714"/>
              <w:spacing w:after="0"/>
              <w:rPr>
                <w:sz w:val="20"/>
                <w:szCs w:val="20"/>
                <w:color w:val="auto"/>
              </w:rPr>
            </w:pPr>
            <w:r>
              <w:rPr>
                <w:rFonts w:ascii="Arial" w:cs="Arial" w:eastAsia="Arial" w:hAnsi="Arial"/>
                <w:sz w:val="11"/>
                <w:szCs w:val="11"/>
                <w:b w:val="1"/>
                <w:bCs w:val="1"/>
                <w:color w:val="auto"/>
              </w:rPr>
              <w:t>For the Years Ended December 31,</w:t>
            </w:r>
          </w:p>
        </w:tc>
        <w:tc>
          <w:tcPr>
            <w:tcW w:w="780" w:type="dxa"/>
            <w:vAlign w:val="bottom"/>
            <w:tcBorders>
              <w:bottom w:val="single" w:sz="8" w:color="auto"/>
            </w:tcBorders>
          </w:tcPr>
          <w:p>
            <w:pPr>
              <w:spacing w:after="0"/>
              <w:rPr>
                <w:sz w:val="13"/>
                <w:szCs w:val="13"/>
                <w:color w:val="auto"/>
              </w:rPr>
            </w:pPr>
          </w:p>
        </w:tc>
      </w:tr>
      <w:tr>
        <w:trPr>
          <w:trHeight w:val="152"/>
        </w:trPr>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2022</w:t>
            </w:r>
          </w:p>
        </w:tc>
      </w:tr>
      <w:tr>
        <w:trPr>
          <w:trHeight w:val="181"/>
        </w:trPr>
        <w:tc>
          <w:tcPr>
            <w:tcW w:w="1140" w:type="dxa"/>
            <w:vAlign w:val="bottom"/>
          </w:tcPr>
          <w:p>
            <w:pPr>
              <w:jc w:val="right"/>
              <w:spacing w:after="0"/>
              <w:rPr>
                <w:sz w:val="20"/>
                <w:szCs w:val="20"/>
                <w:color w:val="auto"/>
              </w:rPr>
            </w:pPr>
            <w:r>
              <w:rPr>
                <w:rFonts w:ascii="Arial" w:cs="Arial" w:eastAsia="Arial" w:hAnsi="Arial"/>
                <w:sz w:val="14"/>
                <w:szCs w:val="14"/>
                <w:color w:val="auto"/>
              </w:rPr>
              <w:t>5.22 %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4.03 %</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4.51 %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1.74 %</w:t>
            </w:r>
          </w:p>
        </w:tc>
      </w:tr>
      <w:tr>
        <w:trPr>
          <w:trHeight w:val="322"/>
        </w:trPr>
        <w:tc>
          <w:tcPr>
            <w:tcW w:w="1140" w:type="dxa"/>
            <w:vAlign w:val="bottom"/>
          </w:tcPr>
          <w:p>
            <w:pPr>
              <w:jc w:val="right"/>
              <w:spacing w:after="0"/>
              <w:rPr>
                <w:sz w:val="20"/>
                <w:szCs w:val="20"/>
                <w:color w:val="auto"/>
              </w:rPr>
            </w:pPr>
            <w:r>
              <w:rPr>
                <w:rFonts w:ascii="Arial" w:cs="Arial" w:eastAsia="Arial" w:hAnsi="Arial"/>
                <w:sz w:val="14"/>
                <w:szCs w:val="14"/>
                <w:color w:val="auto"/>
              </w:rPr>
              <w:t>6.25 %</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5.54 %</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5.41 %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3.44 %</w:t>
            </w:r>
          </w:p>
        </w:tc>
      </w:tr>
      <w:tr>
        <w:trPr>
          <w:trHeight w:val="190"/>
        </w:trPr>
        <w:tc>
          <w:tcPr>
            <w:tcW w:w="114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3.22 %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-451485</wp:posOffset>
            </wp:positionV>
            <wp:extent cx="7160260" cy="1225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-117475</wp:posOffset>
            </wp:positionV>
            <wp:extent cx="7160260" cy="1162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40"/>
          </w:cols>
          <w:pgMar w:left="300" w:top="125" w:right="319" w:bottom="1440" w:gutter="0" w:footer="0" w:header="0"/>
          <w:type w:val="continuous"/>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Assets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pension plan assets was determined using the following fair value measurements: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rPr>
              <w:t>As of December 31, 2024</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rPr>
              <w:t>Quoted Prices</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rPr>
              <w:t>Significant</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tcPr>
          <w:p>
            <w:pPr>
              <w:jc w:val="center"/>
              <w:ind w:right="320"/>
              <w:spacing w:after="0" w:line="107" w:lineRule="exact"/>
              <w:rPr>
                <w:sz w:val="20"/>
                <w:szCs w:val="20"/>
                <w:color w:val="auto"/>
              </w:rPr>
            </w:pPr>
            <w:r>
              <w:rPr>
                <w:rFonts w:ascii="Arial" w:cs="Arial" w:eastAsia="Arial" w:hAnsi="Arial"/>
                <w:sz w:val="11"/>
                <w:szCs w:val="11"/>
                <w:b w:val="1"/>
                <w:bCs w:val="1"/>
                <w:color w:val="auto"/>
              </w:rPr>
              <w:t>in Active Markets</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7"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center"/>
              <w:ind w:right="190"/>
              <w:spacing w:after="0"/>
              <w:rPr>
                <w:sz w:val="20"/>
                <w:szCs w:val="20"/>
                <w:color w:val="auto"/>
              </w:rPr>
            </w:pPr>
            <w:r>
              <w:rPr>
                <w:rFonts w:ascii="Arial" w:cs="Arial" w:eastAsia="Arial" w:hAnsi="Arial"/>
                <w:sz w:val="11"/>
                <w:szCs w:val="11"/>
                <w:b w:val="1"/>
                <w:bCs w:val="1"/>
                <w:color w:val="auto"/>
              </w:rPr>
              <w:t>Total Fair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rPr>
              <w:t>for Identical</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rPr>
              <w:t>Observable</w:t>
            </w:r>
          </w:p>
        </w:tc>
        <w:tc>
          <w:tcPr>
            <w:tcW w:w="180" w:type="dxa"/>
            <w:vAlign w:val="bottom"/>
          </w:tcPr>
          <w:p>
            <w:pPr>
              <w:spacing w:after="0"/>
              <w:rPr>
                <w:sz w:val="10"/>
                <w:szCs w:val="10"/>
                <w:color w:val="auto"/>
              </w:rPr>
            </w:pPr>
          </w:p>
        </w:tc>
        <w:tc>
          <w:tcPr>
            <w:tcW w:w="1140" w:type="dxa"/>
            <w:vAlign w:val="bottom"/>
          </w:tcPr>
          <w:p>
            <w:pPr>
              <w:jc w:val="center"/>
              <w:ind w:right="112"/>
              <w:spacing w:after="0" w:line="119"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 Category</w:t>
            </w:r>
          </w:p>
        </w:tc>
        <w:tc>
          <w:tcPr>
            <w:tcW w:w="2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9"/>
              </w:rPr>
              <w:t>Assets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rPr>
              <w:t>Inputs</w:t>
            </w:r>
          </w:p>
        </w:tc>
        <w:tc>
          <w:tcPr>
            <w:tcW w:w="180" w:type="dxa"/>
            <w:vAlign w:val="bottom"/>
          </w:tcPr>
          <w:p>
            <w:pPr>
              <w:spacing w:after="0"/>
              <w:rPr>
                <w:sz w:val="10"/>
                <w:szCs w:val="10"/>
                <w:color w:val="auto"/>
              </w:rPr>
            </w:pPr>
          </w:p>
        </w:tc>
        <w:tc>
          <w:tcPr>
            <w:tcW w:w="1140" w:type="dxa"/>
            <w:vAlign w:val="bottom"/>
          </w:tcPr>
          <w:p>
            <w:pPr>
              <w:jc w:val="center"/>
              <w:ind w:right="92"/>
              <w:spacing w:after="0" w:line="119"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ind w:right="170"/>
              <w:spacing w:after="0" w:line="119" w:lineRule="exact"/>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rPr>
              <w:t>(Level 1)</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rPr>
              <w:t>(Level 2)</w:t>
            </w:r>
          </w:p>
        </w:tc>
        <w:tc>
          <w:tcPr>
            <w:tcW w:w="180" w:type="dxa"/>
            <w:vAlign w:val="bottom"/>
          </w:tcPr>
          <w:p>
            <w:pPr>
              <w:spacing w:after="0"/>
              <w:rPr>
                <w:sz w:val="10"/>
                <w:szCs w:val="10"/>
                <w:color w:val="auto"/>
              </w:rPr>
            </w:pPr>
          </w:p>
        </w:tc>
        <w:tc>
          <w:tcPr>
            <w:tcW w:w="1140" w:type="dxa"/>
            <w:vAlign w:val="bottom"/>
          </w:tcPr>
          <w:p>
            <w:pPr>
              <w:jc w:val="center"/>
              <w:ind w:right="92"/>
              <w:spacing w:after="0" w:line="119" w:lineRule="exact"/>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left="814"/>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equity securities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Pooled funds - equity securities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equity securities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Government bonds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Pooled funds - fixed-income securities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gridSpan w:val="2"/>
          </w:tcPr>
          <w:p>
            <w:pPr>
              <w:spacing w:after="0" w:line="140" w:lineRule="exact"/>
              <w:rPr>
                <w:sz w:val="20"/>
                <w:szCs w:val="20"/>
                <w:color w:val="auto"/>
              </w:rPr>
            </w:pPr>
            <w:r>
              <w:rPr>
                <w:rFonts w:ascii="Arial" w:cs="Arial" w:eastAsia="Arial" w:hAnsi="Arial"/>
                <w:sz w:val="14"/>
                <w:szCs w:val="14"/>
                <w:color w:val="auto"/>
              </w:rPr>
              <w:t>Corporate bonds and</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fixed-income securities</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Buy-in annuity contracts and other</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100"/>
              <w:spacing w:after="0"/>
              <w:rPr>
                <w:sz w:val="20"/>
                <w:szCs w:val="20"/>
                <w:color w:val="auto"/>
              </w:rPr>
            </w:pPr>
            <w:r>
              <w:rPr>
                <w:rFonts w:ascii="Arial" w:cs="Arial" w:eastAsia="Arial" w:hAnsi="Arial"/>
                <w:sz w:val="14"/>
                <w:szCs w:val="14"/>
                <w:color w:val="auto"/>
              </w:rPr>
              <w:t>Total fixed-income securities</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Private equity</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other</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80"/>
              <w:spacing w:after="0"/>
              <w:rPr>
                <w:sz w:val="20"/>
                <w:szCs w:val="20"/>
                <w:color w:val="auto"/>
              </w:rPr>
            </w:pPr>
            <w:r>
              <w:rPr>
                <w:rFonts w:ascii="Arial" w:cs="Arial" w:eastAsia="Arial" w:hAnsi="Arial"/>
                <w:sz w:val="14"/>
                <w:szCs w:val="14"/>
                <w:color w:val="auto"/>
              </w:rPr>
              <w:t>Total assets in the fair value hierarchy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6,590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4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5300" w:type="dxa"/>
            <w:vAlign w:val="bottom"/>
            <w:tcBorders>
              <w:top w:val="single" w:sz="8" w:color="CCEEFF"/>
            </w:tcBorders>
            <w:gridSpan w:val="2"/>
            <w:shd w:val="clear" w:color="auto" w:fill="CCEEFF"/>
          </w:tcPr>
          <w:p>
            <w:pPr>
              <w:ind w:left="180"/>
              <w:spacing w:after="0" w:line="135" w:lineRule="exact"/>
              <w:rPr>
                <w:sz w:val="20"/>
                <w:szCs w:val="20"/>
                <w:color w:val="auto"/>
              </w:rPr>
            </w:pPr>
            <w:r>
              <w:rPr>
                <w:rFonts w:ascii="Arial" w:cs="Arial" w:eastAsia="Arial" w:hAnsi="Arial"/>
                <w:sz w:val="14"/>
                <w:szCs w:val="14"/>
                <w:color w:val="auto"/>
              </w:rPr>
              <w:t>Investments measured at net asset value</w:t>
            </w: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1060" w:type="dxa"/>
            <w:vAlign w:val="bottom"/>
            <w:tcBorders>
              <w:top w:val="single" w:sz="8" w:color="CCEEFF"/>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1,811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80"/>
              <w:spacing w:after="0"/>
              <w:rPr>
                <w:sz w:val="20"/>
                <w:szCs w:val="20"/>
                <w:color w:val="auto"/>
              </w:rPr>
            </w:pPr>
            <w:r>
              <w:rPr>
                <w:rFonts w:ascii="Arial" w:cs="Arial" w:eastAsia="Arial" w:hAnsi="Arial"/>
                <w:sz w:val="14"/>
                <w:szCs w:val="14"/>
                <w:color w:val="auto"/>
              </w:rPr>
              <w:t>Total investments at fair value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5"/>
            <w:vMerge w:val="restart"/>
          </w:tcPr>
          <w:p>
            <w:pPr>
              <w:jc w:val="center"/>
              <w:ind w:right="320"/>
              <w:spacing w:after="0"/>
              <w:rPr>
                <w:sz w:val="20"/>
                <w:szCs w:val="20"/>
                <w:color w:val="auto"/>
              </w:rPr>
            </w:pPr>
            <w:r>
              <w:rPr>
                <w:rFonts w:ascii="Arial" w:cs="Arial" w:eastAsia="Arial" w:hAnsi="Arial"/>
                <w:sz w:val="11"/>
                <w:szCs w:val="11"/>
                <w:b w:val="1"/>
                <w:bCs w:val="1"/>
                <w:color w:val="auto"/>
              </w:rPr>
              <w:t>As of December 31, 2023</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Quoted Prices</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12" w:lineRule="exact"/>
              <w:rPr>
                <w:sz w:val="20"/>
                <w:szCs w:val="20"/>
                <w:color w:val="auto"/>
              </w:rPr>
            </w:pPr>
            <w:r>
              <w:rPr>
                <w:rFonts w:ascii="Arial" w:cs="Arial" w:eastAsia="Arial" w:hAnsi="Arial"/>
                <w:sz w:val="11"/>
                <w:szCs w:val="11"/>
                <w:b w:val="1"/>
                <w:bCs w:val="1"/>
                <w:color w:val="auto"/>
              </w:rPr>
              <w:t>Significant</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rPr>
              <w:t>in Active Markets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center"/>
              <w:ind w:right="190"/>
              <w:spacing w:after="0"/>
              <w:rPr>
                <w:sz w:val="20"/>
                <w:szCs w:val="20"/>
                <w:color w:val="auto"/>
              </w:rPr>
            </w:pPr>
            <w:r>
              <w:rPr>
                <w:rFonts w:ascii="Arial" w:cs="Arial" w:eastAsia="Arial" w:hAnsi="Arial"/>
                <w:sz w:val="11"/>
                <w:szCs w:val="11"/>
                <w:b w:val="1"/>
                <w:bCs w:val="1"/>
                <w:color w:val="auto"/>
              </w:rPr>
              <w:t>Total Fair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rPr>
              <w:t>for Identical</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rPr>
              <w:t>Observable</w:t>
            </w:r>
          </w:p>
        </w:tc>
        <w:tc>
          <w:tcPr>
            <w:tcW w:w="180" w:type="dxa"/>
            <w:vAlign w:val="bottom"/>
          </w:tcPr>
          <w:p>
            <w:pPr>
              <w:spacing w:after="0"/>
              <w:rPr>
                <w:sz w:val="10"/>
                <w:szCs w:val="10"/>
                <w:color w:val="auto"/>
              </w:rPr>
            </w:pPr>
          </w:p>
        </w:tc>
        <w:tc>
          <w:tcPr>
            <w:tcW w:w="1140" w:type="dxa"/>
            <w:vAlign w:val="bottom"/>
          </w:tcPr>
          <w:p>
            <w:pPr>
              <w:jc w:val="center"/>
              <w:ind w:right="112"/>
              <w:spacing w:after="0" w:line="119"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 Category</w:t>
            </w:r>
          </w:p>
        </w:tc>
        <w:tc>
          <w:tcPr>
            <w:tcW w:w="2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tcPr>
          <w:p>
            <w:pPr>
              <w:jc w:val="center"/>
              <w:ind w:right="320"/>
              <w:spacing w:after="0" w:line="107" w:lineRule="exact"/>
              <w:rPr>
                <w:sz w:val="20"/>
                <w:szCs w:val="20"/>
                <w:color w:val="auto"/>
              </w:rPr>
            </w:pPr>
            <w:r>
              <w:rPr>
                <w:rFonts w:ascii="Arial" w:cs="Arial" w:eastAsia="Arial" w:hAnsi="Arial"/>
                <w:sz w:val="11"/>
                <w:szCs w:val="11"/>
                <w:b w:val="1"/>
                <w:bCs w:val="1"/>
                <w:color w:val="auto"/>
                <w:w w:val="99"/>
              </w:rPr>
              <w:t>Assets</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7" w:lineRule="exact"/>
              <w:rPr>
                <w:sz w:val="20"/>
                <w:szCs w:val="20"/>
                <w:color w:val="auto"/>
              </w:rPr>
            </w:pPr>
            <w:r>
              <w:rPr>
                <w:rFonts w:ascii="Arial" w:cs="Arial" w:eastAsia="Arial" w:hAnsi="Arial"/>
                <w:sz w:val="11"/>
                <w:szCs w:val="11"/>
                <w:b w:val="1"/>
                <w:bCs w:val="1"/>
                <w:color w:val="auto"/>
              </w:rPr>
              <w:t>Inputs</w:t>
            </w:r>
          </w:p>
        </w:tc>
        <w:tc>
          <w:tcPr>
            <w:tcW w:w="180" w:type="dxa"/>
            <w:vAlign w:val="bottom"/>
          </w:tcPr>
          <w:p>
            <w:pPr>
              <w:spacing w:after="0"/>
              <w:rPr>
                <w:sz w:val="9"/>
                <w:szCs w:val="9"/>
                <w:color w:val="auto"/>
              </w:rPr>
            </w:pPr>
          </w:p>
        </w:tc>
        <w:tc>
          <w:tcPr>
            <w:tcW w:w="1140" w:type="dxa"/>
            <w:vAlign w:val="bottom"/>
          </w:tcPr>
          <w:p>
            <w:pPr>
              <w:jc w:val="center"/>
              <w:ind w:right="92"/>
              <w:spacing w:after="0" w:line="107"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ind w:right="170"/>
              <w:spacing w:after="0" w:line="99" w:lineRule="exact"/>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20"/>
              <w:spacing w:after="0" w:line="99" w:lineRule="exact"/>
              <w:rPr>
                <w:sz w:val="20"/>
                <w:szCs w:val="20"/>
                <w:color w:val="auto"/>
              </w:rPr>
            </w:pPr>
            <w:r>
              <w:rPr>
                <w:rFonts w:ascii="Arial" w:cs="Arial" w:eastAsia="Arial" w:hAnsi="Arial"/>
                <w:sz w:val="11"/>
                <w:szCs w:val="11"/>
                <w:b w:val="1"/>
                <w:bCs w:val="1"/>
                <w:color w:val="auto"/>
              </w:rPr>
              <w:t>(Level 1)</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99" w:lineRule="exact"/>
              <w:rPr>
                <w:sz w:val="20"/>
                <w:szCs w:val="20"/>
                <w:color w:val="auto"/>
              </w:rPr>
            </w:pPr>
            <w:r>
              <w:rPr>
                <w:rFonts w:ascii="Arial" w:cs="Arial" w:eastAsia="Arial" w:hAnsi="Arial"/>
                <w:sz w:val="11"/>
                <w:szCs w:val="11"/>
                <w:b w:val="1"/>
                <w:bCs w:val="1"/>
                <w:color w:val="auto"/>
              </w:rPr>
              <w:t>(Level 2)</w:t>
            </w:r>
          </w:p>
        </w:tc>
        <w:tc>
          <w:tcPr>
            <w:tcW w:w="180" w:type="dxa"/>
            <w:vAlign w:val="bottom"/>
          </w:tcPr>
          <w:p>
            <w:pPr>
              <w:spacing w:after="0"/>
              <w:rPr>
                <w:sz w:val="10"/>
                <w:szCs w:val="10"/>
                <w:color w:val="auto"/>
              </w:rPr>
            </w:pPr>
          </w:p>
        </w:tc>
        <w:tc>
          <w:tcPr>
            <w:tcW w:w="1140" w:type="dxa"/>
            <w:vAlign w:val="bottom"/>
          </w:tcPr>
          <w:p>
            <w:pPr>
              <w:jc w:val="center"/>
              <w:ind w:right="92"/>
              <w:spacing w:after="0" w:line="99" w:lineRule="exact"/>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left="814"/>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equity securities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Pooled funds - equity securities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equity securities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Government bonds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Pooled funds - fixed-income securities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tcPr>
          <w:p>
            <w:pPr>
              <w:spacing w:after="0" w:line="147" w:lineRule="exact"/>
              <w:rPr>
                <w:sz w:val="20"/>
                <w:szCs w:val="20"/>
                <w:color w:val="auto"/>
              </w:rPr>
            </w:pPr>
            <w:r>
              <w:rPr>
                <w:rFonts w:ascii="Arial" w:cs="Arial" w:eastAsia="Arial" w:hAnsi="Arial"/>
                <w:sz w:val="14"/>
                <w:szCs w:val="14"/>
                <w:color w:val="auto"/>
              </w:rPr>
              <w:t>Corporate bonds and</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fixed-income securities</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Buy-in annuity contracts and other</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100"/>
              <w:spacing w:after="0"/>
              <w:rPr>
                <w:sz w:val="20"/>
                <w:szCs w:val="20"/>
                <w:color w:val="auto"/>
              </w:rPr>
            </w:pPr>
            <w:r>
              <w:rPr>
                <w:rFonts w:ascii="Arial" w:cs="Arial" w:eastAsia="Arial" w:hAnsi="Arial"/>
                <w:sz w:val="14"/>
                <w:szCs w:val="14"/>
                <w:color w:val="auto"/>
              </w:rPr>
              <w:t>Total fixed-income securities</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Private equity</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other</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80"/>
              <w:spacing w:after="0"/>
              <w:rPr>
                <w:sz w:val="20"/>
                <w:szCs w:val="20"/>
                <w:color w:val="auto"/>
              </w:rPr>
            </w:pPr>
            <w:r>
              <w:rPr>
                <w:rFonts w:ascii="Arial" w:cs="Arial" w:eastAsia="Arial" w:hAnsi="Arial"/>
                <w:sz w:val="14"/>
                <w:szCs w:val="14"/>
                <w:color w:val="auto"/>
              </w:rPr>
              <w:t>Total assets in the fair value hierarchy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7,003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4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5300" w:type="dxa"/>
            <w:vAlign w:val="bottom"/>
            <w:tcBorders>
              <w:top w:val="single" w:sz="8" w:color="CCEEFF"/>
            </w:tcBorders>
            <w:gridSpan w:val="2"/>
            <w:shd w:val="clear" w:color="auto" w:fill="CCEEFF"/>
          </w:tcPr>
          <w:p>
            <w:pPr>
              <w:ind w:left="180"/>
              <w:spacing w:after="0" w:line="135" w:lineRule="exact"/>
              <w:rPr>
                <w:sz w:val="20"/>
                <w:szCs w:val="20"/>
                <w:color w:val="auto"/>
              </w:rPr>
            </w:pPr>
            <w:r>
              <w:rPr>
                <w:rFonts w:ascii="Arial" w:cs="Arial" w:eastAsia="Arial" w:hAnsi="Arial"/>
                <w:sz w:val="14"/>
                <w:szCs w:val="14"/>
                <w:color w:val="auto"/>
              </w:rPr>
              <w:t>Investments measured at net asset value</w:t>
            </w: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1060" w:type="dxa"/>
            <w:vAlign w:val="bottom"/>
            <w:tcBorders>
              <w:top w:val="single" w:sz="8" w:color="CCEEFF"/>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2,084</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tcPr>
          <w:p>
            <w:pPr>
              <w:ind w:left="80"/>
              <w:spacing w:after="0"/>
              <w:rPr>
                <w:sz w:val="20"/>
                <w:szCs w:val="20"/>
                <w:color w:val="auto"/>
              </w:rPr>
            </w:pPr>
            <w:r>
              <w:rPr>
                <w:rFonts w:ascii="Arial" w:cs="Arial" w:eastAsia="Arial" w:hAnsi="Arial"/>
                <w:sz w:val="14"/>
                <w:szCs w:val="14"/>
                <w:color w:val="auto"/>
              </w:rPr>
              <w:t>Total investments at fair value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excluded plan assets of $96 million at December 31, 2024 and $97 million at December 31, 2023 from the above tables related to certain insurance contracts as they are reported at contract value, in accordance with authoritative guidance.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23" w:lineRule="exact"/>
        <w:rPr>
          <w:sz w:val="20"/>
          <w:szCs w:val="20"/>
          <w:color w:val="auto"/>
        </w:rPr>
      </w:pPr>
    </w:p>
    <w:p>
      <w:pPr>
        <w:ind w:left="260" w:hanging="254"/>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Level 1 – includes primarily U.S and non-U.S. equity securities and government bonds valued using quoted prices in active markets.</w:t>
      </w:r>
    </w:p>
    <w:p>
      <w:pPr>
        <w:spacing w:after="0" w:line="10" w:lineRule="exact"/>
        <w:rPr>
          <w:rFonts w:ascii="Arial" w:cs="Arial" w:eastAsia="Arial" w:hAnsi="Arial"/>
          <w:sz w:val="14"/>
          <w:szCs w:val="14"/>
          <w:color w:val="auto"/>
        </w:rPr>
      </w:pPr>
    </w:p>
    <w:p>
      <w:pPr>
        <w:jc w:val="both"/>
        <w:ind w:left="260" w:hanging="254"/>
        <w:spacing w:after="0" w:line="256" w:lineRule="auto"/>
        <w:tabs>
          <w:tab w:leader="none" w:pos="2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ind w:left="260" w:hanging="254"/>
        <w:spacing w:after="0" w:line="256" w:lineRule="auto"/>
        <w:tabs>
          <w:tab w:leader="none" w:pos="2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Level 3 – includes investments valued using unobservable inputs that reflect the plans’ assumptions that market participants would use in pricing the assets, based on the best information available.</w:t>
      </w:r>
    </w:p>
    <w:p>
      <w:pPr>
        <w:ind w:left="520" w:hanging="256"/>
        <w:spacing w:after="0" w:line="256" w:lineRule="auto"/>
        <w:tabs>
          <w:tab w:leader="none" w:pos="516" w:val="left"/>
        </w:tabs>
        <w:numPr>
          <w:ilvl w:val="1"/>
          <w:numId w:val="39"/>
        </w:numPr>
        <w:rPr>
          <w:rFonts w:ascii="Arial" w:cs="Arial" w:eastAsia="Arial" w:hAnsi="Arial"/>
          <w:sz w:val="14"/>
          <w:szCs w:val="14"/>
          <w:color w:val="auto"/>
        </w:rPr>
      </w:pPr>
      <w:r>
        <w:rPr>
          <w:rFonts w:ascii="Arial" w:cs="Arial" w:eastAsia="Arial" w:hAnsi="Arial"/>
          <w:sz w:val="14"/>
          <w:szCs w:val="14"/>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jc w:val="both"/>
        <w:ind w:left="520" w:hanging="256"/>
        <w:spacing w:after="0" w:line="256" w:lineRule="auto"/>
        <w:tabs>
          <w:tab w:leader="none" w:pos="516" w:val="left"/>
        </w:tabs>
        <w:numPr>
          <w:ilvl w:val="1"/>
          <w:numId w:val="39"/>
        </w:numPr>
        <w:rPr>
          <w:rFonts w:ascii="Arial" w:cs="Arial" w:eastAsia="Arial" w:hAnsi="Arial"/>
          <w:sz w:val="14"/>
          <w:szCs w:val="14"/>
          <w:color w:val="auto"/>
        </w:rPr>
      </w:pPr>
      <w:r>
        <w:rPr>
          <w:rFonts w:ascii="Arial" w:cs="Arial" w:eastAsia="Arial" w:hAnsi="Arial"/>
          <w:sz w:val="14"/>
          <w:szCs w:val="14"/>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ind w:left="520" w:hanging="256"/>
        <w:spacing w:after="0" w:line="256" w:lineRule="auto"/>
        <w:tabs>
          <w:tab w:leader="none" w:pos="516" w:val="left"/>
        </w:tabs>
        <w:numPr>
          <w:ilvl w:val="1"/>
          <w:numId w:val="39"/>
        </w:numPr>
        <w:rPr>
          <w:rFonts w:ascii="Arial" w:cs="Arial" w:eastAsia="Arial" w:hAnsi="Arial"/>
          <w:sz w:val="14"/>
          <w:szCs w:val="14"/>
          <w:color w:val="auto"/>
        </w:rPr>
      </w:pPr>
      <w:r>
        <w:rPr>
          <w:rFonts w:ascii="Arial" w:cs="Arial" w:eastAsia="Arial" w:hAnsi="Arial"/>
          <w:sz w:val="14"/>
          <w:szCs w:val="14"/>
          <w:color w:val="auto"/>
        </w:rPr>
        <w:t>Fair value estimates for private debt placements are calculated using standardized valuation methods, including income-based techniques such as discounted cash flow projections or market-based techniques utilizing public and private transaction multiples as comparables.</w:t>
      </w:r>
    </w:p>
    <w:p>
      <w:pPr>
        <w:ind w:left="520" w:hanging="256"/>
        <w:spacing w:after="0" w:line="256" w:lineRule="auto"/>
        <w:tabs>
          <w:tab w:leader="none" w:pos="516" w:val="left"/>
        </w:tabs>
        <w:numPr>
          <w:ilvl w:val="1"/>
          <w:numId w:val="39"/>
        </w:numPr>
        <w:rPr>
          <w:rFonts w:ascii="Arial" w:cs="Arial" w:eastAsia="Arial" w:hAnsi="Arial"/>
          <w:sz w:val="14"/>
          <w:szCs w:val="14"/>
          <w:color w:val="auto"/>
        </w:rPr>
      </w:pPr>
      <w:r>
        <w:rPr>
          <w:rFonts w:ascii="Arial" w:cs="Arial" w:eastAsia="Arial" w:hAnsi="Arial"/>
          <w:sz w:val="14"/>
          <w:szCs w:val="14"/>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jc w:val="both"/>
        <w:ind w:left="520" w:hanging="256"/>
        <w:spacing w:after="0" w:line="256" w:lineRule="auto"/>
        <w:tabs>
          <w:tab w:leader="none" w:pos="516" w:val="left"/>
        </w:tabs>
        <w:numPr>
          <w:ilvl w:val="1"/>
          <w:numId w:val="39"/>
        </w:numPr>
        <w:rPr>
          <w:rFonts w:ascii="Arial" w:cs="Arial" w:eastAsia="Arial" w:hAnsi="Arial"/>
          <w:sz w:val="14"/>
          <w:szCs w:val="14"/>
          <w:color w:val="auto"/>
        </w:rPr>
      </w:pPr>
      <w:r>
        <w:rPr>
          <w:rFonts w:ascii="Arial" w:cs="Arial" w:eastAsia="Arial" w:hAnsi="Arial"/>
          <w:sz w:val="14"/>
          <w:szCs w:val="14"/>
          <w:color w:val="auto"/>
        </w:rPr>
        <w:t>Fair value estimates for buy-in annuity policies (excluding the MDLZ Global Plan buy-in) are calculated on a replacement policy value basis by discounting the projected cash flows of the plan members using a discount rate based on risk-free rates and adjustments for estimated levels of insurer pricing. Fair value of the MDLZ Global Plan buy-in annuity is set equal to the estimated contract value as of December 31, 2024.</w:t>
      </w:r>
    </w:p>
    <w:p>
      <w:pPr>
        <w:ind w:left="260" w:hanging="254"/>
        <w:spacing w:after="0" w:line="258" w:lineRule="auto"/>
        <w:tabs>
          <w:tab w:leader="none" w:pos="2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Net asset value – primarily includes equity funds, fixed income funds, real estate funds, hedge funds and private equity investments for which net asset values are normally used.</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Changes in our Level 3 plan assets included: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January 1,</w:t>
            </w:r>
          </w:p>
        </w:tc>
        <w:tc>
          <w:tcPr>
            <w:tcW w:w="200" w:type="dxa"/>
            <w:vAlign w:val="bottom"/>
          </w:tcPr>
          <w:p>
            <w:pPr>
              <w:spacing w:after="0"/>
              <w:rPr>
                <w:sz w:val="10"/>
                <w:szCs w:val="1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Net Realized</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1"/>
                <w:szCs w:val="11"/>
                <w:b w:val="1"/>
                <w:bCs w:val="1"/>
                <w:color w:val="auto"/>
              </w:rPr>
              <w:t>Net Purchases,</w:t>
            </w:r>
          </w:p>
        </w:tc>
        <w:tc>
          <w:tcPr>
            <w:tcW w:w="106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rPr>
              <w:t>Net Transfers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rPr>
              <w:t>and Unrealized</w:t>
            </w:r>
          </w:p>
        </w:tc>
        <w:tc>
          <w:tcPr>
            <w:tcW w:w="2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Currency</w:t>
            </w: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 Category</w:t>
            </w:r>
          </w:p>
        </w:tc>
        <w:tc>
          <w:tcPr>
            <w:tcW w:w="220" w:type="dxa"/>
            <w:vAlign w:val="bottom"/>
          </w:tcPr>
          <w:p>
            <w:pPr>
              <w:spacing w:after="0"/>
              <w:rPr>
                <w:sz w:val="10"/>
                <w:szCs w:val="10"/>
                <w:color w:val="auto"/>
              </w:rPr>
            </w:pPr>
          </w:p>
        </w:tc>
        <w:tc>
          <w:tcPr>
            <w:tcW w:w="1100" w:type="dxa"/>
            <w:vAlign w:val="bottom"/>
          </w:tcPr>
          <w:p>
            <w:pPr>
              <w:jc w:val="center"/>
              <w:ind w:right="155"/>
              <w:spacing w:after="0" w:line="119" w:lineRule="exact"/>
              <w:rPr>
                <w:sz w:val="20"/>
                <w:szCs w:val="20"/>
                <w:color w:val="auto"/>
              </w:rPr>
            </w:pPr>
            <w:r>
              <w:rPr>
                <w:rFonts w:ascii="Arial" w:cs="Arial" w:eastAsia="Arial" w:hAnsi="Arial"/>
                <w:sz w:val="11"/>
                <w:szCs w:val="11"/>
                <w:b w:val="1"/>
                <w:bCs w:val="1"/>
                <w:color w:val="auto"/>
                <w:w w:val="97"/>
              </w:rPr>
              <w:t>2024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Gains/</w:t>
            </w:r>
          </w:p>
        </w:tc>
        <w:tc>
          <w:tcPr>
            <w:tcW w:w="200" w:type="dxa"/>
            <w:vAlign w:val="bottom"/>
          </w:tcPr>
          <w:p>
            <w:pPr>
              <w:spacing w:after="0"/>
              <w:rPr>
                <w:sz w:val="10"/>
                <w:szCs w:val="10"/>
                <w:color w:val="auto"/>
              </w:rPr>
            </w:pPr>
          </w:p>
        </w:tc>
        <w:tc>
          <w:tcPr>
            <w:tcW w:w="1360" w:type="dxa"/>
            <w:vAlign w:val="bottom"/>
            <w:gridSpan w:val="3"/>
          </w:tcPr>
          <w:p>
            <w:pPr>
              <w:jc w:val="center"/>
              <w:ind w:right="320"/>
              <w:spacing w:after="0" w:line="119" w:lineRule="exact"/>
              <w:rPr>
                <w:sz w:val="20"/>
                <w:szCs w:val="20"/>
                <w:color w:val="auto"/>
              </w:rPr>
            </w:pPr>
            <w:r>
              <w:rPr>
                <w:rFonts w:ascii="Arial" w:cs="Arial" w:eastAsia="Arial" w:hAnsi="Arial"/>
                <w:sz w:val="11"/>
                <w:szCs w:val="11"/>
                <w:b w:val="1"/>
                <w:bCs w:val="1"/>
                <w:color w:val="auto"/>
              </w:rPr>
              <w:t>Issuances and</w:t>
            </w:r>
          </w:p>
        </w:tc>
        <w:tc>
          <w:tcPr>
            <w:tcW w:w="1060" w:type="dxa"/>
            <w:vAlign w:val="bottom"/>
          </w:tcPr>
          <w:p>
            <w:pPr>
              <w:jc w:val="center"/>
              <w:ind w:left="177"/>
              <w:spacing w:after="0" w:line="119" w:lineRule="exact"/>
              <w:rPr>
                <w:sz w:val="20"/>
                <w:szCs w:val="20"/>
                <w:color w:val="auto"/>
              </w:rPr>
            </w:pPr>
            <w:r>
              <w:rPr>
                <w:rFonts w:ascii="Arial" w:cs="Arial" w:eastAsia="Arial" w:hAnsi="Arial"/>
                <w:sz w:val="11"/>
                <w:szCs w:val="11"/>
                <w:b w:val="1"/>
                <w:bCs w:val="1"/>
                <w:color w:val="auto"/>
              </w:rPr>
              <w:t>Into/(Out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5"/>
              <w:spacing w:after="0" w:line="119" w:lineRule="exact"/>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99" w:lineRule="exact"/>
              <w:rPr>
                <w:sz w:val="20"/>
                <w:szCs w:val="20"/>
                <w:color w:val="auto"/>
              </w:rPr>
            </w:pPr>
            <w:r>
              <w:rPr>
                <w:rFonts w:ascii="Arial" w:cs="Arial" w:eastAsia="Arial" w:hAnsi="Arial"/>
                <w:sz w:val="11"/>
                <w:szCs w:val="11"/>
                <w:b w:val="1"/>
                <w:bCs w:val="1"/>
                <w:color w:val="auto"/>
              </w:rPr>
              <w:t>Balance</w:t>
            </w:r>
          </w:p>
        </w:tc>
        <w:tc>
          <w:tcPr>
            <w:tcW w:w="200" w:type="dxa"/>
            <w:vAlign w:val="bottom"/>
          </w:tcPr>
          <w:p>
            <w:pPr>
              <w:spacing w:after="0"/>
              <w:rPr>
                <w:sz w:val="10"/>
                <w:szCs w:val="10"/>
                <w:color w:val="auto"/>
              </w:rPr>
            </w:pPr>
          </w:p>
        </w:tc>
        <w:tc>
          <w:tcPr>
            <w:tcW w:w="1340" w:type="dxa"/>
            <w:vAlign w:val="bottom"/>
            <w:gridSpan w:val="2"/>
          </w:tcPr>
          <w:p>
            <w:pPr>
              <w:jc w:val="center"/>
              <w:ind w:right="300"/>
              <w:spacing w:after="0" w:line="99" w:lineRule="exact"/>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0"/>
                <w:szCs w:val="10"/>
                <w:color w:val="auto"/>
              </w:rPr>
            </w:pPr>
          </w:p>
        </w:tc>
        <w:tc>
          <w:tcPr>
            <w:tcW w:w="1360" w:type="dxa"/>
            <w:vAlign w:val="bottom"/>
            <w:gridSpan w:val="3"/>
          </w:tcPr>
          <w:p>
            <w:pPr>
              <w:jc w:val="center"/>
              <w:ind w:right="320"/>
              <w:spacing w:after="0" w:line="99" w:lineRule="exact"/>
              <w:rPr>
                <w:sz w:val="20"/>
                <w:szCs w:val="20"/>
                <w:color w:val="auto"/>
              </w:rPr>
            </w:pPr>
            <w:r>
              <w:rPr>
                <w:rFonts w:ascii="Arial" w:cs="Arial" w:eastAsia="Arial" w:hAnsi="Arial"/>
                <w:sz w:val="11"/>
                <w:szCs w:val="11"/>
                <w:b w:val="1"/>
                <w:bCs w:val="1"/>
                <w:color w:val="auto"/>
              </w:rPr>
              <w:t>Settlements</w:t>
            </w:r>
          </w:p>
        </w:tc>
        <w:tc>
          <w:tcPr>
            <w:tcW w:w="1060" w:type="dxa"/>
            <w:vAlign w:val="bottom"/>
          </w:tcPr>
          <w:p>
            <w:pPr>
              <w:jc w:val="center"/>
              <w:ind w:left="177"/>
              <w:spacing w:after="0" w:line="99" w:lineRule="exact"/>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300"/>
              <w:spacing w:after="0" w:line="99" w:lineRule="exact"/>
              <w:rPr>
                <w:sz w:val="20"/>
                <w:szCs w:val="20"/>
                <w:color w:val="auto"/>
              </w:rPr>
            </w:pPr>
            <w:r>
              <w:rPr>
                <w:rFonts w:ascii="Arial" w:cs="Arial" w:eastAsia="Arial" w:hAnsi="Arial"/>
                <w:sz w:val="11"/>
                <w:szCs w:val="11"/>
                <w:b w:val="1"/>
                <w:bCs w:val="1"/>
                <w:color w:val="auto"/>
              </w:rPr>
              <w:t>Impact</w:t>
            </w:r>
          </w:p>
        </w:tc>
        <w:tc>
          <w:tcPr>
            <w:tcW w:w="180" w:type="dxa"/>
            <w:vAlign w:val="bottom"/>
          </w:tcPr>
          <w:p>
            <w:pPr>
              <w:spacing w:after="0"/>
              <w:rPr>
                <w:sz w:val="10"/>
                <w:szCs w:val="10"/>
                <w:color w:val="auto"/>
              </w:rPr>
            </w:pPr>
          </w:p>
        </w:tc>
        <w:tc>
          <w:tcPr>
            <w:tcW w:w="1140" w:type="dxa"/>
            <w:vAlign w:val="bottom"/>
          </w:tcPr>
          <w:p>
            <w:pPr>
              <w:jc w:val="center"/>
              <w:ind w:right="115"/>
              <w:spacing w:after="0" w:line="99" w:lineRule="exact"/>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ind w:left="72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Buy-in annuity contracts and other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Private equity and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Arial" w:cs="Arial" w:eastAsia="Arial" w:hAnsi="Arial"/>
                <w:sz w:val="14"/>
                <w:szCs w:val="14"/>
                <w:color w:val="auto"/>
              </w:rPr>
              <w:t>Total Level 3 investments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January 1,</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Net Realized</w:t>
            </w:r>
          </w:p>
        </w:tc>
        <w:tc>
          <w:tcPr>
            <w:tcW w:w="200" w:type="dxa"/>
            <w:vAlign w:val="bottom"/>
          </w:tcPr>
          <w:p>
            <w:pPr>
              <w:spacing w:after="0"/>
              <w:rPr>
                <w:sz w:val="18"/>
                <w:szCs w:val="18"/>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1"/>
                <w:szCs w:val="11"/>
                <w:b w:val="1"/>
                <w:bCs w:val="1"/>
                <w:color w:val="auto"/>
              </w:rPr>
              <w:t>Net Purchases,</w:t>
            </w:r>
          </w:p>
        </w:tc>
        <w:tc>
          <w:tcPr>
            <w:tcW w:w="106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rPr>
              <w:t>Net Transfers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rPr>
              <w:t>and Unrealized</w:t>
            </w:r>
          </w:p>
        </w:tc>
        <w:tc>
          <w:tcPr>
            <w:tcW w:w="2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Currency</w:t>
            </w: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 Category</w:t>
            </w:r>
          </w:p>
        </w:tc>
        <w:tc>
          <w:tcPr>
            <w:tcW w:w="220" w:type="dxa"/>
            <w:vAlign w:val="bottom"/>
          </w:tcPr>
          <w:p>
            <w:pPr>
              <w:spacing w:after="0"/>
              <w:rPr>
                <w:sz w:val="10"/>
                <w:szCs w:val="10"/>
                <w:color w:val="auto"/>
              </w:rPr>
            </w:pPr>
          </w:p>
        </w:tc>
        <w:tc>
          <w:tcPr>
            <w:tcW w:w="1100" w:type="dxa"/>
            <w:vAlign w:val="bottom"/>
          </w:tcPr>
          <w:p>
            <w:pPr>
              <w:jc w:val="center"/>
              <w:ind w:right="155"/>
              <w:spacing w:after="0" w:line="119" w:lineRule="exact"/>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Gains/</w:t>
            </w:r>
          </w:p>
        </w:tc>
        <w:tc>
          <w:tcPr>
            <w:tcW w:w="200" w:type="dxa"/>
            <w:vAlign w:val="bottom"/>
          </w:tcPr>
          <w:p>
            <w:pPr>
              <w:spacing w:after="0"/>
              <w:rPr>
                <w:sz w:val="10"/>
                <w:szCs w:val="10"/>
                <w:color w:val="auto"/>
              </w:rPr>
            </w:pPr>
          </w:p>
        </w:tc>
        <w:tc>
          <w:tcPr>
            <w:tcW w:w="1360" w:type="dxa"/>
            <w:vAlign w:val="bottom"/>
            <w:gridSpan w:val="3"/>
          </w:tcPr>
          <w:p>
            <w:pPr>
              <w:jc w:val="center"/>
              <w:ind w:right="320"/>
              <w:spacing w:after="0" w:line="119" w:lineRule="exact"/>
              <w:rPr>
                <w:sz w:val="20"/>
                <w:szCs w:val="20"/>
                <w:color w:val="auto"/>
              </w:rPr>
            </w:pPr>
            <w:r>
              <w:rPr>
                <w:rFonts w:ascii="Arial" w:cs="Arial" w:eastAsia="Arial" w:hAnsi="Arial"/>
                <w:sz w:val="11"/>
                <w:szCs w:val="11"/>
                <w:b w:val="1"/>
                <w:bCs w:val="1"/>
                <w:color w:val="auto"/>
              </w:rPr>
              <w:t>Issuances and</w:t>
            </w:r>
          </w:p>
        </w:tc>
        <w:tc>
          <w:tcPr>
            <w:tcW w:w="1060" w:type="dxa"/>
            <w:vAlign w:val="bottom"/>
          </w:tcPr>
          <w:p>
            <w:pPr>
              <w:jc w:val="center"/>
              <w:ind w:left="177"/>
              <w:spacing w:after="0" w:line="119" w:lineRule="exact"/>
              <w:rPr>
                <w:sz w:val="20"/>
                <w:szCs w:val="20"/>
                <w:color w:val="auto"/>
              </w:rPr>
            </w:pPr>
            <w:r>
              <w:rPr>
                <w:rFonts w:ascii="Arial" w:cs="Arial" w:eastAsia="Arial" w:hAnsi="Arial"/>
                <w:sz w:val="11"/>
                <w:szCs w:val="11"/>
                <w:b w:val="1"/>
                <w:bCs w:val="1"/>
                <w:color w:val="auto"/>
              </w:rPr>
              <w:t>Into/(Out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5"/>
              <w:spacing w:after="0" w:line="119" w:lineRule="exact"/>
              <w:rPr>
                <w:sz w:val="20"/>
                <w:szCs w:val="20"/>
                <w:color w:val="auto"/>
              </w:rPr>
            </w:pPr>
            <w:r>
              <w:rPr>
                <w:rFonts w:ascii="Arial" w:cs="Arial" w:eastAsia="Arial" w:hAnsi="Arial"/>
                <w:sz w:val="11"/>
                <w:szCs w:val="11"/>
                <w:b w:val="1"/>
                <w:bCs w:val="1"/>
                <w:color w:val="auto"/>
                <w:w w:val="97"/>
              </w:rPr>
              <w:t>2023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99" w:lineRule="exact"/>
              <w:rPr>
                <w:sz w:val="20"/>
                <w:szCs w:val="20"/>
                <w:color w:val="auto"/>
              </w:rPr>
            </w:pPr>
            <w:r>
              <w:rPr>
                <w:rFonts w:ascii="Arial" w:cs="Arial" w:eastAsia="Arial" w:hAnsi="Arial"/>
                <w:sz w:val="11"/>
                <w:szCs w:val="11"/>
                <w:b w:val="1"/>
                <w:bCs w:val="1"/>
                <w:color w:val="auto"/>
              </w:rPr>
              <w:t>Balance</w:t>
            </w:r>
          </w:p>
        </w:tc>
        <w:tc>
          <w:tcPr>
            <w:tcW w:w="200" w:type="dxa"/>
            <w:vAlign w:val="bottom"/>
          </w:tcPr>
          <w:p>
            <w:pPr>
              <w:spacing w:after="0"/>
              <w:rPr>
                <w:sz w:val="10"/>
                <w:szCs w:val="10"/>
                <w:color w:val="auto"/>
              </w:rPr>
            </w:pPr>
          </w:p>
        </w:tc>
        <w:tc>
          <w:tcPr>
            <w:tcW w:w="1340" w:type="dxa"/>
            <w:vAlign w:val="bottom"/>
            <w:gridSpan w:val="2"/>
          </w:tcPr>
          <w:p>
            <w:pPr>
              <w:jc w:val="center"/>
              <w:ind w:right="300"/>
              <w:spacing w:after="0" w:line="99" w:lineRule="exact"/>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0"/>
                <w:szCs w:val="10"/>
                <w:color w:val="auto"/>
              </w:rPr>
            </w:pPr>
          </w:p>
        </w:tc>
        <w:tc>
          <w:tcPr>
            <w:tcW w:w="1360" w:type="dxa"/>
            <w:vAlign w:val="bottom"/>
            <w:gridSpan w:val="3"/>
          </w:tcPr>
          <w:p>
            <w:pPr>
              <w:jc w:val="center"/>
              <w:ind w:right="320"/>
              <w:spacing w:after="0" w:line="99" w:lineRule="exact"/>
              <w:rPr>
                <w:sz w:val="20"/>
                <w:szCs w:val="20"/>
                <w:color w:val="auto"/>
              </w:rPr>
            </w:pPr>
            <w:r>
              <w:rPr>
                <w:rFonts w:ascii="Arial" w:cs="Arial" w:eastAsia="Arial" w:hAnsi="Arial"/>
                <w:sz w:val="11"/>
                <w:szCs w:val="11"/>
                <w:b w:val="1"/>
                <w:bCs w:val="1"/>
                <w:color w:val="auto"/>
              </w:rPr>
              <w:t>Settlements</w:t>
            </w:r>
          </w:p>
        </w:tc>
        <w:tc>
          <w:tcPr>
            <w:tcW w:w="1060" w:type="dxa"/>
            <w:vAlign w:val="bottom"/>
          </w:tcPr>
          <w:p>
            <w:pPr>
              <w:jc w:val="center"/>
              <w:ind w:left="177"/>
              <w:spacing w:after="0" w:line="99" w:lineRule="exact"/>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300"/>
              <w:spacing w:after="0" w:line="99" w:lineRule="exact"/>
              <w:rPr>
                <w:sz w:val="20"/>
                <w:szCs w:val="20"/>
                <w:color w:val="auto"/>
              </w:rPr>
            </w:pPr>
            <w:r>
              <w:rPr>
                <w:rFonts w:ascii="Arial" w:cs="Arial" w:eastAsia="Arial" w:hAnsi="Arial"/>
                <w:sz w:val="11"/>
                <w:szCs w:val="11"/>
                <w:b w:val="1"/>
                <w:bCs w:val="1"/>
                <w:color w:val="auto"/>
              </w:rPr>
              <w:t>Impact</w:t>
            </w:r>
          </w:p>
        </w:tc>
        <w:tc>
          <w:tcPr>
            <w:tcW w:w="180" w:type="dxa"/>
            <w:vAlign w:val="bottom"/>
          </w:tcPr>
          <w:p>
            <w:pPr>
              <w:spacing w:after="0"/>
              <w:rPr>
                <w:sz w:val="10"/>
                <w:szCs w:val="10"/>
                <w:color w:val="auto"/>
              </w:rPr>
            </w:pPr>
          </w:p>
        </w:tc>
        <w:tc>
          <w:tcPr>
            <w:tcW w:w="1140" w:type="dxa"/>
            <w:vAlign w:val="bottom"/>
          </w:tcPr>
          <w:p>
            <w:pPr>
              <w:jc w:val="center"/>
              <w:ind w:right="115"/>
              <w:spacing w:after="0" w:line="99" w:lineRule="exact"/>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ind w:left="72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Buy-in annuity contracts and other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Private equity and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Arial" w:cs="Arial" w:eastAsia="Arial" w:hAnsi="Arial"/>
                <w:sz w:val="14"/>
                <w:szCs w:val="14"/>
                <w:color w:val="auto"/>
              </w:rPr>
              <w:t>Total Level 3 investments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increase in Level 3 pension plan investments during 2024 was related to net purchases, issuances and settlements, including the purchase of the MDLZ Global Plan buy-in annuity, partially offset by a decreased return on plan assets and currency impact. The decrease in Level 3 pension plan investments during 2023 was related to net purchases, issuances and settlements of corporate bonds and other fixed income securities, partially offset by currency impact and net realized and unrealized gains.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percentage of fair value of pension plan assets was: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0" w:type="dxa"/>
            <w:vAlign w:val="bottom"/>
            <w:tcBorders>
              <w:bottom w:val="single" w:sz="8" w:color="auto"/>
            </w:tcBorders>
            <w:gridSpan w:val="3"/>
          </w:tcPr>
          <w:p>
            <w:pPr>
              <w:jc w:val="center"/>
              <w:ind w:left="973"/>
              <w:spacing w:after="0"/>
              <w:rPr>
                <w:sz w:val="20"/>
                <w:szCs w:val="20"/>
                <w:color w:val="auto"/>
              </w:rPr>
            </w:pPr>
            <w:r>
              <w:rPr>
                <w:rFonts w:ascii="Arial" w:cs="Arial" w:eastAsia="Arial" w:hAnsi="Arial"/>
                <w:sz w:val="11"/>
                <w:szCs w:val="11"/>
                <w:b w:val="1"/>
                <w:bCs w:val="1"/>
                <w:color w:val="auto"/>
              </w:rPr>
              <w:t>U.S. Plans</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center"/>
              <w:ind w:right="968"/>
              <w:spacing w:after="0"/>
              <w:rPr>
                <w:sz w:val="20"/>
                <w:szCs w:val="20"/>
                <w:color w:val="auto"/>
              </w:rPr>
            </w:pPr>
            <w:r>
              <w:rPr>
                <w:rFonts w:ascii="Arial" w:cs="Arial" w:eastAsia="Arial" w:hAnsi="Arial"/>
                <w:sz w:val="11"/>
                <w:szCs w:val="11"/>
                <w:b w:val="1"/>
                <w:bCs w:val="1"/>
                <w:color w:val="auto"/>
              </w:rPr>
              <w:t>Non-U.S. Plans</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0" w:type="dxa"/>
            <w:vAlign w:val="bottom"/>
            <w:tcBorders>
              <w:bottom w:val="single" w:sz="8" w:color="auto"/>
            </w:tcBorders>
            <w:gridSpan w:val="3"/>
          </w:tcPr>
          <w:p>
            <w:pPr>
              <w:jc w:val="center"/>
              <w:ind w:left="953"/>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968"/>
              <w:spacing w:after="0"/>
              <w:rPr>
                <w:sz w:val="20"/>
                <w:szCs w:val="20"/>
                <w:color w:val="auto"/>
              </w:rPr>
            </w:pPr>
            <w:r>
              <w:rPr>
                <w:rFonts w:ascii="Arial" w:cs="Arial" w:eastAsia="Arial" w:hAnsi="Arial"/>
                <w:sz w:val="11"/>
                <w:szCs w:val="11"/>
                <w:b w:val="1"/>
                <w:bCs w:val="1"/>
                <w:color w:val="auto"/>
              </w:rPr>
              <w:t>As of December 31,</w:t>
            </w:r>
          </w:p>
        </w:tc>
      </w:tr>
      <w:tr>
        <w:trPr>
          <w:trHeight w:val="121"/>
        </w:trPr>
        <w:tc>
          <w:tcPr>
            <w:tcW w:w="20" w:type="dxa"/>
            <w:vAlign w:val="bottom"/>
          </w:tcPr>
          <w:p>
            <w:pPr>
              <w:spacing w:after="0"/>
              <w:rPr>
                <w:sz w:val="10"/>
                <w:szCs w:val="10"/>
                <w:color w:val="auto"/>
              </w:rPr>
            </w:pPr>
          </w:p>
        </w:tc>
        <w:tc>
          <w:tcPr>
            <w:tcW w:w="46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Asset Category</w:t>
            </w:r>
          </w:p>
        </w:tc>
        <w:tc>
          <w:tcPr>
            <w:tcW w:w="1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2024</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jc w:val="center"/>
              <w:ind w:right="450"/>
              <w:spacing w:after="0" w:line="121" w:lineRule="exact"/>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0"/>
                <w:szCs w:val="10"/>
                <w:color w:val="auto"/>
              </w:rPr>
            </w:pPr>
          </w:p>
        </w:tc>
        <w:tc>
          <w:tcPr>
            <w:tcW w:w="1040" w:type="dxa"/>
            <w:vAlign w:val="bottom"/>
          </w:tcPr>
          <w:p>
            <w:pPr>
              <w:jc w:val="center"/>
              <w:ind w:left="470"/>
              <w:spacing w:after="0" w:line="121" w:lineRule="exact"/>
              <w:rPr>
                <w:sz w:val="20"/>
                <w:szCs w:val="20"/>
                <w:color w:val="auto"/>
              </w:rPr>
            </w:pPr>
            <w:r>
              <w:rPr>
                <w:rFonts w:ascii="Arial" w:cs="Arial" w:eastAsia="Arial" w:hAnsi="Arial"/>
                <w:sz w:val="11"/>
                <w:szCs w:val="11"/>
                <w:b w:val="1"/>
                <w:bCs w:val="1"/>
                <w:color w:val="auto"/>
              </w:rPr>
              <w:t>2024</w:t>
            </w:r>
          </w:p>
        </w:tc>
        <w:tc>
          <w:tcPr>
            <w:tcW w:w="2220" w:type="dxa"/>
            <w:vAlign w:val="bottom"/>
            <w:gridSpan w:val="3"/>
          </w:tcPr>
          <w:p>
            <w:pPr>
              <w:jc w:val="center"/>
              <w:ind w:left="575"/>
              <w:spacing w:after="0" w:line="121" w:lineRule="exact"/>
              <w:rPr>
                <w:sz w:val="20"/>
                <w:szCs w:val="20"/>
                <w:color w:val="auto"/>
              </w:rPr>
            </w:pPr>
            <w:r>
              <w:rPr>
                <w:rFonts w:ascii="Arial" w:cs="Arial" w:eastAsia="Arial" w:hAnsi="Arial"/>
                <w:sz w:val="11"/>
                <w:szCs w:val="11"/>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470"/>
              <w:spacing w:after="0"/>
              <w:rPr>
                <w:sz w:val="20"/>
                <w:szCs w:val="20"/>
                <w:color w:val="auto"/>
              </w:rPr>
            </w:pPr>
            <w:r>
              <w:rPr>
                <w:rFonts w:ascii="Arial" w:cs="Arial" w:eastAsia="Arial" w:hAnsi="Arial"/>
                <w:sz w:val="14"/>
                <w:szCs w:val="14"/>
                <w:color w:val="auto"/>
                <w:w w:val="99"/>
              </w:rPr>
              <w:t>15%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4"/>
                <w:szCs w:val="14"/>
                <w:color w:val="auto"/>
                <w:w w:val="99"/>
              </w:rPr>
              <w:t>14%</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Fixed-income securities</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center"/>
              <w:ind w:right="470"/>
              <w:spacing w:after="0"/>
              <w:rPr>
                <w:sz w:val="20"/>
                <w:szCs w:val="20"/>
                <w:color w:val="auto"/>
              </w:rPr>
            </w:pPr>
            <w:r>
              <w:rPr>
                <w:rFonts w:ascii="Arial" w:cs="Arial" w:eastAsia="Arial" w:hAnsi="Arial"/>
                <w:sz w:val="14"/>
                <w:szCs w:val="14"/>
                <w:color w:val="auto"/>
                <w:w w:val="99"/>
              </w:rPr>
              <w:t>85%</w:t>
            </w:r>
          </w:p>
        </w:tc>
        <w:tc>
          <w:tcPr>
            <w:tcW w:w="100" w:type="dxa"/>
            <w:vAlign w:val="bottom"/>
          </w:tcPr>
          <w:p>
            <w:pPr>
              <w:spacing w:after="0"/>
              <w:rPr>
                <w:sz w:val="15"/>
                <w:szCs w:val="15"/>
                <w:color w:val="auto"/>
              </w:rPr>
            </w:pPr>
          </w:p>
        </w:tc>
        <w:tc>
          <w:tcPr>
            <w:tcW w:w="1040" w:type="dxa"/>
            <w:vAlign w:val="bottom"/>
          </w:tcPr>
          <w:p>
            <w:pPr>
              <w:jc w:val="center"/>
              <w:ind w:left="490"/>
              <w:spacing w:after="0"/>
              <w:rPr>
                <w:sz w:val="20"/>
                <w:szCs w:val="20"/>
                <w:color w:val="auto"/>
              </w:rPr>
            </w:pPr>
            <w:r>
              <w:rPr>
                <w:rFonts w:ascii="Arial" w:cs="Arial" w:eastAsia="Arial" w:hAnsi="Arial"/>
                <w:sz w:val="14"/>
                <w:szCs w:val="14"/>
                <w:color w:val="auto"/>
                <w:w w:val="99"/>
              </w:rPr>
              <w:t>64%</w:t>
            </w:r>
          </w:p>
        </w:tc>
        <w:tc>
          <w:tcPr>
            <w:tcW w:w="2220" w:type="dxa"/>
            <w:vAlign w:val="bottom"/>
            <w:gridSpan w:val="3"/>
          </w:tcPr>
          <w:p>
            <w:pPr>
              <w:jc w:val="center"/>
              <w:ind w:left="575"/>
              <w:spacing w:after="0"/>
              <w:rPr>
                <w:sz w:val="20"/>
                <w:szCs w:val="20"/>
                <w:color w:val="auto"/>
              </w:rPr>
            </w:pPr>
            <w:r>
              <w:rPr>
                <w:rFonts w:ascii="Arial" w:cs="Arial" w:eastAsia="Arial" w:hAnsi="Arial"/>
                <w:sz w:val="14"/>
                <w:szCs w:val="14"/>
                <w:color w:val="auto"/>
              </w:rPr>
              <w:t>63%</w:t>
            </w:r>
          </w:p>
        </w:tc>
      </w:tr>
      <w:tr>
        <w:trPr>
          <w:trHeight w:val="183"/>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2200" w:type="dxa"/>
            <w:vAlign w:val="bottom"/>
            <w:gridSpan w:val="3"/>
            <w:shd w:val="clear" w:color="auto" w:fill="CCEEFF"/>
          </w:tcPr>
          <w:p>
            <w:pPr>
              <w:jc w:val="center"/>
              <w:ind w:righ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center"/>
              <w:ind w:right="62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4"/>
                <w:szCs w:val="14"/>
                <w:color w:val="auto"/>
                <w:w w:val="98"/>
              </w:rPr>
              <w:t>4%</w:t>
            </w:r>
          </w:p>
        </w:tc>
        <w:tc>
          <w:tcPr>
            <w:tcW w:w="2220" w:type="dxa"/>
            <w:vAlign w:val="bottom"/>
            <w:gridSpan w:val="3"/>
            <w:shd w:val="clear" w:color="auto" w:fill="CCEEFF"/>
          </w:tcPr>
          <w:p>
            <w:pPr>
              <w:jc w:val="center"/>
              <w:ind w:left="575"/>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Buy-in annuity contracts</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75%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490"/>
              <w:spacing w:after="0"/>
              <w:rPr>
                <w:sz w:val="20"/>
                <w:szCs w:val="20"/>
                <w:color w:val="auto"/>
              </w:rPr>
            </w:pPr>
            <w:r>
              <w:rPr>
                <w:rFonts w:ascii="Arial" w:cs="Arial" w:eastAsia="Arial" w:hAnsi="Arial"/>
                <w:sz w:val="14"/>
                <w:szCs w:val="14"/>
                <w:color w:val="auto"/>
                <w:w w:val="99"/>
              </w:rPr>
              <w:t>17%</w:t>
            </w:r>
          </w:p>
        </w:tc>
        <w:tc>
          <w:tcPr>
            <w:tcW w:w="2220" w:type="dxa"/>
            <w:vAlign w:val="bottom"/>
            <w:gridSpan w:val="3"/>
          </w:tcPr>
          <w:p>
            <w:pPr>
              <w:jc w:val="center"/>
              <w:ind w:left="575"/>
              <w:spacing w:after="0"/>
              <w:rPr>
                <w:sz w:val="20"/>
                <w:szCs w:val="20"/>
                <w:color w:val="auto"/>
              </w:rPr>
            </w:pPr>
            <w:r>
              <w:rPr>
                <w:rFonts w:ascii="Arial" w:cs="Arial" w:eastAsia="Arial" w:hAnsi="Arial"/>
                <w:sz w:val="14"/>
                <w:szCs w:val="14"/>
                <w:color w:val="auto"/>
              </w:rPr>
              <w:t>16%</w:t>
            </w:r>
          </w:p>
        </w:tc>
      </w:tr>
      <w:tr>
        <w:trPr>
          <w:trHeight w:val="183"/>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w:t>
            </w:r>
          </w:p>
        </w:tc>
        <w:tc>
          <w:tcPr>
            <w:tcW w:w="2200" w:type="dxa"/>
            <w:vAlign w:val="bottom"/>
            <w:gridSpan w:val="3"/>
            <w:shd w:val="clear" w:color="auto" w:fill="CCEEFF"/>
          </w:tcPr>
          <w:p>
            <w:pPr>
              <w:jc w:val="center"/>
              <w:ind w:righ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center"/>
              <w:ind w:right="62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ind w:left="490"/>
              <w:spacing w:after="0"/>
              <w:rPr>
                <w:sz w:val="20"/>
                <w:szCs w:val="20"/>
                <w:color w:val="auto"/>
              </w:rPr>
            </w:pPr>
            <w:r>
              <w:rPr>
                <w:rFonts w:ascii="Arial" w:cs="Arial" w:eastAsia="Arial" w:hAnsi="Arial"/>
                <w:sz w:val="14"/>
                <w:szCs w:val="14"/>
                <w:color w:val="auto"/>
                <w:w w:val="98"/>
              </w:rPr>
              <w:t>1%</w:t>
            </w:r>
          </w:p>
        </w:tc>
        <w:tc>
          <w:tcPr>
            <w:tcW w:w="2220" w:type="dxa"/>
            <w:vAlign w:val="bottom"/>
            <w:gridSpan w:val="3"/>
            <w:shd w:val="clear" w:color="auto" w:fill="CCEEFF"/>
          </w:tcPr>
          <w:p>
            <w:pPr>
              <w:jc w:val="center"/>
              <w:ind w:left="575"/>
              <w:spacing w:after="0"/>
              <w:rPr>
                <w:sz w:val="20"/>
                <w:szCs w:val="20"/>
                <w:color w:val="auto"/>
              </w:rPr>
            </w:pPr>
            <w:r>
              <w:rPr>
                <w:rFonts w:ascii="Arial" w:cs="Arial" w:eastAsia="Arial" w:hAnsi="Arial"/>
                <w:sz w:val="14"/>
                <w:szCs w:val="14"/>
                <w:color w:val="auto"/>
              </w:rPr>
              <w:t>1%</w:t>
            </w:r>
          </w:p>
        </w:tc>
      </w:tr>
      <w:tr>
        <w:trPr>
          <w:trHeight w:val="173"/>
        </w:trPr>
        <w:tc>
          <w:tcPr>
            <w:tcW w:w="20" w:type="dxa"/>
            <w:vAlign w:val="bottom"/>
          </w:tcPr>
          <w:p>
            <w:pPr>
              <w:spacing w:after="0"/>
              <w:rPr>
                <w:sz w:val="15"/>
                <w:szCs w:val="15"/>
                <w:color w:val="auto"/>
              </w:rPr>
            </w:pPr>
          </w:p>
        </w:tc>
        <w:tc>
          <w:tcPr>
            <w:tcW w:w="46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ind w:right="47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4"/>
                <w:szCs w:val="14"/>
                <w:color w:val="auto"/>
              </w:rPr>
              <w:t>100%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For the MDLZ Global Plan, our assets have been exchanged for buy-in annuity contracts to cover all plan liabilities. For our remaining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13% equity securities, 56% fixed-income securities, 27% buy-in annuity contracts and 4% real estate.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Employer Contributions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2024, we contributed $ 4 million to our U.S. pension plans and $86 million to our non-U.S. pension plans. In addition, employees contributed $23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2025, we estimate that our pension contributions will be $11 million to our U.S. plans and $68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future benefit payments from our pension plans at December 31, 2024 were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2027</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2028</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2029</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2030-2034</w:t>
            </w:r>
          </w:p>
        </w:tc>
      </w:tr>
      <w:tr>
        <w:trPr>
          <w:trHeight w:val="174"/>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Plans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$103</w:t>
            </w: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auto"/>
              </w:rPr>
              <w:t>Non-U.S. Plans</w:t>
            </w:r>
          </w:p>
        </w:tc>
        <w:tc>
          <w:tcPr>
            <w:tcW w:w="1320" w:type="dxa"/>
            <w:vAlign w:val="bottom"/>
          </w:tcPr>
          <w:p>
            <w:pPr>
              <w:jc w:val="center"/>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422</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2,204</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estimated benefit payments for U.S. plans in 2025 is reflective of the expected MDLZ Global Plan buy-out.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Multiemployer Pension Plans</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accordance with obligations we have under collective bargaining agreements, we made contributions to multiemployer pension plans for continuing participation and these amounts were not material. Our contributions are based on our contribution rates under our collective bargaining agreements, the number of our eligible employees and fund surcharges.</w:t>
      </w:r>
    </w:p>
    <w:p>
      <w:pPr>
        <w:spacing w:after="0" w:line="32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On July 11, 2019, we received a withdrawal liability assessment from the Bakery and Confectionery Union and Industry International Pension Fund and recorded a discounted liability of $491 million requiring pro-rata monthly payments over 20 years beginning in the third quarter of 2019. Within </w:t>
      </w:r>
      <w:r>
        <w:rPr>
          <w:rFonts w:ascii="Arial" w:cs="Arial" w:eastAsia="Arial" w:hAnsi="Arial"/>
          <w:sz w:val="14"/>
          <w:szCs w:val="14"/>
          <w:i w:val="1"/>
          <w:iCs w:val="1"/>
          <w:color w:val="auto"/>
        </w:rPr>
        <w:t>interest and other expense, net</w:t>
      </w:r>
      <w:r>
        <w:rPr>
          <w:rFonts w:ascii="Arial" w:cs="Arial" w:eastAsia="Arial" w:hAnsi="Arial"/>
          <w:sz w:val="14"/>
          <w:szCs w:val="14"/>
          <w:color w:val="auto"/>
        </w:rPr>
        <w:t xml:space="preserve">, we recorded accreted interest of $ 10 million in 2024, $10 million in 2023 and $11 million 2022. As of December 31, 2024, the remaining discounted withdrawal liability was $311 million, with $16 million recorded 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and $295 million recorded in </w:t>
      </w:r>
      <w:r>
        <w:rPr>
          <w:rFonts w:ascii="Arial" w:cs="Arial" w:eastAsia="Arial" w:hAnsi="Arial"/>
          <w:sz w:val="14"/>
          <w:szCs w:val="14"/>
          <w:i w:val="1"/>
          <w:iCs w:val="1"/>
          <w:color w:val="auto"/>
        </w:rPr>
        <w:t>long-term other liabilities</w:t>
      </w:r>
      <w:r>
        <w:rPr>
          <w:rFonts w:ascii="Arial" w:cs="Arial" w:eastAsia="Arial" w:hAnsi="Arial"/>
          <w:sz w:val="14"/>
          <w:szCs w:val="14"/>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Costs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$68 million in 2024 and $66 million in 2023 and 2022.</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Postretirement Benefit Plans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Obligations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and the amount of the accrued benefit obligation of U.S. and non-U.S. plans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As of December 31,</w:t>
            </w:r>
          </w:p>
        </w:tc>
        <w:tc>
          <w:tcPr>
            <w:tcW w:w="1160" w:type="dxa"/>
            <w:vAlign w:val="bottom"/>
            <w:tcBorders>
              <w:bottom w:val="single" w:sz="8" w:color="auto"/>
            </w:tcBorders>
          </w:tcPr>
          <w:p>
            <w:pPr>
              <w:spacing w:after="0"/>
              <w:rPr>
                <w:sz w:val="13"/>
                <w:szCs w:val="13"/>
                <w:color w:val="auto"/>
              </w:rPr>
            </w:pPr>
          </w:p>
        </w:tc>
      </w:tr>
      <w:tr>
        <w:trPr>
          <w:trHeight w:val="163"/>
        </w:trPr>
        <w:tc>
          <w:tcPr>
            <w:tcW w:w="7560" w:type="dxa"/>
            <w:vAlign w:val="bottom"/>
          </w:tcPr>
          <w:p>
            <w:pPr>
              <w:spacing w:after="0"/>
              <w:rPr>
                <w:sz w:val="14"/>
                <w:szCs w:val="14"/>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09"/>
              <w:spacing w:after="0"/>
              <w:rPr>
                <w:sz w:val="20"/>
                <w:szCs w:val="20"/>
                <w:color w:val="auto"/>
              </w:rPr>
            </w:pPr>
            <w:r>
              <w:rPr>
                <w:rFonts w:ascii="Arial" w:cs="Arial" w:eastAsia="Arial" w:hAnsi="Arial"/>
                <w:sz w:val="11"/>
                <w:szCs w:val="11"/>
                <w:b w:val="1"/>
                <w:bCs w:val="1"/>
                <w:color w:val="auto"/>
              </w:rPr>
              <w:t>2023</w:t>
            </w:r>
          </w:p>
        </w:tc>
      </w:tr>
      <w:tr>
        <w:trPr>
          <w:trHeight w:val="163"/>
        </w:trPr>
        <w:tc>
          <w:tcPr>
            <w:tcW w:w="7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4"/>
                <w:szCs w:val="14"/>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benefit obligation at January 1</w:t>
            </w:r>
          </w:p>
        </w:tc>
        <w:tc>
          <w:tcPr>
            <w:tcW w:w="1160" w:type="dxa"/>
            <w:vAlign w:val="bottom"/>
            <w:shd w:val="clear" w:color="auto" w:fill="CCEEFF"/>
          </w:tcPr>
          <w:p>
            <w:pPr>
              <w:jc w:val="right"/>
              <w:ind w:right="1013"/>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Benefits paid</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7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 amendments</w:t>
            </w:r>
          </w:p>
        </w:tc>
        <w:tc>
          <w:tcPr>
            <w:tcW w:w="1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Currency</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7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gains</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benefit obligation at December 31</w:t>
            </w: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17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January 1</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Employer Contributions</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3"/>
        </w:trPr>
        <w:tc>
          <w:tcPr>
            <w:tcW w:w="7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 Payments</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Actual Return on Assets</w:t>
            </w: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 at December 31</w:t>
            </w:r>
          </w:p>
        </w:tc>
        <w:tc>
          <w:tcPr>
            <w:tcW w:w="116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plan assets as of December 31, 2024 pertain to the U.S. plan as our postretirement health care plans are funded in the U.S.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current portion of our accrued postretirement benefit obligation of $11 million at both December 31, 2024 and December 31, 2023 was included in other current liabilities.</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actuarial gains for all postretirement plans in 2024 and 2023 were driven by gains related to assumption changes including discount rates used to measure the benefit obligations of those plans.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We used the following weighted-average assumptions to determine our postretirement benefit obligations: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rPr>
              <w:t>U.S. Plans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Non-U.S. Plans</w:t>
            </w:r>
          </w:p>
        </w:tc>
        <w:tc>
          <w:tcPr>
            <w:tcW w:w="820" w:type="dxa"/>
            <w:vAlign w:val="bottom"/>
            <w:tcBorders>
              <w:bottom w:val="single" w:sz="8" w:color="auto"/>
            </w:tcBorders>
          </w:tcPr>
          <w:p>
            <w:pPr>
              <w:spacing w:after="0"/>
              <w:rPr>
                <w:sz w:val="13"/>
                <w:szCs w:val="13"/>
                <w:color w:val="auto"/>
              </w:rPr>
            </w:pPr>
          </w:p>
        </w:tc>
      </w:tr>
      <w:tr>
        <w:trPr>
          <w:trHeight w:val="163"/>
        </w:trPr>
        <w:tc>
          <w:tcPr>
            <w:tcW w:w="5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rPr>
              <w:t>As of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As of December 31,</w:t>
            </w:r>
          </w:p>
        </w:tc>
        <w:tc>
          <w:tcPr>
            <w:tcW w:w="820" w:type="dxa"/>
            <w:vAlign w:val="bottom"/>
            <w:tcBorders>
              <w:bottom w:val="single" w:sz="8" w:color="auto"/>
            </w:tcBorders>
          </w:tcPr>
          <w:p>
            <w:pPr>
              <w:spacing w:after="0"/>
              <w:rPr>
                <w:sz w:val="14"/>
                <w:szCs w:val="14"/>
                <w:color w:val="auto"/>
              </w:rPr>
            </w:pPr>
          </w:p>
        </w:tc>
      </w:tr>
      <w:tr>
        <w:trPr>
          <w:trHeight w:val="163"/>
        </w:trPr>
        <w:tc>
          <w:tcPr>
            <w:tcW w:w="6400" w:type="dxa"/>
            <w:vAlign w:val="bottom"/>
            <w:gridSpan w:val="2"/>
          </w:tcPr>
          <w:p>
            <w:pPr>
              <w:ind w:left="6120"/>
              <w:spacing w:after="0"/>
              <w:rPr>
                <w:sz w:val="20"/>
                <w:szCs w:val="20"/>
                <w:color w:val="auto"/>
              </w:rPr>
            </w:pPr>
            <w:r>
              <w:rPr>
                <w:rFonts w:ascii="Arial" w:cs="Arial" w:eastAsia="Arial" w:hAnsi="Arial"/>
                <w:sz w:val="11"/>
                <w:szCs w:val="11"/>
                <w:b w:val="1"/>
                <w:bCs w:val="1"/>
                <w:color w:val="auto"/>
              </w:rPr>
              <w:t>2024</w:t>
            </w:r>
          </w:p>
        </w:tc>
        <w:tc>
          <w:tcPr>
            <w:tcW w:w="14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142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71"/>
              <w:spacing w:after="0"/>
              <w:rPr>
                <w:sz w:val="20"/>
                <w:szCs w:val="20"/>
                <w:color w:val="auto"/>
              </w:rPr>
            </w:pPr>
            <w:r>
              <w:rPr>
                <w:rFonts w:ascii="Arial" w:cs="Arial" w:eastAsia="Arial" w:hAnsi="Arial"/>
                <w:sz w:val="11"/>
                <w:szCs w:val="11"/>
                <w:b w:val="1"/>
                <w:bCs w:val="1"/>
                <w:color w:val="auto"/>
              </w:rPr>
              <w:t>2023</w:t>
            </w:r>
          </w:p>
        </w:tc>
      </w:tr>
      <w:tr>
        <w:trPr>
          <w:trHeight w:val="17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5.70 %</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5.77 %</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5.72 %</w:t>
            </w:r>
          </w:p>
        </w:tc>
      </w:tr>
      <w:tr>
        <w:trPr>
          <w:trHeight w:val="183"/>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Health care cost trend rate assumed for next year</w:t>
            </w:r>
          </w:p>
        </w:tc>
        <w:tc>
          <w:tcPr>
            <w:tcW w:w="520" w:type="dxa"/>
            <w:vAlign w:val="bottom"/>
          </w:tcPr>
          <w:p>
            <w:pPr>
              <w:jc w:val="right"/>
              <w:spacing w:after="0"/>
              <w:rPr>
                <w:sz w:val="20"/>
                <w:szCs w:val="20"/>
                <w:color w:val="auto"/>
              </w:rPr>
            </w:pPr>
            <w:r>
              <w:rPr>
                <w:rFonts w:ascii="Arial" w:cs="Arial" w:eastAsia="Arial" w:hAnsi="Arial"/>
                <w:sz w:val="14"/>
                <w:szCs w:val="14"/>
                <w:color w:val="auto"/>
              </w:rPr>
              <w:t>6.50 %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6.75 %</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5.04 %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5.07 %</w:t>
            </w:r>
          </w:p>
        </w:tc>
      </w:tr>
      <w:tr>
        <w:trPr>
          <w:trHeight w:val="18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Ultimate health care cost trend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4.63 %</w:t>
            </w:r>
          </w:p>
        </w:tc>
      </w:tr>
      <w:tr>
        <w:trPr>
          <w:trHeight w:val="190"/>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520" w:type="dxa"/>
            <w:vAlign w:val="bottom"/>
          </w:tcPr>
          <w:p>
            <w:pPr>
              <w:jc w:val="right"/>
              <w:spacing w:after="0"/>
              <w:rPr>
                <w:sz w:val="20"/>
                <w:szCs w:val="20"/>
                <w:color w:val="auto"/>
              </w:rPr>
            </w:pPr>
            <w:r>
              <w:rPr>
                <w:rFonts w:ascii="Arial" w:cs="Arial" w:eastAsia="Arial" w:hAnsi="Arial"/>
                <w:sz w:val="14"/>
                <w:szCs w:val="14"/>
                <w:color w:val="auto"/>
              </w:rPr>
              <w:t>2031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2040</w:t>
            </w:r>
          </w:p>
        </w:tc>
      </w:tr>
    </w:tbl>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Components of Net Periodic Postretirement Health Care Costs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net periodic postretirement (benefit)/cost was $(11) million, $(5) million and $12 million for the years ended December 31, 2024,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We used the following weighted-average assumptions to determine our net periodic postretirement health care cost:</w:t>
      </w:r>
    </w:p>
    <w:p>
      <w:pPr>
        <w:spacing w:after="0" w:line="146" w:lineRule="exact"/>
        <w:rPr>
          <w:sz w:val="20"/>
          <w:szCs w:val="20"/>
          <w:color w:val="auto"/>
        </w:rPr>
      </w:pPr>
    </w:p>
    <w:tbl>
      <w:tblPr>
        <w:tblLayout w:type="fixed"/>
        <w:tblInd w:w="2760" w:type="dxa"/>
        <w:tblCellMar>
          <w:top w:w="0" w:type="dxa"/>
          <w:left w:w="0" w:type="dxa"/>
          <w:bottom w:w="0" w:type="dxa"/>
          <w:right w:w="0" w:type="dxa"/>
        </w:tblCellMar>
      </w:tblPr>
      <w:tr>
        <w:trPr>
          <w:trHeight w:val="158"/>
        </w:trPr>
        <w:tc>
          <w:tcPr>
            <w:tcW w:w="9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U.S. Plans</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Non-U.S. Plans</w:t>
            </w:r>
          </w:p>
        </w:tc>
        <w:tc>
          <w:tcPr>
            <w:tcW w:w="980" w:type="dxa"/>
            <w:vAlign w:val="bottom"/>
            <w:tcBorders>
              <w:bottom w:val="single" w:sz="8" w:color="auto"/>
            </w:tcBorders>
          </w:tcPr>
          <w:p>
            <w:pPr>
              <w:spacing w:after="0"/>
              <w:rPr>
                <w:sz w:val="13"/>
                <w:szCs w:val="13"/>
                <w:color w:val="auto"/>
              </w:rPr>
            </w:pPr>
          </w:p>
        </w:tc>
      </w:tr>
      <w:tr>
        <w:trPr>
          <w:trHeight w:val="163"/>
        </w:trPr>
        <w:tc>
          <w:tcPr>
            <w:tcW w:w="9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 the Years Ended December 31,</w:t>
            </w:r>
          </w:p>
        </w:tc>
        <w:tc>
          <w:tcPr>
            <w:tcW w:w="980" w:type="dxa"/>
            <w:vAlign w:val="bottom"/>
            <w:tcBorders>
              <w:bottom w:val="single" w:sz="8" w:color="auto"/>
            </w:tcBorders>
          </w:tcPr>
          <w:p>
            <w:pPr>
              <w:spacing w:after="0"/>
              <w:rPr>
                <w:sz w:val="14"/>
                <w:szCs w:val="14"/>
                <w:color w:val="auto"/>
              </w:rPr>
            </w:pPr>
          </w:p>
        </w:tc>
      </w:tr>
      <w:tr>
        <w:trPr>
          <w:trHeight w:val="162"/>
        </w:trPr>
        <w:tc>
          <w:tcPr>
            <w:tcW w:w="960" w:type="dxa"/>
            <w:vAlign w:val="bottom"/>
          </w:tcPr>
          <w:p>
            <w:pPr>
              <w:jc w:val="right"/>
              <w:ind w:right="123"/>
              <w:spacing w:after="0"/>
              <w:rPr>
                <w:sz w:val="20"/>
                <w:szCs w:val="20"/>
                <w:color w:val="auto"/>
              </w:rPr>
            </w:pPr>
            <w:r>
              <w:rPr>
                <w:rFonts w:ascii="Arial" w:cs="Arial" w:eastAsia="Arial" w:hAnsi="Arial"/>
                <w:sz w:val="11"/>
                <w:szCs w:val="11"/>
                <w:b w:val="1"/>
                <w:bCs w:val="1"/>
                <w:color w:val="auto"/>
              </w:rPr>
              <w:t>2024</w:t>
            </w:r>
          </w:p>
        </w:tc>
        <w:tc>
          <w:tcPr>
            <w:tcW w:w="2220" w:type="dxa"/>
            <w:vAlign w:val="bottom"/>
          </w:tcPr>
          <w:p>
            <w:pPr>
              <w:jc w:val="center"/>
              <w:spacing w:after="0"/>
              <w:rPr>
                <w:sz w:val="20"/>
                <w:szCs w:val="20"/>
                <w:color w:val="auto"/>
              </w:rPr>
            </w:pPr>
            <w:r>
              <w:rPr>
                <w:rFonts w:ascii="Arial" w:cs="Arial" w:eastAsia="Arial" w:hAnsi="Arial"/>
                <w:sz w:val="11"/>
                <w:szCs w:val="11"/>
                <w:b w:val="1"/>
                <w:bCs w:val="1"/>
                <w:color w:val="auto"/>
              </w:rPr>
              <w:t>2023</w:t>
            </w:r>
          </w:p>
        </w:tc>
        <w:tc>
          <w:tcPr>
            <w:tcW w:w="980" w:type="dxa"/>
            <w:vAlign w:val="bottom"/>
          </w:tcPr>
          <w:p>
            <w:pPr>
              <w:jc w:val="right"/>
              <w:ind w:right="48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4"/>
                <w:szCs w:val="14"/>
                <w:color w:val="auto"/>
              </w:rPr>
            </w:pPr>
          </w:p>
        </w:tc>
        <w:tc>
          <w:tcPr>
            <w:tcW w:w="980" w:type="dxa"/>
            <w:vAlign w:val="bottom"/>
          </w:tcPr>
          <w:p>
            <w:pPr>
              <w:jc w:val="right"/>
              <w:ind w:right="123"/>
              <w:spacing w:after="0"/>
              <w:rPr>
                <w:sz w:val="20"/>
                <w:szCs w:val="20"/>
                <w:color w:val="auto"/>
              </w:rPr>
            </w:pPr>
            <w:r>
              <w:rPr>
                <w:rFonts w:ascii="Arial" w:cs="Arial" w:eastAsia="Arial" w:hAnsi="Arial"/>
                <w:sz w:val="11"/>
                <w:szCs w:val="11"/>
                <w:b w:val="1"/>
                <w:bCs w:val="1"/>
                <w:color w:val="auto"/>
              </w:rPr>
              <w:t>2024</w:t>
            </w:r>
          </w:p>
        </w:tc>
        <w:tc>
          <w:tcPr>
            <w:tcW w:w="2240" w:type="dxa"/>
            <w:vAlign w:val="bottom"/>
          </w:tcPr>
          <w:p>
            <w:pPr>
              <w:jc w:val="center"/>
              <w:spacing w:after="0"/>
              <w:rPr>
                <w:sz w:val="20"/>
                <w:szCs w:val="20"/>
                <w:color w:val="auto"/>
              </w:rPr>
            </w:pPr>
            <w:r>
              <w:rPr>
                <w:rFonts w:ascii="Arial" w:cs="Arial" w:eastAsia="Arial" w:hAnsi="Arial"/>
                <w:sz w:val="11"/>
                <w:szCs w:val="11"/>
                <w:b w:val="1"/>
                <w:bCs w:val="1"/>
                <w:color w:val="auto"/>
                <w:w w:val="97"/>
              </w:rPr>
              <w:t>2023</w:t>
            </w:r>
          </w:p>
        </w:tc>
        <w:tc>
          <w:tcPr>
            <w:tcW w:w="980" w:type="dxa"/>
            <w:vAlign w:val="bottom"/>
          </w:tcPr>
          <w:p>
            <w:pPr>
              <w:jc w:val="right"/>
              <w:ind w:right="483"/>
              <w:spacing w:after="0"/>
              <w:rPr>
                <w:sz w:val="20"/>
                <w:szCs w:val="20"/>
                <w:color w:val="auto"/>
              </w:rPr>
            </w:pPr>
            <w:r>
              <w:rPr>
                <w:rFonts w:ascii="Arial" w:cs="Arial" w:eastAsia="Arial" w:hAnsi="Arial"/>
                <w:sz w:val="11"/>
                <w:szCs w:val="11"/>
                <w:b w:val="1"/>
                <w:bCs w:val="1"/>
                <w:color w:val="auto"/>
              </w:rPr>
              <w:t>2022</w:t>
            </w:r>
          </w:p>
        </w:tc>
      </w:tr>
    </w:tbl>
    <w:p>
      <w:pPr>
        <w:spacing w:after="0" w:line="1"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Arial" w:cs="Arial" w:eastAsia="Arial" w:hAnsi="Arial"/>
          <w:sz w:val="14"/>
          <w:szCs w:val="14"/>
          <w:color w:val="auto"/>
        </w:rPr>
        <w:t>Discount rate</w:t>
      </w:r>
    </w:p>
    <w:p>
      <w:pPr>
        <w:spacing w:after="0" w:line="29" w:lineRule="exact"/>
        <w:rPr>
          <w:sz w:val="20"/>
          <w:szCs w:val="20"/>
          <w:color w:val="auto"/>
        </w:rPr>
      </w:pPr>
    </w:p>
    <w:p>
      <w:pPr>
        <w:ind w:left="20" w:right="560"/>
        <w:spacing w:after="0" w:line="248" w:lineRule="auto"/>
        <w:rPr>
          <w:sz w:val="20"/>
          <w:szCs w:val="20"/>
          <w:color w:val="auto"/>
        </w:rPr>
      </w:pPr>
      <w:r>
        <w:rPr>
          <w:rFonts w:ascii="Arial" w:cs="Arial" w:eastAsia="Arial" w:hAnsi="Arial"/>
          <w:sz w:val="14"/>
          <w:szCs w:val="14"/>
          <w:color w:val="auto"/>
        </w:rPr>
        <w:t>Expected rate of return on plan assets</w:t>
      </w:r>
    </w:p>
    <w:p>
      <w:pPr>
        <w:ind w:left="20"/>
        <w:spacing w:after="0"/>
        <w:rPr>
          <w:sz w:val="20"/>
          <w:szCs w:val="20"/>
          <w:color w:val="auto"/>
        </w:rPr>
      </w:pPr>
      <w:r>
        <w:rPr>
          <w:rFonts w:ascii="Arial" w:cs="Arial" w:eastAsia="Arial" w:hAnsi="Arial"/>
          <w:sz w:val="14"/>
          <w:szCs w:val="14"/>
          <w:color w:val="auto"/>
        </w:rPr>
        <w:t>Health care cost trend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6"/>
                <w:szCs w:val="16"/>
                <w:color w:val="auto"/>
              </w:rPr>
            </w:pPr>
          </w:p>
        </w:tc>
        <w:tc>
          <w:tcPr>
            <w:tcW w:w="13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3.81%</w:t>
            </w:r>
          </w:p>
        </w:tc>
      </w:tr>
      <w:tr>
        <w:trPr>
          <w:trHeight w:val="314"/>
        </w:trPr>
        <w:tc>
          <w:tcPr>
            <w:tcW w:w="1320" w:type="dxa"/>
            <w:vAlign w:val="bottom"/>
          </w:tcPr>
          <w:p>
            <w:pPr>
              <w:jc w:val="right"/>
              <w:ind w:right="38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r>
      <w:tr>
        <w:trPr>
          <w:trHeight w:val="190"/>
        </w:trPr>
        <w:tc>
          <w:tcPr>
            <w:tcW w:w="1320" w:type="dxa"/>
            <w:vAlign w:val="bottom"/>
          </w:tcPr>
          <w:p>
            <w:pPr>
              <w:jc w:val="right"/>
              <w:ind w:right="38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6"/>
                <w:szCs w:val="16"/>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6"/>
                <w:szCs w:val="16"/>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color w:val="auto"/>
              </w:rPr>
              <w:t>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-451485</wp:posOffset>
            </wp:positionV>
            <wp:extent cx="7105650" cy="1225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-117475</wp:posOffset>
            </wp:positionV>
            <wp:extent cx="7105650" cy="116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05650" cy="116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520"/>
          </w:cols>
          <w:pgMar w:left="300" w:top="125" w:right="3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estimated future benefit payments for our postretirement health care plans at December 31, 2024 were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2027</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2028</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2029</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2030-2034</w:t>
            </w:r>
          </w:p>
        </w:tc>
      </w:tr>
      <w:tr>
        <w:trPr>
          <w:trHeight w:val="17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Plans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$34</w:t>
            </w: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Non-U.S. Plans</w:t>
            </w:r>
          </w:p>
        </w:tc>
        <w:tc>
          <w:tcPr>
            <w:tcW w:w="132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24</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Costs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made contributions to multiemployer medical plans totaling $17 million in 2024, $18 million in 2023 and $17 million in 2022. These plans provide medical benefits to active employees and retirees under certain collective bargaining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Postemployment Benefit Plans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Obligations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postemployment plans are not funded. The changes in and the amount of the accrued benefit obligation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As of December 31,</w:t>
            </w:r>
          </w:p>
        </w:tc>
        <w:tc>
          <w:tcPr>
            <w:tcW w:w="1160" w:type="dxa"/>
            <w:vAlign w:val="bottom"/>
            <w:tcBorders>
              <w:bottom w:val="single" w:sz="8" w:color="auto"/>
            </w:tcBorders>
          </w:tcPr>
          <w:p>
            <w:pPr>
              <w:spacing w:after="0"/>
              <w:rPr>
                <w:sz w:val="13"/>
                <w:szCs w:val="13"/>
                <w:color w:val="auto"/>
              </w:rPr>
            </w:pPr>
          </w:p>
        </w:tc>
      </w:tr>
      <w:tr>
        <w:trPr>
          <w:trHeight w:val="163"/>
        </w:trPr>
        <w:tc>
          <w:tcPr>
            <w:tcW w:w="7560" w:type="dxa"/>
            <w:vAlign w:val="bottom"/>
          </w:tcPr>
          <w:p>
            <w:pPr>
              <w:spacing w:after="0"/>
              <w:rPr>
                <w:sz w:val="14"/>
                <w:szCs w:val="14"/>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2023</w:t>
            </w:r>
          </w:p>
        </w:tc>
      </w:tr>
      <w:tr>
        <w:trPr>
          <w:trHeight w:val="163"/>
        </w:trPr>
        <w:tc>
          <w:tcPr>
            <w:tcW w:w="7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3"/>
          </w:tcPr>
          <w:p>
            <w:pPr>
              <w:ind w:left="360"/>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4"/>
                <w:szCs w:val="14"/>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benefit obligation at January 1</w:t>
            </w:r>
          </w:p>
        </w:tc>
        <w:tc>
          <w:tcPr>
            <w:tcW w:w="1160" w:type="dxa"/>
            <w:vAlign w:val="bottom"/>
            <w:shd w:val="clear" w:color="auto" w:fill="CCEEFF"/>
          </w:tcPr>
          <w:p>
            <w:pPr>
              <w:jc w:val="right"/>
              <w:ind w:right="1013"/>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7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7560" w:type="dxa"/>
            <w:vAlign w:val="bottom"/>
          </w:tcPr>
          <w:p>
            <w:pPr>
              <w:ind w:left="120"/>
              <w:spacing w:after="0"/>
              <w:rPr>
                <w:sz w:val="20"/>
                <w:szCs w:val="20"/>
                <w:color w:val="auto"/>
              </w:rPr>
            </w:pPr>
            <w:r>
              <w:rPr>
                <w:rFonts w:ascii="Arial" w:cs="Arial" w:eastAsia="Arial" w:hAnsi="Arial"/>
                <w:sz w:val="14"/>
                <w:szCs w:val="14"/>
                <w:color w:val="auto"/>
              </w:rPr>
              <w:t>Benefits paid</w:t>
            </w:r>
          </w:p>
        </w:tc>
        <w:tc>
          <w:tcPr>
            <w:tcW w:w="116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7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losses</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3"/>
        </w:trPr>
        <w:tc>
          <w:tcPr>
            <w:tcW w:w="7560" w:type="dxa"/>
            <w:vAlign w:val="bottom"/>
          </w:tcPr>
          <w:p>
            <w:pPr>
              <w:ind w:left="20"/>
              <w:spacing w:after="0"/>
              <w:rPr>
                <w:sz w:val="20"/>
                <w:szCs w:val="20"/>
                <w:color w:val="auto"/>
              </w:rPr>
            </w:pPr>
            <w:r>
              <w:rPr>
                <w:rFonts w:ascii="Arial" w:cs="Arial" w:eastAsia="Arial" w:hAnsi="Arial"/>
                <w:sz w:val="14"/>
                <w:szCs w:val="14"/>
                <w:color w:val="auto"/>
              </w:rPr>
              <w:t>Accrued benefit obligation at December 31</w:t>
            </w:r>
          </w:p>
        </w:tc>
        <w:tc>
          <w:tcPr>
            <w:tcW w:w="116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accrued benefit obligation was determined using a weighted-average discount rate of 9.1% in 2024 and 8.1% in 2023, an assumed weighted-average ultimate annual turnover rate of 0.8% in 2024 and 2023, assumed compensation cost increases of 4.0% in 2024 and 2023 and assumed benefits as defined in the respective plans.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Postemployment costs arising from actions that offer employees benefits in excess of those specified in the respective plans are charged to expense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Components of Net Periodic Postemployment Costs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net periodic postemployment cost was $20 million, $4 million and zero for the years ended December 31, 2024, 2023 and 2022, respectively.</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 of December 31, 2024, the estimated net gain for the postemployment benefit plans that we expect to amortize from accumulated other comprehensive earnings/(losses) into net periodic postemployment costs during 2025 is approximately $4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Stock Plans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May 22, 2024, our shareholders approved the 2024 Performance Incentive Plan (the “2024 PIP”), which replaced our Amended and Restated 2005 Performance Incentive Plan (the “2005 Plan”). Under the 2024 PIP, we are now authorized to issue a maximum of 50.7 million shares of our Common Stock. During the year ended December 31, 2024, we granted 154,907 shares under the 2024 PIP and 391,513 shares were forfeited, which were added to the 2024 PIP. As of December 31, 2024, there were 50.9 million shares available to be granted.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recorded compensation expense related to stock options held by our employees of $30 million in 2024, $25 million in 2023 and $20 million in 2022 in our results from continuing operations. The deferred tax benefit recorded related to this compensation expense was $5 million in 2024, $ 4 million in 2023 and $3 million in 2022. The unamortized compensation expense related to our employee stock options was $26 million at December 31, 2024 and is expected to be recognized over a weighted-average period of 1.6 years.</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Our weighted-average Black-Scholes Model fair value assumptions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Risk-Free</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Expected Life</w:t>
            </w:r>
          </w:p>
        </w:tc>
        <w:tc>
          <w:tcPr>
            <w:tcW w:w="1420" w:type="dxa"/>
            <w:vAlign w:val="bottom"/>
            <w:gridSpan w:val="2"/>
          </w:tcPr>
          <w:p>
            <w:pPr>
              <w:ind w:left="420"/>
              <w:spacing w:after="0"/>
              <w:rPr>
                <w:sz w:val="20"/>
                <w:szCs w:val="20"/>
                <w:color w:val="auto"/>
              </w:rPr>
            </w:pPr>
            <w:r>
              <w:rPr>
                <w:rFonts w:ascii="Arial" w:cs="Arial" w:eastAsia="Arial" w:hAnsi="Arial"/>
                <w:sz w:val="11"/>
                <w:szCs w:val="11"/>
                <w:b w:val="1"/>
                <w:bCs w:val="1"/>
                <w:color w:val="auto"/>
              </w:rPr>
              <w:t>Expected</w:t>
            </w:r>
          </w:p>
        </w:tc>
        <w:tc>
          <w:tcPr>
            <w:tcW w:w="1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Expected</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Interest Rate</w:t>
            </w:r>
          </w:p>
        </w:tc>
        <w:tc>
          <w:tcPr>
            <w:tcW w:w="1660" w:type="dxa"/>
            <w:vAlign w:val="bottom"/>
            <w:gridSpan w:val="2"/>
            <w:vMerge w:val="continue"/>
          </w:tcPr>
          <w:p>
            <w:pPr>
              <w:spacing w:after="0"/>
              <w:rPr>
                <w:sz w:val="13"/>
                <w:szCs w:val="13"/>
                <w:color w:val="auto"/>
              </w:rPr>
            </w:pPr>
          </w:p>
        </w:tc>
        <w:tc>
          <w:tcPr>
            <w:tcW w:w="1420" w:type="dxa"/>
            <w:vAlign w:val="bottom"/>
            <w:gridSpan w:val="2"/>
          </w:tcPr>
          <w:p>
            <w:pPr>
              <w:ind w:left="440"/>
              <w:spacing w:after="0"/>
              <w:rPr>
                <w:sz w:val="20"/>
                <w:szCs w:val="20"/>
                <w:color w:val="auto"/>
              </w:rPr>
            </w:pPr>
            <w:r>
              <w:rPr>
                <w:rFonts w:ascii="Arial" w:cs="Arial" w:eastAsia="Arial" w:hAnsi="Arial"/>
                <w:sz w:val="11"/>
                <w:szCs w:val="11"/>
                <w:b w:val="1"/>
                <w:bCs w:val="1"/>
                <w:color w:val="auto"/>
              </w:rPr>
              <w:t>Volatility</w:t>
            </w:r>
          </w:p>
        </w:tc>
        <w:tc>
          <w:tcPr>
            <w:tcW w:w="1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Dividend Yield</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rPr>
              <w:t>at Grant Date</w:t>
            </w:r>
          </w:p>
        </w:tc>
        <w:tc>
          <w:tcPr>
            <w:tcW w:w="0" w:type="dxa"/>
            <w:vAlign w:val="bottom"/>
          </w:tcPr>
          <w:p>
            <w:pPr>
              <w:spacing w:after="0"/>
              <w:rPr>
                <w:sz w:val="1"/>
                <w:szCs w:val="1"/>
                <w:color w:val="auto"/>
              </w:rPr>
            </w:pPr>
          </w:p>
        </w:tc>
      </w:tr>
      <w:tr>
        <w:trPr>
          <w:trHeight w:val="173"/>
        </w:trPr>
        <w:tc>
          <w:tcPr>
            <w:tcW w:w="2860" w:type="dxa"/>
            <w:vAlign w:val="bottom"/>
            <w:tcBorders>
              <w:top w:val="single" w:sz="8" w:color="CCEEFF"/>
            </w:tcBorders>
            <w:shd w:val="clear" w:color="auto" w:fill="CCEEFF"/>
          </w:tcPr>
          <w:p>
            <w:pPr>
              <w:jc w:val="right"/>
              <w:ind w:right="2448"/>
              <w:spacing w:after="0"/>
              <w:rPr>
                <w:sz w:val="20"/>
                <w:szCs w:val="20"/>
                <w:color w:val="auto"/>
              </w:rPr>
            </w:pPr>
            <w:r>
              <w:rPr>
                <w:rFonts w:ascii="Arial" w:cs="Arial" w:eastAsia="Arial" w:hAnsi="Arial"/>
                <w:sz w:val="14"/>
                <w:szCs w:val="14"/>
                <w:color w:val="auto"/>
              </w:rPr>
              <w:t>2024</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 years</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20.93%</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2.33%</w:t>
            </w: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83"/>
        </w:trPr>
        <w:tc>
          <w:tcPr>
            <w:tcW w:w="2860" w:type="dxa"/>
            <w:vAlign w:val="bottom"/>
          </w:tcPr>
          <w:p>
            <w:pPr>
              <w:jc w:val="right"/>
              <w:ind w:right="2448"/>
              <w:spacing w:after="0"/>
              <w:rPr>
                <w:sz w:val="20"/>
                <w:szCs w:val="20"/>
                <w:color w:val="auto"/>
              </w:rPr>
            </w:pPr>
            <w:r>
              <w:rPr>
                <w:rFonts w:ascii="Arial" w:cs="Arial" w:eastAsia="Arial" w:hAnsi="Arial"/>
                <w:sz w:val="14"/>
                <w:szCs w:val="14"/>
                <w:color w:val="auto"/>
              </w:rPr>
              <w:t>2023</w:t>
            </w:r>
          </w:p>
        </w:tc>
        <w:tc>
          <w:tcPr>
            <w:tcW w:w="1640" w:type="dxa"/>
            <w:vAlign w:val="bottom"/>
          </w:tcPr>
          <w:p>
            <w:pPr>
              <w:jc w:val="center"/>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rPr>
              <w:t>5 years</w:t>
            </w:r>
          </w:p>
        </w:tc>
        <w:tc>
          <w:tcPr>
            <w:tcW w:w="1320" w:type="dxa"/>
            <w:vAlign w:val="bottom"/>
          </w:tcPr>
          <w:p>
            <w:pPr>
              <w:ind w:left="420"/>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jc w:val="right"/>
              <w:ind w:right="2448"/>
              <w:spacing w:after="0"/>
              <w:rPr>
                <w:sz w:val="20"/>
                <w:szCs w:val="20"/>
                <w:color w:val="auto"/>
              </w:rPr>
            </w:pPr>
            <w:r>
              <w:rPr>
                <w:rFonts w:ascii="Arial" w:cs="Arial" w:eastAsia="Arial" w:hAnsi="Arial"/>
                <w:sz w:val="14"/>
                <w:szCs w:val="14"/>
                <w:color w:val="auto"/>
              </w:rPr>
              <w:t>2022</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5 years</w:t>
            </w:r>
          </w:p>
        </w:tc>
        <w:tc>
          <w:tcPr>
            <w:tcW w:w="1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22.05%</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$11.24</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Stock option activity is reflected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left="380"/>
              <w:spacing w:after="0"/>
              <w:rPr>
                <w:sz w:val="20"/>
                <w:szCs w:val="20"/>
                <w:color w:val="auto"/>
              </w:rPr>
            </w:pPr>
            <w:r>
              <w:rPr>
                <w:rFonts w:ascii="Arial" w:cs="Arial" w:eastAsia="Arial" w:hAnsi="Arial"/>
                <w:sz w:val="11"/>
                <w:szCs w:val="11"/>
                <w:b w:val="1"/>
                <w:bCs w:val="1"/>
                <w:color w:val="auto"/>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left="380"/>
              <w:spacing w:after="0" w:line="107" w:lineRule="exact"/>
              <w:rPr>
                <w:sz w:val="20"/>
                <w:szCs w:val="20"/>
                <w:color w:val="auto"/>
              </w:rPr>
            </w:pPr>
            <w:r>
              <w:rPr>
                <w:rFonts w:ascii="Arial" w:cs="Arial" w:eastAsia="Arial" w:hAnsi="Arial"/>
                <w:sz w:val="11"/>
                <w:szCs w:val="11"/>
                <w:b w:val="1"/>
                <w:bCs w:val="1"/>
                <w:color w:val="auto"/>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Aggregate</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74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Shares Subject</w:t>
            </w:r>
          </w:p>
        </w:tc>
        <w:tc>
          <w:tcPr>
            <w:tcW w:w="100" w:type="dxa"/>
            <w:vAlign w:val="bottom"/>
          </w:tcPr>
          <w:p>
            <w:pPr>
              <w:spacing w:after="0"/>
              <w:rPr>
                <w:sz w:val="10"/>
                <w:szCs w:val="10"/>
                <w:color w:val="auto"/>
              </w:rPr>
            </w:pPr>
          </w:p>
        </w:tc>
        <w:tc>
          <w:tcPr>
            <w:tcW w:w="1080" w:type="dxa"/>
            <w:vAlign w:val="bottom"/>
          </w:tcPr>
          <w:p>
            <w:pPr>
              <w:jc w:val="center"/>
              <w:ind w:left="380"/>
              <w:spacing w:after="0" w:line="119" w:lineRule="exact"/>
              <w:rPr>
                <w:sz w:val="20"/>
                <w:szCs w:val="20"/>
                <w:color w:val="auto"/>
              </w:rPr>
            </w:pPr>
            <w:r>
              <w:rPr>
                <w:rFonts w:ascii="Arial" w:cs="Arial" w:eastAsia="Arial" w:hAnsi="Arial"/>
                <w:sz w:val="11"/>
                <w:szCs w:val="11"/>
                <w:b w:val="1"/>
                <w:bCs w:val="1"/>
                <w:color w:val="auto"/>
              </w:rPr>
              <w:t>Exercise or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rPr>
              <w:t>Remaining</w:t>
            </w:r>
          </w:p>
        </w:tc>
        <w:tc>
          <w:tcPr>
            <w:tcW w:w="4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left="380"/>
              <w:spacing w:after="0" w:line="119" w:lineRule="exact"/>
              <w:rPr>
                <w:sz w:val="20"/>
                <w:szCs w:val="20"/>
                <w:color w:val="auto"/>
              </w:rPr>
            </w:pPr>
            <w:r>
              <w:rPr>
                <w:rFonts w:ascii="Arial" w:cs="Arial" w:eastAsia="Arial" w:hAnsi="Arial"/>
                <w:sz w:val="11"/>
                <w:szCs w:val="11"/>
                <w:b w:val="1"/>
                <w:bCs w:val="1"/>
                <w:color w:val="auto"/>
              </w:rPr>
              <w:t>Grant Price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rPr>
              <w:t>Contractual</w:t>
            </w:r>
          </w:p>
        </w:tc>
        <w:tc>
          <w:tcPr>
            <w:tcW w:w="4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Intrinsic</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1740" w:type="dxa"/>
            <w:vAlign w:val="bottom"/>
          </w:tcPr>
          <w:p>
            <w:pPr>
              <w:jc w:val="right"/>
              <w:ind w:right="530"/>
              <w:spacing w:after="0"/>
              <w:rPr>
                <w:sz w:val="20"/>
                <w:szCs w:val="20"/>
                <w:color w:val="auto"/>
              </w:rPr>
            </w:pPr>
            <w:r>
              <w:rPr>
                <w:rFonts w:ascii="Arial" w:cs="Arial" w:eastAsia="Arial" w:hAnsi="Arial"/>
                <w:sz w:val="11"/>
                <w:szCs w:val="11"/>
                <w:b w:val="1"/>
                <w:bCs w:val="1"/>
                <w:color w:val="auto"/>
              </w:rPr>
              <w:t>to Option</w:t>
            </w:r>
          </w:p>
        </w:tc>
        <w:tc>
          <w:tcPr>
            <w:tcW w:w="100" w:type="dxa"/>
            <w:vAlign w:val="bottom"/>
          </w:tcPr>
          <w:p>
            <w:pPr>
              <w:spacing w:after="0"/>
              <w:rPr>
                <w:sz w:val="13"/>
                <w:szCs w:val="13"/>
                <w:color w:val="auto"/>
              </w:rPr>
            </w:pPr>
          </w:p>
        </w:tc>
        <w:tc>
          <w:tcPr>
            <w:tcW w:w="1080" w:type="dxa"/>
            <w:vAlign w:val="bottom"/>
          </w:tcPr>
          <w:p>
            <w:pPr>
              <w:jc w:val="center"/>
              <w:ind w:left="380"/>
              <w:spacing w:after="0"/>
              <w:rPr>
                <w:sz w:val="20"/>
                <w:szCs w:val="20"/>
                <w:color w:val="auto"/>
              </w:rPr>
            </w:pPr>
            <w:r>
              <w:rPr>
                <w:rFonts w:ascii="Arial" w:cs="Arial" w:eastAsia="Arial" w:hAnsi="Arial"/>
                <w:sz w:val="11"/>
                <w:szCs w:val="11"/>
                <w:b w:val="1"/>
                <w:bCs w:val="1"/>
                <w:color w:val="auto"/>
              </w:rPr>
              <w:t>Per Share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Term</w:t>
            </w:r>
          </w:p>
        </w:tc>
        <w:tc>
          <w:tcPr>
            <w:tcW w:w="400" w:type="dxa"/>
            <w:vAlign w:val="bottom"/>
          </w:tcPr>
          <w:p>
            <w:pPr>
              <w:spacing w:after="0"/>
              <w:rPr>
                <w:sz w:val="13"/>
                <w:szCs w:val="13"/>
                <w:color w:val="auto"/>
              </w:rPr>
            </w:pPr>
          </w:p>
        </w:tc>
        <w:tc>
          <w:tcPr>
            <w:tcW w:w="1100" w:type="dxa"/>
            <w:vAlign w:val="bottom"/>
          </w:tcPr>
          <w:p>
            <w:pPr>
              <w:jc w:val="center"/>
              <w:ind w:left="12"/>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2022</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23,503,759</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73"/>
        </w:trPr>
        <w:tc>
          <w:tcPr>
            <w:tcW w:w="422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740" w:type="dxa"/>
            <w:vAlign w:val="bottom"/>
          </w:tcPr>
          <w:p>
            <w:pPr>
              <w:jc w:val="right"/>
              <w:spacing w:after="0"/>
              <w:rPr>
                <w:sz w:val="20"/>
                <w:szCs w:val="20"/>
                <w:color w:val="auto"/>
              </w:rPr>
            </w:pPr>
            <w:r>
              <w:rPr>
                <w:rFonts w:ascii="Arial" w:cs="Arial" w:eastAsia="Arial" w:hAnsi="Arial"/>
                <w:sz w:val="14"/>
                <w:szCs w:val="14"/>
                <w:color w:val="auto"/>
              </w:rPr>
              <w:t>2,180,540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64.65</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options issued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63,490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ind w:left="280"/>
              <w:spacing w:after="0"/>
              <w:rPr>
                <w:sz w:val="20"/>
                <w:szCs w:val="20"/>
                <w:color w:val="auto"/>
              </w:rPr>
            </w:pPr>
            <w:r>
              <w:rPr>
                <w:rFonts w:ascii="Arial" w:cs="Arial" w:eastAsia="Arial" w:hAnsi="Arial"/>
                <w:sz w:val="14"/>
                <w:szCs w:val="14"/>
                <w:color w:val="auto"/>
              </w:rPr>
              <w:t>Total options granted</w:t>
            </w:r>
          </w:p>
        </w:tc>
        <w:tc>
          <w:tcPr>
            <w:tcW w:w="1740" w:type="dxa"/>
            <w:vAlign w:val="bottom"/>
          </w:tcPr>
          <w:p>
            <w:pPr>
              <w:jc w:val="right"/>
              <w:spacing w:after="0"/>
              <w:rPr>
                <w:sz w:val="20"/>
                <w:szCs w:val="20"/>
                <w:color w:val="auto"/>
              </w:rPr>
            </w:pPr>
            <w:r>
              <w:rPr>
                <w:rFonts w:ascii="Arial" w:cs="Arial" w:eastAsia="Arial" w:hAnsi="Arial"/>
                <w:sz w:val="14"/>
                <w:szCs w:val="14"/>
                <w:color w:val="auto"/>
              </w:rPr>
              <w:t>2,244,030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Options exercised </w:t>
            </w:r>
            <w:r>
              <w:rPr>
                <w:rFonts w:ascii="Arial" w:cs="Arial" w:eastAsia="Arial" w:hAnsi="Arial"/>
                <w:sz w:val="18"/>
                <w:szCs w:val="18"/>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(4,780,086)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Options cancelled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55.89</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20,490,250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73"/>
        </w:trPr>
        <w:tc>
          <w:tcPr>
            <w:tcW w:w="422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740" w:type="dxa"/>
            <w:vAlign w:val="bottom"/>
          </w:tcPr>
          <w:p>
            <w:pPr>
              <w:jc w:val="right"/>
              <w:spacing w:after="0"/>
              <w:rPr>
                <w:sz w:val="20"/>
                <w:szCs w:val="20"/>
                <w:color w:val="auto"/>
              </w:rPr>
            </w:pPr>
            <w:r>
              <w:rPr>
                <w:rFonts w:ascii="Arial" w:cs="Arial" w:eastAsia="Arial" w:hAnsi="Arial"/>
                <w:sz w:val="14"/>
                <w:szCs w:val="14"/>
                <w:color w:val="auto"/>
              </w:rPr>
              <w:t>2,452,110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65.36</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options issued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ind w:left="280"/>
              <w:spacing w:after="0"/>
              <w:rPr>
                <w:sz w:val="20"/>
                <w:szCs w:val="20"/>
                <w:color w:val="auto"/>
              </w:rPr>
            </w:pPr>
            <w:r>
              <w:rPr>
                <w:rFonts w:ascii="Arial" w:cs="Arial" w:eastAsia="Arial" w:hAnsi="Arial"/>
                <w:sz w:val="14"/>
                <w:szCs w:val="14"/>
                <w:color w:val="auto"/>
              </w:rPr>
              <w:t>Total options granted</w:t>
            </w:r>
          </w:p>
        </w:tc>
        <w:tc>
          <w:tcPr>
            <w:tcW w:w="1740" w:type="dxa"/>
            <w:vAlign w:val="bottom"/>
          </w:tcPr>
          <w:p>
            <w:pPr>
              <w:jc w:val="right"/>
              <w:spacing w:after="0"/>
              <w:rPr>
                <w:sz w:val="20"/>
                <w:szCs w:val="20"/>
                <w:color w:val="auto"/>
              </w:rPr>
            </w:pPr>
            <w:r>
              <w:rPr>
                <w:rFonts w:ascii="Arial" w:cs="Arial" w:eastAsia="Arial" w:hAnsi="Arial"/>
                <w:sz w:val="14"/>
                <w:szCs w:val="14"/>
                <w:color w:val="auto"/>
              </w:rPr>
              <w:t>2,476,320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65.39</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Options exercised </w:t>
            </w:r>
            <w:r>
              <w:rPr>
                <w:rFonts w:ascii="Arial" w:cs="Arial" w:eastAsia="Arial" w:hAnsi="Arial"/>
                <w:sz w:val="18"/>
                <w:szCs w:val="18"/>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(3,894,213)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Options cancelled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(394,237)</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18,678,120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73"/>
        </w:trPr>
        <w:tc>
          <w:tcPr>
            <w:tcW w:w="422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740" w:type="dxa"/>
            <w:vAlign w:val="bottom"/>
          </w:tcPr>
          <w:p>
            <w:pPr>
              <w:jc w:val="right"/>
              <w:spacing w:after="0"/>
              <w:rPr>
                <w:sz w:val="20"/>
                <w:szCs w:val="20"/>
                <w:color w:val="auto"/>
              </w:rPr>
            </w:pPr>
            <w:r>
              <w:rPr>
                <w:rFonts w:ascii="Arial" w:cs="Arial" w:eastAsia="Arial" w:hAnsi="Arial"/>
                <w:sz w:val="14"/>
                <w:szCs w:val="14"/>
                <w:color w:val="auto"/>
              </w:rPr>
              <w:t>2,261,810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options issued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35,820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ind w:left="280"/>
              <w:spacing w:after="0"/>
              <w:rPr>
                <w:sz w:val="20"/>
                <w:szCs w:val="20"/>
                <w:color w:val="auto"/>
              </w:rPr>
            </w:pPr>
            <w:r>
              <w:rPr>
                <w:rFonts w:ascii="Arial" w:cs="Arial" w:eastAsia="Arial" w:hAnsi="Arial"/>
                <w:sz w:val="14"/>
                <w:szCs w:val="14"/>
                <w:color w:val="auto"/>
              </w:rPr>
              <w:t>Total options granted</w:t>
            </w:r>
          </w:p>
        </w:tc>
        <w:tc>
          <w:tcPr>
            <w:tcW w:w="1740" w:type="dxa"/>
            <w:vAlign w:val="bottom"/>
          </w:tcPr>
          <w:p>
            <w:pPr>
              <w:jc w:val="right"/>
              <w:spacing w:after="0"/>
              <w:rPr>
                <w:sz w:val="20"/>
                <w:szCs w:val="20"/>
                <w:color w:val="auto"/>
              </w:rPr>
            </w:pPr>
            <w:r>
              <w:rPr>
                <w:rFonts w:ascii="Arial" w:cs="Arial" w:eastAsia="Arial" w:hAnsi="Arial"/>
                <w:sz w:val="14"/>
                <w:szCs w:val="14"/>
                <w:color w:val="auto"/>
              </w:rPr>
              <w:t>2,297,630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73.03</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Options exercised </w:t>
            </w:r>
            <w:r>
              <w:rPr>
                <w:rFonts w:ascii="Arial" w:cs="Arial" w:eastAsia="Arial" w:hAnsi="Arial"/>
                <w:sz w:val="18"/>
                <w:szCs w:val="18"/>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(4,096,571)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Options cancelled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(400,010)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16,479,169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color w:val="auto"/>
              </w:rPr>
              <w:t>Exercisable at December 31, 2024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12,415,138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49.67</w:t>
            </w:r>
          </w:p>
        </w:tc>
        <w:tc>
          <w:tcPr>
            <w:tcW w:w="10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rPr>
              <w:t>4 years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135</w:t>
            </w:r>
          </w:p>
        </w:tc>
        <w:tc>
          <w:tcPr>
            <w:tcW w:w="460" w:type="dxa"/>
            <w:vAlign w:val="bottom"/>
          </w:tcPr>
          <w:p>
            <w:pPr>
              <w:ind w:left="4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hanging="194"/>
        <w:spacing w:after="0" w:line="308" w:lineRule="auto"/>
        <w:tabs>
          <w:tab w:leader="none" w:pos="189" w:val="left"/>
        </w:tabs>
        <w:numPr>
          <w:ilvl w:val="0"/>
          <w:numId w:val="40"/>
        </w:numPr>
        <w:rPr>
          <w:rFonts w:ascii="Arial" w:cs="Arial" w:eastAsia="Arial" w:hAnsi="Arial"/>
          <w:sz w:val="11"/>
          <w:szCs w:val="11"/>
          <w:color w:val="auto"/>
        </w:rPr>
      </w:pPr>
      <w:r>
        <w:rPr>
          <w:rFonts w:ascii="Arial" w:cs="Arial" w:eastAsia="Arial" w:hAnsi="Arial"/>
          <w:sz w:val="11"/>
          <w:szCs w:val="11"/>
          <w:color w:val="auto"/>
        </w:rPr>
        <w:t>Cash received from options exercised was $175 million in 2024, $152 million in 2023 and $158 million in 2022. The actual tax benefit realized and recorded in the provision for income taxes for the tax deductions from the option exercises totaled $19 million in 2024, $21 million in 2023 and $22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Deferred Stock Units, Performance Share Units and Other Stock-Based Awards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recorded compensation expense related to DSUs, PSUs and other stock-based awards of $117 million in 2024, $ 121 million in 2023 and $100 million in 2022 in our results from continuing operations. The deferred tax benefit recorded related to this compensation expense was $19 million in 2024, $18 million in 2023 and $17 million in 2022. The unamortized compensation expense related to our DSUs, PSUs and other stock-based awards was $132 million at December 31, 2024 and is expected to be recognized over a weighted-average period of 1.6 years.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PSU, DSU and other stock-based award activity is reflected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80" w:type="dxa"/>
            <w:vAlign w:val="bottom"/>
          </w:tcPr>
          <w:p>
            <w:pPr>
              <w:spacing w:after="0"/>
              <w:rPr>
                <w:sz w:val="10"/>
                <w:szCs w:val="10"/>
                <w:color w:val="auto"/>
              </w:rPr>
            </w:pPr>
          </w:p>
        </w:tc>
        <w:tc>
          <w:tcPr>
            <w:tcW w:w="1520" w:type="dxa"/>
            <w:vAlign w:val="bottom"/>
            <w:vMerge w:val="restart"/>
          </w:tcPr>
          <w:p>
            <w:pPr>
              <w:jc w:val="right"/>
              <w:ind w:right="47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Weighted-Average</w:t>
            </w:r>
          </w:p>
        </w:tc>
        <w:tc>
          <w:tcPr>
            <w:tcW w:w="300" w:type="dxa"/>
            <w:vAlign w:val="bottom"/>
          </w:tcPr>
          <w:p>
            <w:pPr>
              <w:spacing w:after="0"/>
              <w:rPr>
                <w:sz w:val="10"/>
                <w:szCs w:val="10"/>
                <w:color w:val="auto"/>
              </w:rPr>
            </w:pPr>
          </w:p>
        </w:tc>
        <w:tc>
          <w:tcPr>
            <w:tcW w:w="1220" w:type="dxa"/>
            <w:vAlign w:val="bottom"/>
          </w:tcPr>
          <w:p>
            <w:pPr>
              <w:jc w:val="center"/>
              <w:ind w:left="73"/>
              <w:spacing w:after="0"/>
              <w:rPr>
                <w:sz w:val="20"/>
                <w:szCs w:val="20"/>
                <w:color w:val="auto"/>
              </w:rPr>
            </w:pPr>
            <w:r>
              <w:rPr>
                <w:rFonts w:ascii="Arial" w:cs="Arial" w:eastAsia="Arial" w:hAnsi="Arial"/>
                <w:sz w:val="11"/>
                <w:szCs w:val="11"/>
                <w:b w:val="1"/>
                <w:bCs w:val="1"/>
                <w:color w:val="auto"/>
              </w:rPr>
              <w:t>Weighted-Average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0"/>
                <w:szCs w:val="10"/>
                <w:color w:val="auto"/>
              </w:rPr>
            </w:pPr>
          </w:p>
        </w:tc>
        <w:tc>
          <w:tcPr>
            <w:tcW w:w="1220" w:type="dxa"/>
            <w:vAlign w:val="bottom"/>
          </w:tcPr>
          <w:p>
            <w:pPr>
              <w:jc w:val="center"/>
              <w:ind w:left="73"/>
              <w:spacing w:after="0" w:line="119" w:lineRule="exact"/>
              <w:rPr>
                <w:sz w:val="20"/>
                <w:szCs w:val="20"/>
                <w:color w:val="auto"/>
              </w:rPr>
            </w:pPr>
            <w:r>
              <w:rPr>
                <w:rFonts w:ascii="Arial" w:cs="Arial" w:eastAsia="Arial" w:hAnsi="Arial"/>
                <w:sz w:val="11"/>
                <w:szCs w:val="11"/>
                <w:b w:val="1"/>
                <w:bCs w:val="1"/>
                <w:color w:val="auto"/>
              </w:rPr>
              <w:t>Aggregate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080" w:type="dxa"/>
            <w:vAlign w:val="bottom"/>
          </w:tcPr>
          <w:p>
            <w:pPr>
              <w:spacing w:after="0"/>
              <w:rPr>
                <w:sz w:val="13"/>
                <w:szCs w:val="13"/>
                <w:color w:val="auto"/>
              </w:rPr>
            </w:pPr>
          </w:p>
        </w:tc>
        <w:tc>
          <w:tcPr>
            <w:tcW w:w="1520" w:type="dxa"/>
            <w:vAlign w:val="bottom"/>
          </w:tcPr>
          <w:p>
            <w:pPr>
              <w:jc w:val="right"/>
              <w:ind w:right="43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60"/>
              <w:spacing w:after="0" w:line="151" w:lineRule="exact"/>
              <w:rPr>
                <w:sz w:val="20"/>
                <w:szCs w:val="20"/>
                <w:color w:val="auto"/>
              </w:rPr>
            </w:pPr>
            <w:r>
              <w:rPr>
                <w:rFonts w:ascii="Arial" w:cs="Arial" w:eastAsia="Arial" w:hAnsi="Arial"/>
                <w:sz w:val="11"/>
                <w:szCs w:val="11"/>
                <w:b w:val="1"/>
                <w:bCs w:val="1"/>
                <w:color w:val="auto"/>
              </w:rPr>
              <w:t xml:space="preserve">Per Share </w:t>
            </w:r>
            <w:r>
              <w:rPr>
                <w:rFonts w:ascii="Arial" w:cs="Arial" w:eastAsia="Arial" w:hAnsi="Arial"/>
                <w:sz w:val="14"/>
                <w:szCs w:val="14"/>
                <w:b w:val="1"/>
                <w:bCs w:val="1"/>
                <w:color w:val="auto"/>
                <w:vertAlign w:val="superscript"/>
              </w:rPr>
              <w:t>(4)</w:t>
            </w:r>
          </w:p>
        </w:tc>
        <w:tc>
          <w:tcPr>
            <w:tcW w:w="300" w:type="dxa"/>
            <w:vAlign w:val="bottom"/>
          </w:tcPr>
          <w:p>
            <w:pPr>
              <w:spacing w:after="0"/>
              <w:rPr>
                <w:sz w:val="13"/>
                <w:szCs w:val="13"/>
                <w:color w:val="auto"/>
              </w:rPr>
            </w:pPr>
          </w:p>
        </w:tc>
        <w:tc>
          <w:tcPr>
            <w:tcW w:w="1220" w:type="dxa"/>
            <w:vAlign w:val="bottom"/>
          </w:tcPr>
          <w:p>
            <w:pPr>
              <w:jc w:val="center"/>
              <w:ind w:left="93"/>
              <w:spacing w:after="0" w:line="151" w:lineRule="exact"/>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14"/>
                <w:szCs w:val="14"/>
                <w:b w:val="1"/>
                <w:bCs w:val="1"/>
                <w:color w:val="auto"/>
                <w:w w:val="98"/>
                <w:vertAlign w:val="superscript"/>
              </w:rPr>
              <w:t>(3)</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4,668,046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57.04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806,590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61.87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80"/>
              <w:spacing w:after="0"/>
              <w:rPr>
                <w:sz w:val="20"/>
                <w:szCs w:val="20"/>
                <w:color w:val="auto"/>
              </w:rPr>
            </w:pPr>
            <w:r>
              <w:rPr>
                <w:rFonts w:ascii="Arial" w:cs="Arial" w:eastAsia="Arial" w:hAnsi="Arial"/>
                <w:sz w:val="14"/>
                <w:szCs w:val="14"/>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4"/>
                <w:szCs w:val="14"/>
                <w:color w:val="auto"/>
              </w:rPr>
              <w:t>505,090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64.65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Additional shares granted </w:t>
            </w:r>
            <w:r>
              <w:rPr>
                <w:rFonts w:ascii="Arial" w:cs="Arial" w:eastAsia="Arial" w:hAnsi="Arial"/>
                <w:sz w:val="18"/>
                <w:szCs w:val="18"/>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836,117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80" w:type="dxa"/>
            <w:vAlign w:val="bottom"/>
          </w:tcPr>
          <w:p>
            <w:pPr>
              <w:ind w:left="280"/>
              <w:spacing w:after="0"/>
              <w:rPr>
                <w:sz w:val="20"/>
                <w:szCs w:val="20"/>
                <w:color w:val="auto"/>
              </w:rPr>
            </w:pPr>
            <w:r>
              <w:rPr>
                <w:rFonts w:ascii="Arial" w:cs="Arial" w:eastAsia="Arial" w:hAnsi="Arial"/>
                <w:sz w:val="14"/>
                <w:szCs w:val="14"/>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2,147,797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61.55</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132</w:t>
            </w:r>
          </w:p>
        </w:tc>
        <w:tc>
          <w:tcPr>
            <w:tcW w:w="440" w:type="dxa"/>
            <w:vAlign w:val="bottom"/>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3" w:lineRule="exact"/>
              <w:rPr>
                <w:sz w:val="20"/>
                <w:szCs w:val="20"/>
                <w:color w:val="auto"/>
              </w:rPr>
            </w:pPr>
            <w:r>
              <w:rPr>
                <w:rFonts w:ascii="Arial" w:cs="Arial" w:eastAsia="Arial" w:hAnsi="Arial"/>
                <w:sz w:val="21"/>
                <w:szCs w:val="21"/>
                <w:color w:val="auto"/>
                <w:vertAlign w:val="subscript"/>
              </w:rPr>
              <w:t>Vested</w:t>
            </w:r>
            <w:r>
              <w:rPr>
                <w:rFonts w:ascii="Arial" w:cs="Arial" w:eastAsia="Arial" w:hAnsi="Arial"/>
                <w:sz w:val="8"/>
                <w:szCs w:val="8"/>
                <w:color w:val="auto"/>
              </w:rPr>
              <w:t xml:space="preserve"> (2) (3)</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(1,925,556)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4"/>
                <w:szCs w:val="14"/>
                <w:color w:val="auto"/>
              </w:rPr>
              <w:t xml:space="preserve">Forfeited </w:t>
            </w:r>
            <w:r>
              <w:rPr>
                <w:rFonts w:ascii="Arial" w:cs="Arial" w:eastAsia="Arial" w:hAnsi="Arial"/>
                <w:sz w:val="18"/>
                <w:szCs w:val="18"/>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(438,613)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60.68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4,451,674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80"/>
              <w:spacing w:after="0"/>
              <w:rPr>
                <w:sz w:val="20"/>
                <w:szCs w:val="20"/>
                <w:color w:val="auto"/>
              </w:rPr>
            </w:pPr>
            <w:r>
              <w:rPr>
                <w:rFonts w:ascii="Arial" w:cs="Arial" w:eastAsia="Arial" w:hAnsi="Arial"/>
                <w:sz w:val="14"/>
                <w:szCs w:val="14"/>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4"/>
                <w:szCs w:val="14"/>
                <w:color w:val="auto"/>
              </w:rPr>
              <w:t>578,570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65.36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Additional shares granted </w:t>
            </w:r>
            <w:r>
              <w:rPr>
                <w:rFonts w:ascii="Arial" w:cs="Arial" w:eastAsia="Arial" w:hAnsi="Arial"/>
                <w:sz w:val="18"/>
                <w:szCs w:val="18"/>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765,128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80" w:type="dxa"/>
            <w:vAlign w:val="bottom"/>
          </w:tcPr>
          <w:p>
            <w:pPr>
              <w:ind w:left="280"/>
              <w:spacing w:after="0"/>
              <w:rPr>
                <w:sz w:val="20"/>
                <w:szCs w:val="20"/>
                <w:color w:val="auto"/>
              </w:rPr>
            </w:pPr>
            <w:r>
              <w:rPr>
                <w:rFonts w:ascii="Arial" w:cs="Arial" w:eastAsia="Arial" w:hAnsi="Arial"/>
                <w:sz w:val="14"/>
                <w:szCs w:val="14"/>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2,239,108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66.86</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150</w:t>
            </w:r>
          </w:p>
        </w:tc>
        <w:tc>
          <w:tcPr>
            <w:tcW w:w="440" w:type="dxa"/>
            <w:vAlign w:val="bottom"/>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(1,772,439)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61.92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4"/>
                <w:szCs w:val="14"/>
                <w:color w:val="auto"/>
              </w:rPr>
              <w:t xml:space="preserve">Forfeited </w:t>
            </w:r>
            <w:r>
              <w:rPr>
                <w:rFonts w:ascii="Arial" w:cs="Arial" w:eastAsia="Arial" w:hAnsi="Arial"/>
                <w:sz w:val="18"/>
                <w:szCs w:val="18"/>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(365,177)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62.66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4,553,166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80" w:type="dxa"/>
            <w:vAlign w:val="bottom"/>
          </w:tcPr>
          <w:p>
            <w:pPr>
              <w:ind w:left="120"/>
              <w:spacing w:after="0"/>
              <w:rPr>
                <w:sz w:val="20"/>
                <w:szCs w:val="20"/>
                <w:color w:val="auto"/>
              </w:rPr>
            </w:pPr>
            <w:r>
              <w:rPr>
                <w:rFonts w:ascii="Arial" w:cs="Arial" w:eastAsia="Arial" w:hAnsi="Arial"/>
                <w:sz w:val="14"/>
                <w:szCs w:val="14"/>
                <w:color w:val="auto"/>
              </w:rPr>
              <w:t>Annual grant to eligible employees: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787,110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80"/>
              <w:spacing w:after="0"/>
              <w:rPr>
                <w:sz w:val="20"/>
                <w:szCs w:val="20"/>
                <w:color w:val="auto"/>
              </w:rPr>
            </w:pPr>
            <w:r>
              <w:rPr>
                <w:rFonts w:ascii="Arial" w:cs="Arial" w:eastAsia="Arial" w:hAnsi="Arial"/>
                <w:sz w:val="14"/>
                <w:szCs w:val="14"/>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4"/>
                <w:szCs w:val="14"/>
                <w:color w:val="auto"/>
              </w:rPr>
              <w:t>571,490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73.13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Additional shares granted </w:t>
            </w:r>
            <w:r>
              <w:rPr>
                <w:rFonts w:ascii="Arial" w:cs="Arial" w:eastAsia="Arial" w:hAnsi="Arial"/>
                <w:sz w:val="18"/>
                <w:szCs w:val="18"/>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1,089,698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63.60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80" w:type="dxa"/>
            <w:vAlign w:val="bottom"/>
          </w:tcPr>
          <w:p>
            <w:pPr>
              <w:ind w:left="280"/>
              <w:spacing w:after="0"/>
              <w:rPr>
                <w:sz w:val="20"/>
                <w:szCs w:val="20"/>
                <w:color w:val="auto"/>
              </w:rPr>
            </w:pPr>
            <w:r>
              <w:rPr>
                <w:rFonts w:ascii="Arial" w:cs="Arial" w:eastAsia="Arial" w:hAnsi="Arial"/>
                <w:sz w:val="14"/>
                <w:szCs w:val="14"/>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2,448,298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69.50</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170</w:t>
            </w:r>
          </w:p>
        </w:tc>
        <w:tc>
          <w:tcPr>
            <w:tcW w:w="440" w:type="dxa"/>
            <w:vAlign w:val="bottom"/>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(2,075,329)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58.51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4"/>
                <w:szCs w:val="14"/>
                <w:color w:val="auto"/>
              </w:rPr>
              <w:t xml:space="preserve">Forfeited </w:t>
            </w:r>
            <w:r>
              <w:rPr>
                <w:rFonts w:ascii="Arial" w:cs="Arial" w:eastAsia="Arial" w:hAnsi="Arial"/>
                <w:sz w:val="18"/>
                <w:szCs w:val="18"/>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(389,561)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66.91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4,536,574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67.76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hanging="174"/>
        <w:spacing w:after="0"/>
        <w:tabs>
          <w:tab w:leader="none" w:pos="1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Includes PSUs and DSUs.</w:t>
      </w:r>
    </w:p>
    <w:p>
      <w:pPr>
        <w:spacing w:after="0" w:line="23" w:lineRule="exact"/>
        <w:rPr>
          <w:rFonts w:ascii="Arial" w:cs="Arial" w:eastAsia="Arial" w:hAnsi="Arial"/>
          <w:sz w:val="11"/>
          <w:szCs w:val="11"/>
          <w:color w:val="auto"/>
        </w:rPr>
      </w:pPr>
    </w:p>
    <w:p>
      <w:pPr>
        <w:ind w:left="180" w:hanging="174"/>
        <w:spacing w:after="0"/>
        <w:tabs>
          <w:tab w:leader="none" w:pos="1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Includes PSUs, DSUs and other stock-based awards.</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actual tax benefit realized and recorded in the provision for income taxes for the tax deductions from the shares vested totaled $7 million in 2024, $3 million in 2023 and $5 million in 2022.</w:t>
      </w:r>
    </w:p>
    <w:p>
      <w:pPr>
        <w:spacing w:after="0" w:line="13" w:lineRule="exact"/>
        <w:rPr>
          <w:rFonts w:ascii="Arial" w:cs="Arial" w:eastAsia="Arial" w:hAnsi="Arial"/>
          <w:sz w:val="11"/>
          <w:szCs w:val="11"/>
          <w:color w:val="auto"/>
        </w:rPr>
      </w:pPr>
    </w:p>
    <w:p>
      <w:pPr>
        <w:jc w:val="both"/>
        <w:ind w:left="200" w:hanging="194"/>
        <w:spacing w:after="0" w:line="267" w:lineRule="auto"/>
        <w:tabs>
          <w:tab w:leader="none" w:pos="189"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Capital Stock</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amended and restated articles of incorporation authorize 5.0 billion shares of Common Stock and 500 million shares of preferred stock. There were no preferred shares issued and outstanding at December 31, 2024, 2023 and 2022. Shares of Common Stock issued, in treasury and outstanding,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tcPr>
          <w:p>
            <w:pPr>
              <w:spacing w:after="0"/>
              <w:rPr>
                <w:sz w:val="10"/>
                <w:szCs w:val="10"/>
                <w:color w:val="auto"/>
              </w:rPr>
            </w:pPr>
          </w:p>
        </w:tc>
        <w:tc>
          <w:tcPr>
            <w:tcW w:w="188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Shares Issued</w:t>
            </w:r>
          </w:p>
        </w:tc>
        <w:tc>
          <w:tcPr>
            <w:tcW w:w="204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Treasury Shares</w:t>
            </w:r>
          </w:p>
        </w:tc>
        <w:tc>
          <w:tcPr>
            <w:tcW w:w="1780" w:type="dxa"/>
            <w:vAlign w:val="bottom"/>
          </w:tcPr>
          <w:p>
            <w:pPr>
              <w:jc w:val="right"/>
              <w:ind w:right="631"/>
              <w:spacing w:after="0"/>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50"/>
        </w:trPr>
        <w:tc>
          <w:tcPr>
            <w:tcW w:w="55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780" w:type="dxa"/>
            <w:vAlign w:val="bottom"/>
          </w:tcPr>
          <w:p>
            <w:pPr>
              <w:jc w:val="right"/>
              <w:ind w:right="491"/>
              <w:spacing w:after="0"/>
              <w:rPr>
                <w:sz w:val="20"/>
                <w:szCs w:val="20"/>
                <w:color w:val="auto"/>
              </w:rPr>
            </w:pPr>
            <w:r>
              <w:rPr>
                <w:rFonts w:ascii="Arial" w:cs="Arial" w:eastAsia="Arial" w:hAnsi="Arial"/>
                <w:sz w:val="11"/>
                <w:szCs w:val="11"/>
                <w:b w:val="1"/>
                <w:bCs w:val="1"/>
                <w:color w:val="auto"/>
              </w:rPr>
              <w:t>Outstanding</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2022</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1,996,537,778</w:t>
            </w:r>
          </w:p>
        </w:tc>
        <w:tc>
          <w:tcPr>
            <w:tcW w:w="1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(604,907,239)</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1,391,630,539</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(31,556,510)</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(31,556,510)</w:t>
            </w:r>
          </w:p>
        </w:tc>
        <w:tc>
          <w:tcPr>
            <w:tcW w:w="0" w:type="dxa"/>
            <w:vAlign w:val="bottom"/>
          </w:tcPr>
          <w:p>
            <w:pPr>
              <w:spacing w:after="0"/>
              <w:rPr>
                <w:sz w:val="1"/>
                <w:szCs w:val="1"/>
                <w:color w:val="auto"/>
              </w:rPr>
            </w:pPr>
          </w:p>
        </w:tc>
      </w:tr>
      <w:tr>
        <w:trPr>
          <w:trHeight w:val="140"/>
        </w:trPr>
        <w:tc>
          <w:tcPr>
            <w:tcW w:w="55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 of stock options and issuance of</w:t>
            </w: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5,817,062</w:t>
            </w:r>
          </w:p>
        </w:tc>
        <w:tc>
          <w:tcPr>
            <w:tcW w:w="100" w:type="dxa"/>
            <w:vAlign w:val="bottom"/>
            <w:shd w:val="clear" w:color="auto" w:fill="CCEEFF"/>
          </w:tcPr>
          <w:p>
            <w:pPr>
              <w:spacing w:after="0"/>
              <w:rPr>
                <w:sz w:val="12"/>
                <w:szCs w:val="12"/>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5,817,062</w:t>
            </w:r>
          </w:p>
        </w:tc>
        <w:tc>
          <w:tcPr>
            <w:tcW w:w="0" w:type="dxa"/>
            <w:vAlign w:val="bottom"/>
          </w:tcPr>
          <w:p>
            <w:pPr>
              <w:spacing w:after="0"/>
              <w:rPr>
                <w:sz w:val="1"/>
                <w:szCs w:val="1"/>
                <w:color w:val="auto"/>
              </w:rPr>
            </w:pPr>
          </w:p>
        </w:tc>
      </w:tr>
      <w:tr>
        <w:trPr>
          <w:trHeight w:val="193"/>
        </w:trPr>
        <w:tc>
          <w:tcPr>
            <w:tcW w:w="5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stock awards</w:t>
            </w:r>
          </w:p>
        </w:tc>
        <w:tc>
          <w:tcPr>
            <w:tcW w:w="1880" w:type="dxa"/>
            <w:vAlign w:val="bottom"/>
            <w:gridSpan w:val="2"/>
            <w:vMerge w:val="continue"/>
            <w:shd w:val="clear" w:color="auto" w:fill="CCEEFF"/>
          </w:tcPr>
          <w:p>
            <w:pPr>
              <w:spacing w:after="0"/>
              <w:rPr>
                <w:sz w:val="16"/>
                <w:szCs w:val="16"/>
                <w:color w:val="auto"/>
              </w:rPr>
            </w:pPr>
          </w:p>
        </w:tc>
        <w:tc>
          <w:tcPr>
            <w:tcW w:w="1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2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1,996,537,778</w:t>
            </w:r>
          </w:p>
        </w:tc>
        <w:tc>
          <w:tcPr>
            <w:tcW w:w="100" w:type="dxa"/>
            <w:vAlign w:val="bottom"/>
          </w:tcPr>
          <w:p>
            <w:pPr>
              <w:spacing w:after="0"/>
              <w:rPr>
                <w:sz w:val="15"/>
                <w:szCs w:val="15"/>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(630,646,687)</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1,365,891,091</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(22,564,627)</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(22,564,627)</w:t>
            </w:r>
          </w:p>
        </w:tc>
        <w:tc>
          <w:tcPr>
            <w:tcW w:w="0" w:type="dxa"/>
            <w:vAlign w:val="bottom"/>
          </w:tcPr>
          <w:p>
            <w:pPr>
              <w:spacing w:after="0"/>
              <w:rPr>
                <w:sz w:val="1"/>
                <w:szCs w:val="1"/>
                <w:color w:val="auto"/>
              </w:rPr>
            </w:pPr>
          </w:p>
        </w:tc>
      </w:tr>
      <w:tr>
        <w:trPr>
          <w:trHeight w:val="140"/>
        </w:trPr>
        <w:tc>
          <w:tcPr>
            <w:tcW w:w="5520" w:type="dxa"/>
            <w:vAlign w:val="bottom"/>
          </w:tcPr>
          <w:p>
            <w:pPr>
              <w:ind w:left="20"/>
              <w:spacing w:after="0" w:line="140" w:lineRule="exact"/>
              <w:rPr>
                <w:sz w:val="20"/>
                <w:szCs w:val="20"/>
                <w:color w:val="auto"/>
              </w:rPr>
            </w:pPr>
            <w:r>
              <w:rPr>
                <w:rFonts w:ascii="Arial" w:cs="Arial" w:eastAsia="Arial" w:hAnsi="Arial"/>
                <w:sz w:val="14"/>
                <w:szCs w:val="14"/>
                <w:color w:val="auto"/>
              </w:rPr>
              <w:t>Exercise of stock options and issuance of</w:t>
            </w:r>
          </w:p>
        </w:tc>
        <w:tc>
          <w:tcPr>
            <w:tcW w:w="1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5,156,241</w:t>
            </w:r>
          </w:p>
        </w:tc>
        <w:tc>
          <w:tcPr>
            <w:tcW w:w="100" w:type="dxa"/>
            <w:vAlign w:val="bottom"/>
          </w:tcPr>
          <w:p>
            <w:pPr>
              <w:spacing w:after="0"/>
              <w:rPr>
                <w:sz w:val="12"/>
                <w:szCs w:val="12"/>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color w:val="auto"/>
              </w:rPr>
              <w:t>5,156,241</w:t>
            </w:r>
          </w:p>
        </w:tc>
        <w:tc>
          <w:tcPr>
            <w:tcW w:w="0" w:type="dxa"/>
            <w:vAlign w:val="bottom"/>
          </w:tcPr>
          <w:p>
            <w:pPr>
              <w:spacing w:after="0"/>
              <w:rPr>
                <w:sz w:val="1"/>
                <w:szCs w:val="1"/>
                <w:color w:val="auto"/>
              </w:rPr>
            </w:pPr>
          </w:p>
        </w:tc>
      </w:tr>
      <w:tr>
        <w:trPr>
          <w:trHeight w:val="193"/>
        </w:trPr>
        <w:tc>
          <w:tcPr>
            <w:tcW w:w="5520" w:type="dxa"/>
            <w:vAlign w:val="bottom"/>
          </w:tcPr>
          <w:p>
            <w:pPr>
              <w:ind w:left="140"/>
              <w:spacing w:after="0"/>
              <w:rPr>
                <w:sz w:val="20"/>
                <w:szCs w:val="20"/>
                <w:color w:val="auto"/>
              </w:rPr>
            </w:pPr>
            <w:r>
              <w:rPr>
                <w:rFonts w:ascii="Arial" w:cs="Arial" w:eastAsia="Arial" w:hAnsi="Arial"/>
                <w:sz w:val="14"/>
                <w:szCs w:val="14"/>
                <w:color w:val="auto"/>
              </w:rPr>
              <w:t>other stock awards</w:t>
            </w:r>
          </w:p>
        </w:tc>
        <w:tc>
          <w:tcPr>
            <w:tcW w:w="188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1,996,537,778</w:t>
            </w:r>
          </w:p>
        </w:tc>
        <w:tc>
          <w:tcPr>
            <w:tcW w:w="1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(648,055,073)</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1,348,482,705</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(36,152,376)</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(36,152,376)</w:t>
            </w:r>
          </w:p>
        </w:tc>
        <w:tc>
          <w:tcPr>
            <w:tcW w:w="0" w:type="dxa"/>
            <w:vAlign w:val="bottom"/>
          </w:tcPr>
          <w:p>
            <w:pPr>
              <w:spacing w:after="0"/>
              <w:rPr>
                <w:sz w:val="1"/>
                <w:szCs w:val="1"/>
                <w:color w:val="auto"/>
              </w:rPr>
            </w:pPr>
          </w:p>
        </w:tc>
      </w:tr>
      <w:tr>
        <w:trPr>
          <w:trHeight w:val="140"/>
        </w:trPr>
        <w:tc>
          <w:tcPr>
            <w:tcW w:w="55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 of stock options and issuance of</w:t>
            </w: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5,498,809</w:t>
            </w:r>
          </w:p>
        </w:tc>
        <w:tc>
          <w:tcPr>
            <w:tcW w:w="100" w:type="dxa"/>
            <w:vAlign w:val="bottom"/>
            <w:shd w:val="clear" w:color="auto" w:fill="CCEEFF"/>
          </w:tcPr>
          <w:p>
            <w:pPr>
              <w:spacing w:after="0"/>
              <w:rPr>
                <w:sz w:val="12"/>
                <w:szCs w:val="12"/>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5,498,809</w:t>
            </w:r>
          </w:p>
        </w:tc>
        <w:tc>
          <w:tcPr>
            <w:tcW w:w="0" w:type="dxa"/>
            <w:vAlign w:val="bottom"/>
          </w:tcPr>
          <w:p>
            <w:pPr>
              <w:spacing w:after="0"/>
              <w:rPr>
                <w:sz w:val="1"/>
                <w:szCs w:val="1"/>
                <w:color w:val="auto"/>
              </w:rPr>
            </w:pPr>
          </w:p>
        </w:tc>
      </w:tr>
      <w:tr>
        <w:trPr>
          <w:trHeight w:val="193"/>
        </w:trPr>
        <w:tc>
          <w:tcPr>
            <w:tcW w:w="5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stock awards</w:t>
            </w:r>
          </w:p>
        </w:tc>
        <w:tc>
          <w:tcPr>
            <w:tcW w:w="1880" w:type="dxa"/>
            <w:vAlign w:val="bottom"/>
            <w:gridSpan w:val="2"/>
            <w:vMerge w:val="continue"/>
            <w:shd w:val="clear" w:color="auto" w:fill="CCEEFF"/>
          </w:tcPr>
          <w:p>
            <w:pPr>
              <w:spacing w:after="0"/>
              <w:rPr>
                <w:sz w:val="16"/>
                <w:szCs w:val="16"/>
                <w:color w:val="auto"/>
              </w:rPr>
            </w:pPr>
          </w:p>
        </w:tc>
        <w:tc>
          <w:tcPr>
            <w:tcW w:w="1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2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1,996,537,778</w:t>
            </w:r>
          </w:p>
        </w:tc>
        <w:tc>
          <w:tcPr>
            <w:tcW w:w="100" w:type="dxa"/>
            <w:vAlign w:val="bottom"/>
          </w:tcPr>
          <w:p>
            <w:pPr>
              <w:spacing w:after="0"/>
              <w:rPr>
                <w:sz w:val="15"/>
                <w:szCs w:val="15"/>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(678,708,640)</w:t>
            </w:r>
          </w:p>
        </w:tc>
        <w:tc>
          <w:tcPr>
            <w:tcW w:w="100" w:type="dxa"/>
            <w:vAlign w:val="bottom"/>
          </w:tcPr>
          <w:p>
            <w:pPr>
              <w:spacing w:after="0"/>
              <w:rPr>
                <w:sz w:val="15"/>
                <w:szCs w:val="15"/>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1,317,829,138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Stock plan awards to employees and non-employee directors are issued from treasury shares. At December 31, 2024, 71.9 million shares of Common Stock held in treasury were reserved for stock options and other stock awards.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Effective January 1, 2023, our Board of Directors approved a program authorizing the repurchase of $6.0 billion of our Common Stock through December 31, 2025. Repurchases under the program are determined by management and are wholly discretionary. During the year ended December 31, 2023, we repurchased approximately $1.6 billion of Common Stock pursuant to this authorization.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the year ended December 31, 2024, we repurchased approximately 36 million shares of Common Stock at an average cost of $65.51 per share, or an aggregate cost of approximately $2.4 billion, all of which was paid during the period except for approximately $67 million settled in January 2025. All share repurchases were funded through available cash and commercial paper issuances. On December 10, 2024, our Board of Directors approved a new program authorizing the repurchase of up to $9.0 billion of our Common Stock through December 31, 2027. This authorization, effective January 1, 2025, replaced our prior share repurchase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previously disclosed, we have cooperated with the investigation. In the fourth quarter of 2022, we had accrued (in accordance with U.S. GAAP), on a pre-tax basis, a liability of €300 million ($321 million) within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in the consolidated balance sheet and </w:t>
      </w:r>
      <w:r>
        <w:rPr>
          <w:rFonts w:ascii="Arial" w:cs="Arial" w:eastAsia="Arial" w:hAnsi="Arial"/>
          <w:sz w:val="14"/>
          <w:szCs w:val="14"/>
          <w:i w:val="1"/>
          <w:iCs w:val="1"/>
          <w:color w:val="auto"/>
        </w:rPr>
        <w:t>selling, general and administrative expenses</w:t>
      </w:r>
      <w:r>
        <w:rPr>
          <w:rFonts w:ascii="Arial" w:cs="Arial" w:eastAsia="Arial" w:hAnsi="Arial"/>
          <w:sz w:val="14"/>
          <w:szCs w:val="14"/>
          <w:color w:val="auto"/>
        </w:rPr>
        <w:t xml:space="preserve"> in the consolidated statement of earnings as an estimate of the possible cost to resolve this matter. During the fourth quarter of 2023, we adjusted our accrual to a liability of €340 million ($375 million). In the second quarter of 2024, we reached a negotiated resolution in this matter and adjusted our accrual from a liability of €340 million to €337.5 million ($ 376 million), on a pre-tax basis.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Third-Party Guarantees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enter into third-party guarantees primarily to cover long-term obligations of our vendors. As part of these transactions, we guarantee that third parties will make contractual payments or achieve performance measures. As of December 31, 2024 and December 31, 2023, we had no material third-party guarantees recorded on our consolidated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 Matters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Reclassifications from Accumulated Other Comprehensive Income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losses/(gains) of $21 million in 2024, $84 million in 2023 and $21 million in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center"/>
              <w:ind w:left="449"/>
              <w:spacing w:after="0"/>
              <w:rPr>
                <w:sz w:val="20"/>
                <w:szCs w:val="20"/>
                <w:color w:val="auto"/>
              </w:rPr>
            </w:pPr>
            <w:r>
              <w:rPr>
                <w:rFonts w:ascii="Arial" w:cs="Arial" w:eastAsia="Arial" w:hAnsi="Arial"/>
                <w:sz w:val="11"/>
                <w:szCs w:val="11"/>
                <w:b w:val="1"/>
                <w:bCs w:val="1"/>
                <w:color w:val="auto"/>
              </w:rPr>
              <w:t>For the Years Ended December 31,</w:t>
            </w:r>
          </w:p>
        </w:tc>
        <w:tc>
          <w:tcPr>
            <w:tcW w:w="800" w:type="dxa"/>
            <w:vAlign w:val="bottom"/>
            <w:tcBorders>
              <w:bottom w:val="single" w:sz="8" w:color="auto"/>
            </w:tcBorders>
          </w:tcPr>
          <w:p>
            <w:pPr>
              <w:spacing w:after="0"/>
              <w:rPr>
                <w:sz w:val="13"/>
                <w:szCs w:val="13"/>
                <w:color w:val="auto"/>
              </w:rPr>
            </w:pPr>
          </w:p>
        </w:tc>
      </w:tr>
      <w:tr>
        <w:trPr>
          <w:trHeight w:val="163"/>
        </w:trPr>
        <w:tc>
          <w:tcPr>
            <w:tcW w:w="7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2022</w:t>
            </w:r>
          </w:p>
        </w:tc>
      </w:tr>
      <w:tr>
        <w:trPr>
          <w:trHeight w:val="163"/>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(9,808)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(9,097)</w:t>
            </w: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r>
      <w:tr>
        <w:trPr>
          <w:trHeight w:val="18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effect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7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r>
      <w:tr>
        <w:trPr>
          <w:trHeight w:val="18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7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end of period</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(9,808)</w:t>
            </w:r>
          </w:p>
        </w:tc>
      </w:tr>
      <w:tr>
        <w:trPr>
          <w:trHeight w:val="16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Net actuarial gain/(loss) arising during period</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effect on net actuarial gain/(loss)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Losses/(gains) reclassified into net earnings: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7600" w:type="dxa"/>
            <w:vAlign w:val="bottom"/>
            <w:shd w:val="clear" w:color="auto" w:fill="CCEEFF"/>
          </w:tcPr>
          <w:p>
            <w:pPr>
              <w:ind w:left="320"/>
              <w:spacing w:after="0" w:line="182" w:lineRule="exact"/>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7600" w:type="dxa"/>
            <w:vAlign w:val="bottom"/>
          </w:tcPr>
          <w:p>
            <w:pPr>
              <w:ind w:left="320"/>
              <w:spacing w:after="0" w:line="182"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7600" w:type="dxa"/>
            <w:vAlign w:val="bottom"/>
            <w:shd w:val="clear" w:color="auto" w:fill="CCEEFF"/>
          </w:tcPr>
          <w:p>
            <w:pPr>
              <w:ind w:left="320"/>
              <w:spacing w:after="0" w:line="182" w:lineRule="exact"/>
              <w:rPr>
                <w:sz w:val="20"/>
                <w:szCs w:val="20"/>
                <w:color w:val="auto"/>
              </w:rPr>
            </w:pPr>
            <w:r>
              <w:rPr>
                <w:rFonts w:ascii="Arial" w:cs="Arial" w:eastAsia="Arial" w:hAnsi="Arial"/>
                <w:sz w:val="14"/>
                <w:szCs w:val="14"/>
                <w:color w:val="auto"/>
              </w:rPr>
              <w:t xml:space="preserve">Curtailment credit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7600" w:type="dxa"/>
            <w:vAlign w:val="bottom"/>
          </w:tcPr>
          <w:p>
            <w:pPr>
              <w:ind w:left="320"/>
              <w:spacing w:after="0" w:line="182" w:lineRule="exact"/>
              <w:rPr>
                <w:sz w:val="20"/>
                <w:szCs w:val="20"/>
                <w:color w:val="auto"/>
              </w:rPr>
            </w:pPr>
            <w:r>
              <w:rPr>
                <w:rFonts w:ascii="Arial" w:cs="Arial" w:eastAsia="Arial" w:hAnsi="Arial"/>
                <w:sz w:val="14"/>
                <w:szCs w:val="14"/>
                <w:color w:val="auto"/>
              </w:rPr>
              <w:t xml:space="preserve">Tax (benefit) on reclassifications </w:t>
            </w:r>
            <w:r>
              <w:rPr>
                <w:rFonts w:ascii="Arial" w:cs="Arial" w:eastAsia="Arial" w:hAnsi="Arial"/>
                <w:sz w:val="18"/>
                <w:szCs w:val="18"/>
                <w:color w:val="auto"/>
                <w:vertAlign w:val="superscript"/>
              </w:rPr>
              <w:t>(3)</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impact</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7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comprehensive earnings/(losses)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r>
      <w:tr>
        <w:trPr>
          <w:trHeight w:val="17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end of period</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r>
      <w:tr>
        <w:trPr>
          <w:trHeight w:val="16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Net derivative gains/(losses)</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effect on net derivative gain/(loss)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Losses/(gains) reclassified into net earnings: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7600" w:type="dxa"/>
            <w:vAlign w:val="bottom"/>
            <w:shd w:val="clear" w:color="auto" w:fill="CCEEFF"/>
          </w:tcPr>
          <w:p>
            <w:pPr>
              <w:ind w:left="320"/>
              <w:spacing w:after="0" w:line="182" w:lineRule="exact"/>
              <w:rPr>
                <w:sz w:val="20"/>
                <w:szCs w:val="20"/>
                <w:color w:val="auto"/>
              </w:rPr>
            </w:pPr>
            <w:r>
              <w:rPr>
                <w:rFonts w:ascii="Arial" w:cs="Arial" w:eastAsia="Arial" w:hAnsi="Arial"/>
                <w:sz w:val="14"/>
                <w:szCs w:val="14"/>
                <w:color w:val="auto"/>
              </w:rPr>
              <w:t xml:space="preserve">Currency exchange contracts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7600" w:type="dxa"/>
            <w:vAlign w:val="bottom"/>
          </w:tcPr>
          <w:p>
            <w:pPr>
              <w:ind w:left="320"/>
              <w:spacing w:after="0" w:line="182"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3"/>
        </w:trPr>
        <w:tc>
          <w:tcPr>
            <w:tcW w:w="7600" w:type="dxa"/>
            <w:vAlign w:val="bottom"/>
            <w:shd w:val="clear" w:color="auto" w:fill="CCEEFF"/>
          </w:tcPr>
          <w:p>
            <w:pPr>
              <w:ind w:left="320"/>
              <w:spacing w:after="0" w:line="182" w:lineRule="exact"/>
              <w:rPr>
                <w:sz w:val="20"/>
                <w:szCs w:val="20"/>
                <w:color w:val="auto"/>
              </w:rPr>
            </w:pPr>
            <w:r>
              <w:rPr>
                <w:rFonts w:ascii="Arial" w:cs="Arial" w:eastAsia="Arial" w:hAnsi="Arial"/>
                <w:sz w:val="14"/>
                <w:szCs w:val="14"/>
                <w:color w:val="auto"/>
              </w:rPr>
              <w:t xml:space="preserve">Tax (benefit) on reclassifications </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Currency impact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7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7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Balance at end of period</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120"/>
        </w:trPr>
        <w:tc>
          <w:tcPr>
            <w:tcW w:w="760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Accumulated other comprehensive income attributable to</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93"/>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Mondelēz International:</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3"/>
        </w:trPr>
        <w:tc>
          <w:tcPr>
            <w:tcW w:w="76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(10,946)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(10,947)</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(10,624)</w:t>
            </w:r>
          </w:p>
        </w:tc>
      </w:tr>
      <w:tr>
        <w:trPr>
          <w:trHeight w:val="18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comprehensive earnings/(losses)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r>
      <w:tr>
        <w:trPr>
          <w:trHeight w:val="183"/>
        </w:trPr>
        <w:tc>
          <w:tcPr>
            <w:tcW w:w="76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73"/>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73"/>
        </w:trPr>
        <w:tc>
          <w:tcPr>
            <w:tcW w:w="7600" w:type="dxa"/>
            <w:vAlign w:val="bottom"/>
          </w:tcPr>
          <w:p>
            <w:pPr>
              <w:ind w:left="120"/>
              <w:spacing w:after="0"/>
              <w:rPr>
                <w:sz w:val="20"/>
                <w:szCs w:val="20"/>
                <w:color w:val="auto"/>
              </w:rPr>
            </w:pPr>
            <w:r>
              <w:rPr>
                <w:rFonts w:ascii="Arial" w:cs="Arial" w:eastAsia="Arial" w:hAnsi="Arial"/>
                <w:sz w:val="14"/>
                <w:szCs w:val="14"/>
                <w:color w:val="auto"/>
              </w:rPr>
              <w:t>Balance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(10,947)</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80" w:hanging="174"/>
        <w:spacing w:after="0"/>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 xml:space="preserve">These reclassified losses are included in net periodic benefit costs disclosed in Note 11, </w:t>
      </w:r>
      <w:r>
        <w:rPr>
          <w:rFonts w:ascii="Arial" w:cs="Arial" w:eastAsia="Arial" w:hAnsi="Arial"/>
          <w:sz w:val="11"/>
          <w:szCs w:val="11"/>
          <w:i w:val="1"/>
          <w:iCs w:val="1"/>
          <w:color w:val="auto"/>
        </w:rPr>
        <w:t>Benefit Plans</w:t>
      </w:r>
      <w:r>
        <w:rPr>
          <w:rFonts w:ascii="Arial" w:cs="Arial" w:eastAsia="Arial" w:hAnsi="Arial"/>
          <w:sz w:val="11"/>
          <w:szCs w:val="11"/>
          <w:color w:val="auto"/>
        </w:rPr>
        <w:t>.</w:t>
      </w:r>
    </w:p>
    <w:p>
      <w:pPr>
        <w:spacing w:after="0" w:line="12" w:lineRule="exact"/>
        <w:rPr>
          <w:rFonts w:ascii="Arial" w:cs="Arial" w:eastAsia="Arial" w:hAnsi="Arial"/>
          <w:sz w:val="11"/>
          <w:szCs w:val="11"/>
          <w:color w:val="auto"/>
        </w:rPr>
      </w:pPr>
    </w:p>
    <w:p>
      <w:pPr>
        <w:ind w:left="180" w:hanging="174"/>
        <w:spacing w:after="0"/>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 xml:space="preserve">These reclassified losses are recorded within </w:t>
      </w:r>
      <w:r>
        <w:rPr>
          <w:rFonts w:ascii="Arial" w:cs="Arial" w:eastAsia="Arial" w:hAnsi="Arial"/>
          <w:sz w:val="11"/>
          <w:szCs w:val="11"/>
          <w:i w:val="1"/>
          <w:iCs w:val="1"/>
          <w:color w:val="auto"/>
        </w:rPr>
        <w:t>interest and other expense, net</w:t>
      </w:r>
      <w:r>
        <w:rPr>
          <w:rFonts w:ascii="Arial" w:cs="Arial" w:eastAsia="Arial" w:hAnsi="Arial"/>
          <w:sz w:val="11"/>
          <w:szCs w:val="11"/>
          <w:color w:val="auto"/>
        </w:rPr>
        <w:t>.</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Taxes reclassified to earnings are recorded within the provision for income taxes.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Earnings/(losses) from continuing operations before income taxes and the provision for income taxes consisted 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r>
      <w:tr>
        <w:trPr>
          <w:trHeight w:val="163"/>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1"/>
                <w:szCs w:val="11"/>
                <w:b w:val="1"/>
                <w:bCs w:val="1"/>
                <w:color w:val="auto"/>
              </w:rPr>
              <w:t>2022</w:t>
            </w:r>
          </w:p>
        </w:tc>
      </w:tr>
      <w:tr>
        <w:trPr>
          <w:trHeight w:val="163"/>
        </w:trPr>
        <w:tc>
          <w:tcPr>
            <w:tcW w:w="6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Earnings/(losses) from continuing operations before income taxes: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1,688</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463</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4,573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r>
      <w:tr>
        <w:trPr>
          <w:trHeight w:val="173"/>
        </w:trPr>
        <w:tc>
          <w:tcPr>
            <w:tcW w:w="67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4"/>
        </w:trPr>
        <w:tc>
          <w:tcPr>
            <w:tcW w:w="678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Provision for income taxes: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United States federal:</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3"/>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73"/>
        </w:trPr>
        <w:tc>
          <w:tcPr>
            <w:tcW w:w="6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83"/>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3"/>
        </w:trPr>
        <w:tc>
          <w:tcPr>
            <w:tcW w:w="67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73"/>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United States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477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109"/>
        </w:trPr>
        <w:tc>
          <w:tcPr>
            <w:tcW w:w="67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Outside United States: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183"/>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outside United States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r>
      <w:tr>
        <w:trPr>
          <w:trHeight w:val="109"/>
        </w:trPr>
        <w:tc>
          <w:tcPr>
            <w:tcW w:w="67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19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provision for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The effective income tax rate on pre-tax earnings differed from the U.S. federal statutory rate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For the Years Ended December 31,</w:t>
            </w:r>
          </w:p>
        </w:tc>
        <w:tc>
          <w:tcPr>
            <w:tcW w:w="940" w:type="dxa"/>
            <w:vAlign w:val="bottom"/>
            <w:tcBorders>
              <w:bottom w:val="single" w:sz="8" w:color="auto"/>
            </w:tcBorders>
          </w:tcPr>
          <w:p>
            <w:pPr>
              <w:spacing w:after="0"/>
              <w:rPr>
                <w:sz w:val="13"/>
                <w:szCs w:val="13"/>
                <w:color w:val="auto"/>
              </w:rPr>
            </w:pPr>
          </w:p>
        </w:tc>
      </w:tr>
      <w:tr>
        <w:trPr>
          <w:trHeight w:val="163"/>
        </w:trPr>
        <w:tc>
          <w:tcPr>
            <w:tcW w:w="7280" w:type="dxa"/>
            <w:vAlign w:val="bottom"/>
          </w:tcPr>
          <w:p>
            <w:pPr>
              <w:spacing w:after="0"/>
              <w:rPr>
                <w:sz w:val="14"/>
                <w:szCs w:val="14"/>
                <w:color w:val="auto"/>
              </w:rPr>
            </w:pPr>
          </w:p>
        </w:tc>
        <w:tc>
          <w:tcPr>
            <w:tcW w:w="960" w:type="dxa"/>
            <w:vAlign w:val="bottom"/>
          </w:tcPr>
          <w:p>
            <w:pPr>
              <w:jc w:val="center"/>
              <w:ind w:left="249"/>
              <w:spacing w:after="0"/>
              <w:rPr>
                <w:sz w:val="20"/>
                <w:szCs w:val="20"/>
                <w:color w:val="auto"/>
              </w:rPr>
            </w:pPr>
            <w:r>
              <w:rPr>
                <w:rFonts w:ascii="Arial" w:cs="Arial" w:eastAsia="Arial" w:hAnsi="Arial"/>
                <w:sz w:val="11"/>
                <w:szCs w:val="11"/>
                <w:b w:val="1"/>
                <w:bCs w:val="1"/>
                <w:color w:val="auto"/>
                <w:w w:val="97"/>
              </w:rPr>
              <w:t>2024</w:t>
            </w:r>
          </w:p>
        </w:tc>
        <w:tc>
          <w:tcPr>
            <w:tcW w:w="1680" w:type="dxa"/>
            <w:vAlign w:val="bottom"/>
            <w:gridSpan w:val="3"/>
          </w:tcPr>
          <w:p>
            <w:pPr>
              <w:jc w:val="center"/>
              <w:ind w:left="35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49"/>
              <w:spacing w:after="0"/>
              <w:rPr>
                <w:sz w:val="20"/>
                <w:szCs w:val="20"/>
                <w:color w:val="auto"/>
              </w:rPr>
            </w:pPr>
            <w:r>
              <w:rPr>
                <w:rFonts w:ascii="Arial" w:cs="Arial" w:eastAsia="Arial" w:hAnsi="Arial"/>
                <w:sz w:val="11"/>
                <w:szCs w:val="11"/>
                <w:b w:val="1"/>
                <w:bCs w:val="1"/>
                <w:color w:val="auto"/>
              </w:rPr>
              <w:t>2022</w:t>
            </w:r>
          </w:p>
        </w:tc>
      </w:tr>
      <w:tr>
        <w:trPr>
          <w:trHeight w:val="17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federal statutory rate</w:t>
            </w:r>
          </w:p>
        </w:tc>
        <w:tc>
          <w:tcPr>
            <w:tcW w:w="960" w:type="dxa"/>
            <w:vAlign w:val="bottom"/>
            <w:tcBorders>
              <w:top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rPr>
              <w:t>21.0%</w:t>
            </w: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ind w:right="249"/>
              <w:spacing w:after="0"/>
              <w:rPr>
                <w:sz w:val="20"/>
                <w:szCs w:val="20"/>
                <w:color w:val="auto"/>
              </w:rPr>
            </w:pPr>
            <w:r>
              <w:rPr>
                <w:rFonts w:ascii="Arial" w:cs="Arial" w:eastAsia="Arial" w:hAnsi="Arial"/>
                <w:sz w:val="14"/>
                <w:szCs w:val="14"/>
                <w:color w:val="auto"/>
              </w:rPr>
              <w:t>21.0%</w:t>
            </w:r>
          </w:p>
        </w:tc>
      </w:tr>
      <w:tr>
        <w:trPr>
          <w:trHeight w:val="183"/>
        </w:trPr>
        <w:tc>
          <w:tcPr>
            <w:tcW w:w="7280" w:type="dxa"/>
            <w:vAlign w:val="bottom"/>
          </w:tcPr>
          <w:p>
            <w:pPr>
              <w:ind w:left="20"/>
              <w:spacing w:after="0"/>
              <w:rPr>
                <w:sz w:val="20"/>
                <w:szCs w:val="20"/>
                <w:color w:val="auto"/>
              </w:rPr>
            </w:pPr>
            <w:r>
              <w:rPr>
                <w:rFonts w:ascii="Arial" w:cs="Arial" w:eastAsia="Arial" w:hAnsi="Arial"/>
                <w:sz w:val="14"/>
                <w:szCs w:val="14"/>
                <w:color w:val="auto"/>
              </w:rPr>
              <w:t>Increase/(decrease) resulting from:</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local income taxes, net of federal tax benefit</w:t>
            </w:r>
          </w:p>
        </w:tc>
        <w:tc>
          <w:tcPr>
            <w:tcW w:w="9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rPr>
              <w:t>1.2%</w:t>
            </w:r>
          </w:p>
        </w:tc>
        <w:tc>
          <w:tcPr>
            <w:tcW w:w="1680" w:type="dxa"/>
            <w:vAlign w:val="bottom"/>
            <w:gridSpan w:val="3"/>
            <w:shd w:val="clear" w:color="auto" w:fill="CCEEFF"/>
          </w:tcPr>
          <w:p>
            <w:pPr>
              <w:jc w:val="center"/>
              <w:ind w:left="35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rPr>
              <w:t>1.6%</w:t>
            </w:r>
          </w:p>
        </w:tc>
      </w:tr>
      <w:tr>
        <w:trPr>
          <w:trHeight w:val="183"/>
        </w:trPr>
        <w:tc>
          <w:tcPr>
            <w:tcW w:w="7280" w:type="dxa"/>
            <w:vAlign w:val="bottom"/>
          </w:tcPr>
          <w:p>
            <w:pPr>
              <w:ind w:left="120"/>
              <w:spacing w:after="0"/>
              <w:rPr>
                <w:sz w:val="20"/>
                <w:szCs w:val="20"/>
                <w:color w:val="auto"/>
              </w:rPr>
            </w:pPr>
            <w:r>
              <w:rPr>
                <w:rFonts w:ascii="Arial" w:cs="Arial" w:eastAsia="Arial" w:hAnsi="Arial"/>
                <w:sz w:val="14"/>
                <w:szCs w:val="14"/>
                <w:color w:val="auto"/>
              </w:rPr>
              <w:t>Foreign rate differences</w:t>
            </w:r>
          </w:p>
        </w:tc>
        <w:tc>
          <w:tcPr>
            <w:tcW w:w="960" w:type="dxa"/>
            <w:vAlign w:val="bottom"/>
          </w:tcPr>
          <w:p>
            <w:pPr>
              <w:jc w:val="center"/>
              <w:ind w:left="249"/>
              <w:spacing w:after="0"/>
              <w:rPr>
                <w:sz w:val="20"/>
                <w:szCs w:val="20"/>
                <w:color w:val="auto"/>
              </w:rPr>
            </w:pPr>
            <w:r>
              <w:rPr>
                <w:rFonts w:ascii="Arial" w:cs="Arial" w:eastAsia="Arial" w:hAnsi="Arial"/>
                <w:sz w:val="14"/>
                <w:szCs w:val="14"/>
                <w:color w:val="auto"/>
              </w:rPr>
              <w:t>3.0%</w:t>
            </w:r>
          </w:p>
        </w:tc>
        <w:tc>
          <w:tcPr>
            <w:tcW w:w="1680" w:type="dxa"/>
            <w:vAlign w:val="bottom"/>
            <w:gridSpan w:val="3"/>
          </w:tcPr>
          <w:p>
            <w:pPr>
              <w:jc w:val="center"/>
              <w:ind w:left="331"/>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2.0%</w:t>
            </w: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judgment on realizability of deferred tax assets</w:t>
            </w:r>
          </w:p>
        </w:tc>
        <w:tc>
          <w:tcPr>
            <w:tcW w:w="96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rPr>
              <w:t>(0.2)%</w:t>
            </w:r>
          </w:p>
        </w:tc>
        <w:tc>
          <w:tcPr>
            <w:tcW w:w="1680" w:type="dxa"/>
            <w:vAlign w:val="bottom"/>
            <w:gridSpan w:val="3"/>
            <w:shd w:val="clear" w:color="auto" w:fill="CCEEFF"/>
          </w:tcPr>
          <w:p>
            <w:pPr>
              <w:jc w:val="center"/>
              <w:ind w:left="35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rPr>
              <w:t>(1.1)%</w:t>
            </w:r>
          </w:p>
        </w:tc>
      </w:tr>
      <w:tr>
        <w:trPr>
          <w:trHeight w:val="183"/>
        </w:trPr>
        <w:tc>
          <w:tcPr>
            <w:tcW w:w="7280" w:type="dxa"/>
            <w:vAlign w:val="bottom"/>
          </w:tcPr>
          <w:p>
            <w:pPr>
              <w:ind w:left="120"/>
              <w:spacing w:after="0"/>
              <w:rPr>
                <w:sz w:val="20"/>
                <w:szCs w:val="20"/>
                <w:color w:val="auto"/>
              </w:rPr>
            </w:pPr>
            <w:r>
              <w:rPr>
                <w:rFonts w:ascii="Arial" w:cs="Arial" w:eastAsia="Arial" w:hAnsi="Arial"/>
                <w:sz w:val="14"/>
                <w:szCs w:val="14"/>
                <w:color w:val="auto"/>
              </w:rPr>
              <w:t>Net change in tax accruals</w:t>
            </w:r>
          </w:p>
        </w:tc>
        <w:tc>
          <w:tcPr>
            <w:tcW w:w="960" w:type="dxa"/>
            <w:vAlign w:val="bottom"/>
          </w:tcPr>
          <w:p>
            <w:pPr>
              <w:jc w:val="center"/>
              <w:ind w:left="249"/>
              <w:spacing w:after="0"/>
              <w:rPr>
                <w:sz w:val="20"/>
                <w:szCs w:val="20"/>
                <w:color w:val="auto"/>
              </w:rPr>
            </w:pPr>
            <w:r>
              <w:rPr>
                <w:rFonts w:ascii="Arial" w:cs="Arial" w:eastAsia="Arial" w:hAnsi="Arial"/>
                <w:sz w:val="14"/>
                <w:szCs w:val="14"/>
                <w:color w:val="auto"/>
              </w:rPr>
              <w:t>0.5%</w:t>
            </w:r>
          </w:p>
        </w:tc>
        <w:tc>
          <w:tcPr>
            <w:tcW w:w="1680" w:type="dxa"/>
            <w:vAlign w:val="bottom"/>
            <w:gridSpan w:val="3"/>
          </w:tcPr>
          <w:p>
            <w:pPr>
              <w:jc w:val="center"/>
              <w:ind w:left="351"/>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(1.4)%</w:t>
            </w: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accrual on investment in KDP (including tax impact of share sales)</w:t>
            </w:r>
          </w:p>
        </w:tc>
        <w:tc>
          <w:tcPr>
            <w:tcW w:w="9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rPr>
              <w:t>—%</w:t>
            </w:r>
          </w:p>
        </w:tc>
        <w:tc>
          <w:tcPr>
            <w:tcW w:w="1680" w:type="dxa"/>
            <w:vAlign w:val="bottom"/>
            <w:gridSpan w:val="3"/>
            <w:shd w:val="clear" w:color="auto" w:fill="CCEEFF"/>
          </w:tcPr>
          <w:p>
            <w:pPr>
              <w:jc w:val="center"/>
              <w:ind w:left="331"/>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rPr>
              <w:t>0.5%</w:t>
            </w:r>
          </w:p>
        </w:tc>
      </w:tr>
      <w:tr>
        <w:trPr>
          <w:trHeight w:val="183"/>
        </w:trPr>
        <w:tc>
          <w:tcPr>
            <w:tcW w:w="7280" w:type="dxa"/>
            <w:vAlign w:val="bottom"/>
          </w:tcPr>
          <w:p>
            <w:pPr>
              <w:ind w:left="120"/>
              <w:spacing w:after="0"/>
              <w:rPr>
                <w:sz w:val="20"/>
                <w:szCs w:val="20"/>
                <w:color w:val="auto"/>
              </w:rPr>
            </w:pPr>
            <w:r>
              <w:rPr>
                <w:rFonts w:ascii="Arial" w:cs="Arial" w:eastAsia="Arial" w:hAnsi="Arial"/>
                <w:sz w:val="14"/>
                <w:szCs w:val="14"/>
                <w:color w:val="auto"/>
              </w:rPr>
              <w:t>Excess tax benefits from equity compensation</w:t>
            </w:r>
          </w:p>
        </w:tc>
        <w:tc>
          <w:tcPr>
            <w:tcW w:w="960" w:type="dxa"/>
            <w:vAlign w:val="bottom"/>
          </w:tcPr>
          <w:p>
            <w:pPr>
              <w:jc w:val="center"/>
              <w:ind w:left="269"/>
              <w:spacing w:after="0"/>
              <w:rPr>
                <w:sz w:val="20"/>
                <w:szCs w:val="20"/>
                <w:color w:val="auto"/>
              </w:rPr>
            </w:pPr>
            <w:r>
              <w:rPr>
                <w:rFonts w:ascii="Arial" w:cs="Arial" w:eastAsia="Arial" w:hAnsi="Arial"/>
                <w:sz w:val="14"/>
                <w:szCs w:val="14"/>
                <w:color w:val="auto"/>
              </w:rPr>
              <w:t>(0.4)%</w:t>
            </w:r>
          </w:p>
        </w:tc>
        <w:tc>
          <w:tcPr>
            <w:tcW w:w="1680" w:type="dxa"/>
            <w:vAlign w:val="bottom"/>
            <w:gridSpan w:val="3"/>
          </w:tcPr>
          <w:p>
            <w:pPr>
              <w:jc w:val="center"/>
              <w:ind w:left="351"/>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(0.8)%</w:t>
            </w: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legislation</w:t>
            </w:r>
          </w:p>
        </w:tc>
        <w:tc>
          <w:tcPr>
            <w:tcW w:w="9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rPr>
              <w:t>0.2%</w:t>
            </w:r>
          </w:p>
        </w:tc>
        <w:tc>
          <w:tcPr>
            <w:tcW w:w="1680" w:type="dxa"/>
            <w:vAlign w:val="bottom"/>
            <w:gridSpan w:val="3"/>
            <w:shd w:val="clear" w:color="auto" w:fill="CCEEFF"/>
          </w:tcPr>
          <w:p>
            <w:pPr>
              <w:jc w:val="center"/>
              <w:ind w:left="33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rPr>
              <w:t>0.5%</w:t>
            </w:r>
          </w:p>
        </w:tc>
      </w:tr>
      <w:tr>
        <w:trPr>
          <w:trHeight w:val="183"/>
        </w:trPr>
        <w:tc>
          <w:tcPr>
            <w:tcW w:w="7280" w:type="dxa"/>
            <w:vAlign w:val="bottom"/>
          </w:tcPr>
          <w:p>
            <w:pPr>
              <w:ind w:left="120"/>
              <w:spacing w:after="0"/>
              <w:rPr>
                <w:sz w:val="20"/>
                <w:szCs w:val="20"/>
                <w:color w:val="auto"/>
              </w:rPr>
            </w:pPr>
            <w:r>
              <w:rPr>
                <w:rFonts w:ascii="Arial" w:cs="Arial" w:eastAsia="Arial" w:hAnsi="Arial"/>
                <w:sz w:val="14"/>
                <w:szCs w:val="14"/>
                <w:color w:val="auto"/>
              </w:rPr>
              <w:t>Business sales</w:t>
            </w:r>
          </w:p>
        </w:tc>
        <w:tc>
          <w:tcPr>
            <w:tcW w:w="960" w:type="dxa"/>
            <w:vAlign w:val="bottom"/>
          </w:tcPr>
          <w:p>
            <w:pPr>
              <w:jc w:val="center"/>
              <w:ind w:left="249"/>
              <w:spacing w:after="0"/>
              <w:rPr>
                <w:sz w:val="20"/>
                <w:szCs w:val="20"/>
                <w:color w:val="auto"/>
              </w:rPr>
            </w:pPr>
            <w:r>
              <w:rPr>
                <w:rFonts w:ascii="Arial" w:cs="Arial" w:eastAsia="Arial" w:hAnsi="Arial"/>
                <w:sz w:val="14"/>
                <w:szCs w:val="14"/>
                <w:color w:val="auto"/>
              </w:rPr>
              <w:t>—%</w:t>
            </w:r>
          </w:p>
        </w:tc>
        <w:tc>
          <w:tcPr>
            <w:tcW w:w="1680" w:type="dxa"/>
            <w:vAlign w:val="bottom"/>
            <w:gridSpan w:val="3"/>
          </w:tcPr>
          <w:p>
            <w:pPr>
              <w:jc w:val="center"/>
              <w:ind w:left="351"/>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0.1%</w:t>
            </w: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benefit from legal entity reorganization</w:t>
            </w:r>
          </w:p>
        </w:tc>
        <w:tc>
          <w:tcPr>
            <w:tcW w:w="96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rPr>
              <w:t>(2.3)%</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420"/>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w w:val="98"/>
              </w:rPr>
              <w:t>—%</w:t>
            </w:r>
          </w:p>
        </w:tc>
      </w:tr>
      <w:tr>
        <w:trPr>
          <w:trHeight w:val="183"/>
        </w:trPr>
        <w:tc>
          <w:tcPr>
            <w:tcW w:w="7280" w:type="dxa"/>
            <w:vAlign w:val="bottom"/>
          </w:tcPr>
          <w:p>
            <w:pPr>
              <w:ind w:left="120"/>
              <w:spacing w:after="0" w:line="182" w:lineRule="exact"/>
              <w:rPr>
                <w:sz w:val="20"/>
                <w:szCs w:val="20"/>
                <w:color w:val="auto"/>
              </w:rPr>
            </w:pPr>
            <w:r>
              <w:rPr>
                <w:rFonts w:ascii="Arial" w:cs="Arial" w:eastAsia="Arial" w:hAnsi="Arial"/>
                <w:sz w:val="14"/>
                <w:szCs w:val="14"/>
                <w:color w:val="auto"/>
              </w:rPr>
              <w:t xml:space="preserve">Foreign tax provisions under TCJA (GILTI, FDII and BEAT) </w:t>
            </w:r>
            <w:r>
              <w:rPr>
                <w:rFonts w:ascii="Arial" w:cs="Arial" w:eastAsia="Arial" w:hAnsi="Arial"/>
                <w:sz w:val="18"/>
                <w:szCs w:val="18"/>
                <w:color w:val="auto"/>
                <w:vertAlign w:val="superscript"/>
              </w:rPr>
              <w:t>(1)</w:t>
            </w:r>
          </w:p>
        </w:tc>
        <w:tc>
          <w:tcPr>
            <w:tcW w:w="960" w:type="dxa"/>
            <w:vAlign w:val="bottom"/>
          </w:tcPr>
          <w:p>
            <w:pPr>
              <w:jc w:val="center"/>
              <w:ind w:left="249"/>
              <w:spacing w:after="0"/>
              <w:rPr>
                <w:sz w:val="20"/>
                <w:szCs w:val="20"/>
                <w:color w:val="auto"/>
              </w:rPr>
            </w:pPr>
            <w:r>
              <w:rPr>
                <w:rFonts w:ascii="Arial" w:cs="Arial" w:eastAsia="Arial" w:hAnsi="Arial"/>
                <w:sz w:val="14"/>
                <w:szCs w:val="14"/>
                <w:color w:val="auto"/>
              </w:rPr>
              <w:t>0.5%</w:t>
            </w:r>
          </w:p>
        </w:tc>
        <w:tc>
          <w:tcPr>
            <w:tcW w:w="1680" w:type="dxa"/>
            <w:vAlign w:val="bottom"/>
            <w:gridSpan w:val="3"/>
          </w:tcPr>
          <w:p>
            <w:pPr>
              <w:jc w:val="center"/>
              <w:ind w:left="331"/>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0.1%</w:t>
            </w:r>
          </w:p>
        </w:tc>
      </w:tr>
      <w:tr>
        <w:trPr>
          <w:trHeight w:val="18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impacts from the European Commission legal matter</w:t>
            </w:r>
          </w:p>
        </w:tc>
        <w:tc>
          <w:tcPr>
            <w:tcW w:w="9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rPr>
              <w:t>—%</w:t>
            </w:r>
          </w:p>
        </w:tc>
        <w:tc>
          <w:tcPr>
            <w:tcW w:w="1680" w:type="dxa"/>
            <w:vAlign w:val="bottom"/>
            <w:gridSpan w:val="3"/>
            <w:shd w:val="clear" w:color="auto" w:fill="CCEEFF"/>
          </w:tcPr>
          <w:p>
            <w:pPr>
              <w:jc w:val="center"/>
              <w:ind w:left="351"/>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rPr>
              <w:t>2.1%</w:t>
            </w:r>
          </w:p>
        </w:tc>
      </w:tr>
      <w:tr>
        <w:trPr>
          <w:trHeight w:val="183"/>
        </w:trPr>
        <w:tc>
          <w:tcPr>
            <w:tcW w:w="7280" w:type="dxa"/>
            <w:vAlign w:val="bottom"/>
          </w:tcPr>
          <w:p>
            <w:pPr>
              <w:ind w:left="120"/>
              <w:spacing w:after="0"/>
              <w:rPr>
                <w:sz w:val="20"/>
                <w:szCs w:val="20"/>
                <w:color w:val="auto"/>
              </w:rPr>
            </w:pPr>
            <w:r>
              <w:rPr>
                <w:rFonts w:ascii="Arial" w:cs="Arial" w:eastAsia="Arial" w:hAnsi="Arial"/>
                <w:sz w:val="14"/>
                <w:szCs w:val="14"/>
                <w:color w:val="auto"/>
              </w:rPr>
              <w:t>Non-deductible expenses and other, including buyout of Clif Bar ESOP</w:t>
            </w:r>
          </w:p>
        </w:tc>
        <w:tc>
          <w:tcPr>
            <w:tcW w:w="960" w:type="dxa"/>
            <w:vAlign w:val="bottom"/>
          </w:tcPr>
          <w:p>
            <w:pPr>
              <w:jc w:val="center"/>
              <w:ind w:left="2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right="249"/>
              <w:spacing w:after="0"/>
              <w:rPr>
                <w:sz w:val="20"/>
                <w:szCs w:val="20"/>
                <w:color w:val="auto"/>
              </w:rPr>
            </w:pPr>
            <w:r>
              <w:rPr>
                <w:rFonts w:ascii="Arial" w:cs="Arial" w:eastAsia="Arial" w:hAnsi="Arial"/>
                <w:sz w:val="14"/>
                <w:szCs w:val="14"/>
                <w:color w:val="auto"/>
              </w:rPr>
              <w:t>2.2%</w:t>
            </w:r>
          </w:p>
        </w:tc>
      </w:tr>
      <w:tr>
        <w:trPr>
          <w:trHeight w:val="19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960" w:type="dxa"/>
            <w:vAlign w:val="bottom"/>
            <w:tcBorders>
              <w:top w:val="single" w:sz="8" w:color="auto"/>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rPr>
              <w:t>23.5%</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center"/>
              <w:ind w:right="249"/>
              <w:spacing w:after="0"/>
              <w:rPr>
                <w:sz w:val="20"/>
                <w:szCs w:val="20"/>
                <w:color w:val="auto"/>
              </w:rPr>
            </w:pPr>
            <w:r>
              <w:rPr>
                <w:rFonts w:ascii="Arial" w:cs="Arial" w:eastAsia="Arial" w:hAnsi="Arial"/>
                <w:sz w:val="14"/>
                <w:szCs w:val="14"/>
                <w:color w:val="auto"/>
              </w:rPr>
              <w:t>26.8%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200" w:hanging="194"/>
        <w:spacing w:after="0" w:line="286" w:lineRule="auto"/>
        <w:tabs>
          <w:tab w:leader="none" w:pos="189"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minimum tax based on cross-border service payments by U.S. entities.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2024 effective tax rate of 23.5% was higher than the 21% U.S. federal statutory rate due to the net unfavorable impact attributable to jurisdictional mix of pretax income and applicable tax rates as well as unfavorable foreign provisions under U.S. tax laws, partially offset by a net benefit resulting from a legal entity reorganization associated with a prior year acquisition.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2023 effective tax rate of 26.1% was higher than the 21% U.S. federal statutory rate due to a $125 million net tax expense incurred in connection with the KDP share sale during the first quarter of 2023 (the earnings were reported separately on our statement of earnings and thus not included in earnings before income taxes). Excluding these impacts, our effective tax rate was 24.0%, which reflects unfavorable foreign provisions under U.S. tax laws as well as net unfavorable impacts from the mix of pre-tax income and applicable tax rates in various non-U.S. jurisdictions. The 24.0% included a $150 million net tax expense related to pre-tax gains and losses on KDP marketable securities. It also included a favorable discrete net tax benefit of $40 million, driven primarily by a $51 million net benefit from the release of liabilities for uncertain tax positions due to expirations of statutes of limitations and audit settlements in several jurisdictions and a $24 million benefit for the expected tax deduction on the European Commission legal matter, partially offset by a $63 million expense from updating our Swiss tax reform position in Switzerland as it relates to the 2024 tax year.</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2022 effective tax rate of 26.8% was higher than the 21% U.S. federal statutory rate due to the buyout of the Clif Bar ESOP that was recorded to earnings before income taxes and the European Commission legal matter, for which there is no associated income tax benefits. Excluding these impacts, our effective tax rate was 22.6%, which reflects unfavorable provisions from the U.S. tax laws and the establishment of a valuation allowance related to a deferred tax asset arising from the 2022 Ukraine loss, largely offset by net favorable impacts from the mix of pre-tax income and applicable tax rates in various non-U.S. jurisdictions. The 22.6% includes a favorable discrete net tax benefit of $96 million, driven by a $72 million net benefit from the release of liabilities for uncertain tax positions due to expirations of statutes of limitations and audit settlements in several jurisdictions and a $51 million net benefit from the Chipita acquisition, partially offset by $17 million expense from tax law changes in various jurisdictions.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Tax effects of temporary differences that gave rise to deferred income tax assets and liabilities consisted 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r>
      <w:tr>
        <w:trPr>
          <w:trHeight w:val="163"/>
        </w:trPr>
        <w:tc>
          <w:tcPr>
            <w:tcW w:w="8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09"/>
              <w:spacing w:after="0"/>
              <w:rPr>
                <w:sz w:val="20"/>
                <w:szCs w:val="20"/>
                <w:color w:val="auto"/>
              </w:rPr>
            </w:pPr>
            <w:r>
              <w:rPr>
                <w:rFonts w:ascii="Arial" w:cs="Arial" w:eastAsia="Arial" w:hAnsi="Arial"/>
                <w:sz w:val="11"/>
                <w:szCs w:val="11"/>
                <w:b w:val="1"/>
                <w:bCs w:val="1"/>
                <w:color w:val="auto"/>
              </w:rPr>
              <w:t>2023</w:t>
            </w:r>
          </w:p>
        </w:tc>
      </w:tr>
      <w:tr>
        <w:trPr>
          <w:trHeight w:val="163"/>
        </w:trPr>
        <w:tc>
          <w:tcPr>
            <w:tcW w:w="8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right"/>
              <w:ind w:right="188"/>
              <w:spacing w:after="0"/>
              <w:rPr>
                <w:sz w:val="20"/>
                <w:szCs w:val="20"/>
                <w:color w:val="auto"/>
              </w:rPr>
            </w:pPr>
            <w:r>
              <w:rPr>
                <w:rFonts w:ascii="Arial" w:cs="Arial" w:eastAsia="Arial" w:hAnsi="Arial"/>
                <w:sz w:val="11"/>
                <w:szCs w:val="11"/>
                <w:b w:val="1"/>
                <w:bCs w:val="1"/>
                <w:color w:val="auto"/>
              </w:rPr>
              <w:t>(in millions)</w:t>
            </w:r>
          </w:p>
        </w:tc>
        <w:tc>
          <w:tcPr>
            <w:tcW w:w="900" w:type="dxa"/>
            <w:vAlign w:val="bottom"/>
          </w:tcPr>
          <w:p>
            <w:pPr>
              <w:spacing w:after="0"/>
              <w:rPr>
                <w:sz w:val="14"/>
                <w:szCs w:val="14"/>
                <w:color w:val="auto"/>
              </w:rPr>
            </w:pPr>
          </w:p>
        </w:tc>
      </w:tr>
      <w:tr>
        <w:trPr>
          <w:trHeight w:val="18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3"/>
        </w:trPr>
        <w:tc>
          <w:tcPr>
            <w:tcW w:w="8300" w:type="dxa"/>
            <w:vAlign w:val="bottom"/>
          </w:tcPr>
          <w:p>
            <w:pPr>
              <w:ind w:left="120"/>
              <w:spacing w:after="0"/>
              <w:rPr>
                <w:sz w:val="20"/>
                <w:szCs w:val="20"/>
                <w:color w:val="auto"/>
              </w:rPr>
            </w:pPr>
            <w:r>
              <w:rPr>
                <w:rFonts w:ascii="Arial" w:cs="Arial" w:eastAsia="Arial" w:hAnsi="Arial"/>
                <w:sz w:val="14"/>
                <w:szCs w:val="14"/>
                <w:color w:val="auto"/>
              </w:rPr>
              <w:t>Accrued postretirement and postemployment benefits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employee benefits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3"/>
        </w:trPr>
        <w:tc>
          <w:tcPr>
            <w:tcW w:w="830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18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carryforwards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83"/>
        </w:trPr>
        <w:tc>
          <w:tcPr>
            <w:tcW w:w="8300" w:type="dxa"/>
            <w:vAlign w:val="bottom"/>
          </w:tcPr>
          <w:p>
            <w:pPr>
              <w:ind w:left="120"/>
              <w:spacing w:after="0"/>
              <w:rPr>
                <w:sz w:val="20"/>
                <w:szCs w:val="20"/>
                <w:color w:val="auto"/>
              </w:rPr>
            </w:pPr>
            <w:r>
              <w:rPr>
                <w:rFonts w:ascii="Arial" w:cs="Arial" w:eastAsia="Arial" w:hAnsi="Arial"/>
                <w:sz w:val="14"/>
                <w:szCs w:val="14"/>
                <w:color w:val="auto"/>
              </w:rPr>
              <w:t>Tax credit carryforwards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803</w:t>
            </w:r>
          </w:p>
        </w:tc>
      </w:tr>
      <w:tr>
        <w:trPr>
          <w:trHeight w:val="18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r>
      <w:tr>
        <w:trPr>
          <w:trHeight w:val="173"/>
        </w:trPr>
        <w:tc>
          <w:tcPr>
            <w:tcW w:w="8300" w:type="dxa"/>
            <w:vAlign w:val="bottom"/>
          </w:tcPr>
          <w:p>
            <w:pPr>
              <w:ind w:left="20"/>
              <w:spacing w:after="0"/>
              <w:rPr>
                <w:sz w:val="20"/>
                <w:szCs w:val="20"/>
                <w:color w:val="auto"/>
              </w:rPr>
            </w:pPr>
            <w:r>
              <w:rPr>
                <w:rFonts w:ascii="Arial" w:cs="Arial" w:eastAsia="Arial" w:hAnsi="Arial"/>
                <w:sz w:val="14"/>
                <w:szCs w:val="14"/>
                <w:color w:val="auto"/>
              </w:rPr>
              <w:t>Total deferred income tax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2,925</w:t>
            </w:r>
          </w:p>
        </w:tc>
      </w:tr>
      <w:tr>
        <w:trPr>
          <w:trHeight w:val="183"/>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Valuation allowance</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r>
      <w:tr>
        <w:trPr>
          <w:trHeight w:val="17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income tax assets</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r>
      <w:tr>
        <w:trPr>
          <w:trHeight w:val="16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3"/>
        </w:trPr>
        <w:tc>
          <w:tcPr>
            <w:tcW w:w="8300" w:type="dxa"/>
            <w:vAlign w:val="bottom"/>
          </w:tcPr>
          <w:p>
            <w:pPr>
              <w:ind w:left="120"/>
              <w:spacing w:after="0"/>
              <w:rPr>
                <w:sz w:val="20"/>
                <w:szCs w:val="20"/>
                <w:color w:val="auto"/>
              </w:rPr>
            </w:pPr>
            <w:r>
              <w:rPr>
                <w:rFonts w:ascii="Arial" w:cs="Arial" w:eastAsia="Arial" w:hAnsi="Arial"/>
                <w:sz w:val="14"/>
                <w:szCs w:val="14"/>
                <w:color w:val="auto"/>
              </w:rPr>
              <w:t>Intangible assets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(3,083)</w:t>
            </w:r>
          </w:p>
        </w:tc>
        <w:tc>
          <w:tcPr>
            <w:tcW w:w="10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(3,094)</w:t>
            </w:r>
          </w:p>
        </w:tc>
      </w:tr>
      <w:tr>
        <w:trPr>
          <w:trHeight w:val="18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plant and equipment</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83"/>
        </w:trPr>
        <w:tc>
          <w:tcPr>
            <w:tcW w:w="8300" w:type="dxa"/>
            <w:vAlign w:val="bottom"/>
          </w:tcPr>
          <w:p>
            <w:pPr>
              <w:ind w:left="120"/>
              <w:spacing w:after="0"/>
              <w:rPr>
                <w:sz w:val="20"/>
                <w:szCs w:val="20"/>
                <w:color w:val="auto"/>
              </w:rPr>
            </w:pPr>
            <w:r>
              <w:rPr>
                <w:rFonts w:ascii="Arial" w:cs="Arial" w:eastAsia="Arial" w:hAnsi="Arial"/>
                <w:sz w:val="14"/>
                <w:szCs w:val="14"/>
                <w:color w:val="auto"/>
              </w:rPr>
              <w:t>Accrued pension costs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3"/>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7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income tax liabilities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w:t>
            </w:r>
          </w:p>
        </w:tc>
      </w:tr>
      <w:tr>
        <w:trPr>
          <w:trHeight w:val="19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income tax liabilities</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significant valuation allowances are in the U.S. and Switzerland. The U.S. valuation allowance relates to excess foreign tax credits generated by the deemed repatriation under U.S. tax reform while the Swiss valuation allowance reduces the amortizable intangible assets to the amount more likely than not to be realized. Our total valuation allowance was $ 1,359 million as of January 1, 2024 and $1,291 million as of December 31, 2024. The $(68) million net change, which includes currency impacts, consisted of $65 million additions less $133 million reductions.</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At December 31, 2024, the Company has tax-effected loss carryforwards of $681 million, of which $32 million will expire at various dates between 2025 and 2044 and the remaining $649 million can be carried forward indefinitely.</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As of December 31, 2024, the company is indefinitely reinvested in unremitted earnings of approximately $4.5 billion, of which approximately $1.4 billion has already been subject to U.S. tax but would incur approximately $99 million of local costs if repatriated, which has not been recognized in our financial statements. It is not practicable to quantify the total U.S. tax impact from all our indefinitely reinvested earnings. Future tax law changes or changes in the needs of our non-U.S. subsidiaries could require us to recognize deferred tax liabilities on a portion, or all, of our accumulated earnings that are currently indefinitely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our unrecognized tax benefits were: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780" w:type="dxa"/>
            <w:vAlign w:val="bottom"/>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1"/>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3"/>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1</w:t>
            </w:r>
          </w:p>
        </w:tc>
        <w:tc>
          <w:tcPr>
            <w:tcW w:w="980" w:type="dxa"/>
            <w:vAlign w:val="bottom"/>
            <w:shd w:val="clear" w:color="auto" w:fill="CCEEFF"/>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Increases from positions taken during prior periods</w:t>
            </w:r>
          </w:p>
        </w:tc>
        <w:tc>
          <w:tcPr>
            <w:tcW w:w="98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Decreases from positions taken during prior periods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Increases from positions taken during the current period</w:t>
            </w:r>
          </w:p>
        </w:tc>
        <w:tc>
          <w:tcPr>
            <w:tcW w:w="98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Decreases relating to settlements with taxing authorities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0"/>
        </w:trPr>
        <w:tc>
          <w:tcPr>
            <w:tcW w:w="6780" w:type="dxa"/>
            <w:vAlign w:val="bottom"/>
          </w:tcPr>
          <w:p>
            <w:pPr>
              <w:ind w:left="140"/>
              <w:spacing w:after="0" w:line="140" w:lineRule="exact"/>
              <w:rPr>
                <w:sz w:val="20"/>
                <w:szCs w:val="20"/>
                <w:color w:val="auto"/>
              </w:rPr>
            </w:pPr>
            <w:r>
              <w:rPr>
                <w:rFonts w:ascii="Arial" w:cs="Arial" w:eastAsia="Arial" w:hAnsi="Arial"/>
                <w:sz w:val="14"/>
                <w:szCs w:val="14"/>
                <w:color w:val="auto"/>
              </w:rPr>
              <w:t>Reductions resulting from the lapse of the applicable</w:t>
            </w:r>
          </w:p>
        </w:tc>
        <w:tc>
          <w:tcPr>
            <w:tcW w:w="9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3"/>
        </w:trPr>
        <w:tc>
          <w:tcPr>
            <w:tcW w:w="6780" w:type="dxa"/>
            <w:vAlign w:val="bottom"/>
          </w:tcPr>
          <w:p>
            <w:pPr>
              <w:ind w:left="260"/>
              <w:spacing w:after="0"/>
              <w:rPr>
                <w:sz w:val="20"/>
                <w:szCs w:val="20"/>
                <w:color w:val="auto"/>
              </w:rPr>
            </w:pPr>
            <w:r>
              <w:rPr>
                <w:rFonts w:ascii="Arial" w:cs="Arial" w:eastAsia="Arial" w:hAnsi="Arial"/>
                <w:sz w:val="14"/>
                <w:szCs w:val="14"/>
                <w:color w:val="auto"/>
              </w:rPr>
              <w:t>statute of limitations</w:t>
            </w:r>
          </w:p>
        </w:tc>
        <w:tc>
          <w:tcPr>
            <w:tcW w:w="9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Currency/other</w:t>
            </w:r>
          </w:p>
        </w:tc>
        <w:tc>
          <w:tcPr>
            <w:tcW w:w="9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6780" w:type="dxa"/>
            <w:vAlign w:val="bottom"/>
          </w:tcPr>
          <w:p>
            <w:pPr>
              <w:ind w:left="20"/>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 of January 1, 2024, our unrecognized tax benefits were $442 million. If we had recognized all of these benefits, the net impact on our income tax provision would have been $348 million. Our unrecognized tax benefits were $436 million at December 31, 2024, and if we had recognized all of these benefits, the net impact on our income tax provision would have been $348 million. Within the next 12 months, our unrecognized tax benefits could increase by approximately $25 million or decrease by approximately $65 million due to audit developments and the expiration of statutes of limitations in various jurisdictions. We include accrued interest and penalties related to uncertain tax positions in our tax provision. We had accrued interest and penalties of $173 million as of January 1, 2024 and $190 million as of December 31, 2024. Our 2024 provision for income taxes included $26 million expense for interest and penalties.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connection with the 2017 enacted U.S. tax reform, we recorded a $1.3 billion transition tax liability that is payable in installments through 2026. As of December 31, 2024, the remaining liability was approximately $360 million.</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India (2005), Switzerland (2019), China (2014), United Kingdom (2015), and Greece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Earnings per Share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Basic and diluted earnings per share (“EPS”) were calculated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center"/>
              <w:ind w:left="71"/>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780" w:type="dxa"/>
            <w:vAlign w:val="bottom"/>
          </w:tcPr>
          <w:p>
            <w:pPr>
              <w:spacing w:after="0"/>
              <w:rPr>
                <w:sz w:val="14"/>
                <w:szCs w:val="14"/>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70"/>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3"/>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6"/>
          </w:tcPr>
          <w:p>
            <w:pPr>
              <w:jc w:val="center"/>
              <w:ind w:left="71"/>
              <w:spacing w:after="0"/>
              <w:rPr>
                <w:sz w:val="20"/>
                <w:szCs w:val="20"/>
                <w:color w:val="auto"/>
              </w:rPr>
            </w:pPr>
            <w:r>
              <w:rPr>
                <w:rFonts w:ascii="Arial" w:cs="Arial" w:eastAsia="Arial" w:hAnsi="Arial"/>
                <w:sz w:val="11"/>
                <w:szCs w:val="11"/>
                <w:b w:val="1"/>
                <w:bCs w:val="1"/>
                <w:color w:val="auto"/>
              </w:rPr>
              <w:t>(in millions, except per share data)</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2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Noncontrolling interest earnings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6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earnings attributable to Mondelēz International</w:t>
            </w: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4,611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shares for basic EPS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ind w:right="11"/>
              <w:spacing w:after="0" w:line="145" w:lineRule="exact"/>
              <w:rPr>
                <w:sz w:val="20"/>
                <w:szCs w:val="20"/>
                <w:color w:val="auto"/>
              </w:rPr>
            </w:pPr>
            <w:r>
              <w:rPr>
                <w:rFonts w:ascii="Arial" w:cs="Arial" w:eastAsia="Arial" w:hAnsi="Arial"/>
                <w:sz w:val="14"/>
                <w:szCs w:val="14"/>
                <w:color w:val="auto"/>
              </w:rPr>
              <w:t>1,341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1,363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40"/>
        </w:trPr>
        <w:tc>
          <w:tcPr>
            <w:tcW w:w="678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Plus incremental shares from assumed conversions</w:t>
            </w: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stock options and long-term incentive plan shares</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shares for diluted EPS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1,347</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780" w:type="dxa"/>
            <w:vAlign w:val="bottom"/>
            <w:shd w:val="clear" w:color="auto" w:fill="CCEEFF"/>
          </w:tcPr>
          <w:p>
            <w:pPr>
              <w:ind w:left="20"/>
              <w:spacing w:after="0" w:line="101" w:lineRule="exact"/>
              <w:rPr>
                <w:sz w:val="20"/>
                <w:szCs w:val="20"/>
                <w:color w:val="auto"/>
              </w:rPr>
            </w:pPr>
            <w:r>
              <w:rPr>
                <w:rFonts w:ascii="Arial" w:cs="Arial" w:eastAsia="Arial" w:hAnsi="Arial"/>
                <w:sz w:val="11"/>
                <w:szCs w:val="11"/>
                <w:color w:val="auto"/>
              </w:rPr>
              <w:t>Basic earnings per share attributable to</w:t>
            </w:r>
          </w:p>
        </w:tc>
        <w:tc>
          <w:tcPr>
            <w:tcW w:w="920" w:type="dxa"/>
            <w:vAlign w:val="bottom"/>
            <w:vMerge w:val="restart"/>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2"/>
        </w:trPr>
        <w:tc>
          <w:tcPr>
            <w:tcW w:w="6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Mondelēz International</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21" w:lineRule="exact"/>
              <w:rPr>
                <w:sz w:val="20"/>
                <w:szCs w:val="20"/>
                <w:color w:val="auto"/>
              </w:rPr>
            </w:pPr>
            <w:r>
              <w:rPr>
                <w:rFonts w:ascii="Arial" w:cs="Arial" w:eastAsia="Arial" w:hAnsi="Arial"/>
                <w:sz w:val="14"/>
                <w:szCs w:val="14"/>
                <w:color w:val="auto"/>
              </w:rPr>
              <w:t>Diluted earnings per share attributable to</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780" w:type="dxa"/>
            <w:vAlign w:val="bottom"/>
            <w:vMerge w:val="continue"/>
          </w:tcPr>
          <w:p>
            <w:pPr>
              <w:spacing w:after="0"/>
              <w:rPr>
                <w:sz w:val="7"/>
                <w:szCs w:val="7"/>
                <w:color w:val="auto"/>
              </w:rPr>
            </w:pPr>
          </w:p>
        </w:tc>
        <w:tc>
          <w:tcPr>
            <w:tcW w:w="920" w:type="dxa"/>
            <w:vAlign w:val="bottom"/>
            <w:vMerge w:val="restart"/>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11"/>
              <w:spacing w:after="0"/>
              <w:rPr>
                <w:sz w:val="20"/>
                <w:szCs w:val="20"/>
                <w:color w:val="auto"/>
              </w:rPr>
            </w:pPr>
            <w:r>
              <w:rPr>
                <w:rFonts w:ascii="Arial" w:cs="Arial" w:eastAsia="Arial" w:hAnsi="Arial"/>
                <w:sz w:val="14"/>
                <w:szCs w:val="14"/>
                <w:color w:val="auto"/>
              </w:rPr>
              <w:t>3.42</w:t>
            </w:r>
          </w:p>
        </w:tc>
        <w:tc>
          <w:tcPr>
            <w:tcW w:w="80" w:type="dxa"/>
            <w:vAlign w:val="bottom"/>
          </w:tcPr>
          <w:p>
            <w:pPr>
              <w:spacing w:after="0"/>
              <w:rPr>
                <w:sz w:val="7"/>
                <w:szCs w:val="7"/>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7"/>
                <w:szCs w:val="7"/>
                <w:color w:val="auto"/>
              </w:rPr>
            </w:pPr>
          </w:p>
        </w:tc>
        <w:tc>
          <w:tcPr>
            <w:tcW w:w="360" w:type="dxa"/>
            <w:vAlign w:val="bottom"/>
            <w:vMerge w:val="restart"/>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7"/>
        </w:trPr>
        <w:tc>
          <w:tcPr>
            <w:tcW w:w="6780" w:type="dxa"/>
            <w:vAlign w:val="bottom"/>
          </w:tcPr>
          <w:p>
            <w:pPr>
              <w:ind w:left="140"/>
              <w:spacing w:after="0"/>
              <w:rPr>
                <w:sz w:val="20"/>
                <w:szCs w:val="20"/>
                <w:color w:val="auto"/>
              </w:rPr>
            </w:pPr>
            <w:r>
              <w:rPr>
                <w:rFonts w:ascii="Arial" w:cs="Arial" w:eastAsia="Arial" w:hAnsi="Arial"/>
                <w:sz w:val="14"/>
                <w:szCs w:val="14"/>
                <w:color w:val="auto"/>
              </w:rPr>
              <w:t>Mondelēz International</w:t>
            </w:r>
          </w:p>
        </w:tc>
        <w:tc>
          <w:tcPr>
            <w:tcW w:w="9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exclude antidilutive Mondelēz International stock options and long-term incentive plan shares from our calculation of weighted-average shares for diluted EPS, which are 3.4 million for the year ended December 31, 2024, 2.9 million for the year ended December 31, 2023 and 3.0 million for the year ended December 31, 2022.</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Segment Reporting</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manufacture and market primarily snack food products, including chocolate, biscuits and baked snacks, as well as gum &amp; candy, cheese &amp; grocery and powdered beverages.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Our operations and management structure are organized into four operating segments:</w:t>
      </w:r>
    </w:p>
    <w:p>
      <w:pPr>
        <w:spacing w:after="0" w:line="25" w:lineRule="exact"/>
        <w:rPr>
          <w:sz w:val="20"/>
          <w:szCs w:val="20"/>
          <w:color w:val="auto"/>
        </w:rPr>
      </w:pPr>
    </w:p>
    <w:p>
      <w:pPr>
        <w:ind w:left="520" w:hanging="25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Latin America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AMEA</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Europe</w:t>
      </w:r>
    </w:p>
    <w:p>
      <w:pPr>
        <w:spacing w:after="0" w:line="10" w:lineRule="exact"/>
        <w:rPr>
          <w:rFonts w:ascii="Arial" w:cs="Arial" w:eastAsia="Arial" w:hAnsi="Arial"/>
          <w:sz w:val="14"/>
          <w:szCs w:val="14"/>
          <w:color w:val="auto"/>
        </w:rPr>
      </w:pPr>
    </w:p>
    <w:p>
      <w:pPr>
        <w:ind w:left="520" w:hanging="25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North America</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 assets, gains and losses on divestitures and acquisitions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Our segment net revenue, significant segment expenses and operating income, by reportable segment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1"/>
                <w:szCs w:val="11"/>
                <w:b w:val="1"/>
                <w:bCs w:val="1"/>
                <w:color w:val="auto"/>
              </w:rPr>
              <w:t>For The Year Ended December 31, 2024</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Latin America</w:t>
            </w:r>
          </w:p>
        </w:tc>
        <w:tc>
          <w:tcPr>
            <w:tcW w:w="28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AMEA</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Europe</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North America</w:t>
            </w: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36,441</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Segment cost of sales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(22,734)</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Segment selling, general and administrative expenses </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0" w:type="dxa"/>
            <w:vAlign w:val="bottom"/>
          </w:tcPr>
          <w:p>
            <w:pPr>
              <w:spacing w:after="0"/>
              <w:rPr>
                <w:sz w:val="1"/>
                <w:szCs w:val="1"/>
                <w:color w:val="auto"/>
              </w:rPr>
            </w:pP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6,284</w:t>
            </w:r>
          </w:p>
        </w:tc>
        <w:tc>
          <w:tcPr>
            <w:tcW w:w="0" w:type="dxa"/>
            <w:vAlign w:val="bottom"/>
          </w:tcPr>
          <w:p>
            <w:pPr>
              <w:spacing w:after="0"/>
              <w:rPr>
                <w:sz w:val="1"/>
                <w:szCs w:val="1"/>
                <w:color w:val="auto"/>
              </w:rPr>
            </w:pPr>
          </w:p>
        </w:tc>
      </w:tr>
      <w:tr>
        <w:trPr>
          <w:trHeight w:val="140"/>
        </w:trPr>
        <w:tc>
          <w:tcPr>
            <w:tcW w:w="42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Unrealized gains on hedging activities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(mark-to-market impacts)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General corporate expenses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Net gain on divestitures and acquisitions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 costs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3"/>
        </w:trPr>
        <w:tc>
          <w:tcPr>
            <w:tcW w:w="4220" w:type="dxa"/>
            <w:vAlign w:val="bottom"/>
          </w:tcPr>
          <w:p>
            <w:pPr>
              <w:ind w:left="120"/>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gridSpan w:val="8"/>
            <w:vMerge w:val="restart"/>
          </w:tcPr>
          <w:p>
            <w:pPr>
              <w:jc w:val="center"/>
              <w:ind w:right="360"/>
              <w:spacing w:after="0"/>
              <w:rPr>
                <w:sz w:val="20"/>
                <w:szCs w:val="20"/>
                <w:color w:val="auto"/>
              </w:rPr>
            </w:pPr>
            <w:r>
              <w:rPr>
                <w:rFonts w:ascii="Arial" w:cs="Arial" w:eastAsia="Arial" w:hAnsi="Arial"/>
                <w:sz w:val="11"/>
                <w:szCs w:val="11"/>
                <w:b w:val="1"/>
                <w:bCs w:val="1"/>
                <w:color w:val="auto"/>
              </w:rPr>
              <w:t>For The Year Ended December 31, 2023</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Latin America</w:t>
            </w:r>
          </w:p>
        </w:tc>
        <w:tc>
          <w:tcPr>
            <w:tcW w:w="28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AMEA</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Europe</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North America</w:t>
            </w: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11,078</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36,016</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Segment cost of sales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(6,474)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(22,437)</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Segment selling, general and administrative expenses </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(7,867)</w:t>
            </w:r>
          </w:p>
        </w:tc>
        <w:tc>
          <w:tcPr>
            <w:tcW w:w="0" w:type="dxa"/>
            <w:vAlign w:val="bottom"/>
          </w:tcPr>
          <w:p>
            <w:pPr>
              <w:spacing w:after="0"/>
              <w:rPr>
                <w:sz w:val="1"/>
                <w:szCs w:val="1"/>
                <w:color w:val="auto"/>
              </w:rPr>
            </w:pP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Unrealized gains on hedging activities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(mark-to-market impacts)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General corporate expenses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gain on divestitures and acquisitions</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gridSpan w:val="8"/>
            <w:vMerge w:val="restart"/>
          </w:tcPr>
          <w:p>
            <w:pPr>
              <w:jc w:val="center"/>
              <w:ind w:right="360"/>
              <w:spacing w:after="0"/>
              <w:rPr>
                <w:sz w:val="20"/>
                <w:szCs w:val="20"/>
                <w:color w:val="auto"/>
              </w:rPr>
            </w:pPr>
            <w:r>
              <w:rPr>
                <w:rFonts w:ascii="Arial" w:cs="Arial" w:eastAsia="Arial" w:hAnsi="Arial"/>
                <w:sz w:val="11"/>
                <w:szCs w:val="11"/>
                <w:b w:val="1"/>
                <w:bCs w:val="1"/>
                <w:color w:val="auto"/>
              </w:rPr>
              <w:t>For The Year Ended December 31, 2022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Latin America</w:t>
            </w:r>
          </w:p>
        </w:tc>
        <w:tc>
          <w:tcPr>
            <w:tcW w:w="28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AMEA</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Europe</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North America</w:t>
            </w: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31,496</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Segment cost of sales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(19,829)</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Segment selling, general and administrative expenses </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4,567</w:t>
            </w:r>
          </w:p>
        </w:tc>
        <w:tc>
          <w:tcPr>
            <w:tcW w:w="0" w:type="dxa"/>
            <w:vAlign w:val="bottom"/>
          </w:tcPr>
          <w:p>
            <w:pPr>
              <w:spacing w:after="0"/>
              <w:rPr>
                <w:sz w:val="1"/>
                <w:szCs w:val="1"/>
                <w:color w:val="auto"/>
              </w:rPr>
            </w:pPr>
          </w:p>
        </w:tc>
      </w:tr>
      <w:tr>
        <w:trPr>
          <w:trHeight w:val="140"/>
        </w:trPr>
        <w:tc>
          <w:tcPr>
            <w:tcW w:w="42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Unrealized losses on hedging activities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(mark-to-market impacts)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General corporate expenses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Acquisition-related costs</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(1) SG&amp;A for all reportable segments includes: Advertising &amp; consumer expenses and overhead expenses.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Total depreciation expense and capital expenditures by segment, reflecting our current segment structure for all periods presented, were: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r>
      <w:tr>
        <w:trPr>
          <w:trHeight w:val="163"/>
        </w:trPr>
        <w:tc>
          <w:tcPr>
            <w:tcW w:w="6780" w:type="dxa"/>
            <w:vAlign w:val="bottom"/>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2"/>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r>
      <w:tr>
        <w:trPr>
          <w:trHeight w:val="163"/>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678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Latin America</w:t>
            </w:r>
          </w:p>
        </w:tc>
        <w:tc>
          <w:tcPr>
            <w:tcW w:w="980" w:type="dxa"/>
            <w:vAlign w:val="bottom"/>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AMEA</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Europe</w:t>
            </w:r>
          </w:p>
        </w:tc>
        <w:tc>
          <w:tcPr>
            <w:tcW w:w="98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North America</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83"/>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Corporate</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expense</w:t>
            </w: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0" w:hanging="194"/>
        <w:spacing w:after="0" w:line="308" w:lineRule="auto"/>
        <w:tabs>
          <w:tab w:leader="none" w:pos="189" w:val="left"/>
        </w:tabs>
        <w:numPr>
          <w:ilvl w:val="0"/>
          <w:numId w:val="45"/>
        </w:numPr>
        <w:rPr>
          <w:rFonts w:ascii="Arial" w:cs="Arial" w:eastAsia="Arial" w:hAnsi="Arial"/>
          <w:sz w:val="11"/>
          <w:szCs w:val="11"/>
          <w:color w:val="auto"/>
        </w:rPr>
      </w:pPr>
      <w:r>
        <w:rPr>
          <w:rFonts w:ascii="Arial" w:cs="Arial" w:eastAsia="Arial" w:hAnsi="Arial"/>
          <w:sz w:val="11"/>
          <w:szCs w:val="11"/>
          <w:color w:val="auto"/>
        </w:rPr>
        <w:t>Includes depreciation expense related to owned property, plant and equipment. Does not include amortization of intangible assets or leased assets. Refer to the consolidated statement of cash flows for total depreciation and amortization expenses.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r>
      <w:tr>
        <w:trPr>
          <w:trHeight w:val="163"/>
        </w:trPr>
        <w:tc>
          <w:tcPr>
            <w:tcW w:w="6780" w:type="dxa"/>
            <w:vAlign w:val="bottom"/>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2"/>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r>
      <w:tr>
        <w:trPr>
          <w:trHeight w:val="163"/>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Latin America</w:t>
            </w: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AMEA</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Europe</w:t>
            </w:r>
          </w:p>
        </w:tc>
        <w:tc>
          <w:tcPr>
            <w:tcW w:w="92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North America</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3"/>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capital expenditures</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1,387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Geographic data for net revenues (recognized in the countries where products are sold from) and long-lived assets, excluding deferred taxes, goodwill, intangible assets and equity method investments,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1"/>
                <w:szCs w:val="11"/>
                <w:b w:val="1"/>
                <w:bCs w:val="1"/>
                <w:color w:val="auto"/>
              </w:rPr>
              <w:t>For the Years Ended December 31,</w:t>
            </w:r>
          </w:p>
        </w:tc>
        <w:tc>
          <w:tcPr>
            <w:tcW w:w="1060" w:type="dxa"/>
            <w:vAlign w:val="bottom"/>
            <w:tcBorders>
              <w:bottom w:val="single" w:sz="8" w:color="auto"/>
            </w:tcBorders>
          </w:tcPr>
          <w:p>
            <w:pPr>
              <w:spacing w:after="0"/>
              <w:rPr>
                <w:sz w:val="13"/>
                <w:szCs w:val="13"/>
                <w:color w:val="auto"/>
              </w:rPr>
            </w:pPr>
          </w:p>
        </w:tc>
      </w:tr>
      <w:tr>
        <w:trPr>
          <w:trHeight w:val="163"/>
        </w:trPr>
        <w:tc>
          <w:tcPr>
            <w:tcW w:w="6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63"/>
        </w:trPr>
        <w:tc>
          <w:tcPr>
            <w:tcW w:w="6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9,469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9,581</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8,315</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26,972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23,181</w:t>
            </w:r>
          </w:p>
        </w:tc>
      </w:tr>
      <w:tr>
        <w:trPr>
          <w:trHeight w:val="173"/>
        </w:trPr>
        <w:tc>
          <w:tcPr>
            <w:tcW w:w="6780" w:type="dxa"/>
            <w:vAlign w:val="bottom"/>
          </w:tcPr>
          <w:p>
            <w:pPr>
              <w:ind w:left="20"/>
              <w:spacing w:after="0"/>
              <w:rPr>
                <w:sz w:val="20"/>
                <w:szCs w:val="20"/>
                <w:color w:val="auto"/>
              </w:rPr>
            </w:pPr>
            <w:r>
              <w:rPr>
                <w:rFonts w:ascii="Arial" w:cs="Arial" w:eastAsia="Arial" w:hAnsi="Arial"/>
                <w:sz w:val="14"/>
                <w:szCs w:val="14"/>
                <w:color w:val="auto"/>
              </w:rPr>
              <w:t>Total net revenues</w:t>
            </w:r>
          </w:p>
        </w:tc>
        <w:tc>
          <w:tcPr>
            <w:tcW w:w="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36,441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31,496</w:t>
            </w: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5"/>
        </w:trPr>
        <w:tc>
          <w:tcPr>
            <w:tcW w:w="67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3"/>
        </w:trPr>
        <w:tc>
          <w:tcPr>
            <w:tcW w:w="6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63"/>
        </w:trPr>
        <w:tc>
          <w:tcPr>
            <w:tcW w:w="6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2,346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2,740</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Mexico</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r>
      <w:tr>
        <w:trPr>
          <w:trHeight w:val="183"/>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9,000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8,648</w:t>
            </w:r>
          </w:p>
        </w:tc>
      </w:tr>
      <w:tr>
        <w:trPr>
          <w:trHeight w:val="19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long-lived assets</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12,422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Net revenues by product category, reflecting our current segment structure for all periods presented, were: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1"/>
                <w:szCs w:val="11"/>
                <w:b w:val="1"/>
                <w:bCs w:val="1"/>
                <w:color w:val="auto"/>
              </w:rPr>
              <w:t>For the Year Ended December 31, 2024</w:t>
            </w: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720" w:type="dxa"/>
            <w:vAlign w:val="bottom"/>
          </w:tcPr>
          <w:p>
            <w:pPr>
              <w:spacing w:after="0"/>
              <w:rPr>
                <w:sz w:val="9"/>
                <w:szCs w:val="9"/>
                <w:color w:val="auto"/>
              </w:rPr>
            </w:pPr>
          </w:p>
        </w:tc>
        <w:tc>
          <w:tcPr>
            <w:tcW w:w="980" w:type="dxa"/>
            <w:vAlign w:val="bottom"/>
          </w:tcPr>
          <w:p>
            <w:pPr>
              <w:jc w:val="center"/>
              <w:ind w:left="396"/>
              <w:spacing w:after="0" w:line="110" w:lineRule="exact"/>
              <w:rPr>
                <w:sz w:val="20"/>
                <w:szCs w:val="20"/>
                <w:color w:val="auto"/>
              </w:rPr>
            </w:pPr>
            <w:r>
              <w:rPr>
                <w:rFonts w:ascii="Arial" w:cs="Arial" w:eastAsia="Arial" w:hAnsi="Arial"/>
                <w:sz w:val="11"/>
                <w:szCs w:val="11"/>
                <w:b w:val="1"/>
                <w:bCs w:val="1"/>
                <w:color w:val="auto"/>
              </w:rPr>
              <w:t>Latin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1"/>
                <w:szCs w:val="11"/>
                <w:b w:val="1"/>
                <w:bCs w:val="1"/>
                <w:color w:val="auto"/>
              </w:rPr>
              <w:t>AMEA</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Europe</w:t>
            </w:r>
          </w:p>
        </w:tc>
        <w:tc>
          <w:tcPr>
            <w:tcW w:w="360" w:type="dxa"/>
            <w:vAlign w:val="bottom"/>
          </w:tcPr>
          <w:p>
            <w:pPr>
              <w:spacing w:after="0"/>
              <w:rPr>
                <w:sz w:val="9"/>
                <w:szCs w:val="9"/>
                <w:color w:val="auto"/>
              </w:rPr>
            </w:pPr>
          </w:p>
        </w:tc>
        <w:tc>
          <w:tcPr>
            <w:tcW w:w="1160" w:type="dxa"/>
            <w:vAlign w:val="bottom"/>
            <w:gridSpan w:val="2"/>
          </w:tcPr>
          <w:p>
            <w:pPr>
              <w:jc w:val="center"/>
              <w:ind w:right="460"/>
              <w:spacing w:after="0" w:line="110" w:lineRule="exact"/>
              <w:rPr>
                <w:sz w:val="20"/>
                <w:szCs w:val="20"/>
                <w:color w:val="auto"/>
              </w:rPr>
            </w:pPr>
            <w:r>
              <w:rPr>
                <w:rFonts w:ascii="Arial" w:cs="Arial" w:eastAsia="Arial" w:hAnsi="Arial"/>
                <w:sz w:val="11"/>
                <w:szCs w:val="11"/>
                <w:b w:val="1"/>
                <w:bCs w:val="1"/>
                <w:color w:val="auto"/>
              </w:rPr>
              <w:t>North</w:t>
            </w:r>
          </w:p>
        </w:tc>
        <w:tc>
          <w:tcPr>
            <w:tcW w:w="34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980" w:type="dxa"/>
            <w:vAlign w:val="bottom"/>
          </w:tcPr>
          <w:p>
            <w:pPr>
              <w:jc w:val="center"/>
              <w:ind w:left="396"/>
              <w:spacing w:after="0"/>
              <w:rPr>
                <w:sz w:val="20"/>
                <w:szCs w:val="20"/>
                <w:color w:val="auto"/>
              </w:rPr>
            </w:pPr>
            <w:r>
              <w:rPr>
                <w:rFonts w:ascii="Arial" w:cs="Arial" w:eastAsia="Arial" w:hAnsi="Arial"/>
                <w:sz w:val="11"/>
                <w:szCs w:val="11"/>
                <w:b w:val="1"/>
                <w:bCs w:val="1"/>
                <w:color w:val="auto"/>
              </w:rPr>
              <w:t>America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America</w:t>
            </w:r>
          </w:p>
        </w:tc>
        <w:tc>
          <w:tcPr>
            <w:tcW w:w="3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Biscuits &amp; Baked Snacks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Chocolate</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Gum &amp; Candy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Beverages</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Cheese &amp; Grocery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00"/>
              <w:spacing w:after="0"/>
              <w:rPr>
                <w:sz w:val="20"/>
                <w:szCs w:val="20"/>
                <w:color w:val="auto"/>
              </w:rPr>
            </w:pPr>
            <w:r>
              <w:rPr>
                <w:rFonts w:ascii="Arial" w:cs="Arial" w:eastAsia="Arial" w:hAnsi="Arial"/>
                <w:sz w:val="14"/>
                <w:szCs w:val="14"/>
                <w:color w:val="auto"/>
              </w:rPr>
              <w:t>Total net revenues</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4,926</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13,309</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10,910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1"/>
                <w:szCs w:val="11"/>
                <w:b w:val="1"/>
                <w:bCs w:val="1"/>
                <w:color w:val="auto"/>
              </w:rPr>
              <w:t>For the Year Ended December 31, 2023</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720" w:type="dxa"/>
            <w:vAlign w:val="bottom"/>
          </w:tcPr>
          <w:p>
            <w:pPr>
              <w:spacing w:after="0"/>
              <w:rPr>
                <w:sz w:val="9"/>
                <w:szCs w:val="9"/>
                <w:color w:val="auto"/>
              </w:rPr>
            </w:pPr>
          </w:p>
        </w:tc>
        <w:tc>
          <w:tcPr>
            <w:tcW w:w="980" w:type="dxa"/>
            <w:vAlign w:val="bottom"/>
          </w:tcPr>
          <w:p>
            <w:pPr>
              <w:jc w:val="center"/>
              <w:ind w:left="396"/>
              <w:spacing w:after="0" w:line="110" w:lineRule="exact"/>
              <w:rPr>
                <w:sz w:val="20"/>
                <w:szCs w:val="20"/>
                <w:color w:val="auto"/>
              </w:rPr>
            </w:pPr>
            <w:r>
              <w:rPr>
                <w:rFonts w:ascii="Arial" w:cs="Arial" w:eastAsia="Arial" w:hAnsi="Arial"/>
                <w:sz w:val="11"/>
                <w:szCs w:val="11"/>
                <w:b w:val="1"/>
                <w:bCs w:val="1"/>
                <w:color w:val="auto"/>
              </w:rPr>
              <w:t>Latin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1"/>
                <w:szCs w:val="11"/>
                <w:b w:val="1"/>
                <w:bCs w:val="1"/>
                <w:color w:val="auto"/>
              </w:rPr>
              <w:t>AMEA</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Europe</w:t>
            </w:r>
          </w:p>
        </w:tc>
        <w:tc>
          <w:tcPr>
            <w:tcW w:w="360" w:type="dxa"/>
            <w:vAlign w:val="bottom"/>
          </w:tcPr>
          <w:p>
            <w:pPr>
              <w:spacing w:after="0"/>
              <w:rPr>
                <w:sz w:val="9"/>
                <w:szCs w:val="9"/>
                <w:color w:val="auto"/>
              </w:rPr>
            </w:pPr>
          </w:p>
        </w:tc>
        <w:tc>
          <w:tcPr>
            <w:tcW w:w="1160" w:type="dxa"/>
            <w:vAlign w:val="bottom"/>
            <w:gridSpan w:val="2"/>
          </w:tcPr>
          <w:p>
            <w:pPr>
              <w:jc w:val="center"/>
              <w:ind w:right="460"/>
              <w:spacing w:after="0" w:line="110" w:lineRule="exact"/>
              <w:rPr>
                <w:sz w:val="20"/>
                <w:szCs w:val="20"/>
                <w:color w:val="auto"/>
              </w:rPr>
            </w:pPr>
            <w:r>
              <w:rPr>
                <w:rFonts w:ascii="Arial" w:cs="Arial" w:eastAsia="Arial" w:hAnsi="Arial"/>
                <w:sz w:val="11"/>
                <w:szCs w:val="11"/>
                <w:b w:val="1"/>
                <w:bCs w:val="1"/>
                <w:color w:val="auto"/>
              </w:rPr>
              <w:t>North</w:t>
            </w:r>
          </w:p>
        </w:tc>
        <w:tc>
          <w:tcPr>
            <w:tcW w:w="34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980" w:type="dxa"/>
            <w:vAlign w:val="bottom"/>
          </w:tcPr>
          <w:p>
            <w:pPr>
              <w:jc w:val="center"/>
              <w:ind w:left="396"/>
              <w:spacing w:after="0"/>
              <w:rPr>
                <w:sz w:val="20"/>
                <w:szCs w:val="20"/>
                <w:color w:val="auto"/>
              </w:rPr>
            </w:pPr>
            <w:r>
              <w:rPr>
                <w:rFonts w:ascii="Arial" w:cs="Arial" w:eastAsia="Arial" w:hAnsi="Arial"/>
                <w:sz w:val="11"/>
                <w:szCs w:val="11"/>
                <w:b w:val="1"/>
                <w:bCs w:val="1"/>
                <w:color w:val="auto"/>
              </w:rPr>
              <w:t>America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America</w:t>
            </w:r>
          </w:p>
        </w:tc>
        <w:tc>
          <w:tcPr>
            <w:tcW w:w="3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Biscuits &amp; Baked Snacks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Chocolate</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1,357</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Gum &amp; Candy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Beverages</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Cheese &amp; Grocery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00"/>
              <w:spacing w:after="0"/>
              <w:rPr>
                <w:sz w:val="20"/>
                <w:szCs w:val="20"/>
                <w:color w:val="auto"/>
              </w:rPr>
            </w:pPr>
            <w:r>
              <w:rPr>
                <w:rFonts w:ascii="Arial" w:cs="Arial" w:eastAsia="Arial" w:hAnsi="Arial"/>
                <w:sz w:val="14"/>
                <w:szCs w:val="14"/>
                <w:color w:val="auto"/>
              </w:rPr>
              <w:t>Total net revenues</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5,006</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1"/>
                <w:szCs w:val="11"/>
                <w:b w:val="1"/>
                <w:bCs w:val="1"/>
                <w:color w:val="auto"/>
              </w:rPr>
              <w:t>For the Year Ended December 31, 2022</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720" w:type="dxa"/>
            <w:vAlign w:val="bottom"/>
          </w:tcPr>
          <w:p>
            <w:pPr>
              <w:spacing w:after="0"/>
              <w:rPr>
                <w:sz w:val="9"/>
                <w:szCs w:val="9"/>
                <w:color w:val="auto"/>
              </w:rPr>
            </w:pPr>
          </w:p>
        </w:tc>
        <w:tc>
          <w:tcPr>
            <w:tcW w:w="980" w:type="dxa"/>
            <w:vAlign w:val="bottom"/>
          </w:tcPr>
          <w:p>
            <w:pPr>
              <w:jc w:val="center"/>
              <w:ind w:left="396"/>
              <w:spacing w:after="0" w:line="110" w:lineRule="exact"/>
              <w:rPr>
                <w:sz w:val="20"/>
                <w:szCs w:val="20"/>
                <w:color w:val="auto"/>
              </w:rPr>
            </w:pPr>
            <w:r>
              <w:rPr>
                <w:rFonts w:ascii="Arial" w:cs="Arial" w:eastAsia="Arial" w:hAnsi="Arial"/>
                <w:sz w:val="11"/>
                <w:szCs w:val="11"/>
                <w:b w:val="1"/>
                <w:bCs w:val="1"/>
                <w:color w:val="auto"/>
              </w:rPr>
              <w:t>Latin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1"/>
                <w:szCs w:val="11"/>
                <w:b w:val="1"/>
                <w:bCs w:val="1"/>
                <w:color w:val="auto"/>
              </w:rPr>
              <w:t>AMEA</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Europe</w:t>
            </w:r>
          </w:p>
        </w:tc>
        <w:tc>
          <w:tcPr>
            <w:tcW w:w="360" w:type="dxa"/>
            <w:vAlign w:val="bottom"/>
          </w:tcPr>
          <w:p>
            <w:pPr>
              <w:spacing w:after="0"/>
              <w:rPr>
                <w:sz w:val="9"/>
                <w:szCs w:val="9"/>
                <w:color w:val="auto"/>
              </w:rPr>
            </w:pPr>
          </w:p>
        </w:tc>
        <w:tc>
          <w:tcPr>
            <w:tcW w:w="1160" w:type="dxa"/>
            <w:vAlign w:val="bottom"/>
            <w:gridSpan w:val="2"/>
          </w:tcPr>
          <w:p>
            <w:pPr>
              <w:jc w:val="center"/>
              <w:ind w:right="460"/>
              <w:spacing w:after="0" w:line="110" w:lineRule="exact"/>
              <w:rPr>
                <w:sz w:val="20"/>
                <w:szCs w:val="20"/>
                <w:color w:val="auto"/>
              </w:rPr>
            </w:pPr>
            <w:r>
              <w:rPr>
                <w:rFonts w:ascii="Arial" w:cs="Arial" w:eastAsia="Arial" w:hAnsi="Arial"/>
                <w:sz w:val="11"/>
                <w:szCs w:val="11"/>
                <w:b w:val="1"/>
                <w:bCs w:val="1"/>
                <w:color w:val="auto"/>
              </w:rPr>
              <w:t>North</w:t>
            </w:r>
          </w:p>
        </w:tc>
        <w:tc>
          <w:tcPr>
            <w:tcW w:w="34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980" w:type="dxa"/>
            <w:vAlign w:val="bottom"/>
          </w:tcPr>
          <w:p>
            <w:pPr>
              <w:jc w:val="center"/>
              <w:ind w:left="396"/>
              <w:spacing w:after="0"/>
              <w:rPr>
                <w:sz w:val="20"/>
                <w:szCs w:val="20"/>
                <w:color w:val="auto"/>
              </w:rPr>
            </w:pPr>
            <w:r>
              <w:rPr>
                <w:rFonts w:ascii="Arial" w:cs="Arial" w:eastAsia="Arial" w:hAnsi="Arial"/>
                <w:sz w:val="11"/>
                <w:szCs w:val="11"/>
                <w:b w:val="1"/>
                <w:bCs w:val="1"/>
                <w:color w:val="auto"/>
              </w:rPr>
              <w:t>America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America</w:t>
            </w:r>
          </w:p>
        </w:tc>
        <w:tc>
          <w:tcPr>
            <w:tcW w:w="3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Biscuits &amp; Baked Snacks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Chocolate</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Gum &amp; Candy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Beverages</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Cheese &amp; Grocery</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00"/>
              <w:spacing w:after="0"/>
              <w:rPr>
                <w:sz w:val="20"/>
                <w:szCs w:val="20"/>
                <w:color w:val="auto"/>
              </w:rPr>
            </w:pPr>
            <w:r>
              <w:rPr>
                <w:rFonts w:ascii="Arial" w:cs="Arial" w:eastAsia="Arial" w:hAnsi="Arial"/>
                <w:sz w:val="14"/>
                <w:szCs w:val="14"/>
                <w:color w:val="auto"/>
              </w:rPr>
              <w:t>Total net revenues</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color w:val="auto"/>
              </w:rPr>
              <w:t>119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-306070</wp:posOffset>
            </wp:positionV>
            <wp:extent cx="224790" cy="1498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ltem 9A. 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2024. Based on this evaluation, the CEO and CFO concluded that our disclosure controls and procedures were effective as of December 31, 2024.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Management on Internal Control Over Financial Reporting</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 w:lineRule="exact"/>
        <w:rPr>
          <w:sz w:val="20"/>
          <w:szCs w:val="20"/>
          <w:color w:val="auto"/>
        </w:rPr>
      </w:pPr>
    </w:p>
    <w:p>
      <w:pPr>
        <w:ind w:left="520" w:hanging="25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assets;</w:t>
      </w:r>
    </w:p>
    <w:p>
      <w:pPr>
        <w:spacing w:after="0" w:line="10" w:lineRule="exact"/>
        <w:rPr>
          <w:rFonts w:ascii="Arial" w:cs="Arial" w:eastAsia="Arial" w:hAnsi="Arial"/>
          <w:sz w:val="14"/>
          <w:szCs w:val="14"/>
          <w:color w:val="auto"/>
        </w:rPr>
      </w:pPr>
    </w:p>
    <w:p>
      <w:pPr>
        <w:ind w:left="520" w:hanging="256"/>
        <w:spacing w:after="0" w:line="256"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w:t>
      </w:r>
    </w:p>
    <w:p>
      <w:pPr>
        <w:ind w:left="520" w:hanging="25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provide reasonable assurance that receipts and expenditures are being made only in accordance with management and director authorization; and</w:t>
      </w:r>
    </w:p>
    <w:p>
      <w:pPr>
        <w:spacing w:after="0" w:line="10" w:lineRule="exact"/>
        <w:rPr>
          <w:rFonts w:ascii="Arial" w:cs="Arial" w:eastAsia="Arial" w:hAnsi="Arial"/>
          <w:sz w:val="14"/>
          <w:szCs w:val="14"/>
          <w:color w:val="auto"/>
        </w:rPr>
      </w:pPr>
    </w:p>
    <w:p>
      <w:pPr>
        <w:ind w:left="520" w:hanging="256"/>
        <w:spacing w:after="0" w:line="277"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assets that could have a material effect on the consolidated financial statements.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Management assessed the effectiveness of our internal control over financial reporting as of December 31, 2024. Management based this assessment on criteria for effective internal control over financial reporting described in </w:t>
      </w:r>
      <w:r>
        <w:rPr>
          <w:rFonts w:ascii="Arial" w:cs="Arial" w:eastAsia="Arial" w:hAnsi="Arial"/>
          <w:sz w:val="14"/>
          <w:szCs w:val="14"/>
          <w:i w:val="1"/>
          <w:iCs w:val="1"/>
          <w:color w:val="auto"/>
        </w:rPr>
        <w:t>Internal Control Integrated Framework</w:t>
      </w:r>
      <w:r>
        <w:rPr>
          <w:rFonts w:ascii="Arial" w:cs="Arial" w:eastAsia="Arial" w:hAnsi="Arial"/>
          <w:sz w:val="14"/>
          <w:szCs w:val="14"/>
          <w:color w:val="auto"/>
        </w:rPr>
        <w:t xml:space="preserve"> (2013) issued by the Committee of Sponsoring Organizations of the Treadway Commission (“COSO”). The scope of Management’s assessment of internal control over financial reporting excludes Evirth as it was acquired in 2024. The total assets and total net revenues of Evirth represent 0.37% and 0.19% of the related consolidated financial statement amounts as of and for the year ended December 31, 2024.</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 xml:space="preserve">Based on this assessment, management concluded that the Company’s internal control over financial reporting is effective as of December 31, 2024, based on the criteria in </w:t>
      </w:r>
      <w:r>
        <w:rPr>
          <w:rFonts w:ascii="Arial" w:cs="Arial" w:eastAsia="Arial" w:hAnsi="Arial"/>
          <w:sz w:val="14"/>
          <w:szCs w:val="14"/>
          <w:i w:val="1"/>
          <w:iCs w:val="1"/>
          <w:color w:val="auto"/>
        </w:rPr>
        <w:t xml:space="preserve">Internal Control Integrated Framework </w:t>
      </w:r>
      <w:r>
        <w:rPr>
          <w:rFonts w:ascii="Arial" w:cs="Arial" w:eastAsia="Arial" w:hAnsi="Arial"/>
          <w:sz w:val="14"/>
          <w:szCs w:val="14"/>
          <w:color w:val="auto"/>
        </w:rPr>
        <w:t>issued by the COSO.</w:t>
      </w:r>
    </w:p>
    <w:p>
      <w:pPr>
        <w:spacing w:after="0" w:line="13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PricewaterhouseCoopers LLP, an independent registered public accounting firm, has audited the effectiveness of our internal control over financial reporting as of December 31, 2024, as stated in their report that appears under Item 8.</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February 5, 2025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Management, together with our CEO and CFO, evaluated the changes in our internal control over financial reporting during the quarter ended December 31, 2024. There were no changes in our internal control over financial reporting during the quarter ended December 31, 2024,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Insider Trading Arrangements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2024, no such plans or other arrangements were adopted or terminated.</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“Ownership of Equity Securities – Delinquent Section 16(a) Reports” in our definitive Proxy Statement for our Annual Meeting of Shareholders scheduled to be held on May 21, 2025 (“2025 Proxy Statement”). All of this information from the 2025 Proxy Statement is incorporated by reference into this Annual Report.</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Mondelēz International has adopted a comprehensive insider trading policy governing the purchase, sale and other dispositions of its securities by directors, officers, employees, and other designated individuals, which is designed to promote compliance with all applicable insider trading laws, rules and regulations. A copy of this policy is filed as Exhibit 19.1 to this Form 10-K.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Information required by this Item 11 is included under the headings “Board Committees and Membership – People and Compensation Committee,” “Compensation of Non-Employee Directors,” “Compensation Discussion and Analysis,” “Executive Compensation Tables,” “People and Compensation Committee Report for the Year Ended December 31, 2024” and “CEO Pay Ratio” in our 2025 Proxy Statement. All of this information is incorporated by reference into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number of shares to be issued upon exercise or vesting of grants issued under, and the number of shares remaining available for future issuance under, our equity compensation plans at December 31, 2024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5680" w:type="dxa"/>
            <w:vAlign w:val="bottom"/>
            <w:gridSpan w:val="4"/>
          </w:tcPr>
          <w:p>
            <w:pPr>
              <w:ind w:left="1380"/>
              <w:spacing w:after="0"/>
              <w:rPr>
                <w:sz w:val="20"/>
                <w:szCs w:val="20"/>
                <w:color w:val="auto"/>
              </w:rPr>
            </w:pPr>
            <w:r>
              <w:rPr>
                <w:rFonts w:ascii="Arial" w:cs="Arial" w:eastAsia="Arial" w:hAnsi="Arial"/>
                <w:sz w:val="14"/>
                <w:szCs w:val="14"/>
                <w:b w:val="1"/>
                <w:bCs w:val="1"/>
                <w:color w:val="auto"/>
              </w:rPr>
              <w:t>Equity Compensation Plan Information</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2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 of Securities to</w:t>
            </w: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2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Weighted Average</w:t>
            </w:r>
          </w:p>
        </w:tc>
        <w:tc>
          <w:tcPr>
            <w:tcW w:w="2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290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rPr>
              <w:t>be Issued Upon Exercise</w:t>
            </w:r>
          </w:p>
        </w:tc>
        <w:tc>
          <w:tcPr>
            <w:tcW w:w="2780" w:type="dxa"/>
            <w:vAlign w:val="bottom"/>
            <w:gridSpan w:val="2"/>
            <w:vMerge w:val="continue"/>
          </w:tcPr>
          <w:p>
            <w:pPr>
              <w:spacing w:after="0"/>
              <w:rPr>
                <w:sz w:val="13"/>
                <w:szCs w:val="13"/>
                <w:color w:val="auto"/>
              </w:rPr>
            </w:pPr>
          </w:p>
        </w:tc>
        <w:tc>
          <w:tcPr>
            <w:tcW w:w="26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29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rPr>
              <w:t>of Outstanding</w:t>
            </w:r>
          </w:p>
        </w:tc>
        <w:tc>
          <w:tcPr>
            <w:tcW w:w="278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rPr>
              <w:t>Exercise Price of</w:t>
            </w:r>
          </w:p>
        </w:tc>
        <w:tc>
          <w:tcPr>
            <w:tcW w:w="2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290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rPr>
              <w:t>Options, Warrants</w:t>
            </w:r>
          </w:p>
        </w:tc>
        <w:tc>
          <w:tcPr>
            <w:tcW w:w="278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rPr>
              <w:t>Outstanding Options,</w:t>
            </w:r>
          </w:p>
        </w:tc>
        <w:tc>
          <w:tcPr>
            <w:tcW w:w="2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securities reflected</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2900" w:type="dxa"/>
            <w:vAlign w:val="bottom"/>
            <w:gridSpan w:val="2"/>
          </w:tcPr>
          <w:p>
            <w:pPr>
              <w:jc w:val="center"/>
              <w:ind w:right="100"/>
              <w:spacing w:after="0" w:line="194" w:lineRule="exact"/>
              <w:rPr>
                <w:sz w:val="20"/>
                <w:szCs w:val="20"/>
                <w:color w:val="auto"/>
              </w:rPr>
            </w:pPr>
            <w:r>
              <w:rPr>
                <w:rFonts w:ascii="Arial" w:cs="Arial" w:eastAsia="Arial" w:hAnsi="Arial"/>
                <w:sz w:val="14"/>
                <w:szCs w:val="14"/>
                <w:b w:val="1"/>
                <w:bCs w:val="1"/>
                <w:color w:val="auto"/>
                <w:w w:val="96"/>
              </w:rPr>
              <w:t xml:space="preserve">and Rights </w:t>
            </w:r>
            <w:r>
              <w:rPr>
                <w:rFonts w:ascii="Arial" w:cs="Arial" w:eastAsia="Arial" w:hAnsi="Arial"/>
                <w:sz w:val="18"/>
                <w:szCs w:val="18"/>
                <w:b w:val="1"/>
                <w:bCs w:val="1"/>
                <w:color w:val="auto"/>
                <w:w w:val="96"/>
                <w:vertAlign w:val="superscript"/>
              </w:rPr>
              <w:t>(1)</w:t>
            </w:r>
          </w:p>
        </w:tc>
        <w:tc>
          <w:tcPr>
            <w:tcW w:w="2780" w:type="dxa"/>
            <w:vAlign w:val="bottom"/>
            <w:gridSpan w:val="2"/>
          </w:tcPr>
          <w:p>
            <w:pPr>
              <w:jc w:val="center"/>
              <w:ind w:right="80"/>
              <w:spacing w:after="0" w:line="194" w:lineRule="exact"/>
              <w:rPr>
                <w:sz w:val="20"/>
                <w:szCs w:val="20"/>
                <w:color w:val="auto"/>
              </w:rPr>
            </w:pPr>
            <w:r>
              <w:rPr>
                <w:rFonts w:ascii="Arial" w:cs="Arial" w:eastAsia="Arial" w:hAnsi="Arial"/>
                <w:sz w:val="14"/>
                <w:szCs w:val="14"/>
                <w:b w:val="1"/>
                <w:bCs w:val="1"/>
                <w:color w:val="auto"/>
                <w:w w:val="99"/>
              </w:rPr>
              <w:t xml:space="preserve">Warrants and Rights </w:t>
            </w:r>
            <w:r>
              <w:rPr>
                <w:rFonts w:ascii="Arial" w:cs="Arial" w:eastAsia="Arial" w:hAnsi="Arial"/>
                <w:sz w:val="18"/>
                <w:szCs w:val="18"/>
                <w:b w:val="1"/>
                <w:bCs w:val="1"/>
                <w:color w:val="auto"/>
                <w:w w:val="99"/>
                <w:vertAlign w:val="superscript"/>
              </w:rPr>
              <w:t>(2)</w:t>
            </w:r>
          </w:p>
        </w:tc>
        <w:tc>
          <w:tcPr>
            <w:tcW w:w="2640" w:type="dxa"/>
            <w:vAlign w:val="bottom"/>
          </w:tcPr>
          <w:p>
            <w:pPr>
              <w:jc w:val="center"/>
              <w:spacing w:after="0" w:line="194" w:lineRule="exact"/>
              <w:rPr>
                <w:sz w:val="20"/>
                <w:szCs w:val="20"/>
                <w:color w:val="auto"/>
              </w:rPr>
            </w:pPr>
            <w:r>
              <w:rPr>
                <w:rFonts w:ascii="Arial" w:cs="Arial" w:eastAsia="Arial" w:hAnsi="Arial"/>
                <w:sz w:val="14"/>
                <w:szCs w:val="14"/>
                <w:b w:val="1"/>
                <w:bCs w:val="1"/>
                <w:color w:val="auto"/>
                <w:w w:val="99"/>
              </w:rPr>
              <w:t xml:space="preserve">in column (a)) </w:t>
            </w:r>
            <w:r>
              <w:rPr>
                <w:rFonts w:ascii="Arial" w:cs="Arial" w:eastAsia="Arial" w:hAnsi="Arial"/>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5"/>
                <w:szCs w:val="15"/>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Equity compensation plans</w:t>
            </w:r>
          </w:p>
        </w:tc>
        <w:tc>
          <w:tcPr>
            <w:tcW w:w="2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21,015,743</w:t>
            </w:r>
          </w:p>
        </w:tc>
        <w:tc>
          <w:tcPr>
            <w:tcW w:w="80" w:type="dxa"/>
            <w:vAlign w:val="bottom"/>
            <w:shd w:val="clear" w:color="auto" w:fill="CCEEFF"/>
          </w:tcPr>
          <w:p>
            <w:pPr>
              <w:spacing w:after="0"/>
              <w:rPr>
                <w:sz w:val="12"/>
                <w:szCs w:val="12"/>
                <w:color w:val="auto"/>
              </w:rPr>
            </w:pPr>
          </w:p>
        </w:tc>
        <w:tc>
          <w:tcPr>
            <w:tcW w:w="2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$54.51</w:t>
            </w:r>
          </w:p>
        </w:tc>
        <w:tc>
          <w:tcPr>
            <w:tcW w:w="80" w:type="dxa"/>
            <w:vAlign w:val="bottom"/>
            <w:shd w:val="clear" w:color="auto" w:fill="CCEEFF"/>
          </w:tcPr>
          <w:p>
            <w:pPr>
              <w:spacing w:after="0"/>
              <w:rPr>
                <w:sz w:val="12"/>
                <w:szCs w:val="12"/>
                <w:color w:val="auto"/>
              </w:rPr>
            </w:pPr>
          </w:p>
        </w:tc>
        <w:tc>
          <w:tcPr>
            <w:tcW w:w="2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50,900,000</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approved by security holders</w:t>
            </w:r>
          </w:p>
        </w:tc>
        <w:tc>
          <w:tcPr>
            <w:tcW w:w="2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80" w:hanging="174"/>
        <w:spacing w:after="0"/>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outstanding options, deferred stock units and performance share units and excludes restricted stock.</w:t>
      </w:r>
    </w:p>
    <w:p>
      <w:pPr>
        <w:spacing w:after="0" w:line="23" w:lineRule="exact"/>
        <w:rPr>
          <w:rFonts w:ascii="Arial" w:cs="Arial" w:eastAsia="Arial" w:hAnsi="Arial"/>
          <w:sz w:val="11"/>
          <w:szCs w:val="11"/>
          <w:color w:val="auto"/>
        </w:rPr>
      </w:pPr>
    </w:p>
    <w:p>
      <w:pPr>
        <w:ind w:left="180" w:hanging="174"/>
        <w:spacing w:after="0"/>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Weighted average exercise price of outstanding options only.</w:t>
      </w:r>
    </w:p>
    <w:p>
      <w:pPr>
        <w:spacing w:after="0" w:line="13" w:lineRule="exact"/>
        <w:rPr>
          <w:rFonts w:ascii="Arial" w:cs="Arial" w:eastAsia="Arial" w:hAnsi="Arial"/>
          <w:sz w:val="11"/>
          <w:szCs w:val="11"/>
          <w:color w:val="auto"/>
        </w:rPr>
      </w:pPr>
    </w:p>
    <w:p>
      <w:pPr>
        <w:ind w:left="180" w:hanging="174"/>
        <w:spacing w:after="0"/>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Shares available for grant under our Amended and Restated 2005 Performance Incentive Plan.</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Information related to the security ownership of certain beneficial owners and management is included in our 2025 Proxy Statement under the heading “Ownership of Equity Securities” and is incorporated by reference into this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Information required by this Item 13 is included under the headings “Corporate Governance – Director Independence” and “Corporate Governance – Review of Transactions with Related Persons” in our 2025 Proxy Statement. All of this information is incorporated by reference into this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20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Information required by this Item 14 is included under the heading “Board Committees and Membership – Audit Committee” in our 2025 Proxy Statement. All of this information is incorporated by reference into this Annual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8566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60" w:type="dxa"/>
            <w:vAlign w:val="bottom"/>
          </w:tcPr>
          <w:p>
            <w:pPr>
              <w:ind w:left="20"/>
              <w:spacing w:after="0"/>
              <w:rPr>
                <w:sz w:val="20"/>
                <w:szCs w:val="20"/>
                <w:color w:val="auto"/>
              </w:rPr>
            </w:pPr>
            <w:r>
              <w:rPr>
                <w:rFonts w:ascii="Arial" w:cs="Arial" w:eastAsia="Arial" w:hAnsi="Arial"/>
                <w:sz w:val="14"/>
                <w:szCs w:val="14"/>
                <w:i w:val="1"/>
                <w:iCs w:val="1"/>
                <w:color w:val="auto"/>
              </w:rPr>
              <w:t>(a)</w:t>
            </w:r>
          </w:p>
        </w:tc>
        <w:tc>
          <w:tcPr>
            <w:tcW w:w="8360" w:type="dxa"/>
            <w:vAlign w:val="bottom"/>
            <w:gridSpan w:val="8"/>
          </w:tcPr>
          <w:p>
            <w:pPr>
              <w:ind w:left="260"/>
              <w:spacing w:after="0"/>
              <w:rPr>
                <w:sz w:val="20"/>
                <w:szCs w:val="20"/>
                <w:color w:val="auto"/>
              </w:rPr>
            </w:pPr>
            <w:r>
              <w:rPr>
                <w:rFonts w:ascii="Arial" w:cs="Arial" w:eastAsia="Arial" w:hAnsi="Arial"/>
                <w:sz w:val="14"/>
                <w:szCs w:val="14"/>
                <w:i w:val="1"/>
                <w:iCs w:val="1"/>
                <w:color w:val="auto"/>
              </w:rPr>
              <w:t>Index to Consolidated Financial Statements and Schedules</w:t>
            </w:r>
          </w:p>
        </w:tc>
        <w:tc>
          <w:tcPr>
            <w:tcW w:w="2180" w:type="dxa"/>
            <w:vAlign w:val="bottom"/>
          </w:tcPr>
          <w:p>
            <w:pPr>
              <w:spacing w:after="0"/>
              <w:rPr>
                <w:sz w:val="16"/>
                <w:szCs w:val="16"/>
                <w:color w:val="auto"/>
              </w:rPr>
            </w:pPr>
          </w:p>
        </w:tc>
      </w:tr>
      <w:tr>
        <w:trPr>
          <w:trHeight w:val="233"/>
        </w:trPr>
        <w:tc>
          <w:tcPr>
            <w:tcW w:w="882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27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3"/>
        </w:trPr>
        <w:tc>
          <w:tcPr>
            <w:tcW w:w="8820" w:type="dxa"/>
            <w:vAlign w:val="bottom"/>
            <w:gridSpan w:val="9"/>
          </w:tcPr>
          <w:p>
            <w:pPr>
              <w:spacing w:after="0"/>
              <w:rPr>
                <w:sz w:val="20"/>
                <w:szCs w:val="20"/>
                <w:color w:val="auto"/>
              </w:rPr>
            </w:pPr>
            <w:r>
              <w:rPr>
                <w:rFonts w:ascii="Arial" w:cs="Arial" w:eastAsia="Arial" w:hAnsi="Arial"/>
                <w:sz w:val="14"/>
                <w:szCs w:val="14"/>
                <w:color w:val="0000FF"/>
              </w:rPr>
              <w:t>Consolidated Statements of Earnings for the Years Ended December 31, 2024, 2023 and 2022</w:t>
            </w:r>
          </w:p>
        </w:tc>
        <w:tc>
          <w:tcPr>
            <w:tcW w:w="21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27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3"/>
        </w:trPr>
        <w:tc>
          <w:tcPr>
            <w:tcW w:w="682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8"/>
              </w:rPr>
              <w:t>Consolidated Statements of Comprehensive Earnings for the Years Ended December 31, 2024, 2023 and 2022</w:t>
            </w:r>
          </w:p>
        </w:tc>
        <w:tc>
          <w:tcPr>
            <w:tcW w:w="20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3"/>
        </w:trPr>
        <w:tc>
          <w:tcPr>
            <w:tcW w:w="40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8"/>
              </w:rPr>
              <w:t>Consolidated Balance Sheets as of December 31, 2024 and 2023</w:t>
            </w:r>
          </w:p>
        </w:tc>
        <w:tc>
          <w:tcPr>
            <w:tcW w:w="4780" w:type="dxa"/>
            <w:vAlign w:val="bottom"/>
            <w:gridSpan w:val="5"/>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63"/>
        </w:trPr>
        <w:tc>
          <w:tcPr>
            <w:tcW w:w="8820" w:type="dxa"/>
            <w:vAlign w:val="bottom"/>
            <w:gridSpan w:val="9"/>
          </w:tcPr>
          <w:p>
            <w:pPr>
              <w:spacing w:after="0"/>
              <w:rPr>
                <w:sz w:val="20"/>
                <w:szCs w:val="20"/>
                <w:color w:val="auto"/>
              </w:rPr>
            </w:pPr>
            <w:r>
              <w:rPr>
                <w:rFonts w:ascii="Arial" w:cs="Arial" w:eastAsia="Arial" w:hAnsi="Arial"/>
                <w:sz w:val="14"/>
                <w:szCs w:val="14"/>
                <w:color w:val="0000FF"/>
              </w:rPr>
              <w:t>Consolidated Statements of Equity for the Years Ended December 31, 2024, 2023 and 2022</w:t>
            </w:r>
          </w:p>
        </w:tc>
        <w:tc>
          <w:tcPr>
            <w:tcW w:w="21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
        </w:trPr>
        <w:tc>
          <w:tcPr>
            <w:tcW w:w="2700" w:type="dxa"/>
            <w:vAlign w:val="bottom"/>
            <w:gridSpan w:val="2"/>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3"/>
        </w:trPr>
        <w:tc>
          <w:tcPr>
            <w:tcW w:w="8820" w:type="dxa"/>
            <w:vAlign w:val="bottom"/>
            <w:gridSpan w:val="9"/>
          </w:tcPr>
          <w:p>
            <w:pPr>
              <w:spacing w:after="0"/>
              <w:rPr>
                <w:sz w:val="20"/>
                <w:szCs w:val="20"/>
                <w:color w:val="auto"/>
              </w:rPr>
            </w:pPr>
            <w:r>
              <w:rPr>
                <w:rFonts w:ascii="Arial" w:cs="Arial" w:eastAsia="Arial" w:hAnsi="Arial"/>
                <w:sz w:val="14"/>
                <w:szCs w:val="14"/>
                <w:color w:val="0000FF"/>
              </w:rPr>
              <w:t>Consolidated Statements of Cash Flows for the Years Ended December 31, 2024, 2023 and 2022</w:t>
            </w:r>
          </w:p>
        </w:tc>
        <w:tc>
          <w:tcPr>
            <w:tcW w:w="21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3"/>
        </w:trPr>
        <w:tc>
          <w:tcPr>
            <w:tcW w:w="2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98"/>
              </w:rPr>
              <w:t>Notes to Consolidated Financial Statements</w:t>
            </w:r>
          </w:p>
        </w:tc>
        <w:tc>
          <w:tcPr>
            <w:tcW w:w="3280" w:type="dxa"/>
            <w:vAlign w:val="bottom"/>
            <w:tcBorders>
              <w:top w:val="single" w:sz="8" w:color="0000FF"/>
            </w:tcBorders>
            <w:gridSpan w:val="5"/>
          </w:tcPr>
          <w:p>
            <w:pPr>
              <w:spacing w:after="0"/>
              <w:rPr>
                <w:sz w:val="14"/>
                <w:szCs w:val="14"/>
                <w:color w:val="auto"/>
              </w:rPr>
            </w:pPr>
          </w:p>
        </w:tc>
        <w:tc>
          <w:tcPr>
            <w:tcW w:w="2840" w:type="dxa"/>
            <w:vAlign w:val="bottom"/>
            <w:gridSpan w:val="2"/>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73</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Schedules other than those listed above have been omitted either because such schedules are not required or are not applicable.</w:t>
      </w:r>
    </w:p>
    <w:p>
      <w:pPr>
        <w:spacing w:after="0" w:line="185"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exhibits are filed as part of, or incorporated by reference into, this Annual Report: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2.1</w:t>
            </w:r>
          </w:p>
        </w:tc>
        <w:tc>
          <w:tcPr>
            <w:tcW w:w="10100" w:type="dxa"/>
            <w:vAlign w:val="bottom"/>
            <w:gridSpan w:val="24"/>
          </w:tcPr>
          <w:p>
            <w:pPr>
              <w:spacing w:after="0"/>
              <w:rPr>
                <w:rFonts w:ascii="Arial" w:cs="Arial" w:eastAsia="Arial" w:hAnsi="Arial"/>
                <w:sz w:val="14"/>
                <w:szCs w:val="14"/>
                <w:color w:val="0000FF"/>
              </w:rPr>
            </w:pPr>
            <w:hyperlink r:id="rId277">
              <w:r>
                <w:rPr>
                  <w:rFonts w:ascii="Arial" w:cs="Arial" w:eastAsia="Arial" w:hAnsi="Arial"/>
                  <w:sz w:val="14"/>
                  <w:szCs w:val="14"/>
                  <w:color w:val="0000FF"/>
                </w:rPr>
                <w:t>Separation and Distribution Agreement between the Registrant and Kraft Foods Group, Inc., dated as of September 27, 2012 (incorporated by reference to</w:t>
              </w:r>
            </w:hyperlink>
          </w:p>
        </w:tc>
      </w:tr>
      <w:tr>
        <w:trPr>
          <w:trHeight w:val="120"/>
        </w:trPr>
        <w:tc>
          <w:tcPr>
            <w:tcW w:w="1400" w:type="dxa"/>
            <w:vAlign w:val="bottom"/>
          </w:tcPr>
          <w:p>
            <w:pPr>
              <w:spacing w:after="0"/>
              <w:rPr>
                <w:sz w:val="10"/>
                <w:szCs w:val="10"/>
                <w:color w:val="auto"/>
              </w:rPr>
            </w:pPr>
          </w:p>
        </w:tc>
        <w:tc>
          <w:tcPr>
            <w:tcW w:w="10080" w:type="dxa"/>
            <w:vAlign w:val="bottom"/>
            <w:tcBorders>
              <w:top w:val="single" w:sz="8" w:color="0000FF"/>
            </w:tcBorders>
            <w:gridSpan w:val="23"/>
          </w:tcPr>
          <w:p>
            <w:pPr>
              <w:spacing w:after="0" w:line="120" w:lineRule="exact"/>
              <w:rPr>
                <w:rFonts w:ascii="Arial" w:cs="Arial" w:eastAsia="Arial" w:hAnsi="Arial"/>
                <w:sz w:val="13"/>
                <w:szCs w:val="13"/>
                <w:color w:val="0000FF"/>
              </w:rPr>
            </w:pPr>
            <w:hyperlink r:id="rId277">
              <w:r>
                <w:rPr>
                  <w:rFonts w:ascii="Arial" w:cs="Arial" w:eastAsia="Arial" w:hAnsi="Arial"/>
                  <w:sz w:val="13"/>
                  <w:szCs w:val="13"/>
                  <w:color w:val="0000FF"/>
                </w:rPr>
                <w:t>Exhibit 2.1 to the Registrant’s Current Report on Form 8-K filed with the SEC on October 1, 2012).</w:t>
              </w:r>
            </w:hyperlink>
          </w:p>
        </w:tc>
        <w:tc>
          <w:tcPr>
            <w:tcW w:w="20" w:type="dxa"/>
            <w:vAlign w:val="bottom"/>
          </w:tcPr>
          <w:p>
            <w:pPr>
              <w:spacing w:after="0"/>
              <w:rPr>
                <w:sz w:val="10"/>
                <w:szCs w:val="10"/>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2.2</w:t>
            </w:r>
          </w:p>
        </w:tc>
        <w:tc>
          <w:tcPr>
            <w:tcW w:w="10100" w:type="dxa"/>
            <w:vAlign w:val="bottom"/>
            <w:gridSpan w:val="24"/>
          </w:tcPr>
          <w:p>
            <w:pPr>
              <w:spacing w:after="0"/>
              <w:rPr>
                <w:rFonts w:ascii="Arial" w:cs="Arial" w:eastAsia="Arial" w:hAnsi="Arial"/>
                <w:sz w:val="14"/>
                <w:szCs w:val="14"/>
                <w:color w:val="0000FF"/>
              </w:rPr>
            </w:pPr>
            <w:hyperlink r:id="rId278">
              <w:r>
                <w:rPr>
                  <w:rFonts w:ascii="Arial" w:cs="Arial" w:eastAsia="Arial" w:hAnsi="Arial"/>
                  <w:sz w:val="14"/>
                  <w:szCs w:val="14"/>
                  <w:color w:val="0000FF"/>
                </w:rPr>
                <w:t>Canadian Asset Transfer Agreement, by and between Mondelez Canada Inc. and Kraft Canada Inc., dated as of September 29, 2012 (incorporated by</w:t>
              </w:r>
            </w:hyperlink>
          </w:p>
        </w:tc>
      </w:tr>
      <w:tr>
        <w:trPr>
          <w:trHeight w:val="120"/>
        </w:trPr>
        <w:tc>
          <w:tcPr>
            <w:tcW w:w="1400" w:type="dxa"/>
            <w:vAlign w:val="bottom"/>
          </w:tcPr>
          <w:p>
            <w:pPr>
              <w:spacing w:after="0"/>
              <w:rPr>
                <w:sz w:val="10"/>
                <w:szCs w:val="10"/>
                <w:color w:val="auto"/>
              </w:rPr>
            </w:pPr>
          </w:p>
        </w:tc>
        <w:tc>
          <w:tcPr>
            <w:tcW w:w="9940" w:type="dxa"/>
            <w:vAlign w:val="bottom"/>
            <w:tcBorders>
              <w:top w:val="single" w:sz="8" w:color="0000FF"/>
            </w:tcBorders>
            <w:gridSpan w:val="16"/>
          </w:tcPr>
          <w:p>
            <w:pPr>
              <w:spacing w:after="0" w:line="120" w:lineRule="exact"/>
              <w:rPr>
                <w:rFonts w:ascii="Arial" w:cs="Arial" w:eastAsia="Arial" w:hAnsi="Arial"/>
                <w:sz w:val="13"/>
                <w:szCs w:val="13"/>
                <w:color w:val="0000FF"/>
              </w:rPr>
            </w:pPr>
            <w:hyperlink r:id="rId278">
              <w:r>
                <w:rPr>
                  <w:rFonts w:ascii="Arial" w:cs="Arial" w:eastAsia="Arial" w:hAnsi="Arial"/>
                  <w:sz w:val="13"/>
                  <w:szCs w:val="13"/>
                  <w:color w:val="0000FF"/>
                </w:rPr>
                <w:t>reference to Exhibit 2.3 to the Registrant’s Annual Report on Form 10-K filed with the SEC on February 25,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2.3</w:t>
            </w:r>
          </w:p>
        </w:tc>
        <w:tc>
          <w:tcPr>
            <w:tcW w:w="10100" w:type="dxa"/>
            <w:vAlign w:val="bottom"/>
            <w:gridSpan w:val="24"/>
          </w:tcPr>
          <w:p>
            <w:pPr>
              <w:spacing w:after="0"/>
              <w:rPr>
                <w:rFonts w:ascii="Arial" w:cs="Arial" w:eastAsia="Arial" w:hAnsi="Arial"/>
                <w:sz w:val="14"/>
                <w:szCs w:val="14"/>
                <w:color w:val="0000FF"/>
              </w:rPr>
            </w:pPr>
            <w:hyperlink r:id="rId279">
              <w:r>
                <w:rPr>
                  <w:rFonts w:ascii="Arial" w:cs="Arial" w:eastAsia="Arial" w:hAnsi="Arial"/>
                  <w:sz w:val="14"/>
                  <w:szCs w:val="14"/>
                  <w:color w:val="0000FF"/>
                </w:rPr>
                <w:t>Master Ownership and License Agreement Regarding Patents, Trade Secrets and Related Intellectual Property, among Kraft Foods Global Brands LLC,</w:t>
              </w:r>
            </w:hyperlink>
          </w:p>
        </w:tc>
      </w:tr>
      <w:tr>
        <w:trPr>
          <w:trHeight w:val="120"/>
        </w:trPr>
        <w:tc>
          <w:tcPr>
            <w:tcW w:w="1400" w:type="dxa"/>
            <w:vAlign w:val="bottom"/>
          </w:tcPr>
          <w:p>
            <w:pPr>
              <w:spacing w:after="0"/>
              <w:rPr>
                <w:sz w:val="10"/>
                <w:szCs w:val="10"/>
                <w:color w:val="auto"/>
              </w:rPr>
            </w:pPr>
          </w:p>
        </w:tc>
        <w:tc>
          <w:tcPr>
            <w:tcW w:w="1004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279">
              <w:r>
                <w:rPr>
                  <w:rFonts w:ascii="Arial" w:cs="Arial" w:eastAsia="Arial" w:hAnsi="Arial"/>
                  <w:sz w:val="13"/>
                  <w:szCs w:val="13"/>
                  <w:color w:val="0000FF"/>
                </w:rPr>
                <w:t>Kraft Foods Group Brands LLC, Kraft Foods UK Ltd. and Kraft Foods R&amp;D Inc., dated as of October 1, 2012 (incorporated by reference to Exhibit 10.3 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30"/>
        </w:trPr>
        <w:tc>
          <w:tcPr>
            <w:tcW w:w="1400" w:type="dxa"/>
            <w:vAlign w:val="bottom"/>
          </w:tcPr>
          <w:p>
            <w:pPr>
              <w:spacing w:after="0"/>
              <w:rPr>
                <w:sz w:val="11"/>
                <w:szCs w:val="11"/>
                <w:color w:val="auto"/>
              </w:rPr>
            </w:pPr>
          </w:p>
        </w:tc>
        <w:tc>
          <w:tcPr>
            <w:tcW w:w="5320" w:type="dxa"/>
            <w:vAlign w:val="bottom"/>
            <w:tcBorders>
              <w:top w:val="single" w:sz="8" w:color="0000FF"/>
              <w:bottom w:val="single" w:sz="8" w:color="0000FF"/>
            </w:tcBorders>
            <w:gridSpan w:val="4"/>
          </w:tcPr>
          <w:p>
            <w:pPr>
              <w:spacing w:after="0" w:line="131" w:lineRule="exact"/>
              <w:rPr>
                <w:rFonts w:ascii="Arial" w:cs="Arial" w:eastAsia="Arial" w:hAnsi="Arial"/>
                <w:sz w:val="14"/>
                <w:szCs w:val="14"/>
                <w:color w:val="0000FF"/>
              </w:rPr>
            </w:pPr>
            <w:hyperlink r:id="rId279">
              <w:r>
                <w:rPr>
                  <w:rFonts w:ascii="Arial" w:cs="Arial" w:eastAsia="Arial" w:hAnsi="Arial"/>
                  <w:sz w:val="14"/>
                  <w:szCs w:val="14"/>
                  <w:color w:val="0000FF"/>
                </w:rPr>
                <w:t>the Registrant’s Current Report on Form 8-K filed with the SEC on October 1, 2012).</w:t>
              </w:r>
            </w:hyperlink>
          </w:p>
        </w:tc>
        <w:tc>
          <w:tcPr>
            <w:tcW w:w="454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6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2.4</w:t>
            </w:r>
          </w:p>
        </w:tc>
        <w:tc>
          <w:tcPr>
            <w:tcW w:w="10100" w:type="dxa"/>
            <w:vAlign w:val="bottom"/>
            <w:gridSpan w:val="24"/>
          </w:tcPr>
          <w:p>
            <w:pPr>
              <w:spacing w:after="0"/>
              <w:rPr>
                <w:rFonts w:ascii="Arial" w:cs="Arial" w:eastAsia="Arial" w:hAnsi="Arial"/>
                <w:sz w:val="14"/>
                <w:szCs w:val="14"/>
                <w:color w:val="0000FF"/>
              </w:rPr>
            </w:pPr>
            <w:hyperlink r:id="rId280">
              <w:r>
                <w:rPr>
                  <w:rFonts w:ascii="Arial" w:cs="Arial" w:eastAsia="Arial" w:hAnsi="Arial"/>
                  <w:sz w:val="14"/>
                  <w:szCs w:val="14"/>
                  <w:color w:val="0000FF"/>
                </w:rPr>
                <w:t>Master Ownership and License Agreement Regarding Trademarks and Related Intellectual Property, by and between Kraft Foods Global Brands LLC and</w:t>
              </w:r>
            </w:hyperlink>
          </w:p>
        </w:tc>
      </w:tr>
      <w:tr>
        <w:trPr>
          <w:trHeight w:val="120"/>
        </w:trPr>
        <w:tc>
          <w:tcPr>
            <w:tcW w:w="1400" w:type="dxa"/>
            <w:vAlign w:val="bottom"/>
          </w:tcPr>
          <w:p>
            <w:pPr>
              <w:spacing w:after="0"/>
              <w:rPr>
                <w:sz w:val="10"/>
                <w:szCs w:val="10"/>
                <w:color w:val="auto"/>
              </w:rPr>
            </w:pPr>
          </w:p>
        </w:tc>
        <w:tc>
          <w:tcPr>
            <w:tcW w:w="9920" w:type="dxa"/>
            <w:vAlign w:val="bottom"/>
            <w:tcBorders>
              <w:top w:val="single" w:sz="8" w:color="0000FF"/>
              <w:bottom w:val="single" w:sz="8" w:color="0000FF"/>
            </w:tcBorders>
            <w:gridSpan w:val="15"/>
          </w:tcPr>
          <w:p>
            <w:pPr>
              <w:spacing w:after="0" w:line="120" w:lineRule="exact"/>
              <w:rPr>
                <w:rFonts w:ascii="Arial" w:cs="Arial" w:eastAsia="Arial" w:hAnsi="Arial"/>
                <w:sz w:val="13"/>
                <w:szCs w:val="13"/>
                <w:color w:val="0000FF"/>
              </w:rPr>
            </w:pPr>
            <w:hyperlink r:id="rId280">
              <w:r>
                <w:rPr>
                  <w:rFonts w:ascii="Arial" w:cs="Arial" w:eastAsia="Arial" w:hAnsi="Arial"/>
                  <w:sz w:val="13"/>
                  <w:szCs w:val="13"/>
                  <w:color w:val="0000FF"/>
                </w:rPr>
                <w:t>Kraft Foods Group Brands LLC., dated as of September 27, 2012 (incorporated by reference to Exhibit 10.4 to the Registrant’s Current Report on Form 8-</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30"/>
        </w:trPr>
        <w:tc>
          <w:tcPr>
            <w:tcW w:w="1400" w:type="dxa"/>
            <w:vAlign w:val="bottom"/>
          </w:tcPr>
          <w:p>
            <w:pPr>
              <w:spacing w:after="0"/>
              <w:rPr>
                <w:sz w:val="11"/>
                <w:szCs w:val="11"/>
                <w:color w:val="auto"/>
              </w:rPr>
            </w:pPr>
          </w:p>
        </w:tc>
        <w:tc>
          <w:tcPr>
            <w:tcW w:w="10020" w:type="dxa"/>
            <w:vAlign w:val="bottom"/>
            <w:gridSpan w:val="20"/>
          </w:tcPr>
          <w:p>
            <w:pPr>
              <w:spacing w:after="0" w:line="131" w:lineRule="exact"/>
              <w:rPr>
                <w:rFonts w:ascii="Arial" w:cs="Arial" w:eastAsia="Arial" w:hAnsi="Arial"/>
                <w:sz w:val="14"/>
                <w:szCs w:val="14"/>
                <w:color w:val="0000FF"/>
              </w:rPr>
            </w:pPr>
            <w:hyperlink r:id="rId280">
              <w:r>
                <w:rPr>
                  <w:rFonts w:ascii="Arial" w:cs="Arial" w:eastAsia="Arial" w:hAnsi="Arial"/>
                  <w:sz w:val="14"/>
                  <w:szCs w:val="14"/>
                  <w:color w:val="0000FF"/>
                </w:rPr>
                <w:t>K filed with the SEC on October 1, 2012).</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3.1</w:t>
            </w:r>
          </w:p>
        </w:tc>
        <w:tc>
          <w:tcPr>
            <w:tcW w:w="10100" w:type="dxa"/>
            <w:vAlign w:val="bottom"/>
            <w:gridSpan w:val="24"/>
          </w:tcPr>
          <w:p>
            <w:pPr>
              <w:spacing w:after="0"/>
              <w:rPr>
                <w:rFonts w:ascii="Arial" w:cs="Arial" w:eastAsia="Arial" w:hAnsi="Arial"/>
                <w:sz w:val="14"/>
                <w:szCs w:val="14"/>
                <w:color w:val="0000FF"/>
              </w:rPr>
            </w:pPr>
            <w:hyperlink r:id="rId281">
              <w:r>
                <w:rPr>
                  <w:rFonts w:ascii="Arial" w:cs="Arial" w:eastAsia="Arial" w:hAnsi="Arial"/>
                  <w:sz w:val="14"/>
                  <w:szCs w:val="14"/>
                  <w:color w:val="0000FF"/>
                </w:rPr>
                <w:t>Amended and Restated Articles of Incorporation of the Registrant, effective March 14, 2013 (incorporated by reference to Exhibit 3.1 to the Registrant’s</w:t>
              </w:r>
            </w:hyperlink>
          </w:p>
        </w:tc>
      </w:tr>
      <w:tr>
        <w:trPr>
          <w:trHeight w:val="120"/>
        </w:trPr>
        <w:tc>
          <w:tcPr>
            <w:tcW w:w="140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20" w:lineRule="exact"/>
              <w:rPr>
                <w:rFonts w:ascii="Arial" w:cs="Arial" w:eastAsia="Arial" w:hAnsi="Arial"/>
                <w:sz w:val="13"/>
                <w:szCs w:val="13"/>
                <w:color w:val="0000FF"/>
              </w:rPr>
            </w:pPr>
            <w:hyperlink r:id="rId281">
              <w:r>
                <w:rPr>
                  <w:rFonts w:ascii="Arial" w:cs="Arial" w:eastAsia="Arial" w:hAnsi="Arial"/>
                  <w:sz w:val="13"/>
                  <w:szCs w:val="13"/>
                  <w:color w:val="0000FF"/>
                </w:rPr>
                <w:t>Quarterly Report on Form 10-Q filed with the SEC on May 8, 2013).</w:t>
              </w:r>
            </w:hyperlink>
          </w:p>
        </w:tc>
        <w:tc>
          <w:tcPr>
            <w:tcW w:w="574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3.2</w:t>
            </w:r>
          </w:p>
        </w:tc>
        <w:tc>
          <w:tcPr>
            <w:tcW w:w="10100" w:type="dxa"/>
            <w:vAlign w:val="bottom"/>
            <w:gridSpan w:val="24"/>
          </w:tcPr>
          <w:p>
            <w:pPr>
              <w:spacing w:after="0"/>
              <w:rPr>
                <w:rFonts w:ascii="Arial" w:cs="Arial" w:eastAsia="Arial" w:hAnsi="Arial"/>
                <w:sz w:val="14"/>
                <w:szCs w:val="14"/>
                <w:color w:val="0000FF"/>
              </w:rPr>
            </w:pPr>
            <w:hyperlink r:id="rId282">
              <w:r>
                <w:rPr>
                  <w:rFonts w:ascii="Arial" w:cs="Arial" w:eastAsia="Arial" w:hAnsi="Arial"/>
                  <w:sz w:val="14"/>
                  <w:szCs w:val="14"/>
                  <w:color w:val="0000FF"/>
                </w:rPr>
                <w:t>Amended and Restated By-Laws of the Registrant, effective as of October 19, 2022 (incorporated by reference to Exhibit 3.1 to the Registrant’s Current</w:t>
              </w:r>
            </w:hyperlink>
          </w:p>
        </w:tc>
      </w:tr>
      <w:tr>
        <w:trPr>
          <w:trHeight w:val="130"/>
        </w:trPr>
        <w:tc>
          <w:tcPr>
            <w:tcW w:w="1400" w:type="dxa"/>
            <w:vAlign w:val="bottom"/>
          </w:tcPr>
          <w:p>
            <w:pPr>
              <w:spacing w:after="0"/>
              <w:rPr>
                <w:sz w:val="11"/>
                <w:szCs w:val="11"/>
                <w:color w:val="auto"/>
              </w:rPr>
            </w:pPr>
          </w:p>
        </w:tc>
        <w:tc>
          <w:tcPr>
            <w:tcW w:w="3860" w:type="dxa"/>
            <w:vAlign w:val="bottom"/>
            <w:tcBorders>
              <w:top w:val="single" w:sz="8" w:color="0000FF"/>
              <w:bottom w:val="single" w:sz="8" w:color="0000FF"/>
            </w:tcBorders>
            <w:gridSpan w:val="2"/>
          </w:tcPr>
          <w:p>
            <w:pPr>
              <w:spacing w:after="0" w:line="131" w:lineRule="exact"/>
              <w:rPr>
                <w:rFonts w:ascii="Arial" w:cs="Arial" w:eastAsia="Arial" w:hAnsi="Arial"/>
                <w:sz w:val="14"/>
                <w:szCs w:val="14"/>
                <w:color w:val="0000FF"/>
              </w:rPr>
            </w:pPr>
            <w:hyperlink r:id="rId282">
              <w:r>
                <w:rPr>
                  <w:rFonts w:ascii="Arial" w:cs="Arial" w:eastAsia="Arial" w:hAnsi="Arial"/>
                  <w:sz w:val="14"/>
                  <w:szCs w:val="14"/>
                  <w:color w:val="0000FF"/>
                </w:rPr>
                <w:t>Report on Form 8-K filed with the SEC on October 24, 2022).</w:t>
              </w:r>
            </w:hyperlink>
          </w:p>
        </w:tc>
        <w:tc>
          <w:tcPr>
            <w:tcW w:w="6200" w:type="dxa"/>
            <w:vAlign w:val="bottom"/>
            <w:tcBorders>
              <w:top w:val="single" w:sz="8" w:color="0000FF"/>
            </w:tcBorders>
            <w:gridSpan w:val="20"/>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84"/>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4.1</w:t>
            </w:r>
          </w:p>
        </w:tc>
        <w:tc>
          <w:tcPr>
            <w:tcW w:w="10100" w:type="dxa"/>
            <w:vAlign w:val="bottom"/>
            <w:gridSpan w:val="24"/>
          </w:tcPr>
          <w:p>
            <w:pPr>
              <w:spacing w:after="0"/>
              <w:rPr>
                <w:rFonts w:ascii="Arial" w:cs="Arial" w:eastAsia="Arial" w:hAnsi="Arial"/>
                <w:sz w:val="14"/>
                <w:szCs w:val="14"/>
                <w:color w:val="0000FF"/>
              </w:rPr>
            </w:pPr>
            <w:hyperlink r:id="rId283">
              <w:r>
                <w:rPr>
                  <w:rFonts w:ascii="Arial" w:cs="Arial" w:eastAsia="Arial" w:hAnsi="Arial"/>
                  <w:sz w:val="14"/>
                  <w:szCs w:val="14"/>
                  <w:color w:val="0000FF"/>
                </w:rPr>
                <w:t>Description of the Registrant's capital stock and debt securities registered under Section 12 of the Exchange Act (incorporated by reference to Exhibit 4.1 to</w:t>
              </w:r>
            </w:hyperlink>
          </w:p>
        </w:tc>
      </w:tr>
      <w:tr>
        <w:trPr>
          <w:trHeight w:val="130"/>
        </w:trPr>
        <w:tc>
          <w:tcPr>
            <w:tcW w:w="1400" w:type="dxa"/>
            <w:vAlign w:val="bottom"/>
          </w:tcPr>
          <w:p>
            <w:pPr>
              <w:spacing w:after="0"/>
              <w:rPr>
                <w:sz w:val="11"/>
                <w:szCs w:val="11"/>
                <w:color w:val="auto"/>
              </w:rPr>
            </w:pPr>
          </w:p>
        </w:tc>
        <w:tc>
          <w:tcPr>
            <w:tcW w:w="10000" w:type="dxa"/>
            <w:vAlign w:val="bottom"/>
            <w:tcBorders>
              <w:top w:val="single" w:sz="8" w:color="0000FF"/>
            </w:tcBorders>
            <w:gridSpan w:val="19"/>
          </w:tcPr>
          <w:p>
            <w:pPr>
              <w:spacing w:after="0" w:line="131" w:lineRule="exact"/>
              <w:rPr>
                <w:rFonts w:ascii="Arial" w:cs="Arial" w:eastAsia="Arial" w:hAnsi="Arial"/>
                <w:sz w:val="14"/>
                <w:szCs w:val="14"/>
                <w:color w:val="0000FF"/>
              </w:rPr>
            </w:pPr>
            <w:hyperlink r:id="rId283">
              <w:r>
                <w:rPr>
                  <w:rFonts w:ascii="Arial" w:cs="Arial" w:eastAsia="Arial" w:hAnsi="Arial"/>
                  <w:sz w:val="14"/>
                  <w:szCs w:val="14"/>
                  <w:color w:val="0000FF"/>
                </w:rPr>
                <w:t>the Registrant’s Annual Report on Form 10-K filed with the SEC on February 3, 2023)</w:t>
              </w:r>
              <w:r>
                <w:rPr>
                  <w:rFonts w:ascii="Arial" w:cs="Arial" w:eastAsia="Arial" w:hAnsi="Arial"/>
                  <w:sz w:val="14"/>
                  <w:szCs w:val="14"/>
                  <w:color w:val="000000"/>
                </w:rPr>
                <w:t>.</w:t>
              </w:r>
            </w:hyperlink>
          </w:p>
        </w:tc>
        <w:tc>
          <w:tcPr>
            <w:tcW w:w="100" w:type="dxa"/>
            <w:vAlign w:val="bottom"/>
            <w:gridSpan w:val="5"/>
          </w:tcPr>
          <w:p>
            <w:pPr>
              <w:spacing w:after="0"/>
              <w:rPr>
                <w:sz w:val="11"/>
                <w:szCs w:val="11"/>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4.2</w:t>
            </w:r>
          </w:p>
        </w:tc>
        <w:tc>
          <w:tcPr>
            <w:tcW w:w="10100" w:type="dxa"/>
            <w:vAlign w:val="bottom"/>
            <w:gridSpan w:val="24"/>
          </w:tcPr>
          <w:p>
            <w:pPr>
              <w:spacing w:after="0"/>
              <w:rPr>
                <w:sz w:val="20"/>
                <w:szCs w:val="20"/>
                <w:color w:val="auto"/>
              </w:rPr>
            </w:pPr>
            <w:r>
              <w:rPr>
                <w:rFonts w:ascii="Arial" w:cs="Arial" w:eastAsia="Arial" w:hAnsi="Arial"/>
                <w:sz w:val="14"/>
                <w:szCs w:val="14"/>
                <w:color w:val="auto"/>
              </w:rPr>
              <w:t>The Registrant agrees to furnish to the SEC upon request copies of any instruments defining the rights of holders of long-term debt of the Registrant and its</w:t>
            </w:r>
          </w:p>
        </w:tc>
      </w:tr>
      <w:tr>
        <w:trPr>
          <w:trHeight w:val="189"/>
        </w:trPr>
        <w:tc>
          <w:tcPr>
            <w:tcW w:w="1400" w:type="dxa"/>
            <w:vAlign w:val="bottom"/>
          </w:tcPr>
          <w:p>
            <w:pPr>
              <w:spacing w:after="0"/>
              <w:rPr>
                <w:sz w:val="16"/>
                <w:szCs w:val="16"/>
                <w:color w:val="auto"/>
              </w:rPr>
            </w:pPr>
          </w:p>
        </w:tc>
        <w:tc>
          <w:tcPr>
            <w:tcW w:w="10100" w:type="dxa"/>
            <w:vAlign w:val="bottom"/>
            <w:gridSpan w:val="24"/>
          </w:tcPr>
          <w:p>
            <w:pPr>
              <w:spacing w:after="0"/>
              <w:rPr>
                <w:sz w:val="20"/>
                <w:szCs w:val="20"/>
                <w:color w:val="auto"/>
              </w:rPr>
            </w:pPr>
            <w:r>
              <w:rPr>
                <w:rFonts w:ascii="Arial" w:cs="Arial" w:eastAsia="Arial" w:hAnsi="Arial"/>
                <w:sz w:val="14"/>
                <w:szCs w:val="14"/>
                <w:color w:val="auto"/>
              </w:rPr>
              <w:t>consolidated subsidiaries that does not exceed 10 percent of the total assets of the Registrant and its consolidated subsidiaries.</w:t>
            </w:r>
          </w:p>
        </w:tc>
      </w:tr>
      <w:tr>
        <w:trPr>
          <w:trHeight w:val="154"/>
        </w:trPr>
        <w:tc>
          <w:tcPr>
            <w:tcW w:w="1400" w:type="dxa"/>
            <w:vAlign w:val="bottom"/>
          </w:tcPr>
          <w:p>
            <w:pPr>
              <w:jc w:val="right"/>
              <w:ind w:right="808"/>
              <w:spacing w:after="0" w:line="155" w:lineRule="exact"/>
              <w:rPr>
                <w:sz w:val="20"/>
                <w:szCs w:val="20"/>
                <w:color w:val="auto"/>
              </w:rPr>
            </w:pPr>
            <w:r>
              <w:rPr>
                <w:rFonts w:ascii="Arial" w:cs="Arial" w:eastAsia="Arial" w:hAnsi="Arial"/>
                <w:sz w:val="14"/>
                <w:szCs w:val="14"/>
                <w:color w:val="auto"/>
              </w:rPr>
              <w:t>4.3</w:t>
            </w:r>
          </w:p>
        </w:tc>
        <w:tc>
          <w:tcPr>
            <w:tcW w:w="10100" w:type="dxa"/>
            <w:vAlign w:val="bottom"/>
            <w:gridSpan w:val="24"/>
          </w:tcPr>
          <w:p>
            <w:pPr>
              <w:spacing w:after="0" w:line="155" w:lineRule="exact"/>
              <w:rPr>
                <w:rFonts w:ascii="Arial" w:cs="Arial" w:eastAsia="Arial" w:hAnsi="Arial"/>
                <w:sz w:val="14"/>
                <w:szCs w:val="14"/>
                <w:color w:val="0000FF"/>
              </w:rPr>
            </w:pPr>
            <w:hyperlink r:id="rId284">
              <w:r>
                <w:rPr>
                  <w:rFonts w:ascii="Arial" w:cs="Arial" w:eastAsia="Arial" w:hAnsi="Arial"/>
                  <w:sz w:val="14"/>
                  <w:szCs w:val="14"/>
                  <w:color w:val="0000FF"/>
                </w:rPr>
                <w:t>Indenture, by and between the Registrant and Deutsche Bank Trust Company Americas (as successor trustee to The Bank of New York and The Chase</w:t>
              </w:r>
            </w:hyperlink>
          </w:p>
        </w:tc>
      </w:tr>
      <w:tr>
        <w:trPr>
          <w:trHeight w:val="120"/>
        </w:trPr>
        <w:tc>
          <w:tcPr>
            <w:tcW w:w="1400" w:type="dxa"/>
            <w:vAlign w:val="bottom"/>
          </w:tcPr>
          <w:p>
            <w:pPr>
              <w:spacing w:after="0"/>
              <w:rPr>
                <w:sz w:val="10"/>
                <w:szCs w:val="10"/>
                <w:color w:val="auto"/>
              </w:rPr>
            </w:pPr>
          </w:p>
        </w:tc>
        <w:tc>
          <w:tcPr>
            <w:tcW w:w="9980" w:type="dxa"/>
            <w:vAlign w:val="bottom"/>
            <w:tcBorders>
              <w:top w:val="single" w:sz="8" w:color="0000FF"/>
            </w:tcBorders>
            <w:gridSpan w:val="18"/>
          </w:tcPr>
          <w:p>
            <w:pPr>
              <w:spacing w:after="0" w:line="120" w:lineRule="exact"/>
              <w:rPr>
                <w:rFonts w:ascii="Arial" w:cs="Arial" w:eastAsia="Arial" w:hAnsi="Arial"/>
                <w:sz w:val="13"/>
                <w:szCs w:val="13"/>
                <w:color w:val="0000FF"/>
              </w:rPr>
            </w:pPr>
            <w:hyperlink r:id="rId284">
              <w:r>
                <w:rPr>
                  <w:rFonts w:ascii="Arial" w:cs="Arial" w:eastAsia="Arial" w:hAnsi="Arial"/>
                  <w:sz w:val="13"/>
                  <w:szCs w:val="13"/>
                  <w:color w:val="0000FF"/>
                </w:rPr>
                <w:t>Manhattan Bank), dated as of October 17, 2001 (incorporated by reference to Exhibit 4.1 to the Registrant’s Registration Statement on Form S-</w:t>
              </w:r>
            </w:hyperlink>
          </w:p>
        </w:tc>
        <w:tc>
          <w:tcPr>
            <w:tcW w:w="120" w:type="dxa"/>
            <w:vAlign w:val="bottom"/>
            <w:gridSpan w:val="6"/>
          </w:tcPr>
          <w:p>
            <w:pPr>
              <w:spacing w:after="0"/>
              <w:rPr>
                <w:sz w:val="10"/>
                <w:szCs w:val="10"/>
                <w:color w:val="auto"/>
              </w:rPr>
            </w:pPr>
          </w:p>
        </w:tc>
      </w:tr>
      <w:tr>
        <w:trPr>
          <w:trHeight w:val="130"/>
        </w:trPr>
        <w:tc>
          <w:tcPr>
            <w:tcW w:w="1400" w:type="dxa"/>
            <w:vAlign w:val="bottom"/>
          </w:tcPr>
          <w:p>
            <w:pPr>
              <w:spacing w:after="0"/>
              <w:rPr>
                <w:sz w:val="11"/>
                <w:szCs w:val="11"/>
                <w:color w:val="auto"/>
              </w:rPr>
            </w:pPr>
          </w:p>
        </w:tc>
        <w:tc>
          <w:tcPr>
            <w:tcW w:w="9960" w:type="dxa"/>
            <w:vAlign w:val="bottom"/>
            <w:tcBorders>
              <w:top w:val="single" w:sz="8" w:color="0000FF"/>
            </w:tcBorders>
            <w:gridSpan w:val="17"/>
          </w:tcPr>
          <w:p>
            <w:pPr>
              <w:spacing w:after="0" w:line="131" w:lineRule="exact"/>
              <w:rPr>
                <w:rFonts w:ascii="Arial" w:cs="Arial" w:eastAsia="Arial" w:hAnsi="Arial"/>
                <w:sz w:val="14"/>
                <w:szCs w:val="14"/>
                <w:color w:val="0000FF"/>
              </w:rPr>
            </w:pPr>
            <w:hyperlink r:id="rId284">
              <w:r>
                <w:rPr>
                  <w:rFonts w:ascii="Arial" w:cs="Arial" w:eastAsia="Arial" w:hAnsi="Arial"/>
                  <w:sz w:val="14"/>
                  <w:szCs w:val="14"/>
                  <w:color w:val="0000FF"/>
                </w:rPr>
                <w:t>3 (Reg. No. 333-86478) filed with the SEC on April 18, 2002).</w:t>
              </w:r>
            </w:hyperlink>
          </w:p>
        </w:tc>
        <w:tc>
          <w:tcPr>
            <w:tcW w:w="140" w:type="dxa"/>
            <w:vAlign w:val="bottom"/>
            <w:gridSpan w:val="7"/>
          </w:tcPr>
          <w:p>
            <w:pPr>
              <w:spacing w:after="0"/>
              <w:rPr>
                <w:sz w:val="11"/>
                <w:szCs w:val="11"/>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6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4.4</w:t>
            </w:r>
          </w:p>
        </w:tc>
        <w:tc>
          <w:tcPr>
            <w:tcW w:w="10100" w:type="dxa"/>
            <w:vAlign w:val="bottom"/>
            <w:gridSpan w:val="24"/>
          </w:tcPr>
          <w:p>
            <w:pPr>
              <w:spacing w:after="0"/>
              <w:rPr>
                <w:rFonts w:ascii="Arial" w:cs="Arial" w:eastAsia="Arial" w:hAnsi="Arial"/>
                <w:sz w:val="14"/>
                <w:szCs w:val="14"/>
                <w:color w:val="0000FF"/>
              </w:rPr>
            </w:pPr>
            <w:hyperlink r:id="rId285">
              <w:r>
                <w:rPr>
                  <w:rFonts w:ascii="Arial" w:cs="Arial" w:eastAsia="Arial" w:hAnsi="Arial"/>
                  <w:sz w:val="14"/>
                  <w:szCs w:val="14"/>
                  <w:color w:val="0000FF"/>
                </w:rPr>
                <w:t>Indenture between the Registrant and Deutsche Bank Trust Company Americas, as trustee, dated as of March 6, 2015 (incorporated by reference to Exhibit</w:t>
              </w:r>
            </w:hyperlink>
          </w:p>
        </w:tc>
      </w:tr>
      <w:tr>
        <w:trPr>
          <w:trHeight w:val="120"/>
        </w:trPr>
        <w:tc>
          <w:tcPr>
            <w:tcW w:w="1400" w:type="dxa"/>
            <w:vAlign w:val="bottom"/>
          </w:tcPr>
          <w:p>
            <w:pPr>
              <w:spacing w:after="0"/>
              <w:rPr>
                <w:sz w:val="10"/>
                <w:szCs w:val="10"/>
                <w:color w:val="auto"/>
              </w:rPr>
            </w:pPr>
          </w:p>
        </w:tc>
        <w:tc>
          <w:tcPr>
            <w:tcW w:w="9880" w:type="dxa"/>
            <w:vAlign w:val="bottom"/>
            <w:tcBorders>
              <w:top w:val="single" w:sz="8" w:color="0000FF"/>
            </w:tcBorders>
            <w:gridSpan w:val="13"/>
          </w:tcPr>
          <w:p>
            <w:pPr>
              <w:spacing w:after="0" w:line="120" w:lineRule="exact"/>
              <w:rPr>
                <w:rFonts w:ascii="Arial" w:cs="Arial" w:eastAsia="Arial" w:hAnsi="Arial"/>
                <w:sz w:val="13"/>
                <w:szCs w:val="13"/>
                <w:color w:val="0000FF"/>
              </w:rPr>
            </w:pPr>
            <w:hyperlink r:id="rId285">
              <w:r>
                <w:rPr>
                  <w:rFonts w:ascii="Arial" w:cs="Arial" w:eastAsia="Arial" w:hAnsi="Arial"/>
                  <w:sz w:val="13"/>
                  <w:szCs w:val="13"/>
                  <w:color w:val="0000FF"/>
                </w:rPr>
                <w:t>4.</w:t>
              </w:r>
              <w:r>
                <w:rPr>
                  <w:rFonts w:ascii="Arial" w:cs="Arial" w:eastAsia="Arial" w:hAnsi="Arial"/>
                  <w:sz w:val="13"/>
                  <w:szCs w:val="13"/>
                  <w:u w:val="single" w:color="auto"/>
                  <w:color w:val="0000FF"/>
                </w:rPr>
                <w:t>4</w:t>
              </w:r>
              <w:r>
                <w:rPr>
                  <w:rFonts w:ascii="Arial" w:cs="Arial" w:eastAsia="Arial" w:hAnsi="Arial"/>
                  <w:sz w:val="13"/>
                  <w:szCs w:val="13"/>
                  <w:color w:val="0000FF"/>
                </w:rPr>
                <w:t xml:space="preserve"> to the Registrant’s Annual Report on Form 10-K filed with the SEC on February 24, 2017).</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590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4.5</w:t>
            </w:r>
          </w:p>
        </w:tc>
        <w:tc>
          <w:tcPr>
            <w:tcW w:w="10100" w:type="dxa"/>
            <w:vAlign w:val="bottom"/>
            <w:gridSpan w:val="24"/>
          </w:tcPr>
          <w:p>
            <w:pPr>
              <w:spacing w:after="0"/>
              <w:rPr>
                <w:rFonts w:ascii="Arial" w:cs="Arial" w:eastAsia="Arial" w:hAnsi="Arial"/>
                <w:sz w:val="14"/>
                <w:szCs w:val="14"/>
                <w:color w:val="0000FF"/>
              </w:rPr>
            </w:pPr>
            <w:hyperlink r:id="rId286">
              <w:r>
                <w:rPr>
                  <w:rFonts w:ascii="Arial" w:cs="Arial" w:eastAsia="Arial" w:hAnsi="Arial"/>
                  <w:sz w:val="14"/>
                  <w:szCs w:val="14"/>
                  <w:color w:val="0000FF"/>
                </w:rPr>
                <w:t>Supplemental Indenture No. 1, dated February 13, 2019, between the Registrant and Deutsche Bank Trust Company Americas (incorporated by reference</w:t>
              </w:r>
            </w:hyperlink>
          </w:p>
        </w:tc>
      </w:tr>
      <w:tr>
        <w:trPr>
          <w:trHeight w:val="120"/>
        </w:trPr>
        <w:tc>
          <w:tcPr>
            <w:tcW w:w="1400" w:type="dxa"/>
            <w:vAlign w:val="bottom"/>
          </w:tcPr>
          <w:p>
            <w:pPr>
              <w:spacing w:after="0"/>
              <w:rPr>
                <w:sz w:val="10"/>
                <w:szCs w:val="10"/>
                <w:color w:val="auto"/>
              </w:rPr>
            </w:pPr>
          </w:p>
        </w:tc>
        <w:tc>
          <w:tcPr>
            <w:tcW w:w="9900" w:type="dxa"/>
            <w:vAlign w:val="bottom"/>
            <w:tcBorders>
              <w:top w:val="single" w:sz="8" w:color="0000FF"/>
            </w:tcBorders>
            <w:gridSpan w:val="14"/>
          </w:tcPr>
          <w:p>
            <w:pPr>
              <w:spacing w:after="0" w:line="120" w:lineRule="exact"/>
              <w:rPr>
                <w:rFonts w:ascii="Arial" w:cs="Arial" w:eastAsia="Arial" w:hAnsi="Arial"/>
                <w:sz w:val="13"/>
                <w:szCs w:val="13"/>
                <w:color w:val="0000FF"/>
              </w:rPr>
            </w:pPr>
            <w:hyperlink r:id="rId286">
              <w:r>
                <w:rPr>
                  <w:rFonts w:ascii="Arial" w:cs="Arial" w:eastAsia="Arial" w:hAnsi="Arial"/>
                  <w:sz w:val="13"/>
                  <w:szCs w:val="13"/>
                  <w:color w:val="0000FF"/>
                </w:rPr>
                <w:t>to Exhibit 4.2 to the Registrant's Current Report on Form 8-K filed with the SEC on February 13, 2019)</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440" w:type="dxa"/>
            <w:vAlign w:val="bottom"/>
            <w:gridSpan w:val="8"/>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4.6</w:t>
            </w:r>
          </w:p>
        </w:tc>
        <w:tc>
          <w:tcPr>
            <w:tcW w:w="10100" w:type="dxa"/>
            <w:vAlign w:val="bottom"/>
            <w:gridSpan w:val="24"/>
          </w:tcPr>
          <w:p>
            <w:pPr>
              <w:spacing w:after="0"/>
              <w:rPr>
                <w:rFonts w:ascii="Arial" w:cs="Arial" w:eastAsia="Arial" w:hAnsi="Arial"/>
                <w:sz w:val="14"/>
                <w:szCs w:val="14"/>
                <w:color w:val="0000FF"/>
              </w:rPr>
            </w:pPr>
            <w:hyperlink r:id="rId287">
              <w:r>
                <w:rPr>
                  <w:rFonts w:ascii="Arial" w:cs="Arial" w:eastAsia="Arial" w:hAnsi="Arial"/>
                  <w:sz w:val="14"/>
                  <w:szCs w:val="14"/>
                  <w:color w:val="0000FF"/>
                </w:rPr>
                <w:t>Supplemental Indenture No. 2, dated April 13, 2020, between Mondelēz International, Inc. and Deutsche Bank Trust Company Americas (incorporated by</w:t>
              </w:r>
            </w:hyperlink>
          </w:p>
        </w:tc>
      </w:tr>
      <w:tr>
        <w:trPr>
          <w:trHeight w:val="120"/>
        </w:trPr>
        <w:tc>
          <w:tcPr>
            <w:tcW w:w="1400" w:type="dxa"/>
            <w:vAlign w:val="bottom"/>
          </w:tcPr>
          <w:p>
            <w:pPr>
              <w:spacing w:after="0"/>
              <w:rPr>
                <w:sz w:val="10"/>
                <w:szCs w:val="10"/>
                <w:color w:val="auto"/>
              </w:rPr>
            </w:pPr>
          </w:p>
        </w:tc>
        <w:tc>
          <w:tcPr>
            <w:tcW w:w="9940" w:type="dxa"/>
            <w:vAlign w:val="bottom"/>
            <w:tcBorders>
              <w:top w:val="single" w:sz="8" w:color="0000FF"/>
            </w:tcBorders>
            <w:gridSpan w:val="16"/>
          </w:tcPr>
          <w:p>
            <w:pPr>
              <w:spacing w:after="0" w:line="120" w:lineRule="exact"/>
              <w:rPr>
                <w:rFonts w:ascii="Arial" w:cs="Arial" w:eastAsia="Arial" w:hAnsi="Arial"/>
                <w:sz w:val="13"/>
                <w:szCs w:val="13"/>
                <w:color w:val="0000FF"/>
              </w:rPr>
            </w:pPr>
            <w:hyperlink r:id="rId287">
              <w:r>
                <w:rPr>
                  <w:rFonts w:ascii="Arial" w:cs="Arial" w:eastAsia="Arial" w:hAnsi="Arial"/>
                  <w:sz w:val="13"/>
                  <w:szCs w:val="13"/>
                  <w:color w:val="0000FF"/>
                </w:rPr>
                <w:t>reference to Exhibit 4.3 to the Registrant's Current Report on Form 8-K filed with the SEC on April 13, 2020).</w:t>
              </w:r>
            </w:hyperlink>
          </w:p>
        </w:tc>
        <w:tc>
          <w:tcPr>
            <w:tcW w:w="160" w:type="dxa"/>
            <w:vAlign w:val="bottom"/>
            <w:gridSpan w:val="8"/>
          </w:tcPr>
          <w:p>
            <w:pPr>
              <w:spacing w:after="0"/>
              <w:rPr>
                <w:sz w:val="10"/>
                <w:szCs w:val="10"/>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840" w:type="dxa"/>
            <w:vAlign w:val="bottom"/>
            <w:gridSpan w:val="9"/>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73"/>
        </w:trPr>
        <w:tc>
          <w:tcPr>
            <w:tcW w:w="1400" w:type="dxa"/>
            <w:vAlign w:val="bottom"/>
          </w:tcPr>
          <w:p>
            <w:pPr>
              <w:jc w:val="right"/>
              <w:ind w:right="808"/>
              <w:spacing w:after="0"/>
              <w:rPr>
                <w:sz w:val="20"/>
                <w:szCs w:val="20"/>
                <w:color w:val="auto"/>
              </w:rPr>
            </w:pPr>
            <w:r>
              <w:rPr>
                <w:rFonts w:ascii="Arial" w:cs="Arial" w:eastAsia="Arial" w:hAnsi="Arial"/>
                <w:sz w:val="14"/>
                <w:szCs w:val="14"/>
                <w:color w:val="auto"/>
              </w:rPr>
              <w:t>4.7</w:t>
            </w:r>
          </w:p>
        </w:tc>
        <w:tc>
          <w:tcPr>
            <w:tcW w:w="10100" w:type="dxa"/>
            <w:vAlign w:val="bottom"/>
            <w:gridSpan w:val="24"/>
          </w:tcPr>
          <w:p>
            <w:pPr>
              <w:spacing w:after="0"/>
              <w:rPr>
                <w:rFonts w:ascii="Arial" w:cs="Arial" w:eastAsia="Arial" w:hAnsi="Arial"/>
                <w:sz w:val="14"/>
                <w:szCs w:val="14"/>
                <w:color w:val="0000FF"/>
              </w:rPr>
            </w:pPr>
            <w:hyperlink r:id="rId288">
              <w:r>
                <w:rPr>
                  <w:rFonts w:ascii="Arial" w:cs="Arial" w:eastAsia="Arial" w:hAnsi="Arial"/>
                  <w:sz w:val="14"/>
                  <w:szCs w:val="14"/>
                  <w:color w:val="0000FF"/>
                </w:rPr>
                <w:t>Indenture, by and between Mondelez International Holdings Netherlands B.V, the Registrant and Deutsche Bank Trust Company Americas, dated as of</w:t>
              </w:r>
            </w:hyperlink>
          </w:p>
        </w:tc>
      </w:tr>
      <w:tr>
        <w:trPr>
          <w:trHeight w:val="87"/>
        </w:trPr>
        <w:tc>
          <w:tcPr>
            <w:tcW w:w="1400" w:type="dxa"/>
            <w:vAlign w:val="bottom"/>
          </w:tcPr>
          <w:p>
            <w:pPr>
              <w:spacing w:after="0"/>
              <w:rPr>
                <w:sz w:val="7"/>
                <w:szCs w:val="7"/>
                <w:color w:val="auto"/>
              </w:rPr>
            </w:pPr>
          </w:p>
        </w:tc>
        <w:tc>
          <w:tcPr>
            <w:tcW w:w="5320" w:type="dxa"/>
            <w:vAlign w:val="bottom"/>
            <w:tcBorders>
              <w:top w:val="single" w:sz="8" w:color="0000FF"/>
            </w:tcBorders>
            <w:gridSpan w:val="4"/>
          </w:tcPr>
          <w:p>
            <w:pPr>
              <w:jc w:val="right"/>
              <w:ind w:right="960"/>
              <w:spacing w:after="0" w:line="88" w:lineRule="exact"/>
              <w:rPr>
                <w:rFonts w:ascii="Arial" w:cs="Arial" w:eastAsia="Arial" w:hAnsi="Arial"/>
                <w:sz w:val="10"/>
                <w:szCs w:val="10"/>
                <w:color w:val="auto"/>
              </w:rPr>
            </w:pPr>
            <w:hyperlink r:id="rId288">
              <w:r>
                <w:rPr>
                  <w:rFonts w:ascii="Arial" w:cs="Arial" w:eastAsia="Arial" w:hAnsi="Arial"/>
                  <w:sz w:val="10"/>
                  <w:szCs w:val="10"/>
                  <w:color w:val="auto"/>
                </w:rPr>
                <w:t>123</w:t>
              </w:r>
            </w:hyperlink>
          </w:p>
        </w:tc>
        <w:tc>
          <w:tcPr>
            <w:tcW w:w="8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340" w:type="dxa"/>
            <w:vAlign w:val="bottom"/>
            <w:tcBorders>
              <w:top w:val="single" w:sz="8" w:color="0000FF"/>
            </w:tcBorders>
          </w:tcPr>
          <w:p>
            <w:pPr>
              <w:spacing w:after="0"/>
              <w:rPr>
                <w:sz w:val="7"/>
                <w:szCs w:val="7"/>
                <w:color w:val="auto"/>
              </w:rPr>
            </w:pPr>
          </w:p>
        </w:tc>
        <w:tc>
          <w:tcPr>
            <w:tcW w:w="2100" w:type="dxa"/>
            <w:vAlign w:val="bottom"/>
            <w:tcBorders>
              <w:top w:val="single" w:sz="8" w:color="0000FF"/>
            </w:tcBorders>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2"/>
        </w:trPr>
        <w:tc>
          <w:tcPr>
            <w:tcW w:w="1400" w:type="dxa"/>
            <w:vAlign w:val="bottom"/>
          </w:tcPr>
          <w:p>
            <w:pPr>
              <w:spacing w:after="0"/>
              <w:rPr>
                <w:sz w:val="2"/>
                <w:szCs w:val="2"/>
                <w:color w:val="auto"/>
              </w:rPr>
            </w:pPr>
          </w:p>
        </w:tc>
        <w:tc>
          <w:tcPr>
            <w:tcW w:w="10100" w:type="dxa"/>
            <w:vAlign w:val="bottom"/>
            <w:gridSpan w:val="24"/>
          </w:tcPr>
          <w:p>
            <w:pPr>
              <w:spacing w:after="0" w:line="33" w:lineRule="exact"/>
              <w:rPr>
                <w:rFonts w:ascii="Arial" w:cs="Arial" w:eastAsia="Arial" w:hAnsi="Arial"/>
                <w:sz w:val="3"/>
                <w:szCs w:val="3"/>
                <w:color w:val="0000FF"/>
              </w:rPr>
            </w:pPr>
            <w:hyperlink r:id="rId288">
              <w:r>
                <w:rPr>
                  <w:rFonts w:ascii="Arial" w:cs="Arial" w:eastAsia="Arial" w:hAnsi="Arial"/>
                  <w:sz w:val="3"/>
                  <w:szCs w:val="3"/>
                  <w:color w:val="0000FF"/>
                </w:rPr>
                <w:t>October 28, 2016 (incorporated by reference to Exhibit 4.1 to the Registrant’s Current Report on Form 8-K filed with the SEC on October 28, 2016).</w:t>
              </w:r>
            </w:hyperlink>
          </w:p>
        </w:tc>
      </w:tr>
      <w:tr>
        <w:trPr>
          <w:trHeight w:val="282"/>
        </w:trPr>
        <w:tc>
          <w:tcPr>
            <w:tcW w:w="1400" w:type="dxa"/>
            <w:vAlign w:val="bottom"/>
            <w:tcBorders>
              <w:bottom w:val="single" w:sz="8" w:color="9A9A9A"/>
            </w:tcBorders>
          </w:tcPr>
          <w:p>
            <w:pPr>
              <w:spacing w:after="0"/>
              <w:rPr>
                <w:sz w:val="24"/>
                <w:szCs w:val="24"/>
                <w:color w:val="auto"/>
              </w:rPr>
            </w:pPr>
          </w:p>
        </w:tc>
        <w:tc>
          <w:tcPr>
            <w:tcW w:w="2600" w:type="dxa"/>
            <w:vAlign w:val="bottom"/>
            <w:tcBorders>
              <w:top w:val="single" w:sz="8" w:color="0000FF"/>
              <w:bottom w:val="single" w:sz="8" w:color="9A9A9A"/>
            </w:tcBorders>
          </w:tcPr>
          <w:p>
            <w:pPr>
              <w:spacing w:after="0"/>
              <w:rPr>
                <w:sz w:val="24"/>
                <w:szCs w:val="24"/>
                <w:color w:val="auto"/>
              </w:rPr>
            </w:pPr>
          </w:p>
        </w:tc>
        <w:tc>
          <w:tcPr>
            <w:tcW w:w="12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10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-313055</wp:posOffset>
            </wp:positionV>
            <wp:extent cx="224790"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00"/>
        </w:trPr>
        <w:tc>
          <w:tcPr>
            <w:tcW w:w="1120" w:type="dxa"/>
            <w:vAlign w:val="bottom"/>
            <w:tcBorders>
              <w:top w:val="single" w:sz="8" w:color="0000FF"/>
            </w:tcBorders>
          </w:tcPr>
          <w:p>
            <w:pPr>
              <w:jc w:val="center"/>
              <w:ind w:right="208"/>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24"/>
                <w:szCs w:val="24"/>
                <w:color w:val="auto"/>
              </w:rPr>
            </w:pPr>
          </w:p>
        </w:tc>
        <w:tc>
          <w:tcPr>
            <w:tcW w:w="10260" w:type="dxa"/>
            <w:vAlign w:val="bottom"/>
            <w:gridSpan w:val="35"/>
          </w:tcPr>
          <w:p>
            <w:pPr>
              <w:spacing w:after="0"/>
              <w:rPr>
                <w:rFonts w:ascii="Arial" w:cs="Arial" w:eastAsia="Arial" w:hAnsi="Arial"/>
                <w:sz w:val="14"/>
                <w:szCs w:val="14"/>
                <w:color w:val="0000FF"/>
              </w:rPr>
            </w:pPr>
            <w:hyperlink r:id="rId292">
              <w:r>
                <w:rPr>
                  <w:rFonts w:ascii="Arial" w:cs="Arial" w:eastAsia="Arial" w:hAnsi="Arial"/>
                  <w:sz w:val="14"/>
                  <w:szCs w:val="14"/>
                  <w:color w:val="0000FF"/>
                </w:rPr>
                <w:t>First Supplemental Indenture, dated as of September 19, 2019,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00" w:type="dxa"/>
            <w:vAlign w:val="bottom"/>
            <w:tcBorders>
              <w:top w:val="single" w:sz="8" w:color="0000FF"/>
              <w:bottom w:val="single" w:sz="8" w:color="0000FF"/>
            </w:tcBorders>
            <w:gridSpan w:val="17"/>
          </w:tcPr>
          <w:p>
            <w:pPr>
              <w:spacing w:after="0" w:line="120" w:lineRule="exact"/>
              <w:rPr>
                <w:rFonts w:ascii="Arial" w:cs="Arial" w:eastAsia="Arial" w:hAnsi="Arial"/>
                <w:sz w:val="13"/>
                <w:szCs w:val="13"/>
                <w:color w:val="0000FF"/>
              </w:rPr>
            </w:pPr>
            <w:hyperlink r:id="rId292">
              <w:r>
                <w:rPr>
                  <w:rFonts w:ascii="Arial" w:cs="Arial" w:eastAsia="Arial" w:hAnsi="Arial"/>
                  <w:sz w:val="13"/>
                  <w:szCs w:val="13"/>
                  <w:color w:val="0000FF"/>
                </w:rPr>
                <w:t>International, Inc., as guarantor, and Deutsche Bank Trust Company Americas, as trustee (incorporated by reference to Exhibit 4.2 to the Registrant’s</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80" w:type="dxa"/>
            <w:vAlign w:val="bottom"/>
            <w:tcBorders>
              <w:bottom w:val="single" w:sz="8" w:color="0000FF"/>
            </w:tcBorders>
            <w:gridSpan w:val="6"/>
          </w:tcPr>
          <w:p>
            <w:pPr>
              <w:spacing w:after="0" w:line="120" w:lineRule="exact"/>
              <w:rPr>
                <w:rFonts w:ascii="Arial" w:cs="Arial" w:eastAsia="Arial" w:hAnsi="Arial"/>
                <w:sz w:val="13"/>
                <w:szCs w:val="13"/>
                <w:color w:val="0000FF"/>
              </w:rPr>
            </w:pPr>
            <w:hyperlink r:id="rId292">
              <w:r>
                <w:rPr>
                  <w:rFonts w:ascii="Arial" w:cs="Arial" w:eastAsia="Arial" w:hAnsi="Arial"/>
                  <w:sz w:val="13"/>
                  <w:szCs w:val="13"/>
                  <w:color w:val="0000FF"/>
                </w:rPr>
                <w:t>Current Report on Form 8-K filed with the SEC on September 20, 2019).</w:t>
              </w:r>
            </w:hyperlink>
          </w:p>
        </w:tc>
        <w:tc>
          <w:tcPr>
            <w:tcW w:w="5460" w:type="dxa"/>
            <w:vAlign w:val="bottom"/>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3">
              <w:r>
                <w:rPr>
                  <w:rFonts w:ascii="Arial" w:cs="Arial" w:eastAsia="Arial" w:hAnsi="Arial"/>
                  <w:sz w:val="14"/>
                  <w:szCs w:val="14"/>
                  <w:color w:val="0000FF"/>
                </w:rPr>
                <w:t>Second Supplemental Indenture, dated as of October 2, 2019,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8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293">
              <w:r>
                <w:rPr>
                  <w:rFonts w:ascii="Arial" w:cs="Arial" w:eastAsia="Arial" w:hAnsi="Arial"/>
                  <w:sz w:val="13"/>
                  <w:szCs w:val="13"/>
                  <w:color w:val="0000FF"/>
                </w:rPr>
                <w:t>International, Inc., as guarantor, and Deutsche Bank Trust Company Americas, as trustee (incorporated by reference to Exhibit 4.2 to the Registrant’s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4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293">
              <w:r>
                <w:rPr>
                  <w:rFonts w:ascii="Arial" w:cs="Arial" w:eastAsia="Arial" w:hAnsi="Arial"/>
                  <w:sz w:val="13"/>
                  <w:szCs w:val="13"/>
                  <w:color w:val="0000FF"/>
                </w:rPr>
                <w:t>Current Report on Form 8-K filed with the SEC on October 2,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4.10</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4">
              <w:r>
                <w:rPr>
                  <w:rFonts w:ascii="Arial" w:cs="Arial" w:eastAsia="Arial" w:hAnsi="Arial"/>
                  <w:sz w:val="14"/>
                  <w:szCs w:val="14"/>
                  <w:color w:val="0000FF"/>
                </w:rPr>
                <w:t>Third Supplemental Indenture, dated as of September 22, 2020,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294">
              <w:r>
                <w:rPr>
                  <w:rFonts w:ascii="Arial" w:cs="Arial" w:eastAsia="Arial" w:hAnsi="Arial"/>
                  <w:sz w:val="13"/>
                  <w:szCs w:val="13"/>
                  <w:color w:val="0000FF"/>
                </w:rPr>
                <w:t>International, Inc., as guarantor, and Deutsche Bank Trust Company Americas, as trustee (incorporated by reference to Exhibit 4.2 to the Registrant’s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80" w:type="dxa"/>
            <w:vAlign w:val="bottom"/>
            <w:tcBorders>
              <w:top w:val="single" w:sz="8" w:color="0000FF"/>
              <w:bottom w:val="single" w:sz="8" w:color="0000FF"/>
            </w:tcBorders>
            <w:gridSpan w:val="6"/>
          </w:tcPr>
          <w:p>
            <w:pPr>
              <w:spacing w:after="0" w:line="120" w:lineRule="exact"/>
              <w:rPr>
                <w:rFonts w:ascii="Arial" w:cs="Arial" w:eastAsia="Arial" w:hAnsi="Arial"/>
                <w:sz w:val="13"/>
                <w:szCs w:val="13"/>
                <w:color w:val="0000FF"/>
              </w:rPr>
            </w:pPr>
            <w:hyperlink r:id="rId294">
              <w:r>
                <w:rPr>
                  <w:rFonts w:ascii="Arial" w:cs="Arial" w:eastAsia="Arial" w:hAnsi="Arial"/>
                  <w:sz w:val="13"/>
                  <w:szCs w:val="13"/>
                  <w:color w:val="0000FF"/>
                </w:rPr>
                <w:t>Current Report on Form 8-K filed with the SEC on September 24, 2020).</w:t>
              </w:r>
            </w:hyperlink>
          </w:p>
        </w:tc>
        <w:tc>
          <w:tcPr>
            <w:tcW w:w="54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120" w:type="dxa"/>
            <w:vAlign w:val="bottom"/>
          </w:tcPr>
          <w:p>
            <w:pPr>
              <w:jc w:val="center"/>
              <w:ind w:right="228"/>
              <w:spacing w:after="0"/>
              <w:rPr>
                <w:sz w:val="20"/>
                <w:szCs w:val="20"/>
                <w:color w:val="auto"/>
              </w:rPr>
            </w:pPr>
            <w:r>
              <w:rPr>
                <w:rFonts w:ascii="Arial" w:cs="Arial" w:eastAsia="Arial" w:hAnsi="Arial"/>
                <w:sz w:val="14"/>
                <w:szCs w:val="14"/>
                <w:color w:val="auto"/>
                <w:w w:val="95"/>
              </w:rPr>
              <w:t>4.11</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5">
              <w:r>
                <w:rPr>
                  <w:rFonts w:ascii="Arial" w:cs="Arial" w:eastAsia="Arial" w:hAnsi="Arial"/>
                  <w:sz w:val="14"/>
                  <w:szCs w:val="14"/>
                  <w:color w:val="0000FF"/>
                </w:rPr>
                <w:t>Fourth Supplemental Indenture, dated as of September 9, 2021,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20" w:type="dxa"/>
            <w:vAlign w:val="bottom"/>
            <w:tcBorders>
              <w:top w:val="single" w:sz="8" w:color="0000FF"/>
              <w:bottom w:val="single" w:sz="8" w:color="0000FF"/>
            </w:tcBorders>
            <w:gridSpan w:val="23"/>
          </w:tcPr>
          <w:p>
            <w:pPr>
              <w:spacing w:after="0" w:line="120" w:lineRule="exact"/>
              <w:rPr>
                <w:rFonts w:ascii="Arial" w:cs="Arial" w:eastAsia="Arial" w:hAnsi="Arial"/>
                <w:sz w:val="13"/>
                <w:szCs w:val="13"/>
                <w:color w:val="0000FF"/>
              </w:rPr>
            </w:pPr>
            <w:hyperlink r:id="rId295">
              <w:r>
                <w:rPr>
                  <w:rFonts w:ascii="Arial" w:cs="Arial" w:eastAsia="Arial" w:hAnsi="Arial"/>
                  <w:sz w:val="13"/>
                  <w:szCs w:val="13"/>
                  <w:color w:val="0000FF"/>
                </w:rPr>
                <w:t>International, Inc., as guarantor, and Deutsche Bank Trust Company Americas, as trustee, paying agent, transfer agent and registrar (incorporated by</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80" w:type="dxa"/>
            <w:vAlign w:val="bottom"/>
            <w:tcBorders>
              <w:bottom w:val="single" w:sz="8" w:color="0000FF"/>
            </w:tcBorders>
            <w:gridSpan w:val="12"/>
          </w:tcPr>
          <w:p>
            <w:pPr>
              <w:spacing w:after="0" w:line="120" w:lineRule="exact"/>
              <w:rPr>
                <w:rFonts w:ascii="Arial" w:cs="Arial" w:eastAsia="Arial" w:hAnsi="Arial"/>
                <w:sz w:val="13"/>
                <w:szCs w:val="13"/>
                <w:color w:val="0000FF"/>
              </w:rPr>
            </w:pPr>
            <w:hyperlink r:id="rId295">
              <w:r>
                <w:rPr>
                  <w:rFonts w:ascii="Arial" w:cs="Arial" w:eastAsia="Arial" w:hAnsi="Arial"/>
                  <w:sz w:val="13"/>
                  <w:szCs w:val="13"/>
                  <w:color w:val="0000FF"/>
                </w:rPr>
                <w:t>reference to Exhibit 4.2 to the Registrant's Current Report on Form 8-K filed with the SEC on September 13, 2021).</w:t>
              </w:r>
            </w:hyperlink>
          </w:p>
        </w:tc>
        <w:tc>
          <w:tcPr>
            <w:tcW w:w="282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4.12</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6">
              <w:r>
                <w:rPr>
                  <w:rFonts w:ascii="Arial" w:cs="Arial" w:eastAsia="Arial" w:hAnsi="Arial"/>
                  <w:sz w:val="14"/>
                  <w:szCs w:val="14"/>
                  <w:color w:val="0000FF"/>
                </w:rPr>
                <w:t>Fifth Supplemental Indenture, dated as of September 24, 2021,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20" w:type="dxa"/>
            <w:vAlign w:val="bottom"/>
            <w:tcBorders>
              <w:top w:val="single" w:sz="8" w:color="0000FF"/>
              <w:bottom w:val="single" w:sz="8" w:color="0000FF"/>
            </w:tcBorders>
            <w:gridSpan w:val="18"/>
          </w:tcPr>
          <w:p>
            <w:pPr>
              <w:spacing w:after="0" w:line="120" w:lineRule="exact"/>
              <w:rPr>
                <w:rFonts w:ascii="Arial" w:cs="Arial" w:eastAsia="Arial" w:hAnsi="Arial"/>
                <w:sz w:val="13"/>
                <w:szCs w:val="13"/>
                <w:color w:val="0000FF"/>
              </w:rPr>
            </w:pPr>
            <w:hyperlink r:id="rId296">
              <w:r>
                <w:rPr>
                  <w:rFonts w:ascii="Arial" w:cs="Arial" w:eastAsia="Arial" w:hAnsi="Arial"/>
                  <w:sz w:val="13"/>
                  <w:szCs w:val="13"/>
                  <w:color w:val="0000FF"/>
                </w:rPr>
                <w:t>International, Inc., as guarantor, and Deutsche Bank Trust Company Americas, as trustee (incorporated by reference to Exhibit 4.2 to the Registrant's</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80" w:type="dxa"/>
            <w:vAlign w:val="bottom"/>
            <w:tcBorders>
              <w:bottom w:val="single" w:sz="8" w:color="0000FF"/>
            </w:tcBorders>
            <w:gridSpan w:val="6"/>
          </w:tcPr>
          <w:p>
            <w:pPr>
              <w:spacing w:after="0" w:line="120" w:lineRule="exact"/>
              <w:rPr>
                <w:rFonts w:ascii="Arial" w:cs="Arial" w:eastAsia="Arial" w:hAnsi="Arial"/>
                <w:sz w:val="13"/>
                <w:szCs w:val="13"/>
                <w:color w:val="0000FF"/>
              </w:rPr>
            </w:pPr>
            <w:hyperlink r:id="rId296">
              <w:r>
                <w:rPr>
                  <w:rFonts w:ascii="Arial" w:cs="Arial" w:eastAsia="Arial" w:hAnsi="Arial"/>
                  <w:sz w:val="13"/>
                  <w:szCs w:val="13"/>
                  <w:color w:val="0000FF"/>
                </w:rPr>
                <w:t>Current Report on Form 8-K filed with the SEC on September 24, 2021).</w:t>
              </w:r>
            </w:hyperlink>
          </w:p>
        </w:tc>
        <w:tc>
          <w:tcPr>
            <w:tcW w:w="53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4.13</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7">
              <w:r>
                <w:rPr>
                  <w:rFonts w:ascii="Arial" w:cs="Arial" w:eastAsia="Arial" w:hAnsi="Arial"/>
                  <w:sz w:val="14"/>
                  <w:szCs w:val="14"/>
                  <w:color w:val="0000FF"/>
                </w:rPr>
                <w:t>Sixth Supplemental Indenture, dated as of September 15, 2022, by and among Mondelez International Holdings Netherlands B.V., as issuer, Mondelēz</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60" w:type="dxa"/>
            <w:vAlign w:val="bottom"/>
            <w:tcBorders>
              <w:top w:val="single" w:sz="8" w:color="0000FF"/>
            </w:tcBorders>
            <w:gridSpan w:val="30"/>
          </w:tcPr>
          <w:p>
            <w:pPr>
              <w:spacing w:after="0" w:line="120" w:lineRule="exact"/>
              <w:rPr>
                <w:rFonts w:ascii="Arial" w:cs="Arial" w:eastAsia="Arial" w:hAnsi="Arial"/>
                <w:sz w:val="13"/>
                <w:szCs w:val="13"/>
                <w:color w:val="0000FF"/>
              </w:rPr>
            </w:pPr>
            <w:hyperlink r:id="rId297">
              <w:r>
                <w:rPr>
                  <w:rFonts w:ascii="Arial" w:cs="Arial" w:eastAsia="Arial" w:hAnsi="Arial"/>
                  <w:sz w:val="13"/>
                  <w:szCs w:val="13"/>
                  <w:color w:val="0000FF"/>
                </w:rPr>
                <w:t>International, Inc., as guarantor, and Deutsche Bank Trust Company Americas, as trustee (incorporated by reference to Exhibit 4.2 to the Registrant’s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4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297">
              <w:r>
                <w:rPr>
                  <w:rFonts w:ascii="Arial" w:cs="Arial" w:eastAsia="Arial" w:hAnsi="Arial"/>
                  <w:sz w:val="13"/>
                  <w:szCs w:val="13"/>
                  <w:color w:val="0000FF"/>
                </w:rPr>
                <w:t>Current Report on Form 8-K filed with the SEC on September 16, 2022)</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10.1</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8">
              <w:r>
                <w:rPr>
                  <w:rFonts w:ascii="Arial" w:cs="Arial" w:eastAsia="Arial" w:hAnsi="Arial"/>
                  <w:sz w:val="14"/>
                  <w:szCs w:val="14"/>
                  <w:color w:val="0000FF"/>
                </w:rPr>
                <w:t>364-Day Revolving Credit Agreement, dated February 21, 2024, by and among Mondelēz International, Inc., the lenders named therein and JPMorgan</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40" w:type="dxa"/>
            <w:vAlign w:val="bottom"/>
            <w:tcBorders>
              <w:top w:val="single" w:sz="8" w:color="0000FF"/>
            </w:tcBorders>
            <w:gridSpan w:val="29"/>
          </w:tcPr>
          <w:p>
            <w:pPr>
              <w:spacing w:after="0" w:line="120" w:lineRule="exact"/>
              <w:rPr>
                <w:rFonts w:ascii="Arial" w:cs="Arial" w:eastAsia="Arial" w:hAnsi="Arial"/>
                <w:sz w:val="13"/>
                <w:szCs w:val="13"/>
                <w:color w:val="0000FF"/>
              </w:rPr>
            </w:pPr>
            <w:hyperlink r:id="rId298">
              <w:r>
                <w:rPr>
                  <w:rFonts w:ascii="Arial" w:cs="Arial" w:eastAsia="Arial" w:hAnsi="Arial"/>
                  <w:sz w:val="13"/>
                  <w:szCs w:val="13"/>
                  <w:color w:val="0000FF"/>
                </w:rPr>
                <w:t>Chase Bank, N.A., as Administrative Agent (incorporated by reference to Exhibit 10.1 to the Registrant’s Current Report on Form 8-K filed with the SEC on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6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298">
              <w:r>
                <w:rPr>
                  <w:rFonts w:ascii="Arial" w:cs="Arial" w:eastAsia="Arial" w:hAnsi="Arial"/>
                  <w:sz w:val="13"/>
                  <w:szCs w:val="13"/>
                  <w:color w:val="0000FF"/>
                </w:rPr>
                <w:t>February 21, 2024)</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299">
              <w:r>
                <w:rPr>
                  <w:rFonts w:ascii="Arial" w:cs="Arial" w:eastAsia="Arial" w:hAnsi="Arial"/>
                  <w:sz w:val="14"/>
                  <w:szCs w:val="14"/>
                  <w:color w:val="0000FF"/>
                </w:rPr>
                <w:t>Five-Year Revolving Credit Agreement, dated February 23, 2022, by and among Mondelēz International, Inc., the lenders named therein and JPMorgan</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20" w:type="dxa"/>
            <w:vAlign w:val="bottom"/>
            <w:tcBorders>
              <w:top w:val="single" w:sz="8" w:color="0000FF"/>
            </w:tcBorders>
            <w:gridSpan w:val="33"/>
          </w:tcPr>
          <w:p>
            <w:pPr>
              <w:spacing w:after="0" w:line="120" w:lineRule="exact"/>
              <w:rPr>
                <w:rFonts w:ascii="Arial" w:cs="Arial" w:eastAsia="Arial" w:hAnsi="Arial"/>
                <w:sz w:val="13"/>
                <w:szCs w:val="13"/>
                <w:color w:val="0000FF"/>
              </w:rPr>
            </w:pPr>
            <w:hyperlink r:id="rId299">
              <w:r>
                <w:rPr>
                  <w:rFonts w:ascii="Arial" w:cs="Arial" w:eastAsia="Arial" w:hAnsi="Arial"/>
                  <w:sz w:val="13"/>
                  <w:szCs w:val="13"/>
                  <w:color w:val="0000FF"/>
                </w:rPr>
                <w:t>Chase Bank, N.A., as Administrative Agent (incorporated by reference to Exhibit 10.2 to the Registrant’s Current Report on Form 8-K filed with the SEC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6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299">
              <w:r>
                <w:rPr>
                  <w:rFonts w:ascii="Arial" w:cs="Arial" w:eastAsia="Arial" w:hAnsi="Arial"/>
                  <w:sz w:val="13"/>
                  <w:szCs w:val="13"/>
                  <w:color w:val="0000FF"/>
                </w:rPr>
                <w:t>February 23, 2022).</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0">
              <w:r>
                <w:rPr>
                  <w:rFonts w:ascii="Arial" w:cs="Arial" w:eastAsia="Arial" w:hAnsi="Arial"/>
                  <w:sz w:val="14"/>
                  <w:szCs w:val="14"/>
                  <w:color w:val="0000FF"/>
                </w:rPr>
                <w:t>Revolving Credit Agreement, dated April 6, 2023, by and among Mondelēz International, Inc., the lenders named therein and Mizuho Bank, Ltd., as</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80" w:type="dxa"/>
            <w:vAlign w:val="bottom"/>
            <w:tcBorders>
              <w:top w:val="single" w:sz="8" w:color="0000FF"/>
            </w:tcBorders>
            <w:gridSpan w:val="16"/>
          </w:tcPr>
          <w:p>
            <w:pPr>
              <w:spacing w:after="0" w:line="120" w:lineRule="exact"/>
              <w:rPr>
                <w:rFonts w:ascii="Arial" w:cs="Arial" w:eastAsia="Arial" w:hAnsi="Arial"/>
                <w:sz w:val="13"/>
                <w:szCs w:val="13"/>
                <w:color w:val="0000FF"/>
              </w:rPr>
            </w:pPr>
            <w:hyperlink r:id="rId300">
              <w:r>
                <w:rPr>
                  <w:rFonts w:ascii="Arial" w:cs="Arial" w:eastAsia="Arial" w:hAnsi="Arial"/>
                  <w:sz w:val="13"/>
                  <w:szCs w:val="13"/>
                  <w:color w:val="0000FF"/>
                </w:rPr>
                <w:t>Administrative Agent (incorporated by reference to Exhibit 10.1 to the Registrant’s Current Report on Form 8-K filed with the SEC on April 6, 2023</w:t>
              </w:r>
              <w:r>
                <w:rPr>
                  <w:rFonts w:ascii="Arial" w:cs="Arial" w:eastAsia="Arial" w:hAnsi="Arial"/>
                  <w:sz w:val="13"/>
                  <w:szCs w:val="13"/>
                  <w:color w:val="000000"/>
                </w:rPr>
                <w:t>).</w:t>
              </w:r>
            </w:hyperlink>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1">
              <w:r>
                <w:rPr>
                  <w:rFonts w:ascii="Arial" w:cs="Arial" w:eastAsia="Arial" w:hAnsi="Arial"/>
                  <w:sz w:val="14"/>
                  <w:szCs w:val="14"/>
                  <w:color w:val="0000FF"/>
                </w:rPr>
                <w:t>Tax Sharing and Indemnity Agreement, by and between the Registrant and Kraft Foods Group, Inc., dated as of September 27, 2012 (incorporated by</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100" w:type="dxa"/>
            <w:vAlign w:val="bottom"/>
            <w:tcBorders>
              <w:top w:val="single" w:sz="8" w:color="0000FF"/>
              <w:bottom w:val="single" w:sz="8" w:color="0000FF"/>
            </w:tcBorders>
            <w:gridSpan w:val="11"/>
          </w:tcPr>
          <w:p>
            <w:pPr>
              <w:spacing w:after="0" w:line="120" w:lineRule="exact"/>
              <w:rPr>
                <w:rFonts w:ascii="Arial" w:cs="Arial" w:eastAsia="Arial" w:hAnsi="Arial"/>
                <w:sz w:val="13"/>
                <w:szCs w:val="13"/>
                <w:color w:val="0000FF"/>
              </w:rPr>
            </w:pPr>
            <w:hyperlink r:id="rId301">
              <w:r>
                <w:rPr>
                  <w:rFonts w:ascii="Arial" w:cs="Arial" w:eastAsia="Arial" w:hAnsi="Arial"/>
                  <w:sz w:val="13"/>
                  <w:szCs w:val="13"/>
                  <w:color w:val="0000FF"/>
                </w:rPr>
                <w:t>reference to Exhibit 10.1 to the Registrant’s Current Report on Form 8-K filed with the SEC on October 1, 2012).</w:t>
              </w:r>
            </w:hyperlink>
          </w:p>
        </w:tc>
        <w:tc>
          <w:tcPr>
            <w:tcW w:w="302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2">
              <w:r>
                <w:rPr>
                  <w:rFonts w:ascii="Arial" w:cs="Arial" w:eastAsia="Arial" w:hAnsi="Arial"/>
                  <w:sz w:val="14"/>
                  <w:szCs w:val="14"/>
                  <w:color w:val="0000FF"/>
                </w:rPr>
                <w:t>Mondelēz International, Inc. Amended and Restated 2005 Performance Incentive Plan, amended and restated as of February 3, 2017 (incorporated by</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302">
              <w:r>
                <w:rPr>
                  <w:rFonts w:ascii="Arial" w:cs="Arial" w:eastAsia="Arial" w:hAnsi="Arial"/>
                  <w:sz w:val="13"/>
                  <w:szCs w:val="13"/>
                  <w:color w:val="0000FF"/>
                </w:rPr>
                <w:t>reference to Exhibit 10.2 to the Registrant’s Quarterly Report on Form 10-Q filed with the SEC on May 3, 2017).</w:t>
              </w:r>
              <w:r>
                <w:rPr>
                  <w:rFonts w:ascii="Arial" w:cs="Arial" w:eastAsia="Arial" w:hAnsi="Arial"/>
                  <w:sz w:val="13"/>
                  <w:szCs w:val="13"/>
                  <w:color w:val="000000"/>
                </w:rPr>
                <w:t>+</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6"/>
                <w:szCs w:val="16"/>
                <w:color w:val="auto"/>
              </w:rPr>
            </w:pPr>
          </w:p>
        </w:tc>
        <w:tc>
          <w:tcPr>
            <w:tcW w:w="9960" w:type="dxa"/>
            <w:vAlign w:val="bottom"/>
            <w:tcBorders>
              <w:bottom w:val="single" w:sz="8" w:color="0000FF"/>
            </w:tcBorders>
            <w:gridSpan w:val="20"/>
          </w:tcPr>
          <w:p>
            <w:pPr>
              <w:spacing w:after="0"/>
              <w:rPr>
                <w:rFonts w:ascii="Arial" w:cs="Arial" w:eastAsia="Arial" w:hAnsi="Arial"/>
                <w:sz w:val="14"/>
                <w:szCs w:val="14"/>
                <w:color w:val="0000FF"/>
              </w:rPr>
            </w:pPr>
            <w:hyperlink r:id="rId303">
              <w:r>
                <w:rPr>
                  <w:rFonts w:ascii="Arial" w:cs="Arial" w:eastAsia="Arial" w:hAnsi="Arial"/>
                  <w:sz w:val="14"/>
                  <w:szCs w:val="14"/>
                  <w:color w:val="0000FF"/>
                </w:rPr>
                <w:t>First Amendment of the Mondelēz International, Inc. Amended and Restated 2005 Performance Incentive Plan (incorporated by reference to Exhibit 10.1 to</w:t>
              </w:r>
            </w:hyperlink>
          </w:p>
        </w:tc>
        <w:tc>
          <w:tcPr>
            <w:tcW w:w="300" w:type="dxa"/>
            <w:vAlign w:val="bottom"/>
            <w:gridSpan w:val="15"/>
          </w:tcPr>
          <w:p>
            <w:pPr>
              <w:spacing w:after="0"/>
              <w:rPr>
                <w:sz w:val="16"/>
                <w:szCs w:val="16"/>
                <w:color w:val="auto"/>
              </w:rPr>
            </w:pPr>
          </w:p>
        </w:tc>
      </w:tr>
      <w:tr>
        <w:trPr>
          <w:trHeight w:val="100"/>
        </w:trPr>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80" w:type="dxa"/>
            <w:vAlign w:val="bottom"/>
            <w:gridSpan w:val="10"/>
          </w:tcPr>
          <w:p>
            <w:pPr>
              <w:spacing w:after="0" w:line="100" w:lineRule="exact"/>
              <w:rPr>
                <w:rFonts w:ascii="Arial" w:cs="Arial" w:eastAsia="Arial" w:hAnsi="Arial"/>
                <w:sz w:val="11"/>
                <w:szCs w:val="11"/>
                <w:color w:val="0000FF"/>
              </w:rPr>
            </w:pPr>
            <w:hyperlink r:id="rId303">
              <w:r>
                <w:rPr>
                  <w:rFonts w:ascii="Arial" w:cs="Arial" w:eastAsia="Arial" w:hAnsi="Arial"/>
                  <w:sz w:val="11"/>
                  <w:szCs w:val="11"/>
                  <w:color w:val="0000FF"/>
                </w:rPr>
                <w:t>the Registrant’s Quarterly Report on Form 10-Q filed with the SEC on July 30, 2024).</w:t>
              </w:r>
              <w:r>
                <w:rPr>
                  <w:rFonts w:ascii="Arial" w:cs="Arial" w:eastAsia="Arial" w:hAnsi="Arial"/>
                  <w:sz w:val="11"/>
                  <w:szCs w:val="11"/>
                  <w:color w:val="000000"/>
                </w:rPr>
                <w:t>+</w:t>
              </w:r>
            </w:hyperlink>
          </w:p>
        </w:tc>
        <w:tc>
          <w:tcPr>
            <w:tcW w:w="2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gridSpan w:val="8"/>
          </w:tcPr>
          <w:p>
            <w:pPr>
              <w:spacing w:after="0"/>
              <w:rPr>
                <w:sz w:val="8"/>
                <w:szCs w:val="8"/>
                <w:color w:val="auto"/>
              </w:rPr>
            </w:pPr>
          </w:p>
        </w:tc>
        <w:tc>
          <w:tcPr>
            <w:tcW w:w="60" w:type="dxa"/>
            <w:vAlign w:val="bottom"/>
            <w:gridSpan w:val="3"/>
          </w:tcPr>
          <w:p>
            <w:pPr>
              <w:spacing w:after="0"/>
              <w:rPr>
                <w:sz w:val="8"/>
                <w:szCs w:val="8"/>
                <w:color w:val="auto"/>
              </w:rPr>
            </w:pPr>
          </w:p>
        </w:tc>
        <w:tc>
          <w:tcPr>
            <w:tcW w:w="120" w:type="dxa"/>
            <w:vAlign w:val="bottom"/>
            <w:gridSpan w:val="6"/>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10.7</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4">
              <w:r>
                <w:rPr>
                  <w:rFonts w:ascii="Arial" w:cs="Arial" w:eastAsia="Arial" w:hAnsi="Arial"/>
                  <w:sz w:val="14"/>
                  <w:szCs w:val="14"/>
                  <w:color w:val="0000FF"/>
                </w:rPr>
                <w:t>Mondelēz International, Inc. 2024 Performance Incentive Plan (incorporated by reference to Exhibit 4.3 to the Registrant’s Registration Statement on Form</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6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304">
              <w:r>
                <w:rPr>
                  <w:rFonts w:ascii="Arial" w:cs="Arial" w:eastAsia="Arial" w:hAnsi="Arial"/>
                  <w:sz w:val="13"/>
                  <w:szCs w:val="13"/>
                  <w:color w:val="0000FF"/>
                </w:rPr>
                <w:t>S-8 filed with the SEC on May 22, 2024)</w:t>
              </w:r>
              <w:r>
                <w:rPr>
                  <w:rFonts w:ascii="Arial" w:cs="Arial" w:eastAsia="Arial" w:hAnsi="Arial"/>
                  <w:sz w:val="13"/>
                  <w:szCs w:val="13"/>
                  <w:color w:val="000000"/>
                </w:rPr>
                <w:t>.+</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5">
              <w:r>
                <w:rPr>
                  <w:rFonts w:ascii="Arial" w:cs="Arial" w:eastAsia="Arial" w:hAnsi="Arial"/>
                  <w:sz w:val="14"/>
                  <w:szCs w:val="14"/>
                  <w:color w:val="0000FF"/>
                </w:rPr>
                <w:t>2022 Form of Mondelēz International, Inc. Amended and Restated 2005 Performance Incentive Plan Non-Qualified Global Stock Option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20" w:lineRule="exact"/>
              <w:rPr>
                <w:rFonts w:ascii="Arial" w:cs="Arial" w:eastAsia="Arial" w:hAnsi="Arial"/>
                <w:sz w:val="13"/>
                <w:szCs w:val="13"/>
                <w:color w:val="0000FF"/>
              </w:rPr>
            </w:pPr>
            <w:hyperlink r:id="rId305">
              <w:r>
                <w:rPr>
                  <w:rFonts w:ascii="Arial" w:cs="Arial" w:eastAsia="Arial" w:hAnsi="Arial"/>
                  <w:sz w:val="13"/>
                  <w:szCs w:val="13"/>
                  <w:color w:val="0000FF"/>
                </w:rPr>
                <w:t>(incorporated by reference to Exhibit 10.4 to the Registrant’s Quarterly Report on Form 10-Q filed with the SEC on April 26, 2022).</w:t>
              </w:r>
              <w:r>
                <w:rPr>
                  <w:rFonts w:ascii="Arial" w:cs="Arial" w:eastAsia="Arial" w:hAnsi="Arial"/>
                  <w:sz w:val="13"/>
                  <w:szCs w:val="13"/>
                  <w:color w:val="000000"/>
                </w:rPr>
                <w:t>+</w:t>
              </w:r>
            </w:hyperlink>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10.9</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6">
              <w:r>
                <w:rPr>
                  <w:rFonts w:ascii="Arial" w:cs="Arial" w:eastAsia="Arial" w:hAnsi="Arial"/>
                  <w:sz w:val="14"/>
                  <w:szCs w:val="14"/>
                  <w:color w:val="0000FF"/>
                </w:rPr>
                <w:t>2023 Form of Amended and Restated 2005 Performance Incentive Plan Non-Qualified Global Stock Options Agreement (incorporated by reference to</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4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306">
              <w:r>
                <w:rPr>
                  <w:rFonts w:ascii="Arial" w:cs="Arial" w:eastAsia="Arial" w:hAnsi="Arial"/>
                  <w:sz w:val="13"/>
                  <w:szCs w:val="13"/>
                  <w:color w:val="0000FF"/>
                </w:rPr>
                <w:t>Exhibit 10.2 to the Registrant’s Quarterly Report on Form 10-Q filed with the SEC on April 27, 2023).</w:t>
              </w:r>
              <w:r>
                <w:rPr>
                  <w:rFonts w:ascii="Arial" w:cs="Arial" w:eastAsia="Arial" w:hAnsi="Arial"/>
                  <w:sz w:val="13"/>
                  <w:szCs w:val="13"/>
                  <w:color w:val="000000"/>
                </w:rPr>
                <w:t>+</w:t>
              </w:r>
            </w:hyperlink>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10.10</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7">
              <w:r>
                <w:rPr>
                  <w:rFonts w:ascii="Arial" w:cs="Arial" w:eastAsia="Arial" w:hAnsi="Arial"/>
                  <w:sz w:val="14"/>
                  <w:szCs w:val="14"/>
                  <w:color w:val="0000FF"/>
                </w:rPr>
                <w:t>2024 Form of Mondelēz International, Inc. Amended and Restated 2005 Performance Incentive Plan Non-Qualified Global Stock Options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80" w:type="dxa"/>
            <w:vAlign w:val="bottom"/>
            <w:tcBorders>
              <w:top w:val="single" w:sz="8" w:color="0000FF"/>
            </w:tcBorders>
            <w:gridSpan w:val="31"/>
          </w:tcPr>
          <w:p>
            <w:pPr>
              <w:spacing w:after="0" w:line="120" w:lineRule="exact"/>
              <w:rPr>
                <w:rFonts w:ascii="Arial" w:cs="Arial" w:eastAsia="Arial" w:hAnsi="Arial"/>
                <w:sz w:val="13"/>
                <w:szCs w:val="13"/>
                <w:color w:val="0000FF"/>
              </w:rPr>
            </w:pPr>
            <w:hyperlink r:id="rId307">
              <w:r>
                <w:rPr>
                  <w:rFonts w:ascii="Arial" w:cs="Arial" w:eastAsia="Arial" w:hAnsi="Arial"/>
                  <w:sz w:val="13"/>
                  <w:szCs w:val="13"/>
                  <w:color w:val="0000FF"/>
                </w:rPr>
                <w:t>(incorporated by reference to Exhibit 10.2 to the Registrant’s Quarterly Report on Form 10-Q filed with the SEC on April 30, 202</w:t>
              </w:r>
            </w:hyperlink>
            <w:r>
              <w:rPr>
                <w:rFonts w:ascii="Arial" w:cs="Arial" w:eastAsia="Arial" w:hAnsi="Arial"/>
                <w:sz w:val="13"/>
                <w:szCs w:val="13"/>
                <w:color w:val="0000FF"/>
              </w:rPr>
              <w:t>4)</w:t>
            </w:r>
            <w:hyperlink r:id="rId307">
              <w:r>
                <w:rPr>
                  <w:rFonts w:ascii="Arial" w:cs="Arial" w:eastAsia="Arial" w:hAnsi="Arial"/>
                  <w:sz w:val="13"/>
                  <w:szCs w:val="13"/>
                  <w:u w:val="single" w:color="auto"/>
                  <w:color w:val="0000FF"/>
                </w:rPr>
                <w:t>.</w:t>
              </w:r>
            </w:hyperlink>
            <w:r>
              <w:rPr>
                <w:rFonts w:ascii="Arial" w:cs="Arial" w:eastAsia="Arial" w:hAnsi="Arial"/>
                <w:sz w:val="13"/>
                <w:szCs w:val="13"/>
                <w:color w:val="000000"/>
              </w:rPr>
              <w:t>+</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28"/>
              <w:spacing w:after="0"/>
              <w:rPr>
                <w:sz w:val="20"/>
                <w:szCs w:val="20"/>
                <w:color w:val="auto"/>
              </w:rPr>
            </w:pPr>
            <w:r>
              <w:rPr>
                <w:rFonts w:ascii="Arial" w:cs="Arial" w:eastAsia="Arial" w:hAnsi="Arial"/>
                <w:sz w:val="14"/>
                <w:szCs w:val="14"/>
                <w:color w:val="auto"/>
                <w:w w:val="96"/>
              </w:rPr>
              <w:t>10.11</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8">
              <w:r>
                <w:rPr>
                  <w:rFonts w:ascii="Arial" w:cs="Arial" w:eastAsia="Arial" w:hAnsi="Arial"/>
                  <w:sz w:val="14"/>
                  <w:szCs w:val="14"/>
                  <w:color w:val="0000FF"/>
                </w:rPr>
                <w:t>2024 Form of Mondelēz International, Inc. 2024 Performance Incentive Plan Non-Qualified Global Stock Options Agreement (incorporated by reference to</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40" w:type="dxa"/>
            <w:vAlign w:val="bottom"/>
            <w:tcBorders>
              <w:top w:val="single" w:sz="8" w:color="0000FF"/>
            </w:tcBorders>
            <w:gridSpan w:val="34"/>
          </w:tcPr>
          <w:p>
            <w:pPr>
              <w:spacing w:after="0" w:line="120" w:lineRule="exact"/>
              <w:rPr>
                <w:rFonts w:ascii="Arial" w:cs="Arial" w:eastAsia="Arial" w:hAnsi="Arial"/>
                <w:sz w:val="13"/>
                <w:szCs w:val="13"/>
                <w:color w:val="0000FF"/>
              </w:rPr>
            </w:pPr>
            <w:hyperlink r:id="rId308">
              <w:r>
                <w:rPr>
                  <w:rFonts w:ascii="Arial" w:cs="Arial" w:eastAsia="Arial" w:hAnsi="Arial"/>
                  <w:sz w:val="13"/>
                  <w:szCs w:val="13"/>
                  <w:color w:val="0000FF"/>
                </w:rPr>
                <w:t>Exhibit 10.3 to the Registrant’s Quarterly Report on Form 10-Q filed with the SEC on July 30, 2024).</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98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10.12</w:t>
            </w:r>
          </w:p>
        </w:tc>
        <w:tc>
          <w:tcPr>
            <w:tcW w:w="260" w:type="dxa"/>
            <w:vAlign w:val="bottom"/>
          </w:tcPr>
          <w:p>
            <w:pPr>
              <w:spacing w:after="0"/>
              <w:rPr>
                <w:sz w:val="15"/>
                <w:szCs w:val="15"/>
                <w:color w:val="auto"/>
              </w:rPr>
            </w:pPr>
          </w:p>
        </w:tc>
        <w:tc>
          <w:tcPr>
            <w:tcW w:w="10260" w:type="dxa"/>
            <w:vAlign w:val="bottom"/>
            <w:gridSpan w:val="35"/>
          </w:tcPr>
          <w:p>
            <w:pPr>
              <w:spacing w:after="0"/>
              <w:rPr>
                <w:rFonts w:ascii="Arial" w:cs="Arial" w:eastAsia="Arial" w:hAnsi="Arial"/>
                <w:sz w:val="14"/>
                <w:szCs w:val="14"/>
                <w:color w:val="0000FF"/>
              </w:rPr>
            </w:pPr>
            <w:hyperlink r:id="rId309">
              <w:r>
                <w:rPr>
                  <w:rFonts w:ascii="Arial" w:cs="Arial" w:eastAsia="Arial" w:hAnsi="Arial"/>
                  <w:sz w:val="14"/>
                  <w:szCs w:val="14"/>
                  <w:color w:val="0000FF"/>
                </w:rPr>
                <w:t>2024 Form of Mondelēz International, Inc. 2024 Performance Incentive Plan Non-Qualified Global Stock Options Agreement (California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0" w:type="dxa"/>
            <w:vAlign w:val="bottom"/>
            <w:tcBorders>
              <w:top w:val="single" w:sz="8" w:color="0000FF"/>
            </w:tcBorders>
            <w:gridSpan w:val="32"/>
          </w:tcPr>
          <w:p>
            <w:pPr>
              <w:spacing w:after="0" w:line="120" w:lineRule="exact"/>
              <w:rPr>
                <w:rFonts w:ascii="Arial" w:cs="Arial" w:eastAsia="Arial" w:hAnsi="Arial"/>
                <w:sz w:val="13"/>
                <w:szCs w:val="13"/>
                <w:color w:val="0000FF"/>
              </w:rPr>
            </w:pPr>
            <w:hyperlink r:id="rId309">
              <w:r>
                <w:rPr>
                  <w:rFonts w:ascii="Arial" w:cs="Arial" w:eastAsia="Arial" w:hAnsi="Arial"/>
                  <w:sz w:val="13"/>
                  <w:szCs w:val="13"/>
                  <w:color w:val="0000FF"/>
                </w:rPr>
                <w:t>(incorporated by reference to Exhibit 10.4 to the Registrant’s Quarterly Report on Form 10-Q filed with the SEC on July 30, 2024).</w:t>
              </w:r>
            </w:hyperlink>
            <w:r>
              <w:rPr>
                <w:rFonts w:ascii="Arial" w:cs="Arial" w:eastAsia="Arial" w:hAnsi="Arial"/>
                <w:sz w:val="13"/>
                <w:szCs w:val="13"/>
                <w:color w:val="000000"/>
              </w:rPr>
              <w:t>+</w:t>
            </w:r>
          </w:p>
        </w:tc>
        <w:tc>
          <w:tcPr>
            <w:tcW w:w="60" w:type="dxa"/>
            <w:vAlign w:val="bottom"/>
            <w:gridSpan w:val="3"/>
          </w:tcPr>
          <w:p>
            <w:pPr>
              <w:spacing w:after="0"/>
              <w:rPr>
                <w:sz w:val="10"/>
                <w:szCs w:val="10"/>
                <w:color w:val="auto"/>
              </w:rPr>
            </w:pPr>
          </w:p>
        </w:tc>
      </w:tr>
      <w:tr>
        <w:trPr>
          <w:trHeight w:val="46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tcBorders>
              <w:top w:val="single" w:sz="8" w:color="0000FF"/>
            </w:tcBorders>
            <w:gridSpan w:val="5"/>
          </w:tcPr>
          <w:p>
            <w:pPr>
              <w:ind w:left="4140"/>
              <w:spacing w:after="0"/>
              <w:rPr>
                <w:sz w:val="20"/>
                <w:szCs w:val="20"/>
                <w:color w:val="auto"/>
              </w:rPr>
            </w:pPr>
            <w:r>
              <w:rPr>
                <w:rFonts w:ascii="Arial" w:cs="Arial" w:eastAsia="Arial" w:hAnsi="Arial"/>
                <w:sz w:val="14"/>
                <w:szCs w:val="14"/>
                <w:color w:val="auto"/>
              </w:rPr>
              <w:t>124</w:t>
            </w: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-306070</wp:posOffset>
            </wp:positionV>
            <wp:extent cx="224790" cy="149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00"/>
        </w:trPr>
        <w:tc>
          <w:tcPr>
            <w:tcW w:w="1120" w:type="dxa"/>
            <w:vAlign w:val="bottom"/>
            <w:tcBorders>
              <w:top w:val="single" w:sz="8" w:color="0000FF"/>
            </w:tcBorders>
          </w:tcPr>
          <w:p>
            <w:pPr>
              <w:jc w:val="right"/>
              <w:ind w:right="448"/>
              <w:spacing w:after="0"/>
              <w:rPr>
                <w:sz w:val="20"/>
                <w:szCs w:val="20"/>
                <w:color w:val="auto"/>
              </w:rPr>
            </w:pPr>
            <w:r>
              <w:rPr>
                <w:rFonts w:ascii="Arial" w:cs="Arial" w:eastAsia="Arial" w:hAnsi="Arial"/>
                <w:sz w:val="14"/>
                <w:szCs w:val="14"/>
                <w:color w:val="auto"/>
              </w:rPr>
              <w:t>10.13</w:t>
            </w:r>
          </w:p>
        </w:tc>
        <w:tc>
          <w:tcPr>
            <w:tcW w:w="26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4"/>
                <w:szCs w:val="14"/>
                <w:color w:val="0000FF"/>
              </w:rPr>
            </w:pPr>
            <w:hyperlink r:id="rId313">
              <w:r>
                <w:rPr>
                  <w:rFonts w:ascii="Arial" w:cs="Arial" w:eastAsia="Arial" w:hAnsi="Arial"/>
                  <w:sz w:val="14"/>
                  <w:szCs w:val="14"/>
                  <w:color w:val="0000FF"/>
                </w:rPr>
                <w:t>2022 Form of Mondelēz International, Inc. Amended and Restated 2005 Performance Incentive Plan Global Long-Term Incentive Grant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20" w:lineRule="exact"/>
              <w:rPr>
                <w:rFonts w:ascii="Arial" w:cs="Arial" w:eastAsia="Arial" w:hAnsi="Arial"/>
                <w:sz w:val="13"/>
                <w:szCs w:val="13"/>
                <w:color w:val="0000FF"/>
              </w:rPr>
            </w:pPr>
            <w:hyperlink r:id="rId313">
              <w:r>
                <w:rPr>
                  <w:rFonts w:ascii="Arial" w:cs="Arial" w:eastAsia="Arial" w:hAnsi="Arial"/>
                  <w:sz w:val="13"/>
                  <w:szCs w:val="13"/>
                  <w:color w:val="0000FF"/>
                </w:rPr>
                <w:t>(incorporated by reference to Exhibit 10.5 to the Registrant’s Quarterly Report on Form 10-Q filed with the SEC on April 26, 2022).</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10.14</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14">
              <w:r>
                <w:rPr>
                  <w:rFonts w:ascii="Arial" w:cs="Arial" w:eastAsia="Arial" w:hAnsi="Arial"/>
                  <w:sz w:val="14"/>
                  <w:szCs w:val="14"/>
                  <w:color w:val="0000FF"/>
                </w:rPr>
                <w:t>2023 Form of Amended and Restated 2005 Performance Incentive Plan Global Long-Term Incentive Grant Agreement (incorporated by reference to Exhibit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6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314">
              <w:r>
                <w:rPr>
                  <w:rFonts w:ascii="Arial" w:cs="Arial" w:eastAsia="Arial" w:hAnsi="Arial"/>
                  <w:sz w:val="13"/>
                  <w:szCs w:val="13"/>
                  <w:color w:val="0000FF"/>
                </w:rPr>
                <w:t>10.</w:t>
              </w:r>
              <w:r>
                <w:rPr>
                  <w:rFonts w:ascii="Arial" w:cs="Arial" w:eastAsia="Arial" w:hAnsi="Arial"/>
                  <w:sz w:val="13"/>
                  <w:szCs w:val="13"/>
                  <w:u w:val="single" w:color="auto"/>
                  <w:color w:val="0000FF"/>
                </w:rPr>
                <w:t>3</w:t>
              </w:r>
              <w:r>
                <w:rPr>
                  <w:rFonts w:ascii="Arial" w:cs="Arial" w:eastAsia="Arial" w:hAnsi="Arial"/>
                  <w:sz w:val="13"/>
                  <w:szCs w:val="13"/>
                  <w:color w:val="0000FF"/>
                </w:rPr>
                <w:t xml:space="preserve"> to the Registrant’s Quarterly Report on Form 10-Q filed with the SEC on April 27, 2023).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10.15</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r>
              <w:rPr>
                <w:rFonts w:ascii="Arial" w:cs="Arial" w:eastAsia="Arial" w:hAnsi="Arial"/>
                <w:sz w:val="14"/>
                <w:szCs w:val="14"/>
                <w:color w:val="0000FF"/>
              </w:rPr>
              <w:t xml:space="preserve">2024 </w:t>
            </w:r>
            <w:hyperlink r:id="rId315">
              <w:r>
                <w:rPr>
                  <w:rFonts w:ascii="Arial" w:cs="Arial" w:eastAsia="Arial" w:hAnsi="Arial"/>
                  <w:sz w:val="14"/>
                  <w:szCs w:val="14"/>
                  <w:color w:val="0000FF"/>
                </w:rPr>
                <w:t>Form of Mondelēz International, Inc. Amended and Restated 2005 Performance Incentive Plan Global Long-Term Incentive Grant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20" w:lineRule="exact"/>
              <w:rPr>
                <w:rFonts w:ascii="Arial" w:cs="Arial" w:eastAsia="Arial" w:hAnsi="Arial"/>
                <w:sz w:val="13"/>
                <w:szCs w:val="13"/>
                <w:color w:val="0000FF"/>
              </w:rPr>
            </w:pPr>
            <w:hyperlink r:id="rId315">
              <w:r>
                <w:rPr>
                  <w:rFonts w:ascii="Arial" w:cs="Arial" w:eastAsia="Arial" w:hAnsi="Arial"/>
                  <w:sz w:val="13"/>
                  <w:szCs w:val="13"/>
                  <w:color w:val="0000FF"/>
                </w:rPr>
                <w:t>(incorporated by reference to Exhibit 10.3 to the Registrant’s Quarterly Report on Form 10-Q filed with the SEC on April 30, 2024</w:t>
              </w:r>
            </w:hyperlink>
            <w:r>
              <w:rPr>
                <w:rFonts w:ascii="Arial" w:cs="Arial" w:eastAsia="Arial" w:hAnsi="Arial"/>
                <w:sz w:val="13"/>
                <w:szCs w:val="13"/>
                <w:color w:val="00000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10.16</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16">
              <w:r>
                <w:rPr>
                  <w:rFonts w:ascii="Arial" w:cs="Arial" w:eastAsia="Arial" w:hAnsi="Arial"/>
                  <w:sz w:val="14"/>
                  <w:szCs w:val="14"/>
                  <w:color w:val="0000FF"/>
                </w:rPr>
                <w:t>2024 Form of Mondelēz International, Inc. 2024 Performance Incentive Plan Global Long-Term Incentive Grant Agreement (incorporated by reference to</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140" w:type="dxa"/>
            <w:vAlign w:val="bottom"/>
            <w:tcBorders>
              <w:top w:val="single" w:sz="8" w:color="0000FF"/>
            </w:tcBorders>
            <w:gridSpan w:val="12"/>
          </w:tcPr>
          <w:p>
            <w:pPr>
              <w:spacing w:after="0" w:line="120" w:lineRule="exact"/>
              <w:rPr>
                <w:rFonts w:ascii="Arial" w:cs="Arial" w:eastAsia="Arial" w:hAnsi="Arial"/>
                <w:sz w:val="13"/>
                <w:szCs w:val="13"/>
                <w:color w:val="0000FF"/>
              </w:rPr>
            </w:pPr>
            <w:hyperlink r:id="rId316">
              <w:r>
                <w:rPr>
                  <w:rFonts w:ascii="Arial" w:cs="Arial" w:eastAsia="Arial" w:hAnsi="Arial"/>
                  <w:sz w:val="13"/>
                  <w:szCs w:val="13"/>
                  <w:color w:val="0000FF"/>
                </w:rPr>
                <w:t>Exhibit 10.5 to the Registrant’s Quarterly Report on Form 10-Q filed with the SEC on July 30, 2024).</w:t>
              </w:r>
              <w:r>
                <w:rPr>
                  <w:rFonts w:ascii="Arial" w:cs="Arial" w:eastAsia="Arial" w:hAnsi="Arial"/>
                  <w:sz w:val="13"/>
                  <w:szCs w:val="13"/>
                  <w:color w:val="000000"/>
                </w:rPr>
                <w:t>+</w:t>
              </w:r>
            </w:hyperlink>
          </w:p>
        </w:tc>
        <w:tc>
          <w:tcPr>
            <w:tcW w:w="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10.17</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17">
              <w:r>
                <w:rPr>
                  <w:rFonts w:ascii="Arial" w:cs="Arial" w:eastAsia="Arial" w:hAnsi="Arial"/>
                  <w:sz w:val="14"/>
                  <w:szCs w:val="14"/>
                  <w:color w:val="0000FF"/>
                </w:rPr>
                <w:t>2024 Form of Mondelēz International, Inc. 2024 Performance Incentive Plan Global Long-Term Incentive Grant Agreement. (California Agreement)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4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317">
              <w:r>
                <w:rPr>
                  <w:rFonts w:ascii="Arial" w:cs="Arial" w:eastAsia="Arial" w:hAnsi="Arial"/>
                  <w:sz w:val="13"/>
                  <w:szCs w:val="13"/>
                  <w:color w:val="0000FF"/>
                </w:rPr>
                <w:t>(incorporated by reference to Exhibit 10.6 to the Registrant’s Quarterly Report on Form 10-Q filed with the SEC on July 30, 2024).</w:t>
              </w:r>
            </w:hyperlink>
            <w:r>
              <w:rPr>
                <w:rFonts w:ascii="Arial" w:cs="Arial" w:eastAsia="Arial" w:hAnsi="Arial"/>
                <w:sz w:val="13"/>
                <w:szCs w:val="13"/>
                <w:color w:val="00000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10.18</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18">
              <w:r>
                <w:rPr>
                  <w:rFonts w:ascii="Arial" w:cs="Arial" w:eastAsia="Arial" w:hAnsi="Arial"/>
                  <w:sz w:val="14"/>
                  <w:szCs w:val="14"/>
                  <w:color w:val="0000FF"/>
                </w:rPr>
                <w:t>2022 Form of Mondelēz International, Inc. Amended and Restated 2005 Performance Incentive Plan Global Deferred Stock Unit Agreement (incorporated</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6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318">
              <w:r>
                <w:rPr>
                  <w:rFonts w:ascii="Arial" w:cs="Arial" w:eastAsia="Arial" w:hAnsi="Arial"/>
                  <w:sz w:val="13"/>
                  <w:szCs w:val="13"/>
                  <w:color w:val="0000FF"/>
                </w:rPr>
                <w:t>by reference to Exhibit 10.6 to the Registrant’s Quarterly Report on Form 10-Q filed with the SEC on April 26, 2022).</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10.19</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19">
              <w:r>
                <w:rPr>
                  <w:rFonts w:ascii="Arial" w:cs="Arial" w:eastAsia="Arial" w:hAnsi="Arial"/>
                  <w:sz w:val="14"/>
                  <w:szCs w:val="14"/>
                  <w:color w:val="0000FF"/>
                </w:rPr>
                <w:t>2023 Form of Amended and Restated 2005 Performance Incentive Plan Global Deferred Stock Unit Agreement (incorporated by reference to Exhibit 10.4 to</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4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319">
              <w:r>
                <w:rPr>
                  <w:rFonts w:ascii="Arial" w:cs="Arial" w:eastAsia="Arial" w:hAnsi="Arial"/>
                  <w:sz w:val="13"/>
                  <w:szCs w:val="13"/>
                  <w:color w:val="0000FF"/>
                </w:rPr>
                <w:t>the Registrant’s Quarterly Report on Form 10-Q filed with the SEC on April 27, 2023).</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10.20</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0">
              <w:r>
                <w:rPr>
                  <w:rFonts w:ascii="Arial" w:cs="Arial" w:eastAsia="Arial" w:hAnsi="Arial"/>
                  <w:sz w:val="14"/>
                  <w:szCs w:val="14"/>
                  <w:color w:val="0000FF"/>
                </w:rPr>
                <w:t>2024 Form of Mondelēz International, Inc. Amended and Restated 2005 Performance Incentive Plan Global Deferred Stock Unit Agreement (incorporated</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20" w:type="dxa"/>
            <w:vAlign w:val="bottom"/>
            <w:tcBorders>
              <w:top w:val="single" w:sz="8" w:color="0000FF"/>
            </w:tcBorders>
            <w:gridSpan w:val="18"/>
          </w:tcPr>
          <w:p>
            <w:pPr>
              <w:spacing w:after="0" w:line="120" w:lineRule="exact"/>
              <w:rPr>
                <w:rFonts w:ascii="Arial" w:cs="Arial" w:eastAsia="Arial" w:hAnsi="Arial"/>
                <w:sz w:val="13"/>
                <w:szCs w:val="13"/>
                <w:color w:val="0000FF"/>
              </w:rPr>
            </w:pPr>
            <w:hyperlink r:id="rId320">
              <w:r>
                <w:rPr>
                  <w:rFonts w:ascii="Arial" w:cs="Arial" w:eastAsia="Arial" w:hAnsi="Arial"/>
                  <w:sz w:val="13"/>
                  <w:szCs w:val="13"/>
                  <w:color w:val="0000FF"/>
                </w:rPr>
                <w:t>by reference to Exhibit 10.4 to the Registrant’s Quarterly Report on Form 10-Q filed with the SEC on April 30, 2024.</w:t>
              </w:r>
              <w:r>
                <w:rPr>
                  <w:rFonts w:ascii="Arial" w:cs="Arial" w:eastAsia="Arial" w:hAnsi="Arial"/>
                  <w:sz w:val="13"/>
                  <w:szCs w:val="13"/>
                  <w:color w:val="000000"/>
                </w:rPr>
                <w:t>+</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10.21</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1">
              <w:r>
                <w:rPr>
                  <w:rFonts w:ascii="Arial" w:cs="Arial" w:eastAsia="Arial" w:hAnsi="Arial"/>
                  <w:sz w:val="14"/>
                  <w:szCs w:val="14"/>
                  <w:color w:val="0000FF"/>
                </w:rPr>
                <w:t>2024 Form of Mondelēz International, Inc. 2024 Performance Incentive Plan Global Deferred Stock Unit Agreement (incorporated by reference to Exhibit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00" w:type="dxa"/>
            <w:vAlign w:val="bottom"/>
            <w:tcBorders>
              <w:top w:val="single" w:sz="8" w:color="0000FF"/>
            </w:tcBorders>
            <w:gridSpan w:val="27"/>
          </w:tcPr>
          <w:p>
            <w:pPr>
              <w:spacing w:after="0" w:line="120" w:lineRule="exact"/>
              <w:rPr>
                <w:rFonts w:ascii="Arial" w:cs="Arial" w:eastAsia="Arial" w:hAnsi="Arial"/>
                <w:sz w:val="13"/>
                <w:szCs w:val="13"/>
                <w:color w:val="0000FF"/>
              </w:rPr>
            </w:pPr>
            <w:hyperlink r:id="rId321">
              <w:r>
                <w:rPr>
                  <w:rFonts w:ascii="Arial" w:cs="Arial" w:eastAsia="Arial" w:hAnsi="Arial"/>
                  <w:sz w:val="13"/>
                  <w:szCs w:val="13"/>
                  <w:color w:val="0000FF"/>
                </w:rPr>
                <w:t>10.</w:t>
              </w:r>
              <w:r>
                <w:rPr>
                  <w:rFonts w:ascii="Arial" w:cs="Arial" w:eastAsia="Arial" w:hAnsi="Arial"/>
                  <w:sz w:val="13"/>
                  <w:szCs w:val="13"/>
                  <w:u w:val="single" w:color="auto"/>
                  <w:color w:val="0000FF"/>
                </w:rPr>
                <w:t>7</w:t>
              </w:r>
              <w:r>
                <w:rPr>
                  <w:rFonts w:ascii="Arial" w:cs="Arial" w:eastAsia="Arial" w:hAnsi="Arial"/>
                  <w:sz w:val="13"/>
                  <w:szCs w:val="13"/>
                  <w:color w:val="0000FF"/>
                </w:rPr>
                <w:t xml:space="preserve"> to the Registrant’s Quarterly Report on Form 10-Q filed with the SEC on July 30, 2024).</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10.22</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2">
              <w:r>
                <w:rPr>
                  <w:rFonts w:ascii="Arial" w:cs="Arial" w:eastAsia="Arial" w:hAnsi="Arial"/>
                  <w:sz w:val="14"/>
                  <w:szCs w:val="14"/>
                  <w:color w:val="0000FF"/>
                </w:rPr>
                <w:t>2024 Form of Mondelēz International, Inc. 2024 Performance Incentive Plan Global Deferred Stock Unit Agreement (California Agreement) (incorporated by</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80" w:type="dxa"/>
            <w:vAlign w:val="bottom"/>
            <w:tcBorders>
              <w:top w:val="single" w:sz="8" w:color="0000FF"/>
            </w:tcBorders>
            <w:gridSpan w:val="16"/>
          </w:tcPr>
          <w:p>
            <w:pPr>
              <w:spacing w:after="0" w:line="120" w:lineRule="exact"/>
              <w:rPr>
                <w:rFonts w:ascii="Arial" w:cs="Arial" w:eastAsia="Arial" w:hAnsi="Arial"/>
                <w:sz w:val="13"/>
                <w:szCs w:val="13"/>
                <w:color w:val="0000FF"/>
              </w:rPr>
            </w:pPr>
            <w:hyperlink r:id="rId322">
              <w:r>
                <w:rPr>
                  <w:rFonts w:ascii="Arial" w:cs="Arial" w:eastAsia="Arial" w:hAnsi="Arial"/>
                  <w:sz w:val="13"/>
                  <w:szCs w:val="13"/>
                  <w:color w:val="0000FF"/>
                </w:rPr>
                <w:t>reference to Exhibit 10.8 to the Registrant’s Quarterly Report on Form 10-Q filed with the SEC on July 30, 2024)</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10.23</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3">
              <w:r>
                <w:rPr>
                  <w:rFonts w:ascii="Arial" w:cs="Arial" w:eastAsia="Arial" w:hAnsi="Arial"/>
                  <w:sz w:val="14"/>
                  <w:szCs w:val="14"/>
                  <w:color w:val="0000FF"/>
                </w:rPr>
                <w:t>Mondelēz Global LLC Supplemental Benefits Plan I, effective as of September 1, 2012 (incorporated by reference to Exhibit 10.10 to the Registrant’s</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323">
              <w:r>
                <w:rPr>
                  <w:rFonts w:ascii="Arial" w:cs="Arial" w:eastAsia="Arial" w:hAnsi="Arial"/>
                  <w:sz w:val="13"/>
                  <w:szCs w:val="13"/>
                  <w:color w:val="0000FF"/>
                </w:rPr>
                <w:t>Annual Report on Form 10-K filed with the SEC on February 25, 2013).</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10.24</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4">
              <w:r>
                <w:rPr>
                  <w:rFonts w:ascii="Arial" w:cs="Arial" w:eastAsia="Arial" w:hAnsi="Arial"/>
                  <w:sz w:val="14"/>
                  <w:szCs w:val="14"/>
                  <w:color w:val="0000FF"/>
                </w:rPr>
                <w:t>First Amendment to the Mondelēz Global LLC Supplemental Benefits Plan I, dated December 20, 2016 (incorporated by reference to Exhibit 10.26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00" w:type="dxa"/>
            <w:vAlign w:val="bottom"/>
            <w:tcBorders>
              <w:top w:val="single" w:sz="8" w:color="0000FF"/>
            </w:tcBorders>
            <w:gridSpan w:val="17"/>
          </w:tcPr>
          <w:p>
            <w:pPr>
              <w:spacing w:after="0" w:line="120" w:lineRule="exact"/>
              <w:rPr>
                <w:rFonts w:ascii="Arial" w:cs="Arial" w:eastAsia="Arial" w:hAnsi="Arial"/>
                <w:sz w:val="13"/>
                <w:szCs w:val="13"/>
                <w:color w:val="0000FF"/>
              </w:rPr>
            </w:pPr>
            <w:hyperlink r:id="rId324">
              <w:r>
                <w:rPr>
                  <w:rFonts w:ascii="Arial" w:cs="Arial" w:eastAsia="Arial" w:hAnsi="Arial"/>
                  <w:sz w:val="13"/>
                  <w:szCs w:val="13"/>
                  <w:color w:val="0000FF"/>
                </w:rPr>
                <w:t>Registrant's Annual Report on Form 10-K filed with the SEC on February 8, 2019).</w:t>
              </w:r>
              <w:r>
                <w:rPr>
                  <w:rFonts w:ascii="Arial" w:cs="Arial" w:eastAsia="Arial" w:hAnsi="Arial"/>
                  <w:sz w:val="13"/>
                  <w:szCs w:val="13"/>
                  <w:color w:val="000000"/>
                </w:rPr>
                <w:t>+</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10.25</w:t>
            </w:r>
          </w:p>
        </w:tc>
        <w:tc>
          <w:tcPr>
            <w:tcW w:w="26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Arial" w:cs="Arial" w:eastAsia="Arial" w:hAnsi="Arial"/>
                <w:sz w:val="14"/>
                <w:szCs w:val="14"/>
                <w:color w:val="0000FF"/>
              </w:rPr>
              <w:t>Second Amendment to Mondelēz Global LLC Supplemental Benefits Plan I, effective December 1, 2024.</w:t>
            </w:r>
            <w:r>
              <w:rPr>
                <w:rFonts w:ascii="Arial" w:cs="Arial" w:eastAsia="Arial" w:hAnsi="Arial"/>
                <w:sz w:val="14"/>
                <w:szCs w:val="14"/>
                <w:color w:val="000000"/>
              </w:rPr>
              <w:t>+</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10.26</w:t>
            </w:r>
          </w:p>
        </w:tc>
        <w:tc>
          <w:tcPr>
            <w:tcW w:w="260" w:type="dxa"/>
            <w:vAlign w:val="bottom"/>
          </w:tcPr>
          <w:p>
            <w:pPr>
              <w:spacing w:after="0"/>
              <w:rPr>
                <w:sz w:val="14"/>
                <w:szCs w:val="14"/>
                <w:color w:val="auto"/>
              </w:rPr>
            </w:pPr>
          </w:p>
        </w:tc>
        <w:tc>
          <w:tcPr>
            <w:tcW w:w="10160" w:type="dxa"/>
            <w:vAlign w:val="bottom"/>
            <w:gridSpan w:val="30"/>
          </w:tcPr>
          <w:p>
            <w:pPr>
              <w:spacing w:after="0"/>
              <w:rPr>
                <w:rFonts w:ascii="Arial" w:cs="Arial" w:eastAsia="Arial" w:hAnsi="Arial"/>
                <w:sz w:val="14"/>
                <w:szCs w:val="14"/>
                <w:color w:val="0000FF"/>
              </w:rPr>
            </w:pPr>
            <w:hyperlink r:id="rId325">
              <w:r>
                <w:rPr>
                  <w:rFonts w:ascii="Arial" w:cs="Arial" w:eastAsia="Arial" w:hAnsi="Arial"/>
                  <w:sz w:val="14"/>
                  <w:szCs w:val="14"/>
                  <w:color w:val="0000FF"/>
                </w:rPr>
                <w:t>Mondelēz Global LLC Supplemental Benefits Plan II, effective as of September 1, 2012 (incorporated by reference to Exhibit 10.11 to the Registrant’s</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8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325">
              <w:r>
                <w:rPr>
                  <w:rFonts w:ascii="Arial" w:cs="Arial" w:eastAsia="Arial" w:hAnsi="Arial"/>
                  <w:sz w:val="13"/>
                  <w:szCs w:val="13"/>
                  <w:color w:val="0000FF"/>
                </w:rPr>
                <w:t>Annual Report on Form 10-K filed with the SEC on February 25, 2013).</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10.27</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6">
              <w:r>
                <w:rPr>
                  <w:rFonts w:ascii="Arial" w:cs="Arial" w:eastAsia="Arial" w:hAnsi="Arial"/>
                  <w:sz w:val="14"/>
                  <w:szCs w:val="14"/>
                  <w:color w:val="0000FF"/>
                </w:rPr>
                <w:t>First Amendment to the Mondelēz Global LLC Supplemental Benefits Plan II, dated December 20, 2016 (incorporated by reference to Exhibit 10.28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00" w:type="dxa"/>
            <w:vAlign w:val="bottom"/>
            <w:tcBorders>
              <w:top w:val="single" w:sz="8" w:color="0000FF"/>
            </w:tcBorders>
            <w:gridSpan w:val="27"/>
          </w:tcPr>
          <w:p>
            <w:pPr>
              <w:spacing w:after="0" w:line="120" w:lineRule="exact"/>
              <w:rPr>
                <w:rFonts w:ascii="Arial" w:cs="Arial" w:eastAsia="Arial" w:hAnsi="Arial"/>
                <w:sz w:val="13"/>
                <w:szCs w:val="13"/>
                <w:color w:val="0000FF"/>
              </w:rPr>
            </w:pPr>
            <w:hyperlink r:id="rId326">
              <w:r>
                <w:rPr>
                  <w:rFonts w:ascii="Arial" w:cs="Arial" w:eastAsia="Arial" w:hAnsi="Arial"/>
                  <w:sz w:val="13"/>
                  <w:szCs w:val="13"/>
                  <w:color w:val="0000FF"/>
                </w:rPr>
                <w:t>Registrant's Annual Report on Form 10-K filed with the SEC on February 8, 2019).</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10.28</w:t>
            </w:r>
          </w:p>
        </w:tc>
        <w:tc>
          <w:tcPr>
            <w:tcW w:w="26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Arial" w:cs="Arial" w:eastAsia="Arial" w:hAnsi="Arial"/>
                <w:sz w:val="14"/>
                <w:szCs w:val="14"/>
                <w:color w:val="0000FF"/>
              </w:rPr>
              <w:t>Second Amendment to Mondelēz Global LLC Supplemental Benefits Plan II, effective December 1, 2024</w:t>
            </w:r>
            <w:r>
              <w:rPr>
                <w:rFonts w:ascii="Arial" w:cs="Arial" w:eastAsia="Arial" w:hAnsi="Arial"/>
                <w:sz w:val="14"/>
                <w:szCs w:val="14"/>
                <w:color w:val="000000"/>
              </w:rPr>
              <w:t>.+</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10.29</w:t>
            </w:r>
          </w:p>
        </w:tc>
        <w:tc>
          <w:tcPr>
            <w:tcW w:w="260" w:type="dxa"/>
            <w:vAlign w:val="bottom"/>
          </w:tcPr>
          <w:p>
            <w:pPr>
              <w:spacing w:after="0"/>
              <w:rPr>
                <w:sz w:val="14"/>
                <w:szCs w:val="14"/>
                <w:color w:val="auto"/>
              </w:rPr>
            </w:pPr>
          </w:p>
        </w:tc>
        <w:tc>
          <w:tcPr>
            <w:tcW w:w="10160" w:type="dxa"/>
            <w:vAlign w:val="bottom"/>
            <w:gridSpan w:val="30"/>
          </w:tcPr>
          <w:p>
            <w:pPr>
              <w:spacing w:after="0"/>
              <w:rPr>
                <w:rFonts w:ascii="Arial" w:cs="Arial" w:eastAsia="Arial" w:hAnsi="Arial"/>
                <w:sz w:val="14"/>
                <w:szCs w:val="14"/>
                <w:color w:val="0000FF"/>
              </w:rPr>
            </w:pPr>
            <w:hyperlink r:id="rId327">
              <w:r>
                <w:rPr>
                  <w:rFonts w:ascii="Arial" w:cs="Arial" w:eastAsia="Arial" w:hAnsi="Arial"/>
                  <w:sz w:val="14"/>
                  <w:szCs w:val="14"/>
                  <w:color w:val="0000FF"/>
                </w:rPr>
                <w:t>Form of Mondelēz Global LLC Amended and Restated Cash Enrollment Agreement (incorporated by reference to Exhibit 10.12 to the Registrant’s Annual</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40" w:type="dxa"/>
            <w:vAlign w:val="bottom"/>
            <w:tcBorders>
              <w:top w:val="single" w:sz="8" w:color="0000FF"/>
            </w:tcBorders>
            <w:gridSpan w:val="29"/>
          </w:tcPr>
          <w:p>
            <w:pPr>
              <w:spacing w:after="0" w:line="120" w:lineRule="exact"/>
              <w:rPr>
                <w:rFonts w:ascii="Arial" w:cs="Arial" w:eastAsia="Arial" w:hAnsi="Arial"/>
                <w:sz w:val="13"/>
                <w:szCs w:val="13"/>
                <w:color w:val="0000FF"/>
              </w:rPr>
            </w:pPr>
            <w:hyperlink r:id="rId327">
              <w:r>
                <w:rPr>
                  <w:rFonts w:ascii="Arial" w:cs="Arial" w:eastAsia="Arial" w:hAnsi="Arial"/>
                  <w:sz w:val="13"/>
                  <w:szCs w:val="13"/>
                  <w:color w:val="0000FF"/>
                </w:rPr>
                <w:t>Report on Form 10-K filed with the SEC on February 25, 2013).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10.30</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8">
              <w:r>
                <w:rPr>
                  <w:rFonts w:ascii="Arial" w:cs="Arial" w:eastAsia="Arial" w:hAnsi="Arial"/>
                  <w:sz w:val="14"/>
                  <w:szCs w:val="14"/>
                  <w:color w:val="0000FF"/>
                </w:rPr>
                <w:t>Form of Mondelēz Global LLC Amended and Restated Employee Grantor Trust Enrollment Agreement (incorporated by reference to Exhibit 10.13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20" w:type="dxa"/>
            <w:vAlign w:val="bottom"/>
            <w:tcBorders>
              <w:top w:val="single" w:sz="8" w:color="0000FF"/>
            </w:tcBorders>
            <w:gridSpan w:val="23"/>
          </w:tcPr>
          <w:p>
            <w:pPr>
              <w:spacing w:after="0" w:line="120" w:lineRule="exact"/>
              <w:rPr>
                <w:rFonts w:ascii="Arial" w:cs="Arial" w:eastAsia="Arial" w:hAnsi="Arial"/>
                <w:sz w:val="13"/>
                <w:szCs w:val="13"/>
                <w:color w:val="0000FF"/>
              </w:rPr>
            </w:pPr>
            <w:hyperlink r:id="rId328">
              <w:r>
                <w:rPr>
                  <w:rFonts w:ascii="Arial" w:cs="Arial" w:eastAsia="Arial" w:hAnsi="Arial"/>
                  <w:sz w:val="13"/>
                  <w:szCs w:val="13"/>
                  <w:color w:val="0000FF"/>
                </w:rPr>
                <w:t>Registrant’s Annual Report on Form 10-K filed with the SEC on February 25, 2013).</w:t>
              </w:r>
              <w:r>
                <w:rPr>
                  <w:rFonts w:ascii="Arial" w:cs="Arial" w:eastAsia="Arial" w:hAnsi="Arial"/>
                  <w:sz w:val="13"/>
                  <w:szCs w:val="13"/>
                  <w:color w:val="000000"/>
                </w:rPr>
                <w:t>+</w:t>
              </w:r>
            </w:hyperlink>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10.31</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29">
              <w:r>
                <w:rPr>
                  <w:rFonts w:ascii="Arial" w:cs="Arial" w:eastAsia="Arial" w:hAnsi="Arial"/>
                  <w:sz w:val="14"/>
                  <w:szCs w:val="14"/>
                  <w:color w:val="0000FF"/>
                </w:rPr>
                <w:t>Mondelēz International, Inc. Amended and Restated 2006 Stock Compensation Plan for Non-Employee Directors, amended and restated as of October 1,</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40" w:type="dxa"/>
            <w:vAlign w:val="bottom"/>
            <w:tcBorders>
              <w:top w:val="single" w:sz="8" w:color="0000FF"/>
            </w:tcBorders>
            <w:gridSpan w:val="29"/>
          </w:tcPr>
          <w:p>
            <w:pPr>
              <w:spacing w:after="0" w:line="120" w:lineRule="exact"/>
              <w:rPr>
                <w:rFonts w:ascii="Arial" w:cs="Arial" w:eastAsia="Arial" w:hAnsi="Arial"/>
                <w:sz w:val="13"/>
                <w:szCs w:val="13"/>
                <w:color w:val="0000FF"/>
              </w:rPr>
            </w:pPr>
            <w:hyperlink r:id="rId329">
              <w:r>
                <w:rPr>
                  <w:rFonts w:ascii="Arial" w:cs="Arial" w:eastAsia="Arial" w:hAnsi="Arial"/>
                  <w:sz w:val="13"/>
                  <w:szCs w:val="13"/>
                  <w:color w:val="0000FF"/>
                </w:rPr>
                <w:t>2012 (incorporated by reference to Exhibit 10.14 to the Registrant’s Annual Report on Form 10-K filed with the SEC on February 25, 2013).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3300" w:type="dxa"/>
            <w:vAlign w:val="bottom"/>
            <w:gridSpan w:val="11"/>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10.32</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30">
              <w:r>
                <w:rPr>
                  <w:rFonts w:ascii="Arial" w:cs="Arial" w:eastAsia="Arial" w:hAnsi="Arial"/>
                  <w:sz w:val="14"/>
                  <w:szCs w:val="14"/>
                  <w:color w:val="0000FF"/>
                </w:rPr>
                <w:t>Mondelēz International, Inc. 2001 Compensation Plan for Non-Employee Directors, amended as of December 31, 2008 and restated as of January 1, 2013</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20" w:type="dxa"/>
            <w:vAlign w:val="bottom"/>
            <w:tcBorders>
              <w:top w:val="single" w:sz="8" w:color="0000FF"/>
            </w:tcBorders>
            <w:gridSpan w:val="28"/>
          </w:tcPr>
          <w:p>
            <w:pPr>
              <w:spacing w:after="0" w:line="120" w:lineRule="exact"/>
              <w:rPr>
                <w:rFonts w:ascii="Arial" w:cs="Arial" w:eastAsia="Arial" w:hAnsi="Arial"/>
                <w:sz w:val="13"/>
                <w:szCs w:val="13"/>
                <w:color w:val="0000FF"/>
              </w:rPr>
            </w:pPr>
            <w:hyperlink r:id="rId330">
              <w:r>
                <w:rPr>
                  <w:rFonts w:ascii="Arial" w:cs="Arial" w:eastAsia="Arial" w:hAnsi="Arial"/>
                  <w:sz w:val="13"/>
                  <w:szCs w:val="13"/>
                  <w:color w:val="0000FF"/>
                </w:rPr>
                <w:t>(incorporated by reference to Exhibit 10.15 to the Registrant’s Annual Report on Form 10-K filed with the SEC on February 25, 2013).</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3300" w:type="dxa"/>
            <w:vAlign w:val="bottom"/>
            <w:gridSpan w:val="11"/>
            <w:shd w:val="clear" w:color="auto" w:fill="0000FF"/>
          </w:tcPr>
          <w:p>
            <w:pPr>
              <w:spacing w:after="0" w:line="20" w:lineRule="exact"/>
              <w:rPr>
                <w:sz w:val="1"/>
                <w:szCs w:val="1"/>
                <w:color w:val="auto"/>
              </w:rPr>
            </w:pPr>
          </w:p>
        </w:tc>
        <w:tc>
          <w:tcPr>
            <w:tcW w:w="1720" w:type="dxa"/>
            <w:vAlign w:val="bottom"/>
            <w:gridSpan w:val="16"/>
          </w:tcPr>
          <w:p>
            <w:pPr>
              <w:spacing w:after="0" w:line="20" w:lineRule="exact"/>
              <w:rPr>
                <w:sz w:val="1"/>
                <w:szCs w:val="1"/>
                <w:color w:val="auto"/>
              </w:rPr>
            </w:pPr>
          </w:p>
        </w:tc>
      </w:tr>
      <w:tr>
        <w:trPr>
          <w:trHeight w:val="173"/>
        </w:trPr>
        <w:tc>
          <w:tcPr>
            <w:tcW w:w="1120" w:type="dxa"/>
            <w:vAlign w:val="bottom"/>
          </w:tcPr>
          <w:p>
            <w:pPr>
              <w:jc w:val="right"/>
              <w:ind w:right="448"/>
              <w:spacing w:after="0"/>
              <w:rPr>
                <w:sz w:val="20"/>
                <w:szCs w:val="20"/>
                <w:color w:val="auto"/>
              </w:rPr>
            </w:pPr>
            <w:r>
              <w:rPr>
                <w:rFonts w:ascii="Arial" w:cs="Arial" w:eastAsia="Arial" w:hAnsi="Arial"/>
                <w:sz w:val="14"/>
                <w:szCs w:val="14"/>
                <w:color w:val="auto"/>
              </w:rPr>
              <w:t>10.33</w:t>
            </w:r>
          </w:p>
        </w:tc>
        <w:tc>
          <w:tcPr>
            <w:tcW w:w="260" w:type="dxa"/>
            <w:vAlign w:val="bottom"/>
          </w:tcPr>
          <w:p>
            <w:pPr>
              <w:spacing w:after="0"/>
              <w:rPr>
                <w:sz w:val="15"/>
                <w:szCs w:val="15"/>
                <w:color w:val="auto"/>
              </w:rPr>
            </w:pPr>
          </w:p>
        </w:tc>
        <w:tc>
          <w:tcPr>
            <w:tcW w:w="10160" w:type="dxa"/>
            <w:vAlign w:val="bottom"/>
            <w:gridSpan w:val="30"/>
          </w:tcPr>
          <w:p>
            <w:pPr>
              <w:spacing w:after="0"/>
              <w:rPr>
                <w:rFonts w:ascii="Arial" w:cs="Arial" w:eastAsia="Arial" w:hAnsi="Arial"/>
                <w:sz w:val="14"/>
                <w:szCs w:val="14"/>
                <w:color w:val="0000FF"/>
              </w:rPr>
            </w:pPr>
            <w:hyperlink r:id="rId331">
              <w:r>
                <w:rPr>
                  <w:rFonts w:ascii="Arial" w:cs="Arial" w:eastAsia="Arial" w:hAnsi="Arial"/>
                  <w:sz w:val="14"/>
                  <w:szCs w:val="14"/>
                  <w:color w:val="0000FF"/>
                </w:rPr>
                <w:t>Mondelēz International, Inc. Change in Control Plan for Key Executives, amended May 21, 2024 (incorporated by reference to Exhibit 10.9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331">
              <w:r>
                <w:rPr>
                  <w:rFonts w:ascii="Arial" w:cs="Arial" w:eastAsia="Arial" w:hAnsi="Arial"/>
                  <w:sz w:val="13"/>
                  <w:szCs w:val="13"/>
                  <w:color w:val="0000FF"/>
                </w:rPr>
                <w:t>Registrant’s Quarterly Report on Form 10-Q filed with the SEC on July 30, 2024).</w:t>
              </w:r>
              <w:r>
                <w:rPr>
                  <w:rFonts w:ascii="Arial" w:cs="Arial" w:eastAsia="Arial" w:hAnsi="Arial"/>
                  <w:sz w:val="13"/>
                  <w:szCs w:val="13"/>
                  <w:color w:val="000000"/>
                </w:rPr>
                <w:t>+</w:t>
              </w:r>
            </w:hyperlink>
          </w:p>
        </w:tc>
        <w:tc>
          <w:tcPr>
            <w:tcW w:w="80" w:type="dxa"/>
            <w:vAlign w:val="bottom"/>
            <w:gridSpan w:val="4"/>
          </w:tcPr>
          <w:p>
            <w:pPr>
              <w:spacing w:after="0"/>
              <w:rPr>
                <w:sz w:val="10"/>
                <w:szCs w:val="10"/>
                <w:color w:val="auto"/>
              </w:rPr>
            </w:pPr>
          </w:p>
        </w:tc>
      </w:tr>
      <w:tr>
        <w:trPr>
          <w:trHeight w:val="46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Borders>
              <w:top w:val="single" w:sz="8" w:color="0000FF"/>
            </w:tcBorders>
            <w:gridSpan w:val="2"/>
          </w:tcPr>
          <w:p>
            <w:pPr>
              <w:ind w:left="4140"/>
              <w:spacing w:after="0"/>
              <w:rPr>
                <w:sz w:val="20"/>
                <w:szCs w:val="20"/>
                <w:color w:val="auto"/>
              </w:rPr>
            </w:pPr>
            <w:r>
              <w:rPr>
                <w:rFonts w:ascii="Arial" w:cs="Arial" w:eastAsia="Arial" w:hAnsi="Arial"/>
                <w:sz w:val="14"/>
                <w:szCs w:val="14"/>
                <w:color w:val="auto"/>
              </w:rPr>
              <w:t>125</w:t>
            </w:r>
          </w:p>
        </w:tc>
        <w:tc>
          <w:tcPr>
            <w:tcW w:w="6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-306070</wp:posOffset>
            </wp:positionV>
            <wp:extent cx="224790" cy="1498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00"/>
        </w:trPr>
        <w:tc>
          <w:tcPr>
            <w:tcW w:w="1120" w:type="dxa"/>
            <w:vAlign w:val="bottom"/>
            <w:tcBorders>
              <w:top w:val="single" w:sz="8" w:color="0000FF"/>
            </w:tcBorders>
          </w:tcPr>
          <w:p>
            <w:pPr>
              <w:jc w:val="center"/>
              <w:ind w:right="208"/>
              <w:spacing w:after="0"/>
              <w:rPr>
                <w:sz w:val="20"/>
                <w:szCs w:val="20"/>
                <w:color w:val="auto"/>
              </w:rPr>
            </w:pPr>
            <w:r>
              <w:rPr>
                <w:rFonts w:ascii="Arial" w:cs="Arial" w:eastAsia="Arial" w:hAnsi="Arial"/>
                <w:sz w:val="14"/>
                <w:szCs w:val="14"/>
                <w:color w:val="auto"/>
              </w:rPr>
              <w:t>10.34</w:t>
            </w:r>
          </w:p>
        </w:tc>
        <w:tc>
          <w:tcPr>
            <w:tcW w:w="260" w:type="dxa"/>
            <w:vAlign w:val="bottom"/>
          </w:tcPr>
          <w:p>
            <w:pPr>
              <w:spacing w:after="0"/>
              <w:rPr>
                <w:sz w:val="24"/>
                <w:szCs w:val="24"/>
                <w:color w:val="auto"/>
              </w:rPr>
            </w:pPr>
          </w:p>
        </w:tc>
        <w:tc>
          <w:tcPr>
            <w:tcW w:w="10120" w:type="dxa"/>
            <w:vAlign w:val="bottom"/>
            <w:gridSpan w:val="27"/>
          </w:tcPr>
          <w:p>
            <w:pPr>
              <w:spacing w:after="0"/>
              <w:rPr>
                <w:rFonts w:ascii="Arial" w:cs="Arial" w:eastAsia="Arial" w:hAnsi="Arial"/>
                <w:sz w:val="14"/>
                <w:szCs w:val="14"/>
                <w:color w:val="0000FF"/>
              </w:rPr>
            </w:pPr>
            <w:hyperlink r:id="rId335">
              <w:r>
                <w:rPr>
                  <w:rFonts w:ascii="Arial" w:cs="Arial" w:eastAsia="Arial" w:hAnsi="Arial"/>
                  <w:sz w:val="14"/>
                  <w:szCs w:val="14"/>
                  <w:color w:val="0000FF"/>
                </w:rPr>
                <w:t>Mondelēz Global LLC Executive Deferred Compensation Plan, effective as of October 1, 2012 (incorporated by reference to Exhibit 10.17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40" w:type="dxa"/>
            <w:vAlign w:val="bottom"/>
            <w:tcBorders>
              <w:top w:val="single" w:sz="8" w:color="0000FF"/>
            </w:tcBorders>
            <w:gridSpan w:val="18"/>
          </w:tcPr>
          <w:p>
            <w:pPr>
              <w:spacing w:after="0" w:line="120" w:lineRule="exact"/>
              <w:rPr>
                <w:rFonts w:ascii="Arial" w:cs="Arial" w:eastAsia="Arial" w:hAnsi="Arial"/>
                <w:sz w:val="13"/>
                <w:szCs w:val="13"/>
                <w:color w:val="0000FF"/>
              </w:rPr>
            </w:pPr>
            <w:hyperlink r:id="rId335">
              <w:r>
                <w:rPr>
                  <w:rFonts w:ascii="Arial" w:cs="Arial" w:eastAsia="Arial" w:hAnsi="Arial"/>
                  <w:sz w:val="13"/>
                  <w:szCs w:val="13"/>
                  <w:color w:val="0000FF"/>
                </w:rPr>
                <w:t>Registrant’s Annual Report on Form 10-K filed with the SEC on February 25, 2013).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10.35</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36">
              <w:r>
                <w:rPr>
                  <w:rFonts w:ascii="Arial" w:cs="Arial" w:eastAsia="Arial" w:hAnsi="Arial"/>
                  <w:sz w:val="14"/>
                  <w:szCs w:val="14"/>
                  <w:color w:val="0000FF"/>
                </w:rPr>
                <w:t>Mondelēz Global LLC Executive Deferred Compensation Plan Adoption Agreement, effective as of October 1, 2012 (incorporated by reference to Exhibit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8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336">
              <w:r>
                <w:rPr>
                  <w:rFonts w:ascii="Arial" w:cs="Arial" w:eastAsia="Arial" w:hAnsi="Arial"/>
                  <w:sz w:val="13"/>
                  <w:szCs w:val="13"/>
                  <w:color w:val="0000FF"/>
                </w:rPr>
                <w:t>10.</w:t>
              </w:r>
              <w:r>
                <w:rPr>
                  <w:rFonts w:ascii="Arial" w:cs="Arial" w:eastAsia="Arial" w:hAnsi="Arial"/>
                  <w:sz w:val="13"/>
                  <w:szCs w:val="13"/>
                  <w:u w:val="single" w:color="auto"/>
                  <w:color w:val="0000FF"/>
                </w:rPr>
                <w:t>18</w:t>
              </w:r>
              <w:r>
                <w:rPr>
                  <w:rFonts w:ascii="Arial" w:cs="Arial" w:eastAsia="Arial" w:hAnsi="Arial"/>
                  <w:sz w:val="13"/>
                  <w:szCs w:val="13"/>
                  <w:color w:val="0000FF"/>
                </w:rPr>
                <w:t xml:space="preserve"> to the Registrant’s Annual Report on Form 10-K filed with the SEC on February 25, 2013).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10.36</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37">
              <w:r>
                <w:rPr>
                  <w:rFonts w:ascii="Arial" w:cs="Arial" w:eastAsia="Arial" w:hAnsi="Arial"/>
                  <w:sz w:val="14"/>
                  <w:szCs w:val="14"/>
                  <w:color w:val="0000FF"/>
                </w:rPr>
                <w:t>Deferred Compensation Plan Trust Document, by and between Mondelēz Global LLC and Wilmington Trust Retirement and Institutional Services Company,</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6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337">
              <w:r>
                <w:rPr>
                  <w:rFonts w:ascii="Arial" w:cs="Arial" w:eastAsia="Arial" w:hAnsi="Arial"/>
                  <w:sz w:val="13"/>
                  <w:szCs w:val="13"/>
                  <w:color w:val="0000FF"/>
                </w:rPr>
                <w:t>dated as of September 18, 2012 (incorporated by reference to Exhibit 10.19 to the Registrant’s Annual Report on Form 10-K filed with the SEC on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00" w:type="dxa"/>
            <w:vAlign w:val="bottom"/>
            <w:tcBorders>
              <w:top w:val="single" w:sz="8" w:color="0000FF"/>
            </w:tcBorders>
            <w:gridSpan w:val="16"/>
          </w:tcPr>
          <w:p>
            <w:pPr>
              <w:spacing w:after="0" w:line="120" w:lineRule="exact"/>
              <w:rPr>
                <w:rFonts w:ascii="Arial" w:cs="Arial" w:eastAsia="Arial" w:hAnsi="Arial"/>
                <w:sz w:val="13"/>
                <w:szCs w:val="13"/>
                <w:color w:val="0000FF"/>
              </w:rPr>
            </w:pPr>
            <w:hyperlink r:id="rId337">
              <w:r>
                <w:rPr>
                  <w:rFonts w:ascii="Arial" w:cs="Arial" w:eastAsia="Arial" w:hAnsi="Arial"/>
                  <w:sz w:val="13"/>
                  <w:szCs w:val="13"/>
                  <w:color w:val="0000FF"/>
                </w:rPr>
                <w:t>February 25, 2013).</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10.37</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38">
              <w:r>
                <w:rPr>
                  <w:rFonts w:ascii="Arial" w:cs="Arial" w:eastAsia="Arial" w:hAnsi="Arial"/>
                  <w:sz w:val="14"/>
                  <w:szCs w:val="14"/>
                  <w:color w:val="0000FF"/>
                </w:rPr>
                <w:t>Offer of Employment Letter, between the Registrant and Dirk Van de Put, dated July 27, 2017 (incorporated by reference to Exhibit 10.1 to the Registrant’s</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10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338">
              <w:r>
                <w:rPr>
                  <w:rFonts w:ascii="Arial" w:cs="Arial" w:eastAsia="Arial" w:hAnsi="Arial"/>
                  <w:sz w:val="13"/>
                  <w:szCs w:val="13"/>
                  <w:color w:val="0000FF"/>
                </w:rPr>
                <w:t>Current Report on Form 8-K filed with the SEC on August 2, 2017).</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39">
              <w:r>
                <w:rPr>
                  <w:rFonts w:ascii="Arial" w:cs="Arial" w:eastAsia="Arial" w:hAnsi="Arial"/>
                  <w:sz w:val="14"/>
                  <w:szCs w:val="14"/>
                  <w:color w:val="0000FF"/>
                </w:rPr>
                <w:t>International Permanent Transfer Letter, between Mondelēz Global LLC and Luca Zaramella, effective August 1, 2018 (incorporated by reference to Exhibit</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6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339">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Registrant’s Current Report on Form 8-K filed with the SEC on August 7, 2018).</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10.39</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40">
              <w:r>
                <w:rPr>
                  <w:rFonts w:ascii="Arial" w:cs="Arial" w:eastAsia="Arial" w:hAnsi="Arial"/>
                  <w:sz w:val="14"/>
                  <w:szCs w:val="14"/>
                  <w:color w:val="0000FF"/>
                </w:rPr>
                <w:t>Employment Letter, between Mondelez Europe and Vinzenz P. Gruber, dated November 29, 2018 (incorporated by reference to Exhibit 10.6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340">
              <w:r>
                <w:rPr>
                  <w:rFonts w:ascii="Arial" w:cs="Arial" w:eastAsia="Arial" w:hAnsi="Arial"/>
                  <w:sz w:val="13"/>
                  <w:szCs w:val="13"/>
                  <w:color w:val="0000FF"/>
                </w:rPr>
                <w:t>Registrant's Quarterly Report on Form 10-Q filed with the SEC on May 1, 2019).</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10.40</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41">
              <w:r>
                <w:rPr>
                  <w:rFonts w:ascii="Arial" w:cs="Arial" w:eastAsia="Arial" w:hAnsi="Arial"/>
                  <w:sz w:val="14"/>
                  <w:szCs w:val="14"/>
                  <w:color w:val="0000FF"/>
                </w:rPr>
                <w:t>Offer of Employment Letter, between the Registrant and Gustavo Valle, dated January 6, 2020 (incorporated by reference to Exhibit 10.7 to the Registrant’s</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8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341">
              <w:r>
                <w:rPr>
                  <w:rFonts w:ascii="Arial" w:cs="Arial" w:eastAsia="Arial" w:hAnsi="Arial"/>
                  <w:sz w:val="13"/>
                  <w:szCs w:val="13"/>
                  <w:color w:val="0000FF"/>
                </w:rPr>
                <w:t>Quarterly Report on Form 10-Q filed with the SEC on April 29, 2020).</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10.41</w:t>
            </w:r>
          </w:p>
        </w:tc>
        <w:tc>
          <w:tcPr>
            <w:tcW w:w="260" w:type="dxa"/>
            <w:vAlign w:val="bottom"/>
          </w:tcPr>
          <w:p>
            <w:pPr>
              <w:spacing w:after="0"/>
              <w:rPr>
                <w:sz w:val="15"/>
                <w:szCs w:val="15"/>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Offer of Employment Letter, between the Registrant and Stephanie Lilak, dated November 30, 2024.</w:t>
            </w:r>
            <w:r>
              <w:rPr>
                <w:rFonts w:ascii="Arial" w:cs="Arial" w:eastAsia="Arial" w:hAnsi="Arial"/>
                <w:sz w:val="14"/>
                <w:szCs w:val="14"/>
                <w:color w:val="000000"/>
              </w:rPr>
              <w:t>+</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10.42</w:t>
            </w:r>
          </w:p>
        </w:tc>
        <w:tc>
          <w:tcPr>
            <w:tcW w:w="260" w:type="dxa"/>
            <w:vAlign w:val="bottom"/>
          </w:tcPr>
          <w:p>
            <w:pPr>
              <w:spacing w:after="0"/>
              <w:rPr>
                <w:sz w:val="14"/>
                <w:szCs w:val="14"/>
                <w:color w:val="auto"/>
              </w:rPr>
            </w:pPr>
          </w:p>
        </w:tc>
        <w:tc>
          <w:tcPr>
            <w:tcW w:w="10120" w:type="dxa"/>
            <w:vAlign w:val="bottom"/>
            <w:gridSpan w:val="27"/>
          </w:tcPr>
          <w:p>
            <w:pPr>
              <w:spacing w:after="0"/>
              <w:rPr>
                <w:rFonts w:ascii="Arial" w:cs="Arial" w:eastAsia="Arial" w:hAnsi="Arial"/>
                <w:sz w:val="14"/>
                <w:szCs w:val="14"/>
                <w:color w:val="0000FF"/>
              </w:rPr>
            </w:pPr>
            <w:hyperlink r:id="rId342">
              <w:r>
                <w:rPr>
                  <w:rFonts w:ascii="Arial" w:cs="Arial" w:eastAsia="Arial" w:hAnsi="Arial"/>
                  <w:sz w:val="14"/>
                  <w:szCs w:val="14"/>
                  <w:color w:val="0000FF"/>
                </w:rPr>
                <w:t>Form of Indemnification Agreement for Non-Employee Directors (incorporated by reference to Exhibit 10.28 to the Registrant’s Annual Report on Form 10-</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40" w:type="dxa"/>
            <w:vAlign w:val="bottom"/>
            <w:tcBorders>
              <w:top w:val="single" w:sz="8" w:color="0000FF"/>
            </w:tcBorders>
            <w:gridSpan w:val="23"/>
          </w:tcPr>
          <w:p>
            <w:pPr>
              <w:spacing w:after="0" w:line="120" w:lineRule="exact"/>
              <w:rPr>
                <w:rFonts w:ascii="Arial" w:cs="Arial" w:eastAsia="Arial" w:hAnsi="Arial"/>
                <w:sz w:val="13"/>
                <w:szCs w:val="13"/>
                <w:color w:val="0000FF"/>
              </w:rPr>
            </w:pPr>
            <w:hyperlink r:id="rId342">
              <w:r>
                <w:rPr>
                  <w:rFonts w:ascii="Arial" w:cs="Arial" w:eastAsia="Arial" w:hAnsi="Arial"/>
                  <w:sz w:val="13"/>
                  <w:szCs w:val="13"/>
                  <w:color w:val="0000FF"/>
                </w:rPr>
                <w:t>K filed with the SEC on February 27, 2009).</w:t>
              </w:r>
              <w:r>
                <w:rPr>
                  <w:rFonts w:ascii="Arial" w:cs="Arial" w:eastAsia="Arial" w:hAnsi="Arial"/>
                  <w:sz w:val="13"/>
                  <w:szCs w:val="13"/>
                  <w:color w:val="000000"/>
                </w:rPr>
                <w:t>+</w:t>
              </w:r>
            </w:hyperlink>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10.43</w:t>
            </w:r>
          </w:p>
        </w:tc>
        <w:tc>
          <w:tcPr>
            <w:tcW w:w="260" w:type="dxa"/>
            <w:vAlign w:val="bottom"/>
          </w:tcPr>
          <w:p>
            <w:pPr>
              <w:spacing w:after="0"/>
              <w:rPr>
                <w:sz w:val="15"/>
                <w:szCs w:val="15"/>
                <w:color w:val="auto"/>
              </w:rPr>
            </w:pPr>
          </w:p>
        </w:tc>
        <w:tc>
          <w:tcPr>
            <w:tcW w:w="10120" w:type="dxa"/>
            <w:vAlign w:val="bottom"/>
            <w:gridSpan w:val="27"/>
          </w:tcPr>
          <w:p>
            <w:pPr>
              <w:spacing w:after="0"/>
              <w:rPr>
                <w:rFonts w:ascii="Arial" w:cs="Arial" w:eastAsia="Arial" w:hAnsi="Arial"/>
                <w:sz w:val="14"/>
                <w:szCs w:val="14"/>
                <w:color w:val="0000FF"/>
              </w:rPr>
            </w:pPr>
            <w:hyperlink r:id="rId343">
              <w:r>
                <w:rPr>
                  <w:rFonts w:ascii="Arial" w:cs="Arial" w:eastAsia="Arial" w:hAnsi="Arial"/>
                  <w:sz w:val="14"/>
                  <w:szCs w:val="14"/>
                  <w:color w:val="0000FF"/>
                </w:rPr>
                <w:t>Indemnification Agreement between the Registrant and Dirk Van de Put, dated November 20, 2017 (incorporated by reference to Exhibit 10.37 to the</w:t>
              </w:r>
            </w:hyperlink>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920" w:type="dxa"/>
            <w:vAlign w:val="bottom"/>
            <w:tcBorders>
              <w:top w:val="single" w:sz="8" w:color="0000FF"/>
            </w:tcBorders>
            <w:gridSpan w:val="17"/>
          </w:tcPr>
          <w:p>
            <w:pPr>
              <w:spacing w:after="0" w:line="120" w:lineRule="exact"/>
              <w:rPr>
                <w:rFonts w:ascii="Arial" w:cs="Arial" w:eastAsia="Arial" w:hAnsi="Arial"/>
                <w:sz w:val="13"/>
                <w:szCs w:val="13"/>
                <w:color w:val="0000FF"/>
              </w:rPr>
            </w:pPr>
            <w:hyperlink r:id="rId343">
              <w:r>
                <w:rPr>
                  <w:rFonts w:ascii="Arial" w:cs="Arial" w:eastAsia="Arial" w:hAnsi="Arial"/>
                  <w:sz w:val="13"/>
                  <w:szCs w:val="13"/>
                  <w:color w:val="0000FF"/>
                </w:rPr>
                <w:t>Registrant’s Annual Report on Form 10-K filed with the SEC on February 9, 2018).</w:t>
              </w:r>
              <w:r>
                <w:rPr>
                  <w:rFonts w:ascii="Arial" w:cs="Arial" w:eastAsia="Arial" w:hAnsi="Arial"/>
                  <w:sz w:val="13"/>
                  <w:szCs w:val="13"/>
                  <w:color w:val="000000"/>
                </w:rPr>
                <w:t>+</w:t>
              </w:r>
            </w:hyperlink>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19.1</w:t>
            </w:r>
          </w:p>
        </w:tc>
        <w:tc>
          <w:tcPr>
            <w:tcW w:w="26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rPr>
              <w:t>Mondelēz International, Inc. Insider Trading Policy.</w:t>
            </w:r>
          </w:p>
        </w:tc>
        <w:tc>
          <w:tcPr>
            <w:tcW w:w="2000" w:type="dxa"/>
            <w:vAlign w:val="bottom"/>
            <w:tcBorders>
              <w:top w:val="single" w:sz="8" w:color="0000FF"/>
            </w:tcBorders>
            <w:gridSpan w:val="5"/>
          </w:tcPr>
          <w:p>
            <w:pPr>
              <w:spacing w:after="0"/>
              <w:rPr>
                <w:sz w:val="15"/>
                <w:szCs w:val="15"/>
                <w:color w:val="auto"/>
              </w:rPr>
            </w:pPr>
          </w:p>
        </w:tc>
        <w:tc>
          <w:tcPr>
            <w:tcW w:w="4900" w:type="dxa"/>
            <w:vAlign w:val="bottom"/>
            <w:gridSpan w:val="18"/>
          </w:tcPr>
          <w:p>
            <w:pPr>
              <w:spacing w:after="0"/>
              <w:rPr>
                <w:sz w:val="15"/>
                <w:szCs w:val="15"/>
                <w:color w:val="auto"/>
              </w:rPr>
            </w:pPr>
          </w:p>
        </w:tc>
      </w:tr>
      <w:tr>
        <w:trPr>
          <w:trHeight w:val="16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21.1</w:t>
            </w:r>
          </w:p>
        </w:tc>
        <w:tc>
          <w:tcPr>
            <w:tcW w:w="260" w:type="dxa"/>
            <w:vAlign w:val="bottom"/>
          </w:tcPr>
          <w:p>
            <w:pPr>
              <w:spacing w:after="0"/>
              <w:rPr>
                <w:sz w:val="14"/>
                <w:szCs w:val="14"/>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Subsidiaries of the Registrant, as of December 31, 2024.</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6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14"/>
                <w:szCs w:val="14"/>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Consent of PricewaterhouseCoopers LLP, Independent Registered Public Accounting Firm.</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6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31.1</w:t>
            </w:r>
          </w:p>
        </w:tc>
        <w:tc>
          <w:tcPr>
            <w:tcW w:w="260" w:type="dxa"/>
            <w:vAlign w:val="bottom"/>
          </w:tcPr>
          <w:p>
            <w:pPr>
              <w:spacing w:after="0"/>
              <w:rPr>
                <w:sz w:val="14"/>
                <w:szCs w:val="14"/>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Certification of the Registrant’s Chief Executive Officer pursuant to Rule 13a-14(a)/15d-14(a) of the Securities Exchange Act of 1934, as amended, as</w:t>
            </w: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80" w:type="dxa"/>
            <w:vAlign w:val="bottom"/>
            <w:tcBorders>
              <w:top w:val="single" w:sz="8" w:color="0000FF"/>
            </w:tcBorders>
            <w:gridSpan w:val="15"/>
          </w:tcPr>
          <w:p>
            <w:pPr>
              <w:spacing w:after="0" w:line="120" w:lineRule="exact"/>
              <w:rPr>
                <w:sz w:val="20"/>
                <w:szCs w:val="20"/>
                <w:color w:val="auto"/>
              </w:rPr>
            </w:pPr>
            <w:r>
              <w:rPr>
                <w:rFonts w:ascii="Arial" w:cs="Arial" w:eastAsia="Arial" w:hAnsi="Arial"/>
                <w:sz w:val="13"/>
                <w:szCs w:val="13"/>
                <w:color w:val="0000FF"/>
              </w:rPr>
              <w:t>adopted pursuant to Section 302 of the Sarbanes-Oxley Act of 2002.</w:t>
            </w:r>
          </w:p>
        </w:tc>
        <w:tc>
          <w:tcPr>
            <w:tcW w:w="140" w:type="dxa"/>
            <w:vAlign w:val="bottom"/>
            <w:gridSpan w:val="7"/>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31.2</w:t>
            </w:r>
          </w:p>
        </w:tc>
        <w:tc>
          <w:tcPr>
            <w:tcW w:w="260" w:type="dxa"/>
            <w:vAlign w:val="bottom"/>
          </w:tcPr>
          <w:p>
            <w:pPr>
              <w:spacing w:after="0"/>
              <w:rPr>
                <w:sz w:val="15"/>
                <w:szCs w:val="15"/>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Certification of the Registrant’s Chief Financial Officer pursuant to Rule 13a-14(a)/15d-14(a) of the Securities Exchange Act of 1934, as amended, as</w:t>
            </w: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20" w:type="dxa"/>
            <w:vAlign w:val="bottom"/>
            <w:tcBorders>
              <w:top w:val="single" w:sz="8" w:color="0000FF"/>
            </w:tcBorders>
            <w:gridSpan w:val="22"/>
          </w:tcPr>
          <w:p>
            <w:pPr>
              <w:spacing w:after="0" w:line="120" w:lineRule="exact"/>
              <w:rPr>
                <w:sz w:val="20"/>
                <w:szCs w:val="20"/>
                <w:color w:val="auto"/>
              </w:rPr>
            </w:pPr>
            <w:r>
              <w:rPr>
                <w:rFonts w:ascii="Arial" w:cs="Arial" w:eastAsia="Arial" w:hAnsi="Arial"/>
                <w:sz w:val="13"/>
                <w:szCs w:val="13"/>
                <w:color w:val="0000FF"/>
              </w:rPr>
              <w:t>adopted pursuant to Section 302 of the Sarbanes-Oxley Act of 2002.</w:t>
            </w:r>
          </w:p>
        </w:tc>
        <w:tc>
          <w:tcPr>
            <w:tcW w:w="100" w:type="dxa"/>
            <w:vAlign w:val="bottom"/>
            <w:gridSpan w:val="5"/>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40" w:type="dxa"/>
            <w:vAlign w:val="bottom"/>
            <w:gridSpan w:val="16"/>
          </w:tcPr>
          <w:p>
            <w:pPr>
              <w:spacing w:after="0" w:line="20" w:lineRule="exact"/>
              <w:rPr>
                <w:sz w:val="1"/>
                <w:szCs w:val="1"/>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32.1</w:t>
            </w:r>
          </w:p>
        </w:tc>
        <w:tc>
          <w:tcPr>
            <w:tcW w:w="260" w:type="dxa"/>
            <w:vAlign w:val="bottom"/>
          </w:tcPr>
          <w:p>
            <w:pPr>
              <w:spacing w:after="0"/>
              <w:rPr>
                <w:sz w:val="15"/>
                <w:szCs w:val="15"/>
                <w:color w:val="auto"/>
              </w:rPr>
            </w:pPr>
          </w:p>
        </w:tc>
        <w:tc>
          <w:tcPr>
            <w:tcW w:w="10120" w:type="dxa"/>
            <w:vAlign w:val="bottom"/>
            <w:gridSpan w:val="27"/>
          </w:tcPr>
          <w:p>
            <w:pPr>
              <w:spacing w:after="0"/>
              <w:rPr>
                <w:sz w:val="20"/>
                <w:szCs w:val="20"/>
                <w:color w:val="auto"/>
              </w:rPr>
            </w:pPr>
            <w:r>
              <w:rPr>
                <w:rFonts w:ascii="Arial" w:cs="Arial" w:eastAsia="Arial" w:hAnsi="Arial"/>
                <w:sz w:val="14"/>
                <w:szCs w:val="14"/>
                <w:color w:val="0000FF"/>
              </w:rPr>
              <w:t>Certifications of the Registrant’s Chief Executive Officer and Chief Financial Officer pursuant to 18 U.S.C. 1350, as adopted pursuant to Section 906 of the</w:t>
            </w:r>
          </w:p>
        </w:tc>
      </w:tr>
      <w:tr>
        <w:trPr>
          <w:trHeight w:val="120"/>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2"/>
          </w:tcPr>
          <w:p>
            <w:pPr>
              <w:spacing w:after="0" w:line="120" w:lineRule="exact"/>
              <w:rPr>
                <w:sz w:val="20"/>
                <w:szCs w:val="20"/>
                <w:color w:val="auto"/>
              </w:rPr>
            </w:pPr>
            <w:r>
              <w:rPr>
                <w:rFonts w:ascii="Arial" w:cs="Arial" w:eastAsia="Arial" w:hAnsi="Arial"/>
                <w:sz w:val="13"/>
                <w:szCs w:val="13"/>
                <w:color w:val="0000FF"/>
              </w:rPr>
              <w:t>Sarbanes-Oxley Act of 2002.</w:t>
            </w:r>
          </w:p>
        </w:tc>
        <w:tc>
          <w:tcPr>
            <w:tcW w:w="8100" w:type="dxa"/>
            <w:vAlign w:val="bottom"/>
            <w:tcBorders>
              <w:top w:val="single" w:sz="8" w:color="0000FF"/>
            </w:tcBorders>
            <w:gridSpan w:val="16"/>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17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97.1</w:t>
            </w:r>
          </w:p>
        </w:tc>
        <w:tc>
          <w:tcPr>
            <w:tcW w:w="260" w:type="dxa"/>
            <w:vAlign w:val="bottom"/>
          </w:tcPr>
          <w:p>
            <w:pPr>
              <w:spacing w:after="0"/>
              <w:rPr>
                <w:sz w:val="15"/>
                <w:szCs w:val="15"/>
                <w:color w:val="auto"/>
              </w:rPr>
            </w:pPr>
          </w:p>
        </w:tc>
        <w:tc>
          <w:tcPr>
            <w:tcW w:w="50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Mondelēz International, Inc. Dodd-Frank Clawback Policy, dated July 18, 2023.</w:t>
            </w:r>
          </w:p>
        </w:tc>
        <w:tc>
          <w:tcPr>
            <w:tcW w:w="5060" w:type="dxa"/>
            <w:vAlign w:val="bottom"/>
            <w:gridSpan w:val="19"/>
          </w:tcPr>
          <w:p>
            <w:pPr>
              <w:spacing w:after="0"/>
              <w:rPr>
                <w:sz w:val="15"/>
                <w:szCs w:val="15"/>
                <w:color w:val="auto"/>
              </w:rPr>
            </w:pPr>
          </w:p>
        </w:tc>
      </w:tr>
      <w:tr>
        <w:trPr>
          <w:trHeight w:val="163"/>
        </w:trPr>
        <w:tc>
          <w:tcPr>
            <w:tcW w:w="1120" w:type="dxa"/>
            <w:vAlign w:val="bottom"/>
          </w:tcPr>
          <w:p>
            <w:pPr>
              <w:jc w:val="center"/>
              <w:ind w:right="208"/>
              <w:spacing w:after="0"/>
              <w:rPr>
                <w:sz w:val="20"/>
                <w:szCs w:val="20"/>
                <w:color w:val="auto"/>
              </w:rPr>
            </w:pPr>
            <w:r>
              <w:rPr>
                <w:rFonts w:ascii="Arial" w:cs="Arial" w:eastAsia="Arial" w:hAnsi="Arial"/>
                <w:sz w:val="14"/>
                <w:szCs w:val="14"/>
                <w:color w:val="auto"/>
              </w:rPr>
              <w:t>97.2</w:t>
            </w:r>
          </w:p>
        </w:tc>
        <w:tc>
          <w:tcPr>
            <w:tcW w:w="260" w:type="dxa"/>
            <w:vAlign w:val="bottom"/>
          </w:tcPr>
          <w:p>
            <w:pPr>
              <w:spacing w:after="0"/>
              <w:rPr>
                <w:sz w:val="14"/>
                <w:szCs w:val="14"/>
                <w:color w:val="auto"/>
              </w:rPr>
            </w:pPr>
          </w:p>
        </w:tc>
        <w:tc>
          <w:tcPr>
            <w:tcW w:w="568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Mondelēz International, Inc. Compensation Recoupment Policy, dated February 18, 2019.</w:t>
            </w:r>
          </w:p>
        </w:tc>
        <w:tc>
          <w:tcPr>
            <w:tcW w:w="4440" w:type="dxa"/>
            <w:vAlign w:val="bottom"/>
            <w:gridSpan w:val="16"/>
          </w:tcPr>
          <w:p>
            <w:pPr>
              <w:spacing w:after="0"/>
              <w:rPr>
                <w:sz w:val="14"/>
                <w:szCs w:val="14"/>
                <w:color w:val="auto"/>
              </w:rPr>
            </w:pPr>
          </w:p>
        </w:tc>
      </w:tr>
    </w:tbl>
    <w:p>
      <w:pPr>
        <w:spacing w:after="0" w:line="18" w:lineRule="exact"/>
        <w:rPr>
          <w:sz w:val="20"/>
          <w:szCs w:val="20"/>
          <w:color w:val="auto"/>
        </w:rPr>
      </w:pPr>
    </w:p>
    <w:p>
      <w:pPr>
        <w:jc w:val="both"/>
        <w:ind w:left="1380" w:hanging="1085"/>
        <w:spacing w:after="0" w:line="218" w:lineRule="auto"/>
        <w:tabs>
          <w:tab w:leader="none" w:pos="1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following materials from Mondelēz International’s Annual Report on Form 10-K for the fiscal year ended December 31, 2024, formatted in iXBRL (Inline eXtensible Business Reporting Language): (i) the Consolidated Statements of Earnings, (ii) the Consolidated Statements of Comprehensive Earnings,</w:t>
      </w:r>
    </w:p>
    <w:p>
      <w:pPr>
        <w:ind w:left="1640" w:hanging="256"/>
        <w:spacing w:after="0" w:line="224" w:lineRule="auto"/>
        <w:tabs>
          <w:tab w:leader="none" w:pos="16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the Consolidated Balance Sheets, (iv) the Consolidated Statements of Equity, (v) the Consolidated Statements of Cash Flows and (vi) Notes to</w:t>
      </w:r>
    </w:p>
    <w:p>
      <w:pPr>
        <w:ind w:left="1380"/>
        <w:spacing w:after="0"/>
        <w:rPr>
          <w:sz w:val="20"/>
          <w:szCs w:val="20"/>
          <w:color w:val="auto"/>
        </w:rPr>
      </w:pPr>
      <w:r>
        <w:rPr>
          <w:rFonts w:ascii="Arial" w:cs="Arial" w:eastAsia="Arial" w:hAnsi="Arial"/>
          <w:sz w:val="14"/>
          <w:szCs w:val="14"/>
          <w:color w:val="auto"/>
        </w:rPr>
        <w:t>Consolidated Financial Statements.</w:t>
      </w:r>
    </w:p>
    <w:p>
      <w:pPr>
        <w:spacing w:after="0" w:line="383" w:lineRule="exact"/>
        <w:rPr>
          <w:sz w:val="20"/>
          <w:szCs w:val="20"/>
          <w:color w:val="auto"/>
        </w:rPr>
      </w:pPr>
    </w:p>
    <w:p>
      <w:pPr>
        <w:ind w:left="1380" w:hanging="1085"/>
        <w:spacing w:after="0" w:line="250" w:lineRule="auto"/>
        <w:tabs>
          <w:tab w:leader="none" w:pos="1380" w:val="left"/>
        </w:tabs>
        <w:numPr>
          <w:ilvl w:val="0"/>
          <w:numId w:val="50"/>
        </w:numPr>
        <w:rPr>
          <w:rFonts w:ascii="Arial" w:cs="Arial" w:eastAsia="Arial" w:hAnsi="Arial"/>
          <w:sz w:val="14"/>
          <w:szCs w:val="14"/>
          <w:color w:val="auto"/>
        </w:rPr>
      </w:pPr>
      <w:r>
        <w:rPr>
          <w:rFonts w:ascii="Arial" w:cs="Arial" w:eastAsia="Arial" w:hAnsi="Arial"/>
          <w:sz w:val="14"/>
          <w:szCs w:val="14"/>
          <w:color w:val="212529"/>
        </w:rPr>
        <w:t>The cover page from Mondel</w:t>
      </w:r>
      <w:r>
        <w:rPr>
          <w:rFonts w:ascii="Arial" w:cs="Arial" w:eastAsia="Arial" w:hAnsi="Arial"/>
          <w:sz w:val="14"/>
          <w:szCs w:val="14"/>
          <w:color w:val="000000"/>
        </w:rPr>
        <w:t>ē</w:t>
      </w:r>
      <w:r>
        <w:rPr>
          <w:rFonts w:ascii="Arial" w:cs="Arial" w:eastAsia="Arial" w:hAnsi="Arial"/>
          <w:sz w:val="14"/>
          <w:szCs w:val="14"/>
          <w:color w:val="212529"/>
        </w:rPr>
        <w:t>z International’s Annual Report on Form 10-K for the fiscal year ended December 31, 2024, formatted in Inline XBRL (included as Exhibit 101).</w:t>
      </w:r>
    </w:p>
    <w:p>
      <w:pPr>
        <w:spacing w:after="0" w:line="83" w:lineRule="exact"/>
        <w:rPr>
          <w:sz w:val="20"/>
          <w:szCs w:val="20"/>
          <w:color w:val="auto"/>
        </w:rPr>
      </w:pPr>
    </w:p>
    <w:p>
      <w:pPr>
        <w:ind w:left="1920" w:right="20" w:hanging="536"/>
        <w:spacing w:after="0" w:line="253" w:lineRule="auto"/>
        <w:tabs>
          <w:tab w:leader="none" w:pos="1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have been separately filed with the SEC.</w:t>
      </w:r>
    </w:p>
    <w:p>
      <w:pPr>
        <w:ind w:left="1920" w:hanging="536"/>
        <w:spacing w:after="0"/>
        <w:tabs>
          <w:tab w:leader="none" w:pos="1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-1270</wp:posOffset>
            </wp:positionV>
            <wp:extent cx="224790" cy="149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4">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178435</wp:posOffset>
            </wp:positionV>
            <wp:extent cx="718566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5">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47"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85660"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6">
                      <a:extLst>
                        <a:ext uri="{28A0092B-C50C-407E-A947-70E740481C1C}"/>
                      </a:extLst>
                    </a:blip>
                    <a:srcRect/>
                    <a:stretch>
                      <a:fillRect/>
                    </a:stretch>
                  </pic:blipFill>
                  <pic:spPr bwMode="auto">
                    <a:xfrm>
                      <a:off x="0" y="0"/>
                      <a:ext cx="7185660"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7">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MONDELĒZ INTERNATIONAL, INC.</w:t>
      </w:r>
    </w:p>
    <w:p>
      <w:pPr>
        <w:spacing w:after="0" w:line="236" w:lineRule="exact"/>
        <w:rPr>
          <w:sz w:val="20"/>
          <w:szCs w:val="20"/>
          <w:color w:val="auto"/>
        </w:rPr>
      </w:pPr>
    </w:p>
    <w:tbl>
      <w:tblPr>
        <w:tblLayout w:type="fixed"/>
        <w:tblInd w:w="5960" w:type="dxa"/>
        <w:tblCellMar>
          <w:top w:w="0" w:type="dxa"/>
          <w:left w:w="0" w:type="dxa"/>
          <w:bottom w:w="0" w:type="dxa"/>
          <w:right w:w="0" w:type="dxa"/>
        </w:tblCellMar>
      </w:tblPr>
      <w:tr>
        <w:trPr>
          <w:trHeight w:val="187"/>
        </w:trPr>
        <w:tc>
          <w:tcPr>
            <w:tcW w:w="820" w:type="dxa"/>
            <w:vAlign w:val="bottom"/>
          </w:tcPr>
          <w:p>
            <w:pPr>
              <w:spacing w:after="0"/>
              <w:rPr>
                <w:sz w:val="20"/>
                <w:szCs w:val="20"/>
                <w:color w:val="auto"/>
              </w:rPr>
            </w:pPr>
            <w:r>
              <w:rPr>
                <w:rFonts w:ascii="Arial" w:cs="Arial" w:eastAsia="Arial" w:hAnsi="Arial"/>
                <w:sz w:val="14"/>
                <w:szCs w:val="14"/>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LUCA ZARAMELLA</w:t>
            </w:r>
          </w:p>
        </w:tc>
      </w:tr>
      <w:tr>
        <w:trPr>
          <w:trHeight w:val="169"/>
        </w:trPr>
        <w:tc>
          <w:tcPr>
            <w:tcW w:w="820" w:type="dxa"/>
            <w:vAlign w:val="bottom"/>
          </w:tcPr>
          <w:p>
            <w:pPr>
              <w:spacing w:after="0"/>
              <w:rPr>
                <w:sz w:val="14"/>
                <w:szCs w:val="14"/>
                <w:color w:val="auto"/>
              </w:rPr>
            </w:pPr>
          </w:p>
        </w:tc>
        <w:tc>
          <w:tcPr>
            <w:tcW w:w="4500" w:type="dxa"/>
            <w:vAlign w:val="bottom"/>
          </w:tcPr>
          <w:p>
            <w:pPr>
              <w:ind w:left="20"/>
              <w:spacing w:after="0"/>
              <w:rPr>
                <w:sz w:val="20"/>
                <w:szCs w:val="20"/>
                <w:color w:val="auto"/>
              </w:rPr>
            </w:pPr>
            <w:r>
              <w:rPr>
                <w:rFonts w:ascii="Arial" w:cs="Arial" w:eastAsia="Arial" w:hAnsi="Arial"/>
                <w:sz w:val="14"/>
                <w:szCs w:val="14"/>
                <w:color w:val="auto"/>
              </w:rPr>
              <w:t>Luca Zaramella</w:t>
            </w:r>
          </w:p>
        </w:tc>
      </w:tr>
      <w:tr>
        <w:trPr>
          <w:trHeight w:val="183"/>
        </w:trPr>
        <w:tc>
          <w:tcPr>
            <w:tcW w:w="82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Arial" w:cs="Arial" w:eastAsia="Arial" w:hAnsi="Arial"/>
                <w:sz w:val="14"/>
                <w:szCs w:val="14"/>
                <w:color w:val="auto"/>
              </w:rPr>
              <w:t>Executive Vice President</w:t>
            </w:r>
          </w:p>
        </w:tc>
      </w:tr>
      <w:tr>
        <w:trPr>
          <w:trHeight w:val="183"/>
        </w:trPr>
        <w:tc>
          <w:tcPr>
            <w:tcW w:w="82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Arial" w:cs="Arial" w:eastAsia="Arial" w:hAnsi="Arial"/>
                <w:sz w:val="14"/>
                <w:szCs w:val="14"/>
                <w:color w:val="auto"/>
              </w:rPr>
              <w:t>and Chief Financial Officer</w:t>
            </w:r>
          </w:p>
        </w:tc>
      </w:tr>
      <w:tr>
        <w:trPr>
          <w:trHeight w:val="190"/>
        </w:trPr>
        <w:tc>
          <w:tcPr>
            <w:tcW w:w="82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Arial" w:cs="Arial" w:eastAsia="Arial" w:hAnsi="Arial"/>
                <w:sz w:val="14"/>
                <w:szCs w:val="14"/>
                <w:color w:val="auto"/>
              </w:rPr>
              <w:t>(Duly Authorized Officer)</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5, 2025</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26" w:right="31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80" w:type="dxa"/>
            <w:vAlign w:val="bottom"/>
            <w:gridSpan w:val="2"/>
          </w:tcPr>
          <w:p>
            <w:pPr>
              <w:jc w:val="center"/>
              <w:ind w:right="2160"/>
              <w:spacing w:after="0"/>
              <w:rPr>
                <w:sz w:val="20"/>
                <w:szCs w:val="20"/>
                <w:color w:val="auto"/>
              </w:rPr>
            </w:pPr>
            <w:r>
              <w:rPr>
                <w:rFonts w:ascii="Arial" w:cs="Arial" w:eastAsia="Arial" w:hAnsi="Arial"/>
                <w:sz w:val="11"/>
                <w:szCs w:val="11"/>
                <w:b w:val="1"/>
                <w:bCs w:val="1"/>
                <w:color w:val="auto"/>
              </w:rPr>
              <w:t>Signature</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0"/>
        </w:trPr>
        <w:tc>
          <w:tcPr>
            <w:tcW w:w="16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DIRK VAN DE PUT</w:t>
            </w:r>
          </w:p>
        </w:tc>
      </w:tr>
      <w:tr>
        <w:trPr>
          <w:trHeight w:val="151"/>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4"/>
          </w:tcPr>
          <w:p>
            <w:pPr>
              <w:jc w:val="center"/>
              <w:ind w:right="1820"/>
              <w:spacing w:after="0"/>
              <w:rPr>
                <w:sz w:val="20"/>
                <w:szCs w:val="20"/>
                <w:color w:val="auto"/>
              </w:rPr>
            </w:pPr>
            <w:r>
              <w:rPr>
                <w:rFonts w:ascii="Arial" w:cs="Arial" w:eastAsia="Arial" w:hAnsi="Arial"/>
                <w:sz w:val="11"/>
                <w:szCs w:val="11"/>
                <w:b w:val="1"/>
                <w:bCs w:val="1"/>
                <w:color w:val="auto"/>
              </w:rPr>
              <w:t>(Dirk Van de Put)</w:t>
            </w:r>
          </w:p>
        </w:tc>
      </w:tr>
      <w:tr>
        <w:trPr>
          <w:trHeight w:val="216"/>
        </w:trPr>
        <w:tc>
          <w:tcPr>
            <w:tcW w:w="1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LUCA ZARAMELLA</w:t>
            </w:r>
          </w:p>
        </w:tc>
      </w:tr>
      <w:tr>
        <w:trPr>
          <w:trHeight w:val="151"/>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4"/>
          </w:tcPr>
          <w:p>
            <w:pPr>
              <w:jc w:val="center"/>
              <w:ind w:right="1820"/>
              <w:spacing w:after="0"/>
              <w:rPr>
                <w:sz w:val="20"/>
                <w:szCs w:val="20"/>
                <w:color w:val="auto"/>
              </w:rPr>
            </w:pPr>
            <w:r>
              <w:rPr>
                <w:rFonts w:ascii="Arial" w:cs="Arial" w:eastAsia="Arial" w:hAnsi="Arial"/>
                <w:sz w:val="11"/>
                <w:szCs w:val="11"/>
                <w:b w:val="1"/>
                <w:bCs w:val="1"/>
                <w:color w:val="auto"/>
              </w:rPr>
              <w:t>(Luca Zaramella)</w:t>
            </w:r>
          </w:p>
        </w:tc>
      </w:tr>
      <w:tr>
        <w:trPr>
          <w:trHeight w:val="216"/>
        </w:trPr>
        <w:tc>
          <w:tcPr>
            <w:tcW w:w="1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w:t>
            </w:r>
          </w:p>
        </w:tc>
        <w:tc>
          <w:tcPr>
            <w:tcW w:w="286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4"/>
                <w:szCs w:val="14"/>
                <w:color w:val="auto"/>
              </w:rPr>
              <w:t>MICHAEL CALL</w:t>
            </w:r>
          </w:p>
        </w:tc>
      </w:tr>
      <w:tr>
        <w:trPr>
          <w:trHeight w:val="151"/>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3"/>
          </w:tcPr>
          <w:p>
            <w:pPr>
              <w:jc w:val="center"/>
              <w:ind w:right="1960"/>
              <w:spacing w:after="0"/>
              <w:rPr>
                <w:sz w:val="20"/>
                <w:szCs w:val="20"/>
                <w:color w:val="auto"/>
              </w:rPr>
            </w:pPr>
            <w:r>
              <w:rPr>
                <w:rFonts w:ascii="Arial" w:cs="Arial" w:eastAsia="Arial" w:hAnsi="Arial"/>
                <w:sz w:val="11"/>
                <w:szCs w:val="11"/>
                <w:b w:val="1"/>
                <w:bCs w:val="1"/>
                <w:color w:val="auto"/>
              </w:rPr>
              <w:t>(Michael Call)</w:t>
            </w:r>
          </w:p>
        </w:tc>
      </w:tr>
      <w:tr>
        <w:trPr>
          <w:trHeight w:val="312"/>
        </w:trPr>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/s/</w:t>
            </w:r>
          </w:p>
        </w:tc>
        <w:tc>
          <w:tcPr>
            <w:tcW w:w="286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4"/>
                <w:szCs w:val="14"/>
                <w:color w:val="auto"/>
              </w:rPr>
              <w:t>CEES ‘t HART</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3"/>
          </w:tcPr>
          <w:p>
            <w:pPr>
              <w:jc w:val="center"/>
              <w:ind w:right="1980"/>
              <w:spacing w:after="0"/>
              <w:rPr>
                <w:sz w:val="20"/>
                <w:szCs w:val="20"/>
                <w:color w:val="auto"/>
              </w:rPr>
            </w:pPr>
            <w:r>
              <w:rPr>
                <w:rFonts w:ascii="Arial" w:cs="Arial" w:eastAsia="Arial" w:hAnsi="Arial"/>
                <w:sz w:val="11"/>
                <w:szCs w:val="11"/>
                <w:b w:val="1"/>
                <w:bCs w:val="1"/>
                <w:color w:val="auto"/>
              </w:rPr>
              <w:t>(Cees ‘t Hart)</w:t>
            </w:r>
          </w:p>
        </w:tc>
      </w:tr>
      <w:tr>
        <w:trPr>
          <w:trHeight w:val="187"/>
        </w:trPr>
        <w:tc>
          <w:tcPr>
            <w:tcW w:w="182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CHARLES E. BUNCH</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1800"/>
              <w:spacing w:after="0"/>
              <w:rPr>
                <w:sz w:val="20"/>
                <w:szCs w:val="20"/>
                <w:color w:val="auto"/>
              </w:rPr>
            </w:pPr>
            <w:r>
              <w:rPr>
                <w:rFonts w:ascii="Arial" w:cs="Arial" w:eastAsia="Arial" w:hAnsi="Arial"/>
                <w:sz w:val="11"/>
                <w:szCs w:val="11"/>
                <w:b w:val="1"/>
                <w:bCs w:val="1"/>
                <w:color w:val="auto"/>
              </w:rPr>
              <w:t>(Charles E. Bunch)</w:t>
            </w:r>
          </w:p>
        </w:tc>
      </w:tr>
      <w:tr>
        <w:trPr>
          <w:trHeight w:val="187"/>
        </w:trPr>
        <w:tc>
          <w:tcPr>
            <w:tcW w:w="1820" w:type="dxa"/>
            <w:vAlign w:val="bottom"/>
            <w:tcBorders>
              <w:bottom w:val="single" w:sz="8" w:color="auto"/>
            </w:tcBorders>
            <w:gridSpan w:val="2"/>
          </w:tcPr>
          <w:p>
            <w:pPr>
              <w:ind w:left="160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ERTHARIN COUSIN</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1820"/>
              <w:spacing w:after="0"/>
              <w:rPr>
                <w:sz w:val="20"/>
                <w:szCs w:val="20"/>
                <w:color w:val="auto"/>
              </w:rPr>
            </w:pPr>
            <w:r>
              <w:rPr>
                <w:rFonts w:ascii="Arial" w:cs="Arial" w:eastAsia="Arial" w:hAnsi="Arial"/>
                <w:sz w:val="11"/>
                <w:szCs w:val="11"/>
                <w:b w:val="1"/>
                <w:bCs w:val="1"/>
                <w:color w:val="auto"/>
              </w:rPr>
              <w:t>(Ertharin Cousin)</w:t>
            </w:r>
          </w:p>
        </w:tc>
      </w:tr>
      <w:tr>
        <w:trPr>
          <w:trHeight w:val="187"/>
        </w:trPr>
        <w:tc>
          <w:tcPr>
            <w:tcW w:w="1820" w:type="dxa"/>
            <w:vAlign w:val="bottom"/>
            <w:tcBorders>
              <w:bottom w:val="single" w:sz="8" w:color="auto"/>
            </w:tcBorders>
            <w:gridSpan w:val="2"/>
          </w:tcPr>
          <w:p>
            <w:pPr>
              <w:ind w:left="162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BRIAN MCNAMARA</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1800"/>
              <w:spacing w:after="0"/>
              <w:rPr>
                <w:sz w:val="20"/>
                <w:szCs w:val="20"/>
                <w:color w:val="auto"/>
              </w:rPr>
            </w:pPr>
            <w:r>
              <w:rPr>
                <w:rFonts w:ascii="Arial" w:cs="Arial" w:eastAsia="Arial" w:hAnsi="Arial"/>
                <w:sz w:val="11"/>
                <w:szCs w:val="11"/>
                <w:b w:val="1"/>
                <w:bCs w:val="1"/>
                <w:color w:val="auto"/>
              </w:rPr>
              <w:t>(Brian McNamara)</w:t>
            </w:r>
          </w:p>
        </w:tc>
      </w:tr>
      <w:tr>
        <w:trPr>
          <w:trHeight w:val="187"/>
        </w:trPr>
        <w:tc>
          <w:tcPr>
            <w:tcW w:w="182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4"/>
                <w:szCs w:val="14"/>
                <w:color w:val="auto"/>
              </w:rPr>
              <w:t>JORGE S. MESQUITA</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1800"/>
              <w:spacing w:after="0"/>
              <w:rPr>
                <w:sz w:val="20"/>
                <w:szCs w:val="20"/>
                <w:color w:val="auto"/>
              </w:rPr>
            </w:pPr>
            <w:r>
              <w:rPr>
                <w:rFonts w:ascii="Arial" w:cs="Arial" w:eastAsia="Arial" w:hAnsi="Arial"/>
                <w:sz w:val="11"/>
                <w:szCs w:val="11"/>
                <w:b w:val="1"/>
                <w:bCs w:val="1"/>
                <w:color w:val="auto"/>
              </w:rPr>
              <w:t>(Jorge S. Mesquita)</w:t>
            </w:r>
          </w:p>
        </w:tc>
      </w:tr>
      <w:tr>
        <w:trPr>
          <w:trHeight w:val="187"/>
        </w:trPr>
        <w:tc>
          <w:tcPr>
            <w:tcW w:w="164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w w:val="94"/>
              </w:rPr>
              <w:t>/s/</w:t>
            </w:r>
          </w:p>
        </w:tc>
        <w:tc>
          <w:tcPr>
            <w:tcW w:w="3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4"/>
                <w:szCs w:val="14"/>
                <w:color w:val="auto"/>
              </w:rPr>
              <w:t>ANINDITA MUKHERJEE</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1820"/>
              <w:spacing w:after="0"/>
              <w:rPr>
                <w:sz w:val="20"/>
                <w:szCs w:val="20"/>
                <w:color w:val="auto"/>
              </w:rPr>
            </w:pPr>
            <w:r>
              <w:rPr>
                <w:rFonts w:ascii="Arial" w:cs="Arial" w:eastAsia="Arial" w:hAnsi="Arial"/>
                <w:sz w:val="11"/>
                <w:szCs w:val="11"/>
                <w:b w:val="1"/>
                <w:bCs w:val="1"/>
                <w:color w:val="auto"/>
              </w:rPr>
              <w:t>(Anindita Mukherjee)</w:t>
            </w:r>
          </w:p>
        </w:tc>
      </w:tr>
      <w:tr>
        <w:trPr>
          <w:trHeight w:val="187"/>
        </w:trPr>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/s/</w:t>
            </w:r>
          </w:p>
        </w:tc>
        <w:tc>
          <w:tcPr>
            <w:tcW w:w="3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4"/>
                <w:szCs w:val="14"/>
                <w:color w:val="auto"/>
              </w:rPr>
              <w:t>JANE HAMILTON NIELSEN</w:t>
            </w:r>
          </w:p>
        </w:tc>
      </w:tr>
      <w:tr>
        <w:trPr>
          <w:trHeight w:val="148"/>
        </w:trPr>
        <w:tc>
          <w:tcPr>
            <w:tcW w:w="1640" w:type="dxa"/>
            <w:vAlign w:val="bottom"/>
          </w:tcPr>
          <w:p>
            <w:pPr>
              <w:spacing w:after="0"/>
              <w:rPr>
                <w:sz w:val="12"/>
                <w:szCs w:val="12"/>
                <w:color w:val="auto"/>
              </w:rPr>
            </w:pPr>
          </w:p>
        </w:tc>
        <w:tc>
          <w:tcPr>
            <w:tcW w:w="3200" w:type="dxa"/>
            <w:vAlign w:val="bottom"/>
            <w:gridSpan w:val="5"/>
          </w:tcPr>
          <w:p>
            <w:pPr>
              <w:jc w:val="center"/>
              <w:ind w:right="1620"/>
              <w:spacing w:after="0"/>
              <w:rPr>
                <w:sz w:val="20"/>
                <w:szCs w:val="20"/>
                <w:color w:val="auto"/>
              </w:rPr>
            </w:pPr>
            <w:r>
              <w:rPr>
                <w:rFonts w:ascii="Arial" w:cs="Arial" w:eastAsia="Arial" w:hAnsi="Arial"/>
                <w:sz w:val="11"/>
                <w:szCs w:val="11"/>
                <w:b w:val="1"/>
                <w:bCs w:val="1"/>
                <w:color w:val="auto"/>
              </w:rPr>
              <w:t>(Jane Hamilton Nielsen)</w:t>
            </w:r>
          </w:p>
        </w:tc>
      </w:tr>
      <w:tr>
        <w:trPr>
          <w:trHeight w:val="187"/>
        </w:trPr>
        <w:tc>
          <w:tcPr>
            <w:tcW w:w="1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w:t>
            </w:r>
          </w:p>
        </w:tc>
        <w:tc>
          <w:tcPr>
            <w:tcW w:w="286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4"/>
                <w:szCs w:val="14"/>
                <w:color w:val="auto"/>
              </w:rPr>
              <w:t>PAULA A. PRICE</w:t>
            </w:r>
          </w:p>
        </w:tc>
      </w:tr>
      <w:tr>
        <w:trPr>
          <w:trHeight w:val="148"/>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3"/>
          </w:tcPr>
          <w:p>
            <w:pPr>
              <w:jc w:val="center"/>
              <w:ind w:right="1980"/>
              <w:spacing w:after="0"/>
              <w:rPr>
                <w:sz w:val="20"/>
                <w:szCs w:val="20"/>
                <w:color w:val="auto"/>
              </w:rPr>
            </w:pPr>
            <w:r>
              <w:rPr>
                <w:rFonts w:ascii="Arial" w:cs="Arial" w:eastAsia="Arial" w:hAnsi="Arial"/>
                <w:sz w:val="11"/>
                <w:szCs w:val="11"/>
                <w:b w:val="1"/>
                <w:bCs w:val="1"/>
                <w:color w:val="auto"/>
              </w:rPr>
              <w:t>(Paula A. Price)</w:t>
            </w:r>
          </w:p>
        </w:tc>
      </w:tr>
      <w:tr>
        <w:trPr>
          <w:trHeight w:val="190"/>
        </w:trPr>
        <w:tc>
          <w:tcPr>
            <w:tcW w:w="1820" w:type="dxa"/>
            <w:vAlign w:val="bottom"/>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gridSpan w:val="4"/>
          </w:tcPr>
          <w:p>
            <w:pPr>
              <w:jc w:val="center"/>
              <w:ind w:right="1500"/>
              <w:spacing w:after="0"/>
              <w:rPr>
                <w:sz w:val="20"/>
                <w:szCs w:val="20"/>
                <w:color w:val="auto"/>
              </w:rPr>
            </w:pPr>
            <w:r>
              <w:rPr>
                <w:rFonts w:ascii="Arial" w:cs="Arial" w:eastAsia="Arial" w:hAnsi="Arial"/>
                <w:sz w:val="14"/>
                <w:szCs w:val="14"/>
                <w:color w:val="auto"/>
                <w:w w:val="99"/>
              </w:rPr>
              <w:t>PATRICK T. SIEWERT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306895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8">
                      <a:extLst>
                        <a:ext uri="{28A0092B-C50C-407E-A947-70E740481C1C}"/>
                      </a:extLst>
                    </a:blip>
                    <a:srcRect/>
                    <a:stretch>
                      <a:fillRect/>
                    </a:stretch>
                  </pic:blipFill>
                  <pic:spPr bwMode="auto">
                    <a:xfrm>
                      <a:off x="0" y="0"/>
                      <a:ext cx="3068955" cy="6985"/>
                    </a:xfrm>
                    <a:prstGeom prst="rect">
                      <a:avLst/>
                    </a:prstGeom>
                    <a:noFill/>
                  </pic:spPr>
                </pic:pic>
              </a:graphicData>
            </a:graphic>
          </wp:anchor>
        </w:drawing>
      </w:r>
    </w:p>
    <w:p>
      <w:pPr>
        <w:jc w:val="center"/>
        <w:ind w:right="720"/>
        <w:spacing w:after="0"/>
        <w:rPr>
          <w:sz w:val="20"/>
          <w:szCs w:val="20"/>
          <w:color w:val="auto"/>
        </w:rPr>
      </w:pPr>
      <w:r>
        <w:rPr>
          <w:rFonts w:ascii="Arial" w:cs="Arial" w:eastAsia="Arial" w:hAnsi="Arial"/>
          <w:sz w:val="11"/>
          <w:szCs w:val="11"/>
          <w:b w:val="1"/>
          <w:bCs w:val="1"/>
          <w:color w:val="auto"/>
        </w:rPr>
        <w:t>(Patrick T. Siewert)</w:t>
      </w:r>
    </w:p>
    <w:p>
      <w:pPr>
        <w:spacing w:after="0" w:line="31" w:lineRule="exact"/>
        <w:rPr>
          <w:sz w:val="20"/>
          <w:szCs w:val="20"/>
          <w:color w:val="auto"/>
        </w:rPr>
      </w:pPr>
    </w:p>
    <w:p>
      <w:pPr>
        <w:jc w:val="center"/>
        <w:ind w:right="720"/>
        <w:spacing w:after="0"/>
        <w:rPr>
          <w:sz w:val="20"/>
          <w:szCs w:val="20"/>
          <w:color w:val="auto"/>
        </w:rPr>
      </w:pPr>
      <w:r>
        <w:rPr>
          <w:rFonts w:ascii="Arial" w:cs="Arial" w:eastAsia="Arial" w:hAnsi="Arial"/>
          <w:sz w:val="14"/>
          <w:szCs w:val="14"/>
          <w:color w:val="auto"/>
        </w:rPr>
        <w:t>/s/ MICHAEL A. TODMAN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6895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9">
                      <a:extLst>
                        <a:ext uri="{28A0092B-C50C-407E-A947-70E740481C1C}"/>
                      </a:extLst>
                    </a:blip>
                    <a:srcRect/>
                    <a:stretch>
                      <a:fillRect/>
                    </a:stretch>
                  </pic:blipFill>
                  <pic:spPr bwMode="auto">
                    <a:xfrm>
                      <a:off x="0" y="0"/>
                      <a:ext cx="3068955" cy="6985"/>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1"/>
          <w:szCs w:val="11"/>
          <w:b w:val="1"/>
          <w:bCs w:val="1"/>
          <w:color w:val="auto"/>
        </w:rPr>
        <w:t>(Michael A. Todman)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1920" w:type="dxa"/>
            <w:vAlign w:val="bottom"/>
            <w:gridSpan w:val="2"/>
          </w:tcPr>
          <w:p>
            <w:pPr>
              <w:jc w:val="center"/>
              <w:ind w:right="1700"/>
              <w:spacing w:after="0"/>
              <w:rPr>
                <w:sz w:val="20"/>
                <w:szCs w:val="20"/>
                <w:color w:val="auto"/>
              </w:rPr>
            </w:pPr>
            <w:r>
              <w:rPr>
                <w:rFonts w:ascii="Arial" w:cs="Arial" w:eastAsia="Arial" w:hAnsi="Arial"/>
                <w:sz w:val="11"/>
                <w:szCs w:val="11"/>
                <w:b w:val="1"/>
                <w:bCs w:val="1"/>
                <w:color w:val="auto"/>
                <w:w w:val="97"/>
              </w:rPr>
              <w:t>Title</w:t>
            </w:r>
          </w:p>
        </w:tc>
        <w:tc>
          <w:tcPr>
            <w:tcW w:w="1920" w:type="dxa"/>
            <w:vAlign w:val="bottom"/>
            <w:gridSpan w:val="3"/>
          </w:tcPr>
          <w:p>
            <w:pPr>
              <w:jc w:val="center"/>
              <w:ind w:left="749"/>
              <w:spacing w:after="0"/>
              <w:rPr>
                <w:sz w:val="20"/>
                <w:szCs w:val="20"/>
                <w:color w:val="auto"/>
              </w:rPr>
            </w:pPr>
            <w:r>
              <w:rPr>
                <w:rFonts w:ascii="Arial" w:cs="Arial" w:eastAsia="Arial" w:hAnsi="Arial"/>
                <w:sz w:val="11"/>
                <w:szCs w:val="11"/>
                <w:b w:val="1"/>
                <w:bCs w:val="1"/>
                <w:color w:val="auto"/>
              </w:rPr>
              <w:t>Date</w:t>
            </w: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680" w:type="dxa"/>
            <w:vAlign w:val="bottom"/>
            <w:gridSpan w:val="3"/>
          </w:tcPr>
          <w:p>
            <w:pPr>
              <w:jc w:val="center"/>
              <w:ind w:right="840"/>
              <w:spacing w:after="0"/>
              <w:rPr>
                <w:sz w:val="20"/>
                <w:szCs w:val="20"/>
                <w:color w:val="auto"/>
              </w:rPr>
            </w:pPr>
            <w:r>
              <w:rPr>
                <w:rFonts w:ascii="Arial" w:cs="Arial" w:eastAsia="Arial" w:hAnsi="Arial"/>
                <w:sz w:val="14"/>
                <w:szCs w:val="14"/>
                <w:color w:val="auto"/>
              </w:rPr>
              <w:t>Director, Chair and</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190"/>
        </w:trPr>
        <w:tc>
          <w:tcPr>
            <w:tcW w:w="2680" w:type="dxa"/>
            <w:vAlign w:val="bottom"/>
            <w:gridSpan w:val="3"/>
          </w:tcPr>
          <w:p>
            <w:pPr>
              <w:jc w:val="center"/>
              <w:ind w:right="840"/>
              <w:spacing w:after="0"/>
              <w:rPr>
                <w:sz w:val="20"/>
                <w:szCs w:val="20"/>
                <w:color w:val="auto"/>
              </w:rPr>
            </w:pPr>
            <w:r>
              <w:rPr>
                <w:rFonts w:ascii="Arial" w:cs="Arial" w:eastAsia="Arial" w:hAnsi="Arial"/>
                <w:sz w:val="14"/>
                <w:szCs w:val="14"/>
                <w:color w:val="auto"/>
              </w:rPr>
              <w:t>Chief Executive Officer</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7"/>
        </w:trPr>
        <w:tc>
          <w:tcPr>
            <w:tcW w:w="2680" w:type="dxa"/>
            <w:vAlign w:val="bottom"/>
            <w:gridSpan w:val="3"/>
          </w:tcPr>
          <w:p>
            <w:pPr>
              <w:jc w:val="center"/>
              <w:ind w:right="820"/>
              <w:spacing w:after="0"/>
              <w:rPr>
                <w:sz w:val="20"/>
                <w:szCs w:val="20"/>
                <w:color w:val="auto"/>
              </w:rPr>
            </w:pPr>
            <w:r>
              <w:rPr>
                <w:rFonts w:ascii="Arial" w:cs="Arial" w:eastAsia="Arial" w:hAnsi="Arial"/>
                <w:sz w:val="14"/>
                <w:szCs w:val="14"/>
                <w:color w:val="auto"/>
              </w:rPr>
              <w:t>Executive Vice President and</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190"/>
        </w:trPr>
        <w:tc>
          <w:tcPr>
            <w:tcW w:w="2680" w:type="dxa"/>
            <w:vAlign w:val="bottom"/>
            <w:gridSpan w:val="3"/>
          </w:tcPr>
          <w:p>
            <w:pPr>
              <w:jc w:val="center"/>
              <w:ind w:right="840"/>
              <w:spacing w:after="0"/>
              <w:rPr>
                <w:sz w:val="20"/>
                <w:szCs w:val="20"/>
                <w:color w:val="auto"/>
              </w:rPr>
            </w:pPr>
            <w:r>
              <w:rPr>
                <w:rFonts w:ascii="Arial" w:cs="Arial" w:eastAsia="Arial" w:hAnsi="Arial"/>
                <w:sz w:val="14"/>
                <w:szCs w:val="14"/>
                <w:color w:val="auto"/>
              </w:rPr>
              <w:t>Chief Financial Officer</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7"/>
        </w:trPr>
        <w:tc>
          <w:tcPr>
            <w:tcW w:w="2680" w:type="dxa"/>
            <w:vAlign w:val="bottom"/>
            <w:gridSpan w:val="3"/>
          </w:tcPr>
          <w:p>
            <w:pPr>
              <w:jc w:val="center"/>
              <w:ind w:right="680"/>
              <w:spacing w:after="0"/>
              <w:rPr>
                <w:sz w:val="20"/>
                <w:szCs w:val="20"/>
                <w:color w:val="auto"/>
              </w:rPr>
            </w:pPr>
            <w:r>
              <w:rPr>
                <w:rFonts w:ascii="Arial" w:cs="Arial" w:eastAsia="Arial" w:hAnsi="Arial"/>
                <w:sz w:val="14"/>
                <w:szCs w:val="14"/>
                <w:color w:val="auto"/>
              </w:rPr>
              <w:t>Senior Vice President,</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140"/>
        </w:trPr>
        <w:tc>
          <w:tcPr>
            <w:tcW w:w="2680" w:type="dxa"/>
            <w:vAlign w:val="bottom"/>
            <w:gridSpan w:val="3"/>
          </w:tcPr>
          <w:p>
            <w:pPr>
              <w:jc w:val="center"/>
              <w:ind w:right="680"/>
              <w:spacing w:after="0" w:line="140" w:lineRule="exact"/>
              <w:rPr>
                <w:sz w:val="20"/>
                <w:szCs w:val="20"/>
                <w:color w:val="auto"/>
              </w:rPr>
            </w:pPr>
            <w:r>
              <w:rPr>
                <w:rFonts w:ascii="Arial" w:cs="Arial" w:eastAsia="Arial" w:hAnsi="Arial"/>
                <w:sz w:val="14"/>
                <w:szCs w:val="14"/>
                <w:color w:val="auto"/>
              </w:rPr>
              <w:t>Corporate Controller and</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90"/>
        </w:trPr>
        <w:tc>
          <w:tcPr>
            <w:tcW w:w="2680" w:type="dxa"/>
            <w:vAlign w:val="bottom"/>
            <w:gridSpan w:val="3"/>
          </w:tcPr>
          <w:p>
            <w:pPr>
              <w:jc w:val="center"/>
              <w:ind w:right="660"/>
              <w:spacing w:after="0"/>
              <w:rPr>
                <w:sz w:val="20"/>
                <w:szCs w:val="20"/>
                <w:color w:val="auto"/>
              </w:rPr>
            </w:pPr>
            <w:r>
              <w:rPr>
                <w:rFonts w:ascii="Arial" w:cs="Arial" w:eastAsia="Arial" w:hAnsi="Arial"/>
                <w:sz w:val="14"/>
                <w:szCs w:val="14"/>
                <w:color w:val="auto"/>
              </w:rPr>
              <w:t>Chief Accounting Officer</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2"/>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r>
        <w:trPr>
          <w:trHeight w:val="354"/>
        </w:trPr>
        <w:tc>
          <w:tcPr>
            <w:tcW w:w="2680" w:type="dxa"/>
            <w:vAlign w:val="bottom"/>
            <w:gridSpan w:val="3"/>
          </w:tcPr>
          <w:p>
            <w:pPr>
              <w:jc w:val="center"/>
              <w:ind w:right="94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749"/>
              <w:spacing w:after="0"/>
              <w:rPr>
                <w:sz w:val="20"/>
                <w:szCs w:val="20"/>
                <w:color w:val="auto"/>
              </w:rPr>
            </w:pPr>
            <w:r>
              <w:rPr>
                <w:rFonts w:ascii="Arial" w:cs="Arial" w:eastAsia="Arial" w:hAnsi="Arial"/>
                <w:sz w:val="14"/>
                <w:szCs w:val="14"/>
                <w:color w:val="auto"/>
              </w:rPr>
              <w:t>February 5, 2025</w:t>
            </w:r>
          </w:p>
        </w:tc>
      </w:tr>
    </w:tbl>
    <w:p>
      <w:pPr>
        <w:spacing w:after="0" w:line="336" w:lineRule="exact"/>
        <w:rPr>
          <w:sz w:val="20"/>
          <w:szCs w:val="20"/>
          <w:color w:val="auto"/>
        </w:rPr>
      </w:pPr>
    </w:p>
    <w:p>
      <w:pPr>
        <w:sectPr>
          <w:pgSz w:w="11900" w:h="16838" w:orient="portrait"/>
          <w:cols w:equalWidth="0" w:num="2">
            <w:col w:w="5560" w:space="720"/>
            <w:col w:w="5000"/>
          </w:cols>
          <w:pgMar w:left="300" w:top="126" w:right="31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-99060</wp:posOffset>
            </wp:positionV>
            <wp:extent cx="224790" cy="149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0">
                      <a:extLst>
                        <a:ext uri="{28A0092B-C50C-407E-A947-70E740481C1C}"/>
                      </a:extLst>
                    </a:blip>
                    <a:srcRect/>
                    <a:stretch>
                      <a:fillRect/>
                    </a:stretch>
                  </pic:blipFill>
                  <pic:spPr bwMode="auto">
                    <a:xfrm>
                      <a:off x="0" y="0"/>
                      <a:ext cx="224790" cy="14986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AMENDMENT TO THE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MONDELĒZ GLOBAL LLC SUPPLEMENTAL BENEFITS PLAN I</w:t>
      </w:r>
    </w:p>
    <w:p>
      <w:pPr>
        <w:spacing w:after="0" w:line="399" w:lineRule="exact"/>
        <w:rPr>
          <w:sz w:val="20"/>
          <w:szCs w:val="20"/>
          <w:color w:val="auto"/>
        </w:rPr>
      </w:pPr>
    </w:p>
    <w:p>
      <w:pPr>
        <w:ind w:firstLine="193"/>
        <w:spacing w:after="0" w:line="297" w:lineRule="auto"/>
        <w:rPr>
          <w:sz w:val="20"/>
          <w:szCs w:val="20"/>
          <w:color w:val="auto"/>
        </w:rPr>
      </w:pPr>
      <w:r>
        <w:rPr>
          <w:rFonts w:ascii="Times New Roman" w:cs="Times New Roman" w:eastAsia="Times New Roman" w:hAnsi="Times New Roman"/>
          <w:sz w:val="17"/>
          <w:szCs w:val="17"/>
          <w:color w:val="auto"/>
        </w:rPr>
        <w:t>WHEREAS, Mondelēz Global LLC (the “Company”) previously adopted the Mondelēz Global LLC Supplemental Benefits Plan I effective as of September 1, 2012, and amended once since then (the “Plan”); and</w:t>
      </w:r>
    </w:p>
    <w:p>
      <w:pPr>
        <w:spacing w:after="0" w:line="128" w:lineRule="exact"/>
        <w:rPr>
          <w:sz w:val="20"/>
          <w:szCs w:val="20"/>
          <w:color w:val="auto"/>
        </w:rPr>
      </w:pPr>
    </w:p>
    <w:p>
      <w:pPr>
        <w:ind w:firstLine="213"/>
        <w:spacing w:after="0" w:line="284" w:lineRule="auto"/>
        <w:rPr>
          <w:sz w:val="20"/>
          <w:szCs w:val="20"/>
          <w:color w:val="auto"/>
        </w:rPr>
      </w:pPr>
      <w:r>
        <w:rPr>
          <w:rFonts w:ascii="Times New Roman" w:cs="Times New Roman" w:eastAsia="Times New Roman" w:hAnsi="Times New Roman"/>
          <w:sz w:val="17"/>
          <w:szCs w:val="17"/>
          <w:color w:val="auto"/>
        </w:rPr>
        <w:t>WHEREAS, the Company and the Management Committee for Employee Benefits (the “MCEB”) may amend and terminate the Plan pursuant to Section 7.1 thereof; and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WHEREAS, the MCEB has approved the termination of the defined benefit arrangement under the Plan effective December 1, 2024; and</w:t>
      </w:r>
    </w:p>
    <w:p>
      <w:pPr>
        <w:spacing w:after="0" w:line="202" w:lineRule="exact"/>
        <w:rPr>
          <w:sz w:val="20"/>
          <w:szCs w:val="20"/>
          <w:color w:val="auto"/>
        </w:rPr>
      </w:pPr>
    </w:p>
    <w:p>
      <w:pPr>
        <w:ind w:firstLine="316"/>
        <w:spacing w:after="0" w:line="297" w:lineRule="auto"/>
        <w:rPr>
          <w:sz w:val="20"/>
          <w:szCs w:val="20"/>
          <w:color w:val="auto"/>
        </w:rPr>
      </w:pPr>
      <w:r>
        <w:rPr>
          <w:rFonts w:ascii="Times New Roman" w:cs="Times New Roman" w:eastAsia="Times New Roman" w:hAnsi="Times New Roman"/>
          <w:sz w:val="17"/>
          <w:szCs w:val="17"/>
          <w:color w:val="auto"/>
        </w:rPr>
        <w:t>WHEREAS, the MCEB previously delegated certain amendment authority with respect to the Plan to the Company’s North America Benefits and Global Wellbeing Lead (the “Delegatee”); and</w:t>
      </w:r>
    </w:p>
    <w:p>
      <w:pPr>
        <w:spacing w:after="0" w:line="139" w:lineRule="exact"/>
        <w:rPr>
          <w:sz w:val="20"/>
          <w:szCs w:val="20"/>
          <w:color w:val="auto"/>
        </w:rPr>
      </w:pPr>
    </w:p>
    <w:p>
      <w:pPr>
        <w:ind w:firstLine="235"/>
        <w:spacing w:after="0" w:line="284" w:lineRule="auto"/>
        <w:rPr>
          <w:sz w:val="20"/>
          <w:szCs w:val="20"/>
          <w:color w:val="auto"/>
        </w:rPr>
      </w:pPr>
      <w:r>
        <w:rPr>
          <w:rFonts w:ascii="Times New Roman" w:cs="Times New Roman" w:eastAsia="Times New Roman" w:hAnsi="Times New Roman"/>
          <w:sz w:val="17"/>
          <w:szCs w:val="17"/>
          <w:color w:val="auto"/>
        </w:rPr>
        <w:t>WHEREAS, the Delegatee desires to amend the Plan to confirm the treatment of the defined benefit portion of the Plan as a separate nonqualified deferred compensation plan or arrangement under Section 409A of the Code and make certain changes to reflect the termination of such portion of the Plan.</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NOW, THEREFORE, BE IT RESOLVED, effective as of December 1, 2024, the Plan is hereby amended as follows:</w:t>
      </w:r>
    </w:p>
    <w:p>
      <w:pPr>
        <w:spacing w:after="0" w:line="202" w:lineRule="exact"/>
        <w:rPr>
          <w:sz w:val="20"/>
          <w:szCs w:val="20"/>
          <w:color w:val="auto"/>
        </w:rPr>
      </w:pPr>
    </w:p>
    <w:p>
      <w:pPr>
        <w:ind w:left="1040" w:hanging="519"/>
        <w:spacing w:after="0"/>
        <w:tabs>
          <w:tab w:leader="none" w:pos="10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the Plan, “History, Purpose and Effective Date” is amended to add the following to the end thereof:</w:t>
      </w:r>
    </w:p>
    <w:p>
      <w:pPr>
        <w:spacing w:after="0" w:line="213"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Notwithstanding anything herein to the contrary, effective as of December 1, 2024, the portion of the Plan that reflects the defined benefit arrangement hereunder shall be terminated and all benefits related thereto shall be distributed in accordance with the requirements of Code Section 409A and guidance issued thereunder.</w:t>
      </w:r>
    </w:p>
    <w:p>
      <w:pPr>
        <w:spacing w:after="0" w:line="153"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7"/>
          <w:szCs w:val="17"/>
          <w:color w:val="auto"/>
        </w:rPr>
        <w:t>2.</w:t>
        <w:tab/>
        <w:t>Section 1.2 of the Plan, “Separate Programs,” is amended to add the following to the end thereof:</w:t>
      </w:r>
    </w:p>
    <w:p>
      <w:pPr>
        <w:spacing w:after="0" w:line="202"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7"/>
          <w:szCs w:val="17"/>
          <w:color w:val="auto"/>
        </w:rPr>
        <w:t>Notwithstanding anything herein to the contrary, the defined contribution arrangement and defined benefit arrangement under the Plan shall be considered separate nonqualified deferred compensation plans (as defined in Treasury Regulation 1.409A-1(a)) for purposes of Code Section 409A. The defined benefit arrangement is terminated as of December 1, 2024. All benefits under the defined benefit arrangement shall be paid in accordance with Code Section 409A and all applicable guidance thereunder.</w:t>
      </w:r>
    </w:p>
    <w:p>
      <w:pPr>
        <w:sectPr>
          <w:pgSz w:w="11900" w:h="16838" w:orient="portrait"/>
          <w:cols w:equalWidth="0" w:num="1">
            <w:col w:w="11280"/>
          </w:cols>
          <w:pgMar w:left="300" w:top="129" w:right="319" w:bottom="1440" w:gutter="0" w:footer="0" w:header="0"/>
        </w:sectPr>
      </w:pPr>
    </w:p>
    <w:bookmarkStart w:id="131" w:name="page132"/>
    <w:bookmarkEnd w:id="131"/>
    <w:p>
      <w:pPr>
        <w:jc w:val="both"/>
        <w:ind w:firstLine="515"/>
        <w:spacing w:after="0" w:line="269" w:lineRule="auto"/>
        <w:rPr>
          <w:sz w:val="20"/>
          <w:szCs w:val="20"/>
          <w:color w:val="auto"/>
        </w:rPr>
      </w:pPr>
      <w:r>
        <w:rPr>
          <w:rFonts w:ascii="Times New Roman" w:cs="Times New Roman" w:eastAsia="Times New Roman" w:hAnsi="Times New Roman"/>
          <w:sz w:val="17"/>
          <w:szCs w:val="17"/>
          <w:color w:val="auto"/>
        </w:rPr>
        <w:t>For an abundance of clarity, any benefits provided hereunder to a Former Cadbury Employee whose benefit is based on the cash balance formula under the Mondelēz Global LLC Retirement Savings Plan shall be considered a defined contribution benefit and continue to be maintained under the Plan as part of the defined contribution arrangement. For purposes of crediting interest on such accounts on and after December 1, 2024, the annual interest rate shall be fixed at 5.40%.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60" w:right="319" w:bottom="1440" w:gutter="0" w:footer="0" w:header="0"/>
        </w:sectPr>
      </w:pPr>
    </w:p>
    <w:bookmarkStart w:id="132" w:name="page133"/>
    <w:bookmarkEnd w:id="132"/>
    <w:p>
      <w:pPr>
        <w:ind w:left="180"/>
        <w:spacing w:after="0"/>
        <w:rPr>
          <w:sz w:val="20"/>
          <w:szCs w:val="20"/>
          <w:color w:val="auto"/>
        </w:rPr>
      </w:pPr>
      <w:r>
        <w:rPr>
          <w:rFonts w:ascii="Times New Roman" w:cs="Times New Roman" w:eastAsia="Times New Roman" w:hAnsi="Times New Roman"/>
          <w:sz w:val="17"/>
          <w:szCs w:val="17"/>
          <w:color w:val="auto"/>
        </w:rPr>
        <w:t>IN WITNESS WHEREOF, the Delegatee has caused this Second Amendment to be executed this 26th day of November, 2024.</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MONDELĒZ GLOBAL LLC</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/s/ Cindy Friman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Cindy Friman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 North American Benefits and Global Wellbeing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1354"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AMENDMENT TO THE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MONDELĒZ GLOBAL LLC SUPPLEMENTAL BENEFITS PLAN II</w:t>
      </w:r>
    </w:p>
    <w:p>
      <w:pPr>
        <w:spacing w:after="0" w:line="399" w:lineRule="exact"/>
        <w:rPr>
          <w:sz w:val="20"/>
          <w:szCs w:val="20"/>
          <w:color w:val="auto"/>
        </w:rPr>
      </w:pPr>
    </w:p>
    <w:p>
      <w:pPr>
        <w:ind w:firstLine="181"/>
        <w:spacing w:after="0" w:line="297" w:lineRule="auto"/>
        <w:rPr>
          <w:sz w:val="20"/>
          <w:szCs w:val="20"/>
          <w:color w:val="auto"/>
        </w:rPr>
      </w:pPr>
      <w:r>
        <w:rPr>
          <w:rFonts w:ascii="Times New Roman" w:cs="Times New Roman" w:eastAsia="Times New Roman" w:hAnsi="Times New Roman"/>
          <w:sz w:val="17"/>
          <w:szCs w:val="17"/>
          <w:color w:val="auto"/>
        </w:rPr>
        <w:t>WHEREAS, Mondelēz Global LLC (the “Company”) previously adopted the Mondelēz Global LLC Supplemental Benefits Plan II effective as of September 1, 2012, and amended once since then (the “Plan”); and</w:t>
      </w:r>
    </w:p>
    <w:p>
      <w:pPr>
        <w:spacing w:after="0" w:line="128" w:lineRule="exact"/>
        <w:rPr>
          <w:sz w:val="20"/>
          <w:szCs w:val="20"/>
          <w:color w:val="auto"/>
        </w:rPr>
      </w:pPr>
    </w:p>
    <w:p>
      <w:pPr>
        <w:ind w:firstLine="213"/>
        <w:spacing w:after="0" w:line="284" w:lineRule="auto"/>
        <w:rPr>
          <w:sz w:val="20"/>
          <w:szCs w:val="20"/>
          <w:color w:val="auto"/>
        </w:rPr>
      </w:pPr>
      <w:r>
        <w:rPr>
          <w:rFonts w:ascii="Times New Roman" w:cs="Times New Roman" w:eastAsia="Times New Roman" w:hAnsi="Times New Roman"/>
          <w:sz w:val="17"/>
          <w:szCs w:val="17"/>
          <w:color w:val="auto"/>
        </w:rPr>
        <w:t>WHEREAS, the Company and the Management Committee for Employee Benefits (the “MCEB”) may amend and terminate the Plan pursuant to Section 7.1 thereof; and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WHEREAS, the MCEB has approved the termination of the defined benefit arrangement under the Plan effective December 1, 2024; and</w:t>
      </w:r>
    </w:p>
    <w:p>
      <w:pPr>
        <w:spacing w:after="0" w:line="202" w:lineRule="exact"/>
        <w:rPr>
          <w:sz w:val="20"/>
          <w:szCs w:val="20"/>
          <w:color w:val="auto"/>
        </w:rPr>
      </w:pPr>
    </w:p>
    <w:p>
      <w:pPr>
        <w:ind w:firstLine="316"/>
        <w:spacing w:after="0" w:line="297" w:lineRule="auto"/>
        <w:rPr>
          <w:sz w:val="20"/>
          <w:szCs w:val="20"/>
          <w:color w:val="auto"/>
        </w:rPr>
      </w:pPr>
      <w:r>
        <w:rPr>
          <w:rFonts w:ascii="Times New Roman" w:cs="Times New Roman" w:eastAsia="Times New Roman" w:hAnsi="Times New Roman"/>
          <w:sz w:val="17"/>
          <w:szCs w:val="17"/>
          <w:color w:val="auto"/>
        </w:rPr>
        <w:t>WHEREAS, the MCEB previously delegated certain amendment authority with respect to the Plan to the Company’s North America Benefits and Global Wellbeing Lead (the “Delegatee”); and</w:t>
      </w:r>
    </w:p>
    <w:p>
      <w:pPr>
        <w:spacing w:after="0" w:line="139" w:lineRule="exact"/>
        <w:rPr>
          <w:sz w:val="20"/>
          <w:szCs w:val="20"/>
          <w:color w:val="auto"/>
        </w:rPr>
      </w:pPr>
    </w:p>
    <w:p>
      <w:pPr>
        <w:ind w:firstLine="235"/>
        <w:spacing w:after="0" w:line="284" w:lineRule="auto"/>
        <w:rPr>
          <w:sz w:val="20"/>
          <w:szCs w:val="20"/>
          <w:color w:val="auto"/>
        </w:rPr>
      </w:pPr>
      <w:r>
        <w:rPr>
          <w:rFonts w:ascii="Times New Roman" w:cs="Times New Roman" w:eastAsia="Times New Roman" w:hAnsi="Times New Roman"/>
          <w:sz w:val="17"/>
          <w:szCs w:val="17"/>
          <w:color w:val="auto"/>
        </w:rPr>
        <w:t>WHEREAS, the Delegatee desires to amend the Plan to confirm the treatment of the defined benefit portion of the Plan as a separate nonqualified deferred compensation plan or arrangement under Section 409A of the Code and make certain changes to reflect the termination of such portion of the Plan.</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NOW, THEREFORE, BE IT RESOLVED, effective as of December 1, 2024, the Plan is hereby amended as follows:</w:t>
      </w:r>
    </w:p>
    <w:p>
      <w:pPr>
        <w:spacing w:after="0" w:line="202" w:lineRule="exact"/>
        <w:rPr>
          <w:sz w:val="20"/>
          <w:szCs w:val="20"/>
          <w:color w:val="auto"/>
        </w:rPr>
      </w:pPr>
    </w:p>
    <w:p>
      <w:pPr>
        <w:ind w:left="1040" w:hanging="519"/>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the Plan, “History, Purpose and Effective Date” is amended to add the following to the end thereof:</w:t>
      </w:r>
    </w:p>
    <w:p>
      <w:pPr>
        <w:spacing w:after="0" w:line="213"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Notwithstanding anything herein to the contrary, effective as of December 1, 2024, the portion of the Plan that reflects the defined benefit arrangement hereunder shall be terminated and all benefits related thereto shall be distributed in accordance with the requirements of Code Section 409A and guidance issued thereunder.</w:t>
      </w:r>
    </w:p>
    <w:p>
      <w:pPr>
        <w:spacing w:after="0" w:line="153"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7"/>
          <w:szCs w:val="17"/>
          <w:color w:val="auto"/>
        </w:rPr>
        <w:t>2.</w:t>
        <w:tab/>
        <w:t>Section 1.12 of the Plan, “Separate Programs,” is amended to add the following to the end thereof:</w:t>
      </w:r>
    </w:p>
    <w:p>
      <w:pPr>
        <w:spacing w:after="0" w:line="202"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7"/>
          <w:szCs w:val="17"/>
          <w:color w:val="auto"/>
        </w:rPr>
        <w:t>Notwithstanding anything herein to the contrary, the defined contribution arrangement and defined benefit arrangement under the Plan shall be considered separate nonqualified deferred compensation plans (as defined in Treasury Regulation 1.409A-1(a)) for purposes of Code Section 409A. The defined benefit arrangement is terminated as of December 1, 2024. All benefits under the defined benefit arrangement shall be paid in accordance with Code Section 409A and all applicable guidance thereunder.</w:t>
      </w:r>
    </w:p>
    <w:p>
      <w:pPr>
        <w:sectPr>
          <w:pgSz w:w="11900" w:h="16838" w:orient="portrait"/>
          <w:cols w:equalWidth="0" w:num="1">
            <w:col w:w="11280"/>
          </w:cols>
          <w:pgMar w:left="300" w:top="129" w:right="319" w:bottom="1440" w:gutter="0" w:footer="0" w:header="0"/>
        </w:sectPr>
      </w:pPr>
    </w:p>
    <w:bookmarkStart w:id="134" w:name="page135"/>
    <w:bookmarkEnd w:id="134"/>
    <w:p>
      <w:pPr>
        <w:jc w:val="both"/>
        <w:ind w:firstLine="515"/>
        <w:spacing w:after="0" w:line="269" w:lineRule="auto"/>
        <w:rPr>
          <w:sz w:val="20"/>
          <w:szCs w:val="20"/>
          <w:color w:val="auto"/>
        </w:rPr>
      </w:pPr>
      <w:r>
        <w:rPr>
          <w:rFonts w:ascii="Times New Roman" w:cs="Times New Roman" w:eastAsia="Times New Roman" w:hAnsi="Times New Roman"/>
          <w:sz w:val="17"/>
          <w:szCs w:val="17"/>
          <w:color w:val="auto"/>
        </w:rPr>
        <w:t>For an abundance of clarity, any benefits provided hereunder to a Former Cadbury Employee whose benefit is based on the cash balance formula under the Mondelēz Global LLC Retirement Savings Plan shall be considered a defined contribution benefit and continue to be maintained under the Plan as part of the defined contribution arrangement. For purposes of crediting interest on such accounts on and after December 1, 2024, the annual interest rate shall be fixed at 5.40%.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60" w:right="319" w:bottom="1440" w:gutter="0" w:footer="0" w:header="0"/>
        </w:sectPr>
      </w:pPr>
    </w:p>
    <w:bookmarkStart w:id="135" w:name="page136"/>
    <w:bookmarkEnd w:id="135"/>
    <w:p>
      <w:pPr>
        <w:ind w:left="180"/>
        <w:spacing w:after="0"/>
        <w:rPr>
          <w:sz w:val="20"/>
          <w:szCs w:val="20"/>
          <w:color w:val="auto"/>
        </w:rPr>
      </w:pPr>
      <w:r>
        <w:rPr>
          <w:rFonts w:ascii="Times New Roman" w:cs="Times New Roman" w:eastAsia="Times New Roman" w:hAnsi="Times New Roman"/>
          <w:sz w:val="17"/>
          <w:szCs w:val="17"/>
          <w:color w:val="auto"/>
        </w:rPr>
        <w:t>IN WITNESS WHEREOF, the Delegatee has caused this Second Amendment to be executed this 26th day of November, 2024.</w:t>
      </w:r>
    </w:p>
    <w:p>
      <w:pPr>
        <w:spacing w:after="0" w:line="2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MONDELĒZ GLOBAL LLC</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By: /s/ Cindy Friman</w:t>
      </w:r>
    </w:p>
    <w:p>
      <w:pPr>
        <w:spacing w:after="0" w:line="2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Name: Cindy Friman</w:t>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North American Benefits and Global Wellbeing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1354" w:right="1440" w:bottom="1440" w:gutter="0" w:footer="0" w:header="0"/>
        </w:sectPr>
      </w:pPr>
    </w:p>
    <w:bookmarkStart w:id="136" w:name="page137"/>
    <w:bookmarkEnd w:id="136"/>
    <w:p>
      <w:pPr>
        <w:ind w:left="10380"/>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126365</wp:posOffset>
            </wp:positionV>
            <wp:extent cx="1043305" cy="388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1">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mondelezinternational.com</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PRIVATE AND CONFIDENTIAL</w:t>
      </w:r>
    </w:p>
    <w:p>
      <w:pPr>
        <w:spacing w:after="0" w:line="30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Ms. Stephanie Lilak</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November 30, 2023</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OFFER LETTER</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Dear Stephanie,</w:t>
      </w:r>
    </w:p>
    <w:p>
      <w:pPr>
        <w:spacing w:after="0" w:line="213" w:lineRule="exact"/>
        <w:rPr>
          <w:sz w:val="20"/>
          <w:szCs w:val="20"/>
          <w:color w:val="auto"/>
        </w:rPr>
      </w:pPr>
    </w:p>
    <w:p>
      <w:pPr>
        <w:jc w:val="both"/>
        <w:ind w:left="100" w:right="80"/>
        <w:spacing w:after="0" w:line="262" w:lineRule="auto"/>
        <w:rPr>
          <w:sz w:val="20"/>
          <w:szCs w:val="20"/>
          <w:color w:val="auto"/>
        </w:rPr>
      </w:pPr>
      <w:r>
        <w:rPr>
          <w:rFonts w:ascii="Arial" w:cs="Arial" w:eastAsia="Arial" w:hAnsi="Arial"/>
          <w:sz w:val="17"/>
          <w:szCs w:val="17"/>
          <w:color w:val="auto"/>
        </w:rPr>
        <w:t>I am very pleased to provide you with this offer letter setting forth the terms of your offer of employment (“Offer Letter”). It confirms the verbal offer previously extended to you for the position of EVP &amp; Chief People Officer, Mondelēz International, Inc. (the “Company”) reporting to Dirk Van de Put, Chairman and CEO. Your principal office will be located in our Fulton Market-Chicago, Illinois office. Your employment commencement date will be as soon as mutually agreed.</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Your annualized target compensation opportunity will be as follows: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Annualized Compensation (Target Opportunity)</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2980" w:type="dxa"/>
            <w:vAlign w:val="bottom"/>
          </w:tcPr>
          <w:p>
            <w:pPr>
              <w:ind w:left="20"/>
              <w:spacing w:after="0"/>
              <w:rPr>
                <w:sz w:val="20"/>
                <w:szCs w:val="20"/>
                <w:color w:val="auto"/>
              </w:rPr>
            </w:pPr>
            <w:r>
              <w:rPr>
                <w:rFonts w:ascii="Arial" w:cs="Arial" w:eastAsia="Arial" w:hAnsi="Arial"/>
                <w:sz w:val="17"/>
                <w:szCs w:val="17"/>
                <w:color w:val="auto"/>
              </w:rPr>
              <w:t>Annual Base Salary  $675,000</w:t>
            </w:r>
          </w:p>
        </w:tc>
        <w:tc>
          <w:tcPr>
            <w:tcW w:w="3280" w:type="dxa"/>
            <w:vAlign w:val="bottom"/>
          </w:tcPr>
          <w:p>
            <w:pPr>
              <w:spacing w:after="0"/>
              <w:rPr>
                <w:sz w:val="19"/>
                <w:szCs w:val="19"/>
                <w:color w:val="auto"/>
              </w:rPr>
            </w:pPr>
          </w:p>
        </w:tc>
      </w:tr>
      <w:tr>
        <w:trPr>
          <w:trHeight w:val="397"/>
        </w:trPr>
        <w:tc>
          <w:tcPr>
            <w:tcW w:w="2980" w:type="dxa"/>
            <w:vAlign w:val="bottom"/>
          </w:tcPr>
          <w:p>
            <w:pPr>
              <w:ind w:left="20"/>
              <w:spacing w:after="0"/>
              <w:rPr>
                <w:sz w:val="20"/>
                <w:szCs w:val="20"/>
                <w:color w:val="auto"/>
              </w:rPr>
            </w:pPr>
            <w:r>
              <w:rPr>
                <w:rFonts w:ascii="Arial" w:cs="Arial" w:eastAsia="Arial" w:hAnsi="Arial"/>
                <w:sz w:val="17"/>
                <w:szCs w:val="17"/>
                <w:color w:val="auto"/>
              </w:rPr>
              <w:t>Annual Incentive Plan (Target - 90%*)</w:t>
            </w:r>
          </w:p>
        </w:tc>
        <w:tc>
          <w:tcPr>
            <w:tcW w:w="3280" w:type="dxa"/>
            <w:vAlign w:val="bottom"/>
          </w:tcPr>
          <w:p>
            <w:pPr>
              <w:jc w:val="right"/>
              <w:ind w:right="2434"/>
              <w:spacing w:after="0"/>
              <w:rPr>
                <w:sz w:val="20"/>
                <w:szCs w:val="20"/>
                <w:color w:val="auto"/>
              </w:rPr>
            </w:pPr>
            <w:r>
              <w:rPr>
                <w:rFonts w:ascii="Arial" w:cs="Arial" w:eastAsia="Arial" w:hAnsi="Arial"/>
                <w:sz w:val="17"/>
                <w:szCs w:val="17"/>
                <w:color w:val="auto"/>
              </w:rPr>
              <w:t>$607,500</w:t>
            </w:r>
          </w:p>
        </w:tc>
      </w:tr>
      <w:tr>
        <w:trPr>
          <w:trHeight w:val="494"/>
        </w:trPr>
        <w:tc>
          <w:tcPr>
            <w:tcW w:w="6260" w:type="dxa"/>
            <w:vAlign w:val="bottom"/>
            <w:gridSpan w:val="2"/>
          </w:tcPr>
          <w:p>
            <w:pPr>
              <w:spacing w:after="0"/>
              <w:rPr>
                <w:sz w:val="20"/>
                <w:szCs w:val="20"/>
                <w:color w:val="auto"/>
              </w:rPr>
            </w:pPr>
            <w:r>
              <w:rPr>
                <w:rFonts w:ascii="Arial" w:cs="Arial" w:eastAsia="Arial" w:hAnsi="Arial"/>
                <w:sz w:val="17"/>
                <w:szCs w:val="17"/>
                <w:color w:val="auto"/>
              </w:rPr>
              <w:t>Target Annual Long-Term Incentive Range**  $1,200,000 - $1,500,000 - $800,000</w:t>
            </w:r>
          </w:p>
        </w:tc>
      </w:tr>
      <w:tr>
        <w:trPr>
          <w:trHeight w:val="279"/>
        </w:trPr>
        <w:tc>
          <w:tcPr>
            <w:tcW w:w="2980" w:type="dxa"/>
            <w:vAlign w:val="bottom"/>
          </w:tcPr>
          <w:p>
            <w:pPr>
              <w:spacing w:after="0"/>
              <w:rPr>
                <w:sz w:val="20"/>
                <w:szCs w:val="20"/>
                <w:color w:val="auto"/>
              </w:rPr>
            </w:pPr>
            <w:r>
              <w:rPr>
                <w:rFonts w:ascii="Arial" w:cs="Arial" w:eastAsia="Arial" w:hAnsi="Arial"/>
                <w:sz w:val="17"/>
                <w:szCs w:val="17"/>
                <w:color w:val="auto"/>
                <w:w w:val="99"/>
              </w:rPr>
              <w:t>Total Target Compensation Opportunity</w:t>
            </w:r>
          </w:p>
        </w:tc>
        <w:tc>
          <w:tcPr>
            <w:tcW w:w="3280" w:type="dxa"/>
            <w:vAlign w:val="bottom"/>
          </w:tcPr>
          <w:p>
            <w:pPr>
              <w:jc w:val="right"/>
              <w:ind w:right="194"/>
              <w:spacing w:after="0"/>
              <w:rPr>
                <w:sz w:val="20"/>
                <w:szCs w:val="20"/>
                <w:color w:val="auto"/>
              </w:rPr>
            </w:pPr>
            <w:r>
              <w:rPr>
                <w:rFonts w:ascii="Arial" w:cs="Arial" w:eastAsia="Arial" w:hAnsi="Arial"/>
                <w:sz w:val="17"/>
                <w:szCs w:val="17"/>
                <w:color w:val="auto"/>
              </w:rPr>
              <w:t>$2,482,500 - $2,782,500 - $3,082,500</w:t>
            </w:r>
          </w:p>
        </w:tc>
      </w:tr>
    </w:tbl>
    <w:p>
      <w:pPr>
        <w:spacing w:after="0" w:line="14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Your Annual Base Salary will be subject to an annual review by the Board and adjustment in the Board’s sole discretion. The next annual review will be in 2025.</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Target as a percent of Annual Base Salary.</w:t>
      </w:r>
    </w:p>
    <w:p>
      <w:pPr>
        <w:spacing w:after="0" w:line="205" w:lineRule="exact"/>
        <w:rPr>
          <w:sz w:val="20"/>
          <w:szCs w:val="20"/>
          <w:color w:val="auto"/>
        </w:rPr>
      </w:pPr>
    </w:p>
    <w:p>
      <w:pPr>
        <w:ind w:left="100" w:right="80" w:hanging="9"/>
        <w:spacing w:after="0" w:line="272" w:lineRule="auto"/>
        <w:tabs>
          <w:tab w:leader="none" w:pos="228"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280"/>
          </w:cols>
          <w:pgMar w:left="300" w:top="284" w:right="319" w:bottom="1440" w:gutter="0" w:footer="0" w:header="0"/>
        </w:sectPr>
      </w:pPr>
    </w:p>
    <w:bookmarkStart w:id="137" w:name="page138"/>
    <w:bookmarkEnd w:id="137"/>
    <w:p>
      <w:pPr>
        <w:ind w:left="10300"/>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1043305" cy="388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2">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mondelezinternational.com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Annual Incentive Plan</w:t>
      </w:r>
    </w:p>
    <w:p>
      <w:pPr>
        <w:spacing w:after="0" w:line="204" w:lineRule="exact"/>
        <w:rPr>
          <w:sz w:val="20"/>
          <w:szCs w:val="20"/>
          <w:color w:val="auto"/>
        </w:rPr>
      </w:pPr>
    </w:p>
    <w:p>
      <w:pPr>
        <w:jc w:val="both"/>
        <w:ind w:left="20" w:right="80"/>
        <w:spacing w:after="0" w:line="262" w:lineRule="auto"/>
        <w:rPr>
          <w:sz w:val="20"/>
          <w:szCs w:val="20"/>
          <w:color w:val="auto"/>
        </w:rPr>
      </w:pPr>
      <w:r>
        <w:rPr>
          <w:rFonts w:ascii="Arial" w:cs="Arial" w:eastAsia="Arial" w:hAnsi="Arial"/>
          <w:sz w:val="17"/>
          <w:szCs w:val="17"/>
          <w:color w:val="auto"/>
        </w:rPr>
        <w:t>You will be eligible to participate in the Mondelēz International Management Incentive Plan (the “MIP”), the Company’s annual incentive program. Your target award opportunity under the MIP is equal to 90% of your Annual Base Salary. The actual amount you receive may be lower or higher, depending on the Company’s overall financial and strategic performance during the year. The maximum award under this program for 2024 is 200% of your target opportunity. The Company reserves the right to change the maximum award annually.</w:t>
      </w:r>
    </w:p>
    <w:p>
      <w:pPr>
        <w:spacing w:after="0" w:line="167" w:lineRule="exact"/>
        <w:rPr>
          <w:sz w:val="20"/>
          <w:szCs w:val="20"/>
          <w:color w:val="auto"/>
        </w:rPr>
      </w:pPr>
    </w:p>
    <w:p>
      <w:pPr>
        <w:jc w:val="both"/>
        <w:ind w:left="20" w:right="80"/>
        <w:spacing w:after="0" w:line="287" w:lineRule="auto"/>
        <w:rPr>
          <w:sz w:val="20"/>
          <w:szCs w:val="20"/>
          <w:color w:val="auto"/>
        </w:rPr>
      </w:pPr>
      <w:r>
        <w:rPr>
          <w:rFonts w:ascii="Arial" w:cs="Arial" w:eastAsia="Arial" w:hAnsi="Arial"/>
          <w:sz w:val="17"/>
          <w:szCs w:val="17"/>
          <w:color w:val="auto"/>
        </w:rPr>
        <w:t>You will be eligible for the 2024 MIP plan year ending on December 31, 2024. Your actual award will be determined based on the Company’s actual overall financial and strategic performance for the full 2024 plan year.</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Long-Term Incentives (Annual Equity Program)</w:t>
      </w:r>
    </w:p>
    <w:p>
      <w:pPr>
        <w:spacing w:after="0" w:line="215" w:lineRule="exact"/>
        <w:rPr>
          <w:sz w:val="20"/>
          <w:szCs w:val="20"/>
          <w:color w:val="auto"/>
        </w:rPr>
      </w:pPr>
    </w:p>
    <w:p>
      <w:pPr>
        <w:jc w:val="both"/>
        <w:ind w:left="20" w:right="80"/>
        <w:spacing w:after="0" w:line="259" w:lineRule="auto"/>
        <w:rPr>
          <w:sz w:val="20"/>
          <w:szCs w:val="20"/>
          <w:color w:val="auto"/>
        </w:rPr>
      </w:pPr>
      <w:r>
        <w:rPr>
          <w:rFonts w:ascii="Arial" w:cs="Arial" w:eastAsia="Arial" w:hAnsi="Arial"/>
          <w:sz w:val="17"/>
          <w:szCs w:val="17"/>
          <w:color w:val="auto"/>
        </w:rPr>
        <w:t>You will be eligible to fully participate in the Company’s annual equity program. Equity grants are typically made annually in February. For 2024, you will receive a $1,500,000 equity grant, 75% of the grant value will be in performance share units (“PSUs”) and 25% of the grant value will be in stock options (with the actual number of shares, units, or options based on the closing stock price on date of grant). These performance share units and stock options will be subject to the terms and conditions set forth in the Plan and the Company’s standard Global Long-Term Incentive Agreements as in effect on the date hereof.</w:t>
      </w:r>
    </w:p>
    <w:p>
      <w:pPr>
        <w:spacing w:after="0" w:line="159" w:lineRule="exact"/>
        <w:rPr>
          <w:sz w:val="20"/>
          <w:szCs w:val="20"/>
          <w:color w:val="auto"/>
        </w:rPr>
      </w:pPr>
    </w:p>
    <w:p>
      <w:pPr>
        <w:jc w:val="both"/>
        <w:ind w:left="20" w:right="80"/>
        <w:spacing w:after="0" w:line="275" w:lineRule="auto"/>
        <w:rPr>
          <w:sz w:val="20"/>
          <w:szCs w:val="20"/>
          <w:color w:val="auto"/>
        </w:rPr>
      </w:pPr>
      <w:r>
        <w:rPr>
          <w:rFonts w:ascii="Arial" w:cs="Arial" w:eastAsia="Arial" w:hAnsi="Arial"/>
          <w:sz w:val="17"/>
          <w:szCs w:val="17"/>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Sign-On Awards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part of your offer of employment, you will receive:</w:t>
      </w:r>
    </w:p>
    <w:p>
      <w:pPr>
        <w:spacing w:after="0" w:line="202" w:lineRule="exact"/>
        <w:rPr>
          <w:sz w:val="20"/>
          <w:szCs w:val="20"/>
          <w:color w:val="auto"/>
        </w:rPr>
      </w:pPr>
    </w:p>
    <w:p>
      <w:pPr>
        <w:ind w:left="260" w:hanging="249"/>
        <w:spacing w:after="0"/>
        <w:tabs>
          <w:tab w:leader="none" w:pos="26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Sign-on cash awards with a value of $1,500,000 awarded as follows:</w:t>
      </w:r>
    </w:p>
    <w:p>
      <w:pPr>
        <w:spacing w:after="0" w:line="23" w:lineRule="exact"/>
        <w:rPr>
          <w:rFonts w:ascii="Times New Roman" w:cs="Times New Roman" w:eastAsia="Times New Roman" w:hAnsi="Times New Roman"/>
          <w:sz w:val="17"/>
          <w:szCs w:val="17"/>
          <w:color w:val="auto"/>
        </w:rPr>
      </w:pPr>
    </w:p>
    <w:p>
      <w:pPr>
        <w:ind w:left="1040" w:hanging="255"/>
        <w:spacing w:after="0" w:line="237" w:lineRule="auto"/>
        <w:tabs>
          <w:tab w:leader="none" w:pos="10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$350,000 – payable within 30 days of your hire date (subject to a two-year repayment)</w:t>
      </w:r>
    </w:p>
    <w:p>
      <w:pPr>
        <w:ind w:left="1040" w:hanging="255"/>
        <w:spacing w:after="0"/>
        <w:tabs>
          <w:tab w:leader="none" w:pos="10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$900,000 – payable within 8 months of your hire date</w:t>
      </w:r>
    </w:p>
    <w:p>
      <w:pPr>
        <w:spacing w:after="0" w:line="8" w:lineRule="exact"/>
        <w:rPr>
          <w:rFonts w:ascii="Arial" w:cs="Arial" w:eastAsia="Arial" w:hAnsi="Arial"/>
          <w:sz w:val="17"/>
          <w:szCs w:val="17"/>
          <w:color w:val="auto"/>
        </w:rPr>
      </w:pPr>
    </w:p>
    <w:p>
      <w:pPr>
        <w:ind w:left="1040" w:hanging="255"/>
        <w:spacing w:after="0"/>
        <w:tabs>
          <w:tab w:leader="none" w:pos="10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$250,000 – payable within 30 days of your one-year anniversary date (subject to a two-year repayment)</w:t>
      </w:r>
    </w:p>
    <w:p>
      <w:pPr>
        <w:spacing w:after="0" w:line="196" w:lineRule="exact"/>
        <w:rPr>
          <w:rFonts w:ascii="Arial" w:cs="Arial" w:eastAsia="Arial" w:hAnsi="Arial"/>
          <w:sz w:val="17"/>
          <w:szCs w:val="17"/>
          <w:color w:val="auto"/>
        </w:rPr>
      </w:pPr>
    </w:p>
    <w:p>
      <w:pPr>
        <w:ind w:left="260" w:hanging="184"/>
        <w:spacing w:after="0"/>
        <w:tabs>
          <w:tab w:leader="none" w:pos="260" w:val="left"/>
        </w:tabs>
        <w:numPr>
          <w:ilvl w:val="1"/>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Sign-on equity grants with a value of $1,500,000. The equity grants will be awarded as follows:</w:t>
      </w:r>
    </w:p>
    <w:p>
      <w:pPr>
        <w:spacing w:after="0" w:line="23" w:lineRule="exact"/>
        <w:rPr>
          <w:rFonts w:ascii="Times New Roman" w:cs="Times New Roman" w:eastAsia="Times New Roman" w:hAnsi="Times New Roman"/>
          <w:sz w:val="17"/>
          <w:szCs w:val="17"/>
          <w:color w:val="auto"/>
        </w:rPr>
      </w:pPr>
    </w:p>
    <w:p>
      <w:pPr>
        <w:jc w:val="both"/>
        <w:ind w:left="1040" w:right="80" w:hanging="255"/>
        <w:spacing w:after="0" w:line="265" w:lineRule="auto"/>
        <w:tabs>
          <w:tab w:leader="none" w:pos="1033" w:val="left"/>
        </w:tabs>
        <w:numPr>
          <w:ilvl w:val="2"/>
          <w:numId w:val="56"/>
        </w:numPr>
        <w:rPr>
          <w:rFonts w:ascii="Arial" w:cs="Arial" w:eastAsia="Arial" w:hAnsi="Arial"/>
          <w:sz w:val="17"/>
          <w:szCs w:val="17"/>
          <w:color w:val="auto"/>
        </w:rPr>
      </w:pPr>
      <w:r>
        <w:rPr>
          <w:rFonts w:ascii="Arial" w:cs="Arial" w:eastAsia="Arial" w:hAnsi="Arial"/>
          <w:sz w:val="17"/>
          <w:szCs w:val="17"/>
          <w:color w:val="auto"/>
        </w:rPr>
        <w:t>$100,000 – You will be granted performance share units (“PSUs”) under our 2022-2024 performance cycle. The number of units granted will be based on the closing stock price on the first trading day of the quarter following your date of hire.This award is scheduled</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w:t>
      </w:r>
    </w:p>
    <w:p>
      <w:pPr>
        <w:spacing w:after="0" w:line="172" w:lineRule="exact"/>
        <w:rPr>
          <w:sz w:val="20"/>
          <w:szCs w:val="20"/>
          <w:color w:val="auto"/>
        </w:rPr>
      </w:pPr>
    </w:p>
    <w:p>
      <w:pPr>
        <w:jc w:val="center"/>
        <w:ind w:right="60"/>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200"/>
          </w:cols>
          <w:pgMar w:left="380" w:top="284" w:right="319" w:bottom="1440" w:gutter="0" w:footer="0" w:header="0"/>
        </w:sectPr>
      </w:pPr>
    </w:p>
    <w:bookmarkStart w:id="138" w:name="page139"/>
    <w:bookmarkEnd w:id="138"/>
    <w:p>
      <w:pPr>
        <w:ind w:left="10288"/>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126365</wp:posOffset>
            </wp:positionV>
            <wp:extent cx="1043305" cy="388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3">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mondelezinternational.com</w:t>
      </w:r>
    </w:p>
    <w:p>
      <w:pPr>
        <w:spacing w:after="0" w:line="4" w:lineRule="exact"/>
        <w:rPr>
          <w:sz w:val="20"/>
          <w:szCs w:val="20"/>
          <w:color w:val="auto"/>
        </w:rPr>
      </w:pPr>
    </w:p>
    <w:p>
      <w:pPr>
        <w:ind w:left="1028"/>
        <w:spacing w:after="0"/>
        <w:rPr>
          <w:sz w:val="20"/>
          <w:szCs w:val="20"/>
          <w:color w:val="auto"/>
        </w:rPr>
      </w:pPr>
      <w:r>
        <w:rPr>
          <w:rFonts w:ascii="Arial" w:cs="Arial" w:eastAsia="Arial" w:hAnsi="Arial"/>
          <w:sz w:val="17"/>
          <w:szCs w:val="17"/>
          <w:color w:val="auto"/>
        </w:rPr>
        <w:t>to vest no later than March 1, 2025, with the performance period ending December 31, 2024,</w:t>
      </w:r>
    </w:p>
    <w:p>
      <w:pPr>
        <w:spacing w:after="0" w:line="14" w:lineRule="exact"/>
        <w:rPr>
          <w:sz w:val="20"/>
          <w:szCs w:val="20"/>
          <w:color w:val="auto"/>
        </w:rPr>
      </w:pPr>
    </w:p>
    <w:p>
      <w:pPr>
        <w:jc w:val="both"/>
        <w:ind w:left="1028" w:right="80" w:hanging="256"/>
        <w:spacing w:after="0" w:line="254"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7"/>
          <w:szCs w:val="17"/>
          <w:color w:val="auto"/>
        </w:rPr>
        <w:t>$300,000 – You will be granted PSUs under our 2023-2025 performance cycle. The number of units granted will be based on the first trading day of the quarter following your date of hire. This award will vest no later than March 1, 2026, with the performance period ending December 31, 2025.</w:t>
      </w:r>
    </w:p>
    <w:p>
      <w:pPr>
        <w:spacing w:after="0" w:line="2" w:lineRule="exact"/>
        <w:rPr>
          <w:rFonts w:ascii="Arial" w:cs="Arial" w:eastAsia="Arial" w:hAnsi="Arial"/>
          <w:sz w:val="16"/>
          <w:szCs w:val="16"/>
          <w:color w:val="auto"/>
        </w:rPr>
      </w:pPr>
    </w:p>
    <w:p>
      <w:pPr>
        <w:jc w:val="both"/>
        <w:ind w:left="1028" w:right="80" w:hanging="256"/>
        <w:spacing w:after="0" w:line="258" w:lineRule="auto"/>
        <w:tabs>
          <w:tab w:leader="none" w:pos="10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$1,100,000 – You will be granted Deferred Stock Units (“DSUs”) on the first trading day of the quarter following your date of hire. The number of units granted based on the closing stock price on the grant date. This award will vest 50% on the first anniversary of your grant date and 50% on the second anniversary of your grant date. You will receive dividend equivalents on these units during the vesting period for as long as the award is outstanding.</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Executive Deferred Compensation Plan</w:t>
      </w:r>
    </w:p>
    <w:p>
      <w:pPr>
        <w:spacing w:after="0" w:line="204" w:lineRule="exact"/>
        <w:rPr>
          <w:sz w:val="20"/>
          <w:szCs w:val="20"/>
          <w:color w:val="auto"/>
        </w:rPr>
      </w:pPr>
    </w:p>
    <w:p>
      <w:pPr>
        <w:jc w:val="both"/>
        <w:ind w:left="8" w:right="80"/>
        <w:spacing w:after="0" w:line="287" w:lineRule="auto"/>
        <w:rPr>
          <w:sz w:val="20"/>
          <w:szCs w:val="20"/>
          <w:color w:val="auto"/>
        </w:rPr>
      </w:pPr>
      <w:r>
        <w:rPr>
          <w:rFonts w:ascii="Arial" w:cs="Arial" w:eastAsia="Arial" w:hAnsi="Arial"/>
          <w:sz w:val="17"/>
          <w:szCs w:val="17"/>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Severance; Change in Control Plan</w:t>
      </w:r>
    </w:p>
    <w:p>
      <w:pPr>
        <w:spacing w:after="0" w:line="204" w:lineRule="exact"/>
        <w:rPr>
          <w:sz w:val="20"/>
          <w:szCs w:val="20"/>
          <w:color w:val="auto"/>
        </w:rPr>
      </w:pPr>
    </w:p>
    <w:p>
      <w:pPr>
        <w:jc w:val="both"/>
        <w:ind w:left="8" w:right="80"/>
        <w:spacing w:after="0" w:line="275" w:lineRule="auto"/>
        <w:rPr>
          <w:sz w:val="20"/>
          <w:szCs w:val="20"/>
          <w:color w:val="auto"/>
        </w:rPr>
      </w:pPr>
      <w:r>
        <w:rPr>
          <w:rFonts w:ascii="Arial" w:cs="Arial" w:eastAsia="Arial" w:hAnsi="Arial"/>
          <w:sz w:val="17"/>
          <w:szCs w:val="17"/>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7"/>
          <w:szCs w:val="17"/>
          <w:color w:val="auto"/>
        </w:rPr>
        <w:t>For purposes of this Offer Letter:</w:t>
      </w:r>
    </w:p>
    <w:p>
      <w:pPr>
        <w:spacing w:after="0" w:line="202" w:lineRule="exact"/>
        <w:rPr>
          <w:sz w:val="20"/>
          <w:szCs w:val="20"/>
          <w:color w:val="auto"/>
        </w:rPr>
      </w:pPr>
    </w:p>
    <w:p>
      <w:pPr>
        <w:ind w:left="248" w:hanging="248"/>
        <w:spacing w:after="0"/>
        <w:tabs>
          <w:tab w:leader="none" w:pos="248"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“Cause” has the meaning set forth in the CIC Plan.</w:t>
      </w:r>
    </w:p>
    <w:p>
      <w:pPr>
        <w:spacing w:after="0" w:line="211" w:lineRule="exact"/>
        <w:rPr>
          <w:rFonts w:ascii="Times New Roman" w:cs="Times New Roman" w:eastAsia="Times New Roman" w:hAnsi="Times New Roman"/>
          <w:sz w:val="17"/>
          <w:szCs w:val="17"/>
          <w:color w:val="auto"/>
        </w:rPr>
      </w:pPr>
    </w:p>
    <w:p>
      <w:pPr>
        <w:ind w:left="248" w:hanging="248"/>
        <w:spacing w:after="0"/>
        <w:tabs>
          <w:tab w:leader="none" w:pos="248"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“Good Reason” has the meaning set forth in the CIC Plan.</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Stock Ownership Guidelines</w:t>
      </w:r>
    </w:p>
    <w:p>
      <w:pPr>
        <w:spacing w:after="0" w:line="215" w:lineRule="exact"/>
        <w:rPr>
          <w:sz w:val="20"/>
          <w:szCs w:val="20"/>
          <w:color w:val="auto"/>
        </w:rPr>
      </w:pPr>
    </w:p>
    <w:p>
      <w:pPr>
        <w:jc w:val="both"/>
        <w:ind w:left="8" w:right="80"/>
        <w:spacing w:after="0" w:line="262" w:lineRule="auto"/>
        <w:rPr>
          <w:sz w:val="20"/>
          <w:szCs w:val="20"/>
          <w:color w:val="auto"/>
        </w:rPr>
      </w:pPr>
      <w:r>
        <w:rPr>
          <w:rFonts w:ascii="Arial" w:cs="Arial" w:eastAsia="Arial" w:hAnsi="Arial"/>
          <w:sz w:val="17"/>
          <w:szCs w:val="17"/>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188" w:lineRule="exact"/>
        <w:rPr>
          <w:sz w:val="20"/>
          <w:szCs w:val="20"/>
          <w:color w:val="auto"/>
        </w:rPr>
      </w:pPr>
    </w:p>
    <w:p>
      <w:pPr>
        <w:jc w:val="center"/>
        <w:ind w:right="72"/>
        <w:spacing w:after="0"/>
        <w:rPr>
          <w:sz w:val="20"/>
          <w:szCs w:val="20"/>
          <w:color w:val="auto"/>
        </w:rPr>
      </w:pPr>
      <w:r>
        <w:rPr>
          <w:rFonts w:ascii="Arial" w:cs="Arial" w:eastAsia="Arial" w:hAnsi="Arial"/>
          <w:sz w:val="17"/>
          <w:szCs w:val="17"/>
          <w:color w:val="auto"/>
        </w:rPr>
        <w:t>3</w:t>
      </w:r>
    </w:p>
    <w:p>
      <w:pPr>
        <w:spacing w:after="0" w:line="172" w:lineRule="exact"/>
        <w:rPr>
          <w:sz w:val="20"/>
          <w:szCs w:val="20"/>
          <w:color w:val="auto"/>
        </w:rPr>
      </w:pPr>
    </w:p>
    <w:p>
      <w:pPr>
        <w:jc w:val="center"/>
        <w:ind w:right="72"/>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188"/>
          </w:cols>
          <w:pgMar w:left="392" w:top="284" w:right="319" w:bottom="1440" w:gutter="0" w:footer="0" w:header="0"/>
        </w:sectPr>
      </w:pPr>
    </w:p>
    <w:bookmarkStart w:id="139" w:name="page140"/>
    <w:bookmarkEnd w:id="139"/>
    <w:p>
      <w:pPr>
        <w:ind w:left="10280"/>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126365</wp:posOffset>
            </wp:positionV>
            <wp:extent cx="1043305" cy="388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4">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ind w:left="9840"/>
        <w:spacing w:after="0"/>
        <w:rPr>
          <w:sz w:val="20"/>
          <w:szCs w:val="20"/>
          <w:color w:val="auto"/>
        </w:rPr>
      </w:pPr>
      <w:r>
        <w:rPr>
          <w:rFonts w:ascii="Arial" w:cs="Arial" w:eastAsia="Arial" w:hAnsi="Arial"/>
          <w:sz w:val="11"/>
          <w:szCs w:val="11"/>
          <w:color w:val="585858"/>
        </w:rPr>
        <w:t>mondelezinternational.com</w:t>
      </w:r>
    </w:p>
    <w:p>
      <w:pPr>
        <w:spacing w:after="0" w:line="4"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140"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Net shares are the number of shares resulting from the vesting of deferred stock units or performance share units or the exercise of stock options reduced by the number of shares required to satisfy any applicable tax withholding or costs associated with respective vesting or exercise.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Benefits</w:t>
      </w:r>
    </w:p>
    <w:p>
      <w:pPr>
        <w:spacing w:after="0" w:line="20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144"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144"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Restrictive Covenants</w:t>
      </w:r>
    </w:p>
    <w:p>
      <w:pPr>
        <w:spacing w:after="0" w:line="204"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and will acknowledge such Covenant Agreement by signing the Covenant Agreement simultaneously with this offer of employment.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409A of the Internal Revenue Code of 1986, as amended (the “Code”)</w:t>
      </w:r>
    </w:p>
    <w:p>
      <w:pPr>
        <w:spacing w:after="0" w:line="204"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172" w:lineRule="exact"/>
        <w:rPr>
          <w:sz w:val="20"/>
          <w:szCs w:val="20"/>
          <w:color w:val="auto"/>
        </w:rPr>
      </w:pPr>
    </w:p>
    <w:p>
      <w:pPr>
        <w:jc w:val="center"/>
        <w:ind w:right="80"/>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180"/>
          </w:cols>
          <w:pgMar w:left="400" w:top="284" w:right="319" w:bottom="1440" w:gutter="0" w:footer="0" w:header="0"/>
        </w:sectPr>
      </w:pPr>
    </w:p>
    <w:bookmarkStart w:id="140" w:name="page141"/>
    <w:bookmarkEnd w:id="140"/>
    <w:p>
      <w:pPr>
        <w:ind w:left="10288"/>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126365</wp:posOffset>
            </wp:positionV>
            <wp:extent cx="1043305" cy="388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5">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ind w:left="9848"/>
        <w:spacing w:after="0"/>
        <w:rPr>
          <w:sz w:val="20"/>
          <w:szCs w:val="20"/>
          <w:color w:val="auto"/>
        </w:rPr>
      </w:pPr>
      <w:r>
        <w:rPr>
          <w:rFonts w:ascii="Arial" w:cs="Arial" w:eastAsia="Arial" w:hAnsi="Arial"/>
          <w:sz w:val="11"/>
          <w:szCs w:val="11"/>
          <w:color w:val="585858"/>
        </w:rPr>
        <w:t>mondelezinternational.com</w:t>
      </w:r>
    </w:p>
    <w:p>
      <w:pPr>
        <w:spacing w:after="0" w:line="4" w:lineRule="exact"/>
        <w:rPr>
          <w:sz w:val="20"/>
          <w:szCs w:val="20"/>
          <w:color w:val="auto"/>
        </w:rPr>
      </w:pPr>
    </w:p>
    <w:p>
      <w:pPr>
        <w:ind w:left="8"/>
        <w:spacing w:after="0"/>
        <w:rPr>
          <w:sz w:val="20"/>
          <w:szCs w:val="20"/>
          <w:color w:val="auto"/>
        </w:rPr>
      </w:pPr>
      <w:r>
        <w:rPr>
          <w:rFonts w:ascii="Arial" w:cs="Arial" w:eastAsia="Arial" w:hAnsi="Arial"/>
          <w:sz w:val="17"/>
          <w:szCs w:val="17"/>
          <w:color w:val="auto"/>
        </w:rPr>
        <w:t>date otherwise payable but in the later such taxable year and shall include all payments that otherwise would have been made before such date.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7"/>
          <w:szCs w:val="17"/>
          <w:color w:val="auto"/>
        </w:rPr>
        <w:t>If you are a “specified employee” (within the meaning of Section 409A) as of your separation from service (within the meaning of Section 409A):</w:t>
      </w:r>
    </w:p>
    <w:p>
      <w:pPr>
        <w:spacing w:after="0" w:line="25" w:lineRule="exact"/>
        <w:rPr>
          <w:sz w:val="20"/>
          <w:szCs w:val="20"/>
          <w:color w:val="auto"/>
        </w:rPr>
      </w:pPr>
    </w:p>
    <w:p>
      <w:pPr>
        <w:jc w:val="both"/>
        <w:ind w:left="8" w:right="80" w:hanging="8"/>
        <w:spacing w:after="0" w:line="255" w:lineRule="auto"/>
        <w:tabs>
          <w:tab w:leader="none" w:pos="293"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 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162" w:lineRule="exact"/>
        <w:rPr>
          <w:sz w:val="20"/>
          <w:szCs w:val="20"/>
          <w:color w:val="auto"/>
        </w:rPr>
      </w:pPr>
    </w:p>
    <w:p>
      <w:pPr>
        <w:jc w:val="both"/>
        <w:ind w:left="8" w:right="80"/>
        <w:spacing w:after="0" w:line="275" w:lineRule="auto"/>
        <w:rPr>
          <w:sz w:val="20"/>
          <w:szCs w:val="20"/>
          <w:color w:val="auto"/>
        </w:rPr>
      </w:pPr>
      <w:r>
        <w:rPr>
          <w:rFonts w:ascii="Arial" w:cs="Arial" w:eastAsia="Arial" w:hAnsi="Arial"/>
          <w:sz w:val="17"/>
          <w:szCs w:val="17"/>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144" w:lineRule="exact"/>
        <w:rPr>
          <w:sz w:val="20"/>
          <w:szCs w:val="20"/>
          <w:color w:val="auto"/>
        </w:rPr>
      </w:pPr>
    </w:p>
    <w:p>
      <w:pPr>
        <w:ind w:left="508" w:right="80" w:hanging="508"/>
        <w:spacing w:after="0" w:line="260"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ind w:left="508" w:right="80" w:hanging="508"/>
        <w:spacing w:after="0" w:line="253" w:lineRule="auto"/>
        <w:tabs>
          <w:tab w:leader="none" w:pos="50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reimbursement of an eligible expense will be made on or before the last day of the calendar year following the calendar year in which the expense was incurred; and</w:t>
      </w:r>
    </w:p>
    <w:p>
      <w:pPr>
        <w:spacing w:after="0" w:line="1" w:lineRule="exact"/>
        <w:rPr>
          <w:rFonts w:ascii="Arial" w:cs="Arial" w:eastAsia="Arial" w:hAnsi="Arial"/>
          <w:sz w:val="17"/>
          <w:szCs w:val="17"/>
          <w:color w:val="auto"/>
        </w:rPr>
      </w:pPr>
    </w:p>
    <w:p>
      <w:pPr>
        <w:ind w:left="508" w:hanging="508"/>
        <w:spacing w:after="0"/>
        <w:tabs>
          <w:tab w:leader="none" w:pos="5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your right to reimbursement or in-kind benefits is not subject to liquidation or exchange for any other benefit.</w:t>
      </w:r>
    </w:p>
    <w:p>
      <w:pPr>
        <w:spacing w:after="0" w:line="180" w:lineRule="exact"/>
        <w:rPr>
          <w:sz w:val="20"/>
          <w:szCs w:val="20"/>
          <w:color w:val="auto"/>
        </w:rPr>
      </w:pPr>
    </w:p>
    <w:p>
      <w:pPr>
        <w:jc w:val="both"/>
        <w:ind w:left="8" w:right="80"/>
        <w:spacing w:after="0" w:line="257" w:lineRule="auto"/>
        <w:rPr>
          <w:sz w:val="20"/>
          <w:szCs w:val="20"/>
          <w:color w:val="auto"/>
        </w:rPr>
      </w:pPr>
      <w:r>
        <w:rPr>
          <w:rFonts w:ascii="Arial" w:cs="Arial" w:eastAsia="Arial" w:hAnsi="Arial"/>
          <w:sz w:val="17"/>
          <w:szCs w:val="17"/>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194" w:lineRule="exact"/>
        <w:rPr>
          <w:sz w:val="20"/>
          <w:szCs w:val="20"/>
          <w:color w:val="auto"/>
        </w:rPr>
      </w:pPr>
    </w:p>
    <w:p>
      <w:pPr>
        <w:jc w:val="center"/>
        <w:ind w:right="72"/>
        <w:spacing w:after="0"/>
        <w:rPr>
          <w:sz w:val="20"/>
          <w:szCs w:val="20"/>
          <w:color w:val="auto"/>
        </w:rPr>
      </w:pPr>
      <w:r>
        <w:rPr>
          <w:rFonts w:ascii="Arial" w:cs="Arial" w:eastAsia="Arial" w:hAnsi="Arial"/>
          <w:sz w:val="17"/>
          <w:szCs w:val="17"/>
          <w:color w:val="auto"/>
        </w:rPr>
        <w:t>5</w:t>
      </w:r>
    </w:p>
    <w:p>
      <w:pPr>
        <w:spacing w:after="0" w:line="161" w:lineRule="exact"/>
        <w:rPr>
          <w:sz w:val="20"/>
          <w:szCs w:val="20"/>
          <w:color w:val="auto"/>
        </w:rPr>
      </w:pPr>
    </w:p>
    <w:p>
      <w:pPr>
        <w:jc w:val="center"/>
        <w:ind w:right="72"/>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188"/>
          </w:cols>
          <w:pgMar w:left="392" w:top="284" w:right="319" w:bottom="1440" w:gutter="0" w:footer="0" w:header="0"/>
        </w:sectPr>
      </w:pPr>
    </w:p>
    <w:bookmarkStart w:id="141" w:name="page142"/>
    <w:bookmarkEnd w:id="141"/>
    <w:p>
      <w:pPr>
        <w:ind w:left="10280"/>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126365</wp:posOffset>
            </wp:positionV>
            <wp:extent cx="1043305" cy="388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6">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mondelezinternational.com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Terms and Conditions</w:t>
      </w:r>
    </w:p>
    <w:p>
      <w:pPr>
        <w:spacing w:after="0" w:line="333"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This offer is contingent upon successful completion of our pre-employment checks. These include:</w:t>
      </w:r>
    </w:p>
    <w:p>
      <w:pPr>
        <w:spacing w:after="0" w:line="30" w:lineRule="exact"/>
        <w:rPr>
          <w:sz w:val="20"/>
          <w:szCs w:val="20"/>
          <w:color w:val="auto"/>
        </w:rPr>
      </w:pPr>
    </w:p>
    <w:p>
      <w:pPr>
        <w:jc w:val="both"/>
        <w:ind w:left="560" w:right="80" w:hanging="260"/>
        <w:spacing w:after="0" w:line="248" w:lineRule="auto"/>
        <w:tabs>
          <w:tab w:leader="none" w:pos="5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ind w:left="560" w:hanging="259"/>
        <w:spacing w:after="0"/>
        <w:tabs>
          <w:tab w:leader="none" w:pos="5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post-offer drug screen via current Company protocols and</w:t>
      </w:r>
    </w:p>
    <w:p>
      <w:pPr>
        <w:spacing w:after="0" w:line="14" w:lineRule="exact"/>
        <w:rPr>
          <w:rFonts w:ascii="Arial" w:cs="Arial" w:eastAsia="Arial" w:hAnsi="Arial"/>
          <w:sz w:val="17"/>
          <w:szCs w:val="17"/>
          <w:color w:val="auto"/>
        </w:rPr>
      </w:pPr>
    </w:p>
    <w:p>
      <w:pPr>
        <w:ind w:left="560" w:hanging="259"/>
        <w:spacing w:after="0"/>
        <w:tabs>
          <w:tab w:leader="none" w:pos="5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proof of eligibility to work in the United States.</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pacing w:after="0" w:line="172" w:lineRule="exact"/>
        <w:rPr>
          <w:sz w:val="20"/>
          <w:szCs w:val="20"/>
          <w:color w:val="auto"/>
        </w:rPr>
      </w:pPr>
    </w:p>
    <w:p>
      <w:pPr>
        <w:jc w:val="center"/>
        <w:ind w:right="80"/>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180"/>
          </w:cols>
          <w:pgMar w:left="400" w:top="284" w:right="319" w:bottom="1440" w:gutter="0" w:footer="0" w:header="0"/>
        </w:sectPr>
      </w:pPr>
    </w:p>
    <w:bookmarkStart w:id="142" w:name="page143"/>
    <w:bookmarkEnd w:id="142"/>
    <w:p>
      <w:pPr>
        <w:ind w:left="10380"/>
        <w:spacing w:after="0"/>
        <w:rPr>
          <w:sz w:val="20"/>
          <w:szCs w:val="20"/>
          <w:color w:val="auto"/>
        </w:rPr>
      </w:pPr>
      <w:r>
        <w:rPr>
          <w:rFonts w:ascii="Arial" w:cs="Arial" w:eastAsia="Arial" w:hAnsi="Arial"/>
          <w:sz w:val="15"/>
          <w:szCs w:val="15"/>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126365</wp:posOffset>
            </wp:positionV>
            <wp:extent cx="1043305" cy="388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7">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1"/>
          <w:szCs w:val="11"/>
          <w:color w:val="585858"/>
        </w:rPr>
        <w:t>Mondelēz International Inc.</w:t>
      </w:r>
    </w:p>
    <w:p>
      <w:pPr>
        <w:jc w:val="right"/>
        <w:spacing w:after="0"/>
        <w:rPr>
          <w:sz w:val="20"/>
          <w:szCs w:val="20"/>
          <w:color w:val="auto"/>
        </w:rPr>
      </w:pPr>
      <w:r>
        <w:rPr>
          <w:rFonts w:ascii="Arial" w:cs="Arial" w:eastAsia="Arial" w:hAnsi="Arial"/>
          <w:sz w:val="11"/>
          <w:szCs w:val="11"/>
          <w:color w:val="585858"/>
        </w:rPr>
        <w:t>Chicago, IL 60607 USA</w:t>
      </w:r>
    </w:p>
    <w:p>
      <w:pPr>
        <w:spacing w:after="0" w:line="2" w:lineRule="exact"/>
        <w:rPr>
          <w:sz w:val="20"/>
          <w:szCs w:val="20"/>
          <w:color w:val="auto"/>
        </w:rPr>
      </w:pPr>
    </w:p>
    <w:p>
      <w:pPr>
        <w:ind w:left="9940"/>
        <w:spacing w:after="0"/>
        <w:rPr>
          <w:sz w:val="20"/>
          <w:szCs w:val="20"/>
          <w:color w:val="auto"/>
        </w:rPr>
      </w:pPr>
      <w:r>
        <w:rPr>
          <w:rFonts w:ascii="Arial" w:cs="Arial" w:eastAsia="Arial" w:hAnsi="Arial"/>
          <w:sz w:val="11"/>
          <w:szCs w:val="11"/>
          <w:color w:val="585858"/>
        </w:rPr>
        <w:t>mondelezinternational.com</w:t>
      </w:r>
    </w:p>
    <w:p>
      <w:pPr>
        <w:spacing w:after="0" w:line="128" w:lineRule="exact"/>
        <w:rPr>
          <w:sz w:val="20"/>
          <w:szCs w:val="20"/>
          <w:color w:val="auto"/>
        </w:rPr>
      </w:pPr>
    </w:p>
    <w:p>
      <w:pPr>
        <w:jc w:val="both"/>
        <w:ind w:left="100" w:right="80"/>
        <w:spacing w:after="0" w:line="268" w:lineRule="auto"/>
        <w:rPr>
          <w:sz w:val="20"/>
          <w:szCs w:val="20"/>
          <w:color w:val="auto"/>
        </w:rPr>
      </w:pPr>
      <w:r>
        <w:rPr>
          <w:rFonts w:ascii="Arial" w:cs="Arial" w:eastAsia="Arial" w:hAnsi="Arial"/>
          <w:sz w:val="17"/>
          <w:szCs w:val="17"/>
          <w:color w:val="auto"/>
        </w:rPr>
        <w:t>If you accept our offer, please sign below and return the signed letter to my attention at vik.malhotra@mdlz.com. Once your date of hire is established, you will be provided information about the arrangements for your post offer drug screen and the required documents for verifying your eligibility to work in the United States.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6100" w:type="dxa"/>
            <w:vAlign w:val="bottom"/>
            <w:gridSpan w:val="2"/>
          </w:tcPr>
          <w:p>
            <w:pPr>
              <w:spacing w:after="0"/>
              <w:rPr>
                <w:sz w:val="20"/>
                <w:szCs w:val="20"/>
                <w:color w:val="auto"/>
              </w:rPr>
            </w:pPr>
            <w:r>
              <w:rPr>
                <w:rFonts w:ascii="Arial" w:cs="Arial" w:eastAsia="Arial" w:hAnsi="Arial"/>
                <w:sz w:val="17"/>
                <w:szCs w:val="17"/>
                <w:color w:val="auto"/>
              </w:rPr>
              <w:t>Should you have any questions concerning this information, please contact me.</w:t>
            </w:r>
          </w:p>
        </w:tc>
        <w:tc>
          <w:tcPr>
            <w:tcW w:w="3560" w:type="dxa"/>
            <w:vAlign w:val="bottom"/>
          </w:tcPr>
          <w:p>
            <w:pPr>
              <w:spacing w:after="0"/>
              <w:rPr>
                <w:sz w:val="19"/>
                <w:szCs w:val="19"/>
                <w:color w:val="auto"/>
              </w:rPr>
            </w:pPr>
          </w:p>
        </w:tc>
      </w:tr>
      <w:tr>
        <w:trPr>
          <w:trHeight w:val="42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Vik Malhotra</w:t>
            </w:r>
          </w:p>
        </w:tc>
        <w:tc>
          <w:tcPr>
            <w:tcW w:w="1900" w:type="dxa"/>
            <w:vAlign w:val="bottom"/>
          </w:tcPr>
          <w:p>
            <w:pPr>
              <w:spacing w:after="0"/>
              <w:rPr>
                <w:sz w:val="24"/>
                <w:szCs w:val="24"/>
                <w:color w:val="auto"/>
              </w:rPr>
            </w:pPr>
          </w:p>
        </w:tc>
        <w:tc>
          <w:tcPr>
            <w:tcW w:w="356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color w:val="auto"/>
              </w:rPr>
              <w:t>11/30/2023</w:t>
            </w:r>
          </w:p>
        </w:tc>
      </w:tr>
      <w:tr>
        <w:trPr>
          <w:trHeight w:val="206"/>
        </w:trPr>
        <w:tc>
          <w:tcPr>
            <w:tcW w:w="6100" w:type="dxa"/>
            <w:vAlign w:val="bottom"/>
            <w:gridSpan w:val="2"/>
          </w:tcPr>
          <w:p>
            <w:pPr>
              <w:jc w:val="center"/>
              <w:ind w:right="1900"/>
              <w:spacing w:after="0"/>
              <w:rPr>
                <w:sz w:val="20"/>
                <w:szCs w:val="20"/>
                <w:color w:val="auto"/>
              </w:rPr>
            </w:pPr>
            <w:r>
              <w:rPr>
                <w:rFonts w:ascii="Arial" w:cs="Arial" w:eastAsia="Arial" w:hAnsi="Arial"/>
                <w:sz w:val="17"/>
                <w:szCs w:val="17"/>
                <w:color w:val="auto"/>
                <w:w w:val="99"/>
              </w:rPr>
              <w:t>SVP Total Rewards &amp; Performance</w:t>
            </w:r>
          </w:p>
        </w:tc>
        <w:tc>
          <w:tcPr>
            <w:tcW w:w="3560" w:type="dxa"/>
            <w:vAlign w:val="bottom"/>
          </w:tcPr>
          <w:p>
            <w:pPr>
              <w:jc w:val="center"/>
              <w:spacing w:after="0"/>
              <w:rPr>
                <w:sz w:val="20"/>
                <w:szCs w:val="20"/>
                <w:color w:val="auto"/>
              </w:rPr>
            </w:pPr>
            <w:r>
              <w:rPr>
                <w:rFonts w:ascii="Arial" w:cs="Arial" w:eastAsia="Arial" w:hAnsi="Arial"/>
                <w:sz w:val="17"/>
                <w:szCs w:val="17"/>
                <w:color w:val="auto"/>
              </w:rPr>
              <w:t>Date</w:t>
            </w:r>
          </w:p>
        </w:tc>
      </w:tr>
      <w:tr>
        <w:trPr>
          <w:trHeight w:val="226"/>
        </w:trPr>
        <w:tc>
          <w:tcPr>
            <w:tcW w:w="6100" w:type="dxa"/>
            <w:vAlign w:val="bottom"/>
            <w:gridSpan w:val="2"/>
          </w:tcPr>
          <w:p>
            <w:pPr>
              <w:jc w:val="center"/>
              <w:ind w:right="1900"/>
              <w:spacing w:after="0"/>
              <w:rPr>
                <w:sz w:val="20"/>
                <w:szCs w:val="20"/>
                <w:color w:val="auto"/>
              </w:rPr>
            </w:pPr>
            <w:r>
              <w:rPr>
                <w:rFonts w:ascii="Arial" w:cs="Arial" w:eastAsia="Arial" w:hAnsi="Arial"/>
                <w:sz w:val="17"/>
                <w:szCs w:val="17"/>
                <w:color w:val="auto"/>
              </w:rPr>
              <w:t>Mondelēz Global LLC</w:t>
            </w:r>
          </w:p>
        </w:tc>
        <w:tc>
          <w:tcPr>
            <w:tcW w:w="3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right="420"/>
        <w:spacing w:after="0" w:line="300" w:lineRule="auto"/>
        <w:rPr>
          <w:sz w:val="20"/>
          <w:szCs w:val="20"/>
          <w:color w:val="auto"/>
        </w:rPr>
      </w:pPr>
      <w:r>
        <w:rPr>
          <w:rFonts w:ascii="Arial" w:cs="Arial" w:eastAsia="Arial" w:hAnsi="Arial"/>
          <w:sz w:val="17"/>
          <w:szCs w:val="17"/>
          <w:color w:val="auto"/>
        </w:rPr>
        <w:t>I have read the above terms and conditions and, by signing below, do accept this offer. This letter does not, in any way, constitute an express or implied contract for employment.</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40" w:type="dxa"/>
            <w:vAlign w:val="bottom"/>
            <w:gridSpan w:val="2"/>
          </w:tcPr>
          <w:p>
            <w:pPr>
              <w:jc w:val="center"/>
              <w:ind w:right="1900"/>
              <w:spacing w:after="0"/>
              <w:rPr>
                <w:sz w:val="20"/>
                <w:szCs w:val="20"/>
                <w:color w:val="auto"/>
              </w:rPr>
            </w:pPr>
            <w:r>
              <w:rPr>
                <w:rFonts w:ascii="Arial" w:cs="Arial" w:eastAsia="Arial" w:hAnsi="Arial"/>
                <w:sz w:val="17"/>
                <w:szCs w:val="17"/>
                <w:color w:val="auto"/>
              </w:rPr>
              <w:t>/s/ Stephanie Lilak</w:t>
            </w:r>
          </w:p>
        </w:tc>
        <w:tc>
          <w:tcPr>
            <w:tcW w:w="3620" w:type="dxa"/>
            <w:vAlign w:val="bottom"/>
          </w:tcPr>
          <w:p>
            <w:pPr>
              <w:jc w:val="right"/>
              <w:ind w:right="1294"/>
              <w:spacing w:after="0"/>
              <w:rPr>
                <w:sz w:val="20"/>
                <w:szCs w:val="20"/>
                <w:color w:val="auto"/>
              </w:rPr>
            </w:pPr>
            <w:r>
              <w:rPr>
                <w:rFonts w:ascii="Arial" w:cs="Arial" w:eastAsia="Arial" w:hAnsi="Arial"/>
                <w:sz w:val="17"/>
                <w:szCs w:val="17"/>
                <w:color w:val="auto"/>
              </w:rPr>
              <w:t>11/30/2023</w:t>
            </w:r>
          </w:p>
        </w:tc>
      </w:tr>
      <w:tr>
        <w:trPr>
          <w:trHeight w:val="216"/>
        </w:trPr>
        <w:tc>
          <w:tcPr>
            <w:tcW w:w="4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Stephanie Lilak</w:t>
            </w:r>
          </w:p>
        </w:tc>
        <w:tc>
          <w:tcPr>
            <w:tcW w:w="1900" w:type="dxa"/>
            <w:vAlign w:val="bottom"/>
          </w:tcPr>
          <w:p>
            <w:pPr>
              <w:spacing w:after="0"/>
              <w:rPr>
                <w:sz w:val="18"/>
                <w:szCs w:val="18"/>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Ms. Stephanie Lilak Offer Letter]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Mondelēz Internatonal Internal</w:t>
      </w:r>
    </w:p>
    <w:p>
      <w:pPr>
        <w:sectPr>
          <w:pgSz w:w="11900" w:h="16838" w:orient="portrait"/>
          <w:cols w:equalWidth="0" w:num="1">
            <w:col w:w="11280"/>
          </w:cols>
          <w:pgMar w:left="300" w:top="284" w:right="31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68"/>
        <w:spacing w:after="0"/>
        <w:rPr>
          <w:sz w:val="20"/>
          <w:szCs w:val="20"/>
          <w:color w:val="auto"/>
        </w:rPr>
      </w:pPr>
      <w:r>
        <w:rPr>
          <w:rFonts w:ascii="Calibri" w:cs="Calibri" w:eastAsia="Calibri" w:hAnsi="Calibri"/>
          <w:sz w:val="11"/>
          <w:szCs w:val="11"/>
          <w:color w:val="auto"/>
        </w:rPr>
        <w:t>EVP, Corporate &amp; Legal Afairs, General</w:t>
      </w:r>
    </w:p>
    <w:p>
      <w:pPr>
        <w:ind w:left="28"/>
        <w:spacing w:after="0" w:line="180" w:lineRule="auto"/>
        <w:rPr>
          <w:sz w:val="20"/>
          <w:szCs w:val="20"/>
          <w:color w:val="auto"/>
        </w:rPr>
      </w:pPr>
      <w:r>
        <w:rPr>
          <w:rFonts w:ascii="Calibri" w:cs="Calibri" w:eastAsia="Calibri" w:hAnsi="Calibri"/>
          <w:sz w:val="7"/>
          <w:szCs w:val="7"/>
          <w:color w:val="auto"/>
        </w:rPr>
        <w:t>Policy Sponsor:</w:t>
      </w:r>
    </w:p>
    <w:p>
      <w:pPr>
        <w:ind w:left="968"/>
        <w:spacing w:after="0" w:line="204" w:lineRule="auto"/>
        <w:rPr>
          <w:sz w:val="20"/>
          <w:szCs w:val="20"/>
          <w:color w:val="auto"/>
        </w:rPr>
      </w:pPr>
      <w:r>
        <w:rPr>
          <w:rFonts w:ascii="Calibri" w:cs="Calibri" w:eastAsia="Calibri" w:hAnsi="Calibri"/>
          <w:sz w:val="11"/>
          <w:szCs w:val="11"/>
          <w:color w:val="auto"/>
        </w:rPr>
        <w:t>Counsel and Corporate Secretary</w:t>
      </w:r>
    </w:p>
    <w:p>
      <w:pPr>
        <w:ind w:left="968"/>
        <w:spacing w:after="0" w:line="218" w:lineRule="auto"/>
        <w:rPr>
          <w:sz w:val="20"/>
          <w:szCs w:val="20"/>
          <w:color w:val="auto"/>
        </w:rPr>
      </w:pPr>
      <w:r>
        <w:rPr>
          <w:rFonts w:ascii="Calibri" w:cs="Calibri" w:eastAsia="Calibri" w:hAnsi="Calibri"/>
          <w:sz w:val="11"/>
          <w:szCs w:val="11"/>
          <w:color w:val="auto"/>
        </w:rPr>
        <w:t>Vice President, Chief Securites Counsel &amp;</w:t>
      </w:r>
    </w:p>
    <w:p>
      <w:pPr>
        <w:ind w:left="28"/>
        <w:spacing w:after="0" w:line="182" w:lineRule="auto"/>
        <w:rPr>
          <w:sz w:val="20"/>
          <w:szCs w:val="20"/>
          <w:color w:val="auto"/>
        </w:rPr>
      </w:pPr>
      <w:r>
        <w:rPr>
          <w:rFonts w:ascii="Calibri" w:cs="Calibri" w:eastAsia="Calibri" w:hAnsi="Calibri"/>
          <w:sz w:val="7"/>
          <w:szCs w:val="7"/>
          <w:color w:val="auto"/>
        </w:rPr>
        <w:t>Policy Owner:</w:t>
      </w:r>
    </w:p>
    <w:p>
      <w:pPr>
        <w:ind w:left="968"/>
        <w:spacing w:after="0" w:line="203" w:lineRule="auto"/>
        <w:rPr>
          <w:sz w:val="20"/>
          <w:szCs w:val="20"/>
          <w:color w:val="auto"/>
        </w:rPr>
      </w:pPr>
      <w:r>
        <w:rPr>
          <w:rFonts w:ascii="Calibri" w:cs="Calibri" w:eastAsia="Calibri" w:hAnsi="Calibri"/>
          <w:sz w:val="11"/>
          <w:szCs w:val="11"/>
          <w:color w:val="auto"/>
        </w:rPr>
        <w:t>Assistant Corporate Secretary</w:t>
      </w:r>
    </w:p>
    <w:p>
      <w:pPr>
        <w:spacing w:after="0" w:line="36" w:lineRule="exact"/>
        <w:rPr>
          <w:sz w:val="20"/>
          <w:szCs w:val="20"/>
          <w:color w:val="auto"/>
        </w:rPr>
      </w:pPr>
    </w:p>
    <w:p>
      <w:pPr>
        <w:ind w:left="28"/>
        <w:spacing w:after="0"/>
        <w:rPr>
          <w:sz w:val="20"/>
          <w:szCs w:val="20"/>
          <w:color w:val="auto"/>
        </w:rPr>
      </w:pPr>
      <w:r>
        <w:rPr>
          <w:rFonts w:ascii="Calibri" w:cs="Calibri" w:eastAsia="Calibri" w:hAnsi="Calibri"/>
          <w:sz w:val="11"/>
          <w:szCs w:val="11"/>
          <w:color w:val="auto"/>
        </w:rPr>
        <w:t>Efectve Date:</w:t>
      </w:r>
    </w:p>
    <w:p>
      <w:pPr>
        <w:spacing w:after="0" w:line="38" w:lineRule="exact"/>
        <w:rPr>
          <w:sz w:val="20"/>
          <w:szCs w:val="20"/>
          <w:color w:val="auto"/>
        </w:rPr>
      </w:pPr>
    </w:p>
    <w:p>
      <w:pPr>
        <w:ind w:left="28"/>
        <w:spacing w:after="0"/>
        <w:rPr>
          <w:sz w:val="20"/>
          <w:szCs w:val="20"/>
          <w:color w:val="auto"/>
        </w:rPr>
      </w:pPr>
      <w:r>
        <w:rPr>
          <w:rFonts w:ascii="Calibri" w:cs="Calibri" w:eastAsia="Calibri" w:hAnsi="Calibri"/>
          <w:sz w:val="11"/>
          <w:szCs w:val="11"/>
          <w:color w:val="auto"/>
        </w:rPr>
        <w:t>Latest Update:</w:t>
      </w:r>
    </w:p>
    <w:p>
      <w:pPr>
        <w:spacing w:after="0" w:line="38" w:lineRule="exact"/>
        <w:rPr>
          <w:sz w:val="20"/>
          <w:szCs w:val="20"/>
          <w:color w:val="auto"/>
        </w:rPr>
      </w:pPr>
    </w:p>
    <w:p>
      <w:pPr>
        <w:ind w:left="968" w:right="320"/>
        <w:spacing w:after="0" w:line="192" w:lineRule="auto"/>
        <w:rPr>
          <w:sz w:val="20"/>
          <w:szCs w:val="20"/>
          <w:color w:val="auto"/>
        </w:rPr>
      </w:pPr>
      <w:r>
        <w:rPr>
          <w:rFonts w:ascii="Calibri" w:cs="Calibri" w:eastAsia="Calibri" w:hAnsi="Calibri"/>
          <w:sz w:val="11"/>
          <w:szCs w:val="11"/>
          <w:color w:val="auto"/>
        </w:rPr>
        <w:t>All Mondelēz Internatonal employees, ofcers, directors, and contract workers,</w:t>
      </w:r>
    </w:p>
    <w:p>
      <w:pPr>
        <w:ind w:left="28"/>
        <w:spacing w:after="0" w:line="185" w:lineRule="auto"/>
        <w:rPr>
          <w:sz w:val="20"/>
          <w:szCs w:val="20"/>
          <w:color w:val="auto"/>
        </w:rPr>
      </w:pPr>
      <w:r>
        <w:rPr>
          <w:rFonts w:ascii="Calibri" w:cs="Calibri" w:eastAsia="Calibri" w:hAnsi="Calibri"/>
          <w:sz w:val="8"/>
          <w:szCs w:val="8"/>
          <w:color w:val="auto"/>
        </w:rPr>
        <w:t>Target:</w:t>
      </w:r>
    </w:p>
    <w:p>
      <w:pPr>
        <w:ind w:left="968"/>
        <w:spacing w:after="0" w:line="204" w:lineRule="auto"/>
        <w:rPr>
          <w:sz w:val="20"/>
          <w:szCs w:val="20"/>
          <w:color w:val="auto"/>
        </w:rPr>
      </w:pPr>
      <w:r>
        <w:rPr>
          <w:rFonts w:ascii="Calibri" w:cs="Calibri" w:eastAsia="Calibri" w:hAnsi="Calibri"/>
          <w:sz w:val="11"/>
          <w:szCs w:val="11"/>
          <w:color w:val="auto"/>
        </w:rPr>
        <w:t>including Mondelēz Internatonal</w:t>
      </w:r>
    </w:p>
    <w:p>
      <w:pPr>
        <w:ind w:left="968"/>
        <w:spacing w:after="0" w:line="230" w:lineRule="auto"/>
        <w:rPr>
          <w:sz w:val="20"/>
          <w:szCs w:val="20"/>
          <w:color w:val="auto"/>
        </w:rPr>
      </w:pPr>
      <w:r>
        <w:rPr>
          <w:rFonts w:ascii="Calibri" w:cs="Calibri" w:eastAsia="Calibri" w:hAnsi="Calibri"/>
          <w:sz w:val="11"/>
          <w:szCs w:val="11"/>
          <w:color w:val="auto"/>
        </w:rPr>
        <w:t>subsidiaries</w:t>
      </w:r>
    </w:p>
    <w:p>
      <w:pPr>
        <w:spacing w:after="0" w:line="242" w:lineRule="exact"/>
        <w:rPr>
          <w:sz w:val="20"/>
          <w:szCs w:val="20"/>
          <w:color w:val="auto"/>
        </w:rPr>
      </w:pPr>
    </w:p>
    <w:p>
      <w:pPr>
        <w:ind w:left="8"/>
        <w:spacing w:after="0"/>
        <w:rPr>
          <w:sz w:val="20"/>
          <w:szCs w:val="20"/>
          <w:color w:val="auto"/>
        </w:rPr>
      </w:pPr>
      <w:r>
        <w:rPr>
          <w:rFonts w:ascii="Arial" w:cs="Arial" w:eastAsia="Arial" w:hAnsi="Arial"/>
          <w:sz w:val="29"/>
          <w:szCs w:val="29"/>
          <w:b w:val="1"/>
          <w:bCs w:val="1"/>
          <w:color w:val="4F2170"/>
        </w:rPr>
        <w:t>INSIDER TRADING</w:t>
      </w:r>
    </w:p>
    <w:p>
      <w:pPr>
        <w:spacing w:after="0" w:line="62" w:lineRule="exact"/>
        <w:rPr>
          <w:sz w:val="20"/>
          <w:szCs w:val="20"/>
          <w:color w:val="auto"/>
        </w:rPr>
      </w:pPr>
    </w:p>
    <w:p>
      <w:pPr>
        <w:ind w:left="8" w:right="100"/>
        <w:spacing w:after="0" w:line="223" w:lineRule="auto"/>
        <w:rPr>
          <w:sz w:val="20"/>
          <w:szCs w:val="20"/>
          <w:color w:val="auto"/>
        </w:rPr>
      </w:pPr>
      <w:r>
        <w:rPr>
          <w:rFonts w:ascii="Calibri" w:cs="Calibri" w:eastAsia="Calibri" w:hAnsi="Calibri"/>
          <w:sz w:val="17"/>
          <w:szCs w:val="17"/>
          <w:color w:val="4F2170"/>
        </w:rPr>
        <w:t>WE COMPLY WITH SECURITIES AND INSIDER TRADING LAWS</w:t>
      </w:r>
    </w:p>
    <w:p>
      <w:pPr>
        <w:spacing w:after="0" w:line="82" w:lineRule="exact"/>
        <w:rPr>
          <w:sz w:val="20"/>
          <w:szCs w:val="20"/>
          <w:color w:val="auto"/>
        </w:rPr>
      </w:pPr>
    </w:p>
    <w:p>
      <w:pPr>
        <w:ind w:left="8" w:right="40"/>
        <w:spacing w:after="0" w:line="233" w:lineRule="auto"/>
        <w:rPr>
          <w:sz w:val="20"/>
          <w:szCs w:val="20"/>
          <w:color w:val="auto"/>
        </w:rPr>
      </w:pPr>
      <w:r>
        <w:rPr>
          <w:rFonts w:ascii="Calibri" w:cs="Calibri" w:eastAsia="Calibri" w:hAnsi="Calibri"/>
          <w:sz w:val="14"/>
          <w:szCs w:val="14"/>
          <w:color w:val="4F2170"/>
        </w:rPr>
        <w:t>Federal securites laws prohibit trading in the securites of a company on inside informaton or tpping of others so that they may trade (also known as “insider trading”). As used herein, the term “Insider Trading Policy” or “Policy” shall mean this Policy together with its exhibits.</w:t>
      </w:r>
    </w:p>
    <w:p>
      <w:pPr>
        <w:spacing w:after="0" w:line="78" w:lineRule="exact"/>
        <w:rPr>
          <w:sz w:val="20"/>
          <w:szCs w:val="20"/>
          <w:color w:val="auto"/>
        </w:rPr>
      </w:pPr>
    </w:p>
    <w:p>
      <w:pPr>
        <w:ind w:left="8"/>
        <w:spacing w:after="0" w:line="231" w:lineRule="auto"/>
        <w:rPr>
          <w:sz w:val="20"/>
          <w:szCs w:val="20"/>
          <w:color w:val="auto"/>
        </w:rPr>
      </w:pPr>
      <w:r>
        <w:rPr>
          <w:rFonts w:ascii="Calibri" w:cs="Calibri" w:eastAsia="Calibri" w:hAnsi="Calibri"/>
          <w:sz w:val="14"/>
          <w:szCs w:val="14"/>
          <w:color w:val="4F2170"/>
        </w:rPr>
        <w:t>While working on behalf of Mondelēz Internatonal, Inc. and/or any of its subsidiaries (“Mondelēz Internatonal,” “MDLZ,” “Company” or “we”), you may become aware of inside informaton about Mondelēz Internatonal or another company with which we have a business relatonship, including customers, vendors, suppliers, joint venture partners, and those with which Mondelēz Internatonal may be negotatng a transacton or may be entering into a business relatonship (each, an “Other Covered Company”). You must not use such inside informaton learned in the course of your employment or relatonship with the Company to buy or sell securites of Mondelēz Internatonal or any Other Covered Company or any listed subsidiary. The U.S. federal and state securites laws and similar non-U.S. laws prohibit such conduct. Additonally, you should be aware that insider trading includes trading (or recommending or suggestng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 w:right="60"/>
        <w:spacing w:after="0" w:line="233" w:lineRule="auto"/>
        <w:rPr>
          <w:sz w:val="20"/>
          <w:szCs w:val="20"/>
          <w:color w:val="auto"/>
        </w:rPr>
      </w:pPr>
      <w:r>
        <w:rPr>
          <w:rFonts w:ascii="Calibri" w:cs="Calibri" w:eastAsia="Calibri" w:hAnsi="Calibri"/>
          <w:sz w:val="14"/>
          <w:szCs w:val="14"/>
          <w:color w:val="4F2170"/>
        </w:rPr>
        <w:t>anyone else trade) in the stock or other securites of any other company while you have material nonpublic informaton learned in the course of your employment that, even though not directly about the other company, could materially afect the market price of securites of that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-1581785</wp:posOffset>
            </wp:positionV>
            <wp:extent cx="7212965" cy="105156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8">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58" w:lineRule="exact"/>
        <w:rPr>
          <w:sz w:val="20"/>
          <w:szCs w:val="20"/>
          <w:color w:val="auto"/>
        </w:rPr>
      </w:pPr>
    </w:p>
    <w:p>
      <w:pPr>
        <w:ind w:left="5"/>
        <w:spacing w:after="0" w:line="231" w:lineRule="auto"/>
        <w:rPr>
          <w:sz w:val="20"/>
          <w:szCs w:val="20"/>
          <w:color w:val="auto"/>
        </w:rPr>
      </w:pPr>
      <w:r>
        <w:rPr>
          <w:rFonts w:ascii="Calibri" w:cs="Calibri" w:eastAsia="Calibri" w:hAnsi="Calibri"/>
          <w:sz w:val="14"/>
          <w:szCs w:val="14"/>
          <w:color w:val="4F2170"/>
        </w:rPr>
        <w:t>The Key Requirements of the Insider Trading Policy will help you understand your obligatons relatng to insider trading and to protect you and Mondelēz Internatonal from inadvertent violatons of this Policy and the laws against insider trading.</w:t>
      </w:r>
    </w:p>
    <w:p>
      <w:pPr>
        <w:spacing w:after="0" w:line="237" w:lineRule="exact"/>
        <w:rPr>
          <w:sz w:val="20"/>
          <w:szCs w:val="20"/>
          <w:color w:val="auto"/>
        </w:rPr>
      </w:pPr>
    </w:p>
    <w:p>
      <w:pPr>
        <w:ind w:left="5"/>
        <w:spacing w:after="0"/>
        <w:rPr>
          <w:sz w:val="20"/>
          <w:szCs w:val="20"/>
          <w:color w:val="auto"/>
        </w:rPr>
      </w:pPr>
      <w:r>
        <w:rPr>
          <w:rFonts w:ascii="Arial" w:cs="Arial" w:eastAsia="Arial" w:hAnsi="Arial"/>
          <w:sz w:val="29"/>
          <w:szCs w:val="29"/>
          <w:b w:val="1"/>
          <w:bCs w:val="1"/>
          <w:color w:val="4F2170"/>
        </w:rPr>
        <w:t>KEY REQUIREMENTS</w:t>
      </w:r>
    </w:p>
    <w:p>
      <w:pPr>
        <w:spacing w:after="0" w:line="37" w:lineRule="exact"/>
        <w:rPr>
          <w:sz w:val="20"/>
          <w:szCs w:val="20"/>
          <w:color w:val="auto"/>
        </w:rPr>
      </w:pPr>
    </w:p>
    <w:p>
      <w:pPr>
        <w:ind w:left="5"/>
        <w:spacing w:after="0"/>
        <w:rPr>
          <w:sz w:val="20"/>
          <w:szCs w:val="20"/>
          <w:color w:val="auto"/>
        </w:rPr>
      </w:pPr>
      <w:r>
        <w:rPr>
          <w:rFonts w:ascii="Calibri" w:cs="Calibri" w:eastAsia="Calibri" w:hAnsi="Calibri"/>
          <w:sz w:val="17"/>
          <w:szCs w:val="17"/>
          <w:b w:val="1"/>
          <w:bCs w:val="1"/>
          <w:color w:val="666666"/>
        </w:rPr>
        <w:t>WHAT DOES THE COMPANY EXPECT OF ME?</w:t>
      </w:r>
    </w:p>
    <w:p>
      <w:pPr>
        <w:spacing w:after="0" w:line="80" w:lineRule="exact"/>
        <w:rPr>
          <w:sz w:val="20"/>
          <w:szCs w:val="20"/>
          <w:color w:val="auto"/>
        </w:rPr>
      </w:pPr>
    </w:p>
    <w:p>
      <w:pPr>
        <w:ind w:left="5"/>
        <w:spacing w:after="0" w:line="232" w:lineRule="auto"/>
        <w:rPr>
          <w:sz w:val="20"/>
          <w:szCs w:val="20"/>
          <w:color w:val="auto"/>
        </w:rPr>
      </w:pPr>
      <w:r>
        <w:rPr>
          <w:rFonts w:ascii="Calibri" w:cs="Calibri" w:eastAsia="Calibri" w:hAnsi="Calibri"/>
          <w:sz w:val="14"/>
          <w:szCs w:val="14"/>
          <w:color w:val="auto"/>
        </w:rPr>
        <w:t>You have a responsibility to keep inside informaton confdental and not use it to beneft yourself or others. Your obligaton to maintain the confdentality of inside informaton contnues afer your terminaton of service with Mondelēz Internatonal untl that informaton has been adequately disclosed to the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 w:right="180"/>
        <w:spacing w:after="0" w:line="251" w:lineRule="auto"/>
        <w:rPr>
          <w:sz w:val="20"/>
          <w:szCs w:val="20"/>
          <w:color w:val="auto"/>
        </w:rPr>
      </w:pPr>
      <w:r>
        <w:rPr>
          <w:rFonts w:ascii="Calibri" w:cs="Calibri" w:eastAsia="Calibri" w:hAnsi="Calibri"/>
          <w:sz w:val="13"/>
          <w:szCs w:val="13"/>
          <w:color w:val="auto"/>
        </w:rPr>
        <w:t xml:space="preserve">If you have inside informaton about Mondelēz Internatonal, its securites, any Other Covered Company, or an Other Covered Company’s securites acquired in the course of your employment or relatonship with the Company, </w:t>
      </w:r>
      <w:r>
        <w:rPr>
          <w:rFonts w:ascii="Calibri" w:cs="Calibri" w:eastAsia="Calibri" w:hAnsi="Calibri"/>
          <w:sz w:val="13"/>
          <w:szCs w:val="13"/>
          <w:b w:val="1"/>
          <w:bCs w:val="1"/>
          <w:color w:val="auto"/>
        </w:rPr>
        <w:t>you must not:</w:t>
      </w:r>
    </w:p>
    <w:p>
      <w:pPr>
        <w:spacing w:after="0" w:line="72" w:lineRule="exact"/>
        <w:rPr>
          <w:sz w:val="20"/>
          <w:szCs w:val="20"/>
          <w:color w:val="auto"/>
        </w:rPr>
      </w:pPr>
    </w:p>
    <w:p>
      <w:pPr>
        <w:ind w:left="205" w:right="180" w:hanging="205"/>
        <w:spacing w:after="0" w:line="235" w:lineRule="auto"/>
        <w:tabs>
          <w:tab w:leader="none" w:pos="205"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Directly or indirectly trade in Mondelēz Internatonal or such other company’s securites, even if you believe you are not relying on</w:t>
      </w:r>
    </w:p>
    <w:p>
      <w:pPr>
        <w:ind w:left="205"/>
        <w:spacing w:after="0" w:line="226" w:lineRule="auto"/>
        <w:rPr>
          <w:rFonts w:ascii="Calibri" w:cs="Calibri" w:eastAsia="Calibri" w:hAnsi="Calibri"/>
          <w:sz w:val="14"/>
          <w:szCs w:val="14"/>
          <w:color w:val="auto"/>
        </w:rPr>
      </w:pPr>
      <w:r>
        <w:rPr>
          <w:rFonts w:ascii="Calibri" w:cs="Calibri" w:eastAsia="Calibri" w:hAnsi="Calibri"/>
          <w:sz w:val="14"/>
          <w:szCs w:val="14"/>
          <w:color w:val="auto"/>
        </w:rPr>
        <w:t>that informaton.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164"/>
        <w:spacing w:after="0"/>
        <w:rPr>
          <w:sz w:val="20"/>
          <w:szCs w:val="20"/>
          <w:color w:val="auto"/>
        </w:rPr>
      </w:pPr>
      <w:r>
        <w:rPr>
          <w:rFonts w:ascii="Calibri" w:cs="Calibri" w:eastAsia="Calibri" w:hAnsi="Calibri"/>
          <w:sz w:val="14"/>
          <w:szCs w:val="14"/>
          <w:color w:val="auto"/>
        </w:rPr>
        <w:t>Mondelez Internatonal Internal</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360"/>
        <w:spacing w:after="0"/>
        <w:rPr>
          <w:sz w:val="20"/>
          <w:szCs w:val="20"/>
          <w:color w:val="auto"/>
        </w:rPr>
      </w:pPr>
      <w:r>
        <w:rPr>
          <w:rFonts w:ascii="Calibri" w:cs="Calibri" w:eastAsia="Calibri" w:hAnsi="Calibri"/>
          <w:sz w:val="16"/>
          <w:szCs w:val="16"/>
          <w:b w:val="1"/>
          <w:bCs w:val="1"/>
          <w:color w:val="FFFFFF"/>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Calibri" w:cs="Calibri" w:eastAsia="Calibri" w:hAnsi="Calibri"/>
          <w:sz w:val="13"/>
          <w:szCs w:val="13"/>
          <w:color w:val="FFFFFF"/>
        </w:rPr>
        <w:t>WHAT IS INSIDE INFORMATION?</w:t>
      </w:r>
    </w:p>
    <w:p>
      <w:pPr>
        <w:spacing w:after="0" w:line="82" w:lineRule="exact"/>
        <w:rPr>
          <w:sz w:val="20"/>
          <w:szCs w:val="20"/>
          <w:color w:val="auto"/>
        </w:rPr>
      </w:pPr>
    </w:p>
    <w:p>
      <w:pPr>
        <w:ind w:right="140"/>
        <w:spacing w:after="0" w:line="225" w:lineRule="auto"/>
        <w:rPr>
          <w:sz w:val="20"/>
          <w:szCs w:val="20"/>
          <w:color w:val="auto"/>
        </w:rPr>
      </w:pPr>
      <w:r>
        <w:rPr>
          <w:rFonts w:ascii="Calibri" w:cs="Calibri" w:eastAsia="Calibri" w:hAnsi="Calibri"/>
          <w:sz w:val="13"/>
          <w:szCs w:val="13"/>
          <w:color w:val="FFFFFF"/>
        </w:rPr>
        <w:t>Inside informaton (or material nonpublic informaton) is informaton about a company or its securites that is not known to the general public and that a reasonable investor would probably consider important when deciding whether to buy, sell, or hold a company’s stocks, bonds, optons, or other fnancial instruments (“securites”). Inside informaton could include:</w:t>
      </w:r>
    </w:p>
    <w:p>
      <w:pPr>
        <w:spacing w:after="0" w:line="82" w:lineRule="exact"/>
        <w:rPr>
          <w:sz w:val="20"/>
          <w:szCs w:val="20"/>
          <w:color w:val="auto"/>
        </w:rPr>
      </w:pPr>
    </w:p>
    <w:p>
      <w:pPr>
        <w:ind w:left="160" w:hanging="156"/>
        <w:spacing w:after="0"/>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Company or business unit fnancial results</w:t>
      </w:r>
    </w:p>
    <w:p>
      <w:pPr>
        <w:spacing w:after="0" w:line="17" w:lineRule="exact"/>
        <w:rPr>
          <w:rFonts w:ascii="Calibri" w:cs="Calibri" w:eastAsia="Calibri" w:hAnsi="Calibri"/>
          <w:sz w:val="13"/>
          <w:szCs w:val="13"/>
          <w:color w:val="FFFFFF"/>
        </w:rPr>
      </w:pPr>
    </w:p>
    <w:p>
      <w:pPr>
        <w:ind w:left="160" w:right="460" w:hanging="156"/>
        <w:spacing w:after="0" w:line="230" w:lineRule="auto"/>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Projectons of future earnings or losses, or other earnings outlook</w:t>
      </w:r>
    </w:p>
    <w:p>
      <w:pPr>
        <w:spacing w:after="0" w:line="28" w:lineRule="exact"/>
        <w:rPr>
          <w:rFonts w:ascii="Calibri" w:cs="Calibri" w:eastAsia="Calibri" w:hAnsi="Calibri"/>
          <w:sz w:val="13"/>
          <w:szCs w:val="13"/>
          <w:color w:val="FFFFFF"/>
        </w:rPr>
      </w:pPr>
    </w:p>
    <w:p>
      <w:pPr>
        <w:jc w:val="both"/>
        <w:ind w:left="160" w:right="780" w:hanging="156"/>
        <w:spacing w:after="0" w:line="242" w:lineRule="auto"/>
        <w:tabs>
          <w:tab w:leader="none" w:pos="160" w:val="left"/>
        </w:tabs>
        <w:numPr>
          <w:ilvl w:val="0"/>
          <w:numId w:val="63"/>
        </w:numPr>
        <w:rPr>
          <w:rFonts w:ascii="Calibri" w:cs="Calibri" w:eastAsia="Calibri" w:hAnsi="Calibri"/>
          <w:sz w:val="12"/>
          <w:szCs w:val="12"/>
          <w:color w:val="FFFFFF"/>
        </w:rPr>
      </w:pPr>
      <w:r>
        <w:rPr>
          <w:rFonts w:ascii="Calibri" w:cs="Calibri" w:eastAsia="Calibri" w:hAnsi="Calibri"/>
          <w:sz w:val="12"/>
          <w:szCs w:val="12"/>
          <w:color w:val="FFFFFF"/>
        </w:rPr>
        <w:t>Current, proposed or antcipated mergers, acquisitons, divesttures or joint ventures</w:t>
      </w:r>
    </w:p>
    <w:p>
      <w:pPr>
        <w:spacing w:after="0" w:line="22" w:lineRule="exact"/>
        <w:rPr>
          <w:rFonts w:ascii="Calibri" w:cs="Calibri" w:eastAsia="Calibri" w:hAnsi="Calibri"/>
          <w:sz w:val="12"/>
          <w:szCs w:val="12"/>
          <w:color w:val="FFFFFF"/>
        </w:rPr>
      </w:pPr>
    </w:p>
    <w:p>
      <w:pPr>
        <w:ind w:left="160" w:hanging="156"/>
        <w:spacing w:after="0"/>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Changes in directors or senior management</w:t>
      </w:r>
    </w:p>
    <w:p>
      <w:pPr>
        <w:spacing w:after="0" w:line="13" w:lineRule="exact"/>
        <w:rPr>
          <w:rFonts w:ascii="Calibri" w:cs="Calibri" w:eastAsia="Calibri" w:hAnsi="Calibri"/>
          <w:sz w:val="13"/>
          <w:szCs w:val="13"/>
          <w:color w:val="FFFFFF"/>
        </w:rPr>
      </w:pPr>
    </w:p>
    <w:p>
      <w:pPr>
        <w:ind w:left="160" w:hanging="156"/>
        <w:spacing w:after="0"/>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Signifcant capital investments</w:t>
      </w:r>
    </w:p>
    <w:p>
      <w:pPr>
        <w:spacing w:after="0" w:line="23" w:lineRule="exact"/>
        <w:rPr>
          <w:rFonts w:ascii="Calibri" w:cs="Calibri" w:eastAsia="Calibri" w:hAnsi="Calibri"/>
          <w:sz w:val="13"/>
          <w:szCs w:val="13"/>
          <w:color w:val="FFFFFF"/>
        </w:rPr>
      </w:pPr>
    </w:p>
    <w:p>
      <w:pPr>
        <w:ind w:left="160" w:hanging="156"/>
        <w:spacing w:after="0"/>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New product launches</w:t>
      </w:r>
    </w:p>
    <w:p>
      <w:pPr>
        <w:spacing w:after="0" w:line="17" w:lineRule="exact"/>
        <w:rPr>
          <w:rFonts w:ascii="Calibri" w:cs="Calibri" w:eastAsia="Calibri" w:hAnsi="Calibri"/>
          <w:sz w:val="13"/>
          <w:szCs w:val="13"/>
          <w:color w:val="FFFFFF"/>
        </w:rPr>
      </w:pPr>
    </w:p>
    <w:p>
      <w:pPr>
        <w:ind w:left="160" w:right="320" w:hanging="156"/>
        <w:spacing w:after="0" w:line="230" w:lineRule="auto"/>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Product recalls or the interrupton of producton or other aspects of a company’s business</w:t>
      </w:r>
    </w:p>
    <w:p>
      <w:pPr>
        <w:spacing w:after="0" w:line="13" w:lineRule="exact"/>
        <w:rPr>
          <w:rFonts w:ascii="Calibri" w:cs="Calibri" w:eastAsia="Calibri" w:hAnsi="Calibri"/>
          <w:sz w:val="13"/>
          <w:szCs w:val="13"/>
          <w:color w:val="FFFFFF"/>
        </w:rPr>
      </w:pPr>
    </w:p>
    <w:p>
      <w:pPr>
        <w:ind w:left="160" w:hanging="156"/>
        <w:spacing w:after="0"/>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Cybersecurity incidents and data security breaches</w:t>
      </w:r>
    </w:p>
    <w:p>
      <w:pPr>
        <w:spacing w:after="0" w:line="27" w:lineRule="exact"/>
        <w:rPr>
          <w:rFonts w:ascii="Calibri" w:cs="Calibri" w:eastAsia="Calibri" w:hAnsi="Calibri"/>
          <w:sz w:val="13"/>
          <w:szCs w:val="13"/>
          <w:color w:val="FFFFFF"/>
        </w:rPr>
      </w:pPr>
    </w:p>
    <w:p>
      <w:pPr>
        <w:ind w:left="160" w:right="600" w:hanging="156"/>
        <w:spacing w:after="0" w:line="230" w:lineRule="auto"/>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Major litgaton, government investgatons or regulatory actons or proceedings</w:t>
      </w:r>
    </w:p>
    <w:p>
      <w:pPr>
        <w:spacing w:after="0" w:line="18" w:lineRule="exact"/>
        <w:rPr>
          <w:rFonts w:ascii="Calibri" w:cs="Calibri" w:eastAsia="Calibri" w:hAnsi="Calibri"/>
          <w:sz w:val="13"/>
          <w:szCs w:val="13"/>
          <w:color w:val="FFFFFF"/>
        </w:rPr>
      </w:pPr>
    </w:p>
    <w:p>
      <w:pPr>
        <w:ind w:left="160" w:right="120" w:hanging="156"/>
        <w:spacing w:after="0" w:line="229" w:lineRule="auto"/>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Signifcant events relatng to a company’s stock, including dividend actons, stock splits or the proposed or antcipated issuance, redempton or repurchase of securites</w:t>
      </w:r>
    </w:p>
    <w:p>
      <w:pPr>
        <w:spacing w:after="0" w:line="17" w:lineRule="exact"/>
        <w:rPr>
          <w:rFonts w:ascii="Calibri" w:cs="Calibri" w:eastAsia="Calibri" w:hAnsi="Calibri"/>
          <w:sz w:val="13"/>
          <w:szCs w:val="13"/>
          <w:color w:val="FFFFFF"/>
        </w:rPr>
      </w:pPr>
    </w:p>
    <w:p>
      <w:pPr>
        <w:ind w:left="160" w:right="160" w:hanging="156"/>
        <w:spacing w:after="0" w:line="229" w:lineRule="auto"/>
        <w:tabs>
          <w:tab w:leader="none" w:pos="160" w:val="left"/>
        </w:tabs>
        <w:numPr>
          <w:ilvl w:val="0"/>
          <w:numId w:val="63"/>
        </w:numPr>
        <w:rPr>
          <w:rFonts w:ascii="Calibri" w:cs="Calibri" w:eastAsia="Calibri" w:hAnsi="Calibri"/>
          <w:sz w:val="13"/>
          <w:szCs w:val="13"/>
          <w:color w:val="FFFFFF"/>
        </w:rPr>
      </w:pPr>
      <w:r>
        <w:rPr>
          <w:rFonts w:ascii="Calibri" w:cs="Calibri" w:eastAsia="Calibri" w:hAnsi="Calibri"/>
          <w:sz w:val="13"/>
          <w:szCs w:val="13"/>
          <w:color w:val="FFFFFF"/>
        </w:rPr>
        <w:t>Signifcant developments relatng to major contracts, orders, suppliers, customers, fnance sources or credit ratngs</w:t>
      </w:r>
    </w:p>
    <w:p>
      <w:pPr>
        <w:spacing w:after="0" w:line="72" w:lineRule="exact"/>
        <w:rPr>
          <w:sz w:val="20"/>
          <w:szCs w:val="20"/>
          <w:color w:val="auto"/>
        </w:rPr>
      </w:pPr>
    </w:p>
    <w:p>
      <w:pPr>
        <w:ind w:right="140"/>
        <w:spacing w:after="0" w:line="245" w:lineRule="auto"/>
        <w:rPr>
          <w:sz w:val="20"/>
          <w:szCs w:val="20"/>
          <w:color w:val="auto"/>
        </w:rPr>
      </w:pPr>
      <w:r>
        <w:rPr>
          <w:rFonts w:ascii="Calibri" w:cs="Calibri" w:eastAsia="Calibri" w:hAnsi="Calibri"/>
          <w:sz w:val="12"/>
          <w:szCs w:val="12"/>
          <w:color w:val="FFFFFF"/>
        </w:rPr>
        <w:t>Inside informaton is considered nonpublic untl it has been disclosed to the general public, including through a widely disseminated press release or a fling with the U.S. Securites and Exchange Commission, and adequate tme has passed to allow the market to digest the informaton (i.e., for purposes of this Policy, at least one full trading day afer the informaton is released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color w:val="EFAD1B"/>
        </w:rPr>
        <w:t>Page 1 of 7</w:t>
      </w:r>
    </w:p>
    <w:p>
      <w:pPr>
        <w:spacing w:after="0" w:line="399" w:lineRule="exact"/>
        <w:rPr>
          <w:sz w:val="20"/>
          <w:szCs w:val="20"/>
          <w:color w:val="auto"/>
        </w:rPr>
      </w:pPr>
    </w:p>
    <w:p>
      <w:pPr>
        <w:sectPr>
          <w:pgSz w:w="11900" w:h="16878" w:orient="portrait"/>
          <w:cols w:equalWidth="0" w:num="3">
            <w:col w:w="3168" w:space="355"/>
            <w:col w:w="3145" w:space="460"/>
            <w:col w:w="3140"/>
          </w:cols>
          <w:pgMar w:left="832" w:top="562" w:right="7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8" w:right="60" w:hanging="208"/>
        <w:spacing w:after="0"/>
        <w:tabs>
          <w:tab w:leader="none" w:pos="208"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Trade in the securites of Mondelēz Internatonal or any Other Covered Company untl at least one full trading day afer the relevant inside informaton that you have has been released to the</w:t>
      </w:r>
    </w:p>
    <w:p>
      <w:pPr>
        <w:spacing w:after="0" w:line="2" w:lineRule="exact"/>
        <w:rPr>
          <w:rFonts w:ascii="Calibri" w:cs="Calibri" w:eastAsia="Calibri" w:hAnsi="Calibri"/>
          <w:sz w:val="14"/>
          <w:szCs w:val="14"/>
          <w:color w:val="auto"/>
        </w:rPr>
      </w:pPr>
    </w:p>
    <w:p>
      <w:pPr>
        <w:ind w:left="208"/>
        <w:spacing w:after="0"/>
        <w:rPr>
          <w:rFonts w:ascii="Calibri" w:cs="Calibri" w:eastAsia="Calibri" w:hAnsi="Calibri"/>
          <w:sz w:val="14"/>
          <w:szCs w:val="14"/>
          <w:color w:val="auto"/>
        </w:rPr>
      </w:pPr>
      <w:r>
        <w:rPr>
          <w:rFonts w:ascii="Calibri" w:cs="Calibri" w:eastAsia="Calibri" w:hAnsi="Calibri"/>
          <w:sz w:val="14"/>
          <w:szCs w:val="14"/>
          <w:color w:val="auto"/>
        </w:rPr>
        <w:t>general public.</w:t>
      </w:r>
    </w:p>
    <w:p>
      <w:pPr>
        <w:spacing w:after="0" w:line="23" w:lineRule="exact"/>
        <w:rPr>
          <w:rFonts w:ascii="Calibri" w:cs="Calibri" w:eastAsia="Calibri" w:hAnsi="Calibri"/>
          <w:sz w:val="14"/>
          <w:szCs w:val="14"/>
          <w:color w:val="auto"/>
        </w:rPr>
      </w:pPr>
    </w:p>
    <w:p>
      <w:pPr>
        <w:ind w:left="208" w:right="120" w:hanging="208"/>
        <w:spacing w:after="0"/>
        <w:tabs>
          <w:tab w:leader="none" w:pos="208"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Share inside informaton with anyone outside of a designated project team, including but not limited to, family members, relatves, friends and fellow employees of Mondelēz Internatonal, unless otherwise permited by Mondelēz Internatonal policies or procedures.</w:t>
      </w:r>
    </w:p>
    <w:p>
      <w:pPr>
        <w:spacing w:after="0" w:line="37" w:lineRule="exact"/>
        <w:rPr>
          <w:rFonts w:ascii="Calibri" w:cs="Calibri" w:eastAsia="Calibri" w:hAnsi="Calibri"/>
          <w:sz w:val="14"/>
          <w:szCs w:val="14"/>
          <w:color w:val="auto"/>
        </w:rPr>
      </w:pPr>
    </w:p>
    <w:p>
      <w:pPr>
        <w:ind w:left="208" w:right="20" w:hanging="208"/>
        <w:spacing w:after="0"/>
        <w:tabs>
          <w:tab w:leader="none" w:pos="208"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Share inside informaton about any Other Covered Company to anyone who may trade in that company’s securites, or recommend to anyone that they purchase, sell or hold the securites of such company while you have inside informaton concerning or afectng that company. This practce is known as “tpping,” and it is illegal, even if you do not trade or gain any beneft from the trade.</w:t>
      </w:r>
    </w:p>
    <w:p>
      <w:pPr>
        <w:spacing w:after="0" w:line="39" w:lineRule="exact"/>
        <w:rPr>
          <w:rFonts w:ascii="Calibri" w:cs="Calibri" w:eastAsia="Calibri" w:hAnsi="Calibri"/>
          <w:sz w:val="14"/>
          <w:szCs w:val="14"/>
          <w:color w:val="auto"/>
        </w:rPr>
      </w:pPr>
    </w:p>
    <w:p>
      <w:pPr>
        <w:ind w:left="208" w:right="200" w:hanging="208"/>
        <w:spacing w:after="0"/>
        <w:tabs>
          <w:tab w:leader="none" w:pos="208"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For purposes of this Policy, gifs or donatons of Mondelēz Internatonal securites are considered trades of such securites and are subject to</w:t>
      </w:r>
    </w:p>
    <w:p>
      <w:pPr>
        <w:spacing w:after="0" w:line="1" w:lineRule="exact"/>
        <w:rPr>
          <w:rFonts w:ascii="Calibri" w:cs="Calibri" w:eastAsia="Calibri" w:hAnsi="Calibri"/>
          <w:sz w:val="14"/>
          <w:szCs w:val="14"/>
          <w:color w:val="auto"/>
        </w:rPr>
      </w:pPr>
    </w:p>
    <w:p>
      <w:pPr>
        <w:ind w:left="208"/>
        <w:spacing w:after="0"/>
        <w:rPr>
          <w:rFonts w:ascii="Calibri" w:cs="Calibri" w:eastAsia="Calibri" w:hAnsi="Calibri"/>
          <w:sz w:val="14"/>
          <w:szCs w:val="14"/>
          <w:color w:val="auto"/>
        </w:rPr>
      </w:pPr>
      <w:r>
        <w:rPr>
          <w:rFonts w:ascii="Calibri" w:cs="Calibri" w:eastAsia="Calibri" w:hAnsi="Calibri"/>
          <w:sz w:val="14"/>
          <w:szCs w:val="14"/>
          <w:color w:val="auto"/>
        </w:rPr>
        <w:t>this Policy.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
        <w:spacing w:after="0"/>
        <w:rPr>
          <w:sz w:val="20"/>
          <w:szCs w:val="20"/>
          <w:color w:val="auto"/>
        </w:rPr>
      </w:pPr>
      <w:r>
        <w:rPr>
          <w:rFonts w:ascii="Calibri" w:cs="Calibri" w:eastAsia="Calibri" w:hAnsi="Calibri"/>
          <w:sz w:val="14"/>
          <w:szCs w:val="14"/>
          <w:color w:val="auto"/>
        </w:rPr>
        <w:t>You are expected to:</w:t>
      </w:r>
    </w:p>
    <w:p>
      <w:pPr>
        <w:spacing w:after="0" w:line="35" w:lineRule="exact"/>
        <w:rPr>
          <w:sz w:val="20"/>
          <w:szCs w:val="20"/>
          <w:color w:val="auto"/>
        </w:rPr>
      </w:pPr>
    </w:p>
    <w:p>
      <w:pPr>
        <w:ind w:left="208" w:right="20" w:hanging="208"/>
        <w:spacing w:after="0" w:line="239" w:lineRule="auto"/>
        <w:tabs>
          <w:tab w:leader="none" w:pos="2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Ensure you follow these guidelines before you trade in company stocks.</w:t>
      </w:r>
    </w:p>
    <w:p>
      <w:pPr>
        <w:spacing w:after="0" w:line="35" w:lineRule="exact"/>
        <w:rPr>
          <w:rFonts w:ascii="Calibri" w:cs="Calibri" w:eastAsia="Calibri" w:hAnsi="Calibri"/>
          <w:sz w:val="14"/>
          <w:szCs w:val="14"/>
          <w:color w:val="auto"/>
        </w:rPr>
      </w:pPr>
    </w:p>
    <w:p>
      <w:pPr>
        <w:ind w:left="208" w:right="20" w:hanging="208"/>
        <w:spacing w:after="0"/>
        <w:tabs>
          <w:tab w:leader="none" w:pos="2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Immediately report any situaton to the appropriate Compliance contact if you suspect that this Policy has been potentally violated or know that some inside informaton is not being managed as inside informaton.</w:t>
      </w:r>
    </w:p>
    <w:p>
      <w:pPr>
        <w:spacing w:after="0" w:line="58" w:lineRule="exact"/>
        <w:rPr>
          <w:sz w:val="20"/>
          <w:szCs w:val="20"/>
          <w:color w:val="auto"/>
        </w:rPr>
      </w:pPr>
    </w:p>
    <w:p>
      <w:pPr>
        <w:ind w:left="8"/>
        <w:spacing w:after="0"/>
        <w:rPr>
          <w:sz w:val="20"/>
          <w:szCs w:val="20"/>
          <w:color w:val="auto"/>
        </w:rPr>
      </w:pPr>
      <w:r>
        <w:rPr>
          <w:rFonts w:ascii="Calibri" w:cs="Calibri" w:eastAsia="Calibri" w:hAnsi="Calibri"/>
          <w:sz w:val="14"/>
          <w:szCs w:val="14"/>
          <w:color w:val="auto"/>
        </w:rPr>
        <w:t>This Policy applies to all employees of Mondelēz Internatonal, including our executve ofcers, as well as members of our board of directors (“directors”) and those persons actng on behalf of Mondelēz Internatonal, including temporary or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41" w:lineRule="auto"/>
        <w:rPr>
          <w:sz w:val="20"/>
          <w:szCs w:val="20"/>
          <w:color w:val="auto"/>
        </w:rPr>
      </w:pPr>
      <w:r>
        <w:rPr>
          <w:rFonts w:ascii="Calibri" w:cs="Calibri" w:eastAsia="Calibri" w:hAnsi="Calibri"/>
          <w:sz w:val="14"/>
          <w:szCs w:val="14"/>
          <w:color w:val="auto"/>
        </w:rPr>
        <w:t>This Policy also applies to your family members and other persons living in your household (except for household employees), and your family members who do not live in your household but whose transactons in Mondelēz Internatonal securites are directed by you or are subject to your infuence or control, such as parents or children who consult with you before they trade in securites (each, a “family member”), and to any entty that you or a family member infuences, manages, or controls, including any corporatons, partnerships, or trusts (each, a “controlled entty”). For purposes of this Policy, you are responsible for the transactons of family members and controlled enttes, and these transactons should be treated as if they were for your own account.</w:t>
      </w:r>
    </w:p>
    <w:p>
      <w:pPr>
        <w:spacing w:after="0" w:line="89" w:lineRule="exact"/>
        <w:rPr>
          <w:sz w:val="20"/>
          <w:szCs w:val="20"/>
          <w:color w:val="auto"/>
        </w:rPr>
      </w:pPr>
    </w:p>
    <w:p>
      <w:pPr>
        <w:spacing w:after="0" w:line="239" w:lineRule="auto"/>
        <w:rPr>
          <w:sz w:val="20"/>
          <w:szCs w:val="20"/>
          <w:color w:val="auto"/>
        </w:rPr>
      </w:pPr>
      <w:r>
        <w:rPr>
          <w:rFonts w:ascii="Calibri" w:cs="Calibri" w:eastAsia="Calibri" w:hAnsi="Calibri"/>
          <w:sz w:val="14"/>
          <w:szCs w:val="14"/>
          <w:color w:val="auto"/>
        </w:rPr>
        <w:t xml:space="preserve">Remember this is not only basic fairness; it is a </w:t>
      </w:r>
      <w:r>
        <w:rPr>
          <w:rFonts w:ascii="Calibri" w:cs="Calibri" w:eastAsia="Calibri" w:hAnsi="Calibri"/>
          <w:sz w:val="14"/>
          <w:szCs w:val="14"/>
          <w:b w:val="1"/>
          <w:bCs w:val="1"/>
          <w:u w:val="single" w:color="auto"/>
          <w:color w:val="auto"/>
        </w:rPr>
        <w:t>crime</w:t>
      </w:r>
      <w:r>
        <w:rPr>
          <w:rFonts w:ascii="Calibri" w:cs="Calibri" w:eastAsia="Calibri" w:hAnsi="Calibri"/>
          <w:sz w:val="14"/>
          <w:szCs w:val="14"/>
          <w:color w:val="auto"/>
        </w:rPr>
        <w:t xml:space="preserve"> to engage in insider trading.</w:t>
      </w:r>
    </w:p>
    <w:p>
      <w:pPr>
        <w:spacing w:after="0" w:line="89" w:lineRule="exact"/>
        <w:rPr>
          <w:sz w:val="20"/>
          <w:szCs w:val="20"/>
          <w:color w:val="auto"/>
        </w:rPr>
      </w:pPr>
    </w:p>
    <w:p>
      <w:pPr>
        <w:ind w:right="200"/>
        <w:spacing w:after="0"/>
        <w:rPr>
          <w:sz w:val="20"/>
          <w:szCs w:val="20"/>
          <w:color w:val="auto"/>
        </w:rPr>
      </w:pPr>
      <w:r>
        <w:rPr>
          <w:rFonts w:ascii="Calibri" w:cs="Calibri" w:eastAsia="Calibri" w:hAnsi="Calibri"/>
          <w:sz w:val="14"/>
          <w:szCs w:val="14"/>
          <w:color w:val="auto"/>
        </w:rPr>
        <w:t>Employees who violate this Policy may be disciplined, up to and including the terminaton of their employment.</w:t>
      </w:r>
    </w:p>
    <w:p>
      <w:pPr>
        <w:spacing w:after="0" w:line="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REPORTING SUSPECTED MISCONDUCT</w:t>
      </w:r>
    </w:p>
    <w:p>
      <w:pPr>
        <w:spacing w:after="0" w:line="93" w:lineRule="exact"/>
        <w:rPr>
          <w:sz w:val="20"/>
          <w:szCs w:val="20"/>
          <w:color w:val="auto"/>
        </w:rPr>
      </w:pPr>
    </w:p>
    <w:p>
      <w:pPr>
        <w:ind w:right="140"/>
        <w:spacing w:after="0" w:line="259" w:lineRule="auto"/>
        <w:rPr>
          <w:sz w:val="20"/>
          <w:szCs w:val="20"/>
          <w:color w:val="auto"/>
        </w:rPr>
      </w:pPr>
      <w:r>
        <w:rPr>
          <w:rFonts w:ascii="Calibri" w:cs="Calibri" w:eastAsia="Calibri" w:hAnsi="Calibri"/>
          <w:sz w:val="12"/>
          <w:szCs w:val="12"/>
          <w:color w:val="auto"/>
        </w:rPr>
        <w:t>If you suspect someone has violated this Policy, contact the Compliance Line or the appropriate Compliance contact.</w:t>
      </w:r>
    </w:p>
    <w:p>
      <w:pPr>
        <w:spacing w:after="0" w:line="79" w:lineRule="exact"/>
        <w:rPr>
          <w:sz w:val="20"/>
          <w:szCs w:val="20"/>
          <w:color w:val="auto"/>
        </w:rPr>
      </w:pPr>
    </w:p>
    <w:p>
      <w:pPr>
        <w:ind w:right="120"/>
        <w:spacing w:after="0" w:line="265" w:lineRule="auto"/>
        <w:rPr>
          <w:sz w:val="20"/>
          <w:szCs w:val="20"/>
          <w:color w:val="auto"/>
        </w:rPr>
      </w:pPr>
      <w:r>
        <w:rPr>
          <w:rFonts w:ascii="Calibri" w:cs="Calibri" w:eastAsia="Calibri" w:hAnsi="Calibri"/>
          <w:sz w:val="13"/>
          <w:szCs w:val="13"/>
          <w:color w:val="auto"/>
        </w:rPr>
        <w:t>Mondelēz Internatonal has zero tolerance for retaliaton. Anyone who retaliates against someone for raising a good-faith concern will face discipline, which may include the terminaton of their employment.</w:t>
      </w:r>
    </w:p>
    <w:p>
      <w:pPr>
        <w:spacing w:after="0" w:line="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HOW CAN I LEARN MORE?</w:t>
      </w:r>
    </w:p>
    <w:p>
      <w:pPr>
        <w:spacing w:after="0" w:line="91" w:lineRule="exact"/>
        <w:rPr>
          <w:sz w:val="20"/>
          <w:szCs w:val="20"/>
          <w:color w:val="auto"/>
        </w:rPr>
      </w:pPr>
    </w:p>
    <w:p>
      <w:pPr>
        <w:ind w:right="120"/>
        <w:spacing w:after="0"/>
        <w:rPr>
          <w:sz w:val="20"/>
          <w:szCs w:val="20"/>
          <w:color w:val="auto"/>
        </w:rPr>
      </w:pPr>
      <w:r>
        <w:rPr>
          <w:rFonts w:ascii="Calibri" w:cs="Calibri" w:eastAsia="Calibri" w:hAnsi="Calibri"/>
          <w:sz w:val="14"/>
          <w:szCs w:val="14"/>
          <w:color w:val="auto"/>
        </w:rPr>
        <w:t>If you intend to buy or sell securites of Mondelēz Internatonal or any listed subsidiary, please make sure to follow additonal rules available in the Mondelēz Internatonal Trading Handbook (Exhibit 1).</w:t>
      </w:r>
    </w:p>
    <w:p>
      <w:pPr>
        <w:spacing w:after="0" w:line="90" w:lineRule="exact"/>
        <w:rPr>
          <w:sz w:val="20"/>
          <w:szCs w:val="20"/>
          <w:color w:val="auto"/>
        </w:rPr>
      </w:pPr>
    </w:p>
    <w:p>
      <w:pPr>
        <w:ind w:right="80"/>
        <w:spacing w:after="0"/>
        <w:rPr>
          <w:sz w:val="20"/>
          <w:szCs w:val="20"/>
          <w:color w:val="auto"/>
        </w:rPr>
      </w:pPr>
      <w:r>
        <w:rPr>
          <w:rFonts w:ascii="Calibri" w:cs="Calibri" w:eastAsia="Calibri" w:hAnsi="Calibri"/>
          <w:sz w:val="14"/>
          <w:szCs w:val="14"/>
          <w:color w:val="auto"/>
        </w:rPr>
        <w:t>If you have any questons about how to interpret this Policy, contact your Region, BU or Global Compliance lead or the Corporate Secretary Ofce. You also can visit the myCLA Intranet Site to learn more about our compliance program and reportng mechanisms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940"/>
        <w:spacing w:after="0" w:line="309" w:lineRule="auto"/>
        <w:rPr>
          <w:sz w:val="20"/>
          <w:szCs w:val="20"/>
          <w:color w:val="auto"/>
        </w:rPr>
      </w:pPr>
      <w:r>
        <w:rPr>
          <w:rFonts w:ascii="Arial" w:cs="Arial" w:eastAsia="Arial" w:hAnsi="Arial"/>
          <w:sz w:val="28"/>
          <w:szCs w:val="28"/>
          <w:b w:val="1"/>
          <w:bCs w:val="1"/>
          <w:color w:val="4F2170"/>
        </w:rPr>
        <w:t>COMPANY TRANSACTIONS</w:t>
      </w:r>
    </w:p>
    <w:p>
      <w:pPr>
        <w:spacing w:after="0" w:line="1" w:lineRule="exact"/>
        <w:rPr>
          <w:sz w:val="20"/>
          <w:szCs w:val="20"/>
          <w:color w:val="auto"/>
        </w:rPr>
      </w:pPr>
    </w:p>
    <w:p>
      <w:pPr>
        <w:ind w:right="80"/>
        <w:spacing w:after="0"/>
        <w:rPr>
          <w:sz w:val="20"/>
          <w:szCs w:val="20"/>
          <w:color w:val="auto"/>
        </w:rPr>
      </w:pPr>
      <w:r>
        <w:rPr>
          <w:rFonts w:ascii="Calibri" w:cs="Calibri" w:eastAsia="Calibri" w:hAnsi="Calibri"/>
          <w:sz w:val="14"/>
          <w:szCs w:val="14"/>
          <w:color w:val="4F2270"/>
        </w:rPr>
        <w:t>From tme to tme, the Company may engage in transactons in its own securites. It is the Company’s policy to comply with all applicable securites and state laws (including appropriate approvals by the board of directors or appropriate commitee, if required) when engaging in transactons in Company securites or in transactons involving Company equity plans and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Calibri" w:cs="Calibri" w:eastAsia="Calibri" w:hAnsi="Calibri"/>
          <w:sz w:val="14"/>
          <w:szCs w:val="14"/>
          <w:color w:val="FFFFFF"/>
        </w:rPr>
        <w:t>BLACKOUT PERIODS</w:t>
      </w:r>
    </w:p>
    <w:p>
      <w:pPr>
        <w:spacing w:after="0" w:line="24" w:lineRule="exact"/>
        <w:rPr>
          <w:sz w:val="20"/>
          <w:szCs w:val="20"/>
          <w:color w:val="auto"/>
        </w:rPr>
      </w:pPr>
    </w:p>
    <w:p>
      <w:pPr>
        <w:ind w:left="200" w:right="220"/>
        <w:spacing w:after="0" w:line="258" w:lineRule="auto"/>
        <w:rPr>
          <w:sz w:val="20"/>
          <w:szCs w:val="20"/>
          <w:color w:val="auto"/>
        </w:rPr>
      </w:pPr>
      <w:r>
        <w:rPr>
          <w:rFonts w:ascii="Calibri" w:cs="Calibri" w:eastAsia="Calibri" w:hAnsi="Calibri"/>
          <w:sz w:val="14"/>
          <w:szCs w:val="14"/>
          <w:color w:val="FFFFFF"/>
        </w:rPr>
        <w:t>Mondelēz Internatonal has established quarterly blackout periods and may establish event-specifc blackout periods when certain individuals must not trade in Mondelēz Internatonal securites as they are likely to be aware of some inside informaton.</w:t>
      </w:r>
    </w:p>
    <w:p>
      <w:pPr>
        <w:spacing w:after="0" w:line="101" w:lineRule="exact"/>
        <w:rPr>
          <w:sz w:val="20"/>
          <w:szCs w:val="20"/>
          <w:color w:val="auto"/>
        </w:rPr>
      </w:pPr>
    </w:p>
    <w:p>
      <w:pPr>
        <w:ind w:left="200" w:right="220"/>
        <w:spacing w:after="0" w:line="258" w:lineRule="auto"/>
        <w:rPr>
          <w:sz w:val="20"/>
          <w:szCs w:val="20"/>
          <w:color w:val="auto"/>
        </w:rPr>
      </w:pPr>
      <w:r>
        <w:rPr>
          <w:rFonts w:ascii="Calibri" w:cs="Calibri" w:eastAsia="Calibri" w:hAnsi="Calibri"/>
          <w:sz w:val="14"/>
          <w:szCs w:val="14"/>
          <w:color w:val="FFFFFF"/>
        </w:rPr>
        <w:t>This is mostly applicable to directors, Secton 16 ofcers and other designated employees (including their family members and controlled enttes), who will be notfed by the Corporate Secretary Ofce if they are subject to quarterly or event-specifc blackout periods.</w:t>
      </w:r>
    </w:p>
    <w:p>
      <w:pPr>
        <w:spacing w:after="0" w:line="101" w:lineRule="exact"/>
        <w:rPr>
          <w:sz w:val="20"/>
          <w:szCs w:val="20"/>
          <w:color w:val="auto"/>
        </w:rPr>
      </w:pPr>
    </w:p>
    <w:p>
      <w:pPr>
        <w:ind w:left="200" w:right="160"/>
        <w:spacing w:after="0" w:line="259" w:lineRule="auto"/>
        <w:rPr>
          <w:sz w:val="20"/>
          <w:szCs w:val="20"/>
          <w:color w:val="auto"/>
        </w:rPr>
      </w:pPr>
      <w:r>
        <w:rPr>
          <w:rFonts w:ascii="Calibri" w:cs="Calibri" w:eastAsia="Calibri" w:hAnsi="Calibri"/>
          <w:sz w:val="14"/>
          <w:szCs w:val="14"/>
          <w:color w:val="FFFFFF"/>
        </w:rPr>
        <w:t xml:space="preserve">Quarterly blackout periods will begin on the 15th day of the last month of each quarter ( </w:t>
      </w:r>
      <w:r>
        <w:rPr>
          <w:rFonts w:ascii="Calibri" w:cs="Calibri" w:eastAsia="Calibri" w:hAnsi="Calibri"/>
          <w:sz w:val="14"/>
          <w:szCs w:val="14"/>
          <w:i w:val="1"/>
          <w:iCs w:val="1"/>
          <w:color w:val="FFFFFF"/>
        </w:rPr>
        <w:t>i.e.</w:t>
      </w:r>
      <w:r>
        <w:rPr>
          <w:rFonts w:ascii="Calibri" w:cs="Calibri" w:eastAsia="Calibri" w:hAnsi="Calibri"/>
          <w:sz w:val="14"/>
          <w:szCs w:val="14"/>
          <w:color w:val="FFFFFF"/>
        </w:rPr>
        <w:t>, March 15, June 15, September 15 and December 15) and will end at the close of business one business day afer the public announcement of Mondelēz</w:t>
      </w:r>
    </w:p>
    <w:p>
      <w:pPr>
        <w:sectPr>
          <w:pgSz w:w="11900" w:h="16878" w:orient="portrait"/>
          <w:cols w:equalWidth="0" w:num="3">
            <w:col w:w="3168" w:space="360"/>
            <w:col w:w="3220" w:space="300"/>
            <w:col w:w="3220"/>
          </w:cols>
          <w:pgMar w:left="832" w:top="562" w:right="799" w:bottom="0" w:gutter="0" w:footer="0" w:header="0"/>
          <w:type w:val="continuous"/>
        </w:sectPr>
      </w:pPr>
    </w:p>
    <w:bookmarkStart w:id="144" w:name="page145"/>
    <w:bookmarkEnd w:id="144"/>
    <w:p>
      <w:pPr>
        <w:ind w:left="8"/>
        <w:spacing w:after="0"/>
        <w:tabs>
          <w:tab w:leader="none" w:pos="3507" w:val="left"/>
          <w:tab w:leader="none" w:pos="7227" w:val="left"/>
        </w:tabs>
        <w:rPr>
          <w:sz w:val="20"/>
          <w:szCs w:val="20"/>
          <w:color w:val="auto"/>
        </w:rPr>
      </w:pPr>
      <w:r>
        <w:rPr>
          <w:rFonts w:ascii="Calibri" w:cs="Calibri" w:eastAsia="Calibri" w:hAnsi="Calibri"/>
          <w:sz w:val="14"/>
          <w:szCs w:val="14"/>
          <w:color w:val="auto"/>
        </w:rPr>
        <w:t>employees and consultants.</w:t>
      </w:r>
      <w:r>
        <w:rPr>
          <w:sz w:val="20"/>
          <w:szCs w:val="20"/>
          <w:color w:val="auto"/>
        </w:rPr>
        <w:tab/>
      </w:r>
      <w:r>
        <w:rPr>
          <w:rFonts w:ascii="Calibri" w:cs="Calibri" w:eastAsia="Calibri" w:hAnsi="Calibri"/>
          <w:sz w:val="14"/>
          <w:szCs w:val="14"/>
          <w:color w:val="auto"/>
        </w:rPr>
        <w:t>the Compliance Line.</w:t>
      </w:r>
      <w:r>
        <w:rPr>
          <w:sz w:val="20"/>
          <w:szCs w:val="20"/>
          <w:color w:val="auto"/>
        </w:rPr>
        <w:tab/>
      </w:r>
      <w:r>
        <w:rPr>
          <w:rFonts w:ascii="Calibri" w:cs="Calibri" w:eastAsia="Calibri" w:hAnsi="Calibri"/>
          <w:sz w:val="13"/>
          <w:szCs w:val="13"/>
          <w:color w:val="FFFFFF"/>
        </w:rPr>
        <w:t>Internatonal’s earnings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-88900</wp:posOffset>
            </wp:positionV>
            <wp:extent cx="7212965" cy="10515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9">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391" w:lineRule="exact"/>
        <w:rPr>
          <w:sz w:val="20"/>
          <w:szCs w:val="20"/>
          <w:color w:val="auto"/>
        </w:rPr>
      </w:pPr>
    </w:p>
    <w:p>
      <w:pPr>
        <w:ind w:left="28"/>
        <w:spacing w:after="0"/>
        <w:rPr>
          <w:sz w:val="20"/>
          <w:szCs w:val="20"/>
          <w:color w:val="auto"/>
        </w:rPr>
      </w:pPr>
      <w:r>
        <w:rPr>
          <w:rFonts w:ascii="Arial" w:cs="Arial" w:eastAsia="Arial" w:hAnsi="Arial"/>
          <w:sz w:val="14"/>
          <w:szCs w:val="14"/>
          <w:color w:val="EFAD1B"/>
        </w:rPr>
        <w:t>Page 2 of 7</w:t>
      </w:r>
    </w:p>
    <w:p>
      <w:pPr>
        <w:spacing w:after="0" w:line="28" w:lineRule="exact"/>
        <w:rPr>
          <w:sz w:val="20"/>
          <w:szCs w:val="20"/>
          <w:color w:val="auto"/>
        </w:rPr>
      </w:pPr>
    </w:p>
    <w:p>
      <w:pPr>
        <w:ind w:left="4268"/>
        <w:spacing w:after="0"/>
        <w:rPr>
          <w:sz w:val="20"/>
          <w:szCs w:val="20"/>
          <w:color w:val="auto"/>
        </w:rPr>
      </w:pPr>
      <w:r>
        <w:rPr>
          <w:rFonts w:ascii="Calibri" w:cs="Calibri" w:eastAsia="Calibri" w:hAnsi="Calibri"/>
          <w:sz w:val="14"/>
          <w:szCs w:val="14"/>
          <w:color w:val="auto"/>
        </w:rPr>
        <w:t>Mondelez Internatonal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72"/>
        <w:spacing w:after="0"/>
        <w:rPr>
          <w:sz w:val="20"/>
          <w:szCs w:val="20"/>
          <w:color w:val="auto"/>
        </w:rPr>
      </w:pPr>
      <w:r>
        <w:rPr>
          <w:rFonts w:ascii="Calibri" w:cs="Calibri" w:eastAsia="Calibri" w:hAnsi="Calibri"/>
          <w:sz w:val="17"/>
          <w:szCs w:val="17"/>
          <w:b w:val="1"/>
          <w:bCs w:val="1"/>
          <w:u w:val="single" w:color="auto"/>
          <w:color w:val="666666"/>
        </w:rPr>
        <w:t>EXHIBIT 1</w:t>
      </w:r>
    </w:p>
    <w:p>
      <w:pPr>
        <w:spacing w:after="0" w:line="104" w:lineRule="exact"/>
        <w:rPr>
          <w:sz w:val="20"/>
          <w:szCs w:val="20"/>
          <w:color w:val="auto"/>
        </w:rPr>
      </w:pPr>
    </w:p>
    <w:p>
      <w:pPr>
        <w:jc w:val="center"/>
        <w:ind w:right="972"/>
        <w:spacing w:after="0"/>
        <w:rPr>
          <w:sz w:val="20"/>
          <w:szCs w:val="20"/>
          <w:color w:val="auto"/>
        </w:rPr>
      </w:pPr>
      <w:r>
        <w:rPr>
          <w:rFonts w:ascii="Calibri" w:cs="Calibri" w:eastAsia="Calibri" w:hAnsi="Calibri"/>
          <w:sz w:val="17"/>
          <w:szCs w:val="17"/>
          <w:b w:val="1"/>
          <w:bCs w:val="1"/>
          <w:u w:val="single" w:color="auto"/>
          <w:color w:val="666666"/>
        </w:rPr>
        <w:t>MONDELĒZ INTERNATIONAL TRADING HANDBOOK</w:t>
      </w:r>
    </w:p>
    <w:p>
      <w:pPr>
        <w:spacing w:after="0" w:line="113" w:lineRule="exact"/>
        <w:rPr>
          <w:sz w:val="20"/>
          <w:szCs w:val="20"/>
          <w:color w:val="auto"/>
        </w:rPr>
      </w:pPr>
    </w:p>
    <w:p>
      <w:pPr>
        <w:jc w:val="both"/>
        <w:ind w:left="8" w:right="1760"/>
        <w:spacing w:after="0" w:line="255" w:lineRule="auto"/>
        <w:rPr>
          <w:sz w:val="20"/>
          <w:szCs w:val="20"/>
          <w:color w:val="auto"/>
        </w:rPr>
      </w:pPr>
      <w:r>
        <w:rPr>
          <w:rFonts w:ascii="Calibri" w:cs="Calibri" w:eastAsia="Calibri" w:hAnsi="Calibri"/>
          <w:sz w:val="14"/>
          <w:szCs w:val="14"/>
          <w:color w:val="auto"/>
        </w:rPr>
        <w:t>When buying or selling securites of Mondelēz Internatonal, any listed subsidiary or any Other Covered Company, you must strictly observe Mondelēz Internatonal’s Insider Trading Policy and its Key Requirements. Additonally, you must comply with the following trading restrictons as certain types of transactons increase your and Mondelēz Internatonal’s exposure to legal risks and may create the appearance of improper or inappropriate conduct.</w:t>
      </w:r>
    </w:p>
    <w:p>
      <w:pPr>
        <w:spacing w:after="0" w:line="98"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Limit Orders</w:t>
      </w:r>
    </w:p>
    <w:p>
      <w:pPr>
        <w:spacing w:after="0" w:line="99" w:lineRule="exact"/>
        <w:rPr>
          <w:sz w:val="20"/>
          <w:szCs w:val="20"/>
          <w:color w:val="auto"/>
        </w:rPr>
      </w:pPr>
    </w:p>
    <w:p>
      <w:pPr>
        <w:ind w:left="8" w:right="280"/>
        <w:spacing w:after="0" w:line="262" w:lineRule="auto"/>
        <w:rPr>
          <w:sz w:val="20"/>
          <w:szCs w:val="20"/>
          <w:color w:val="auto"/>
        </w:rPr>
      </w:pPr>
      <w:r>
        <w:rPr>
          <w:rFonts w:ascii="Calibri" w:cs="Calibri" w:eastAsia="Calibri" w:hAnsi="Calibri"/>
          <w:sz w:val="14"/>
          <w:szCs w:val="14"/>
          <w:color w:val="auto"/>
        </w:rPr>
        <w:t>A limit order is the use of a pre-specifed price to buy or sell a security. There is no control over the tming of purchases or sales that result from standing instructons to a broker, and as a result, the broker could execute a transacton when a person is in possession of inside informaton, which may result in inadvertent insider trading violatons and violatons of this Policy. For these reasons, except pursuant to an approved Rule 10b5-1 Trading Plan (as defned below):</w:t>
      </w:r>
    </w:p>
    <w:p>
      <w:pPr>
        <w:spacing w:after="0" w:line="85" w:lineRule="exact"/>
        <w:rPr>
          <w:sz w:val="20"/>
          <w:szCs w:val="20"/>
          <w:color w:val="auto"/>
        </w:rPr>
      </w:pPr>
    </w:p>
    <w:p>
      <w:pPr>
        <w:ind w:left="208" w:right="440" w:hanging="208"/>
        <w:spacing w:after="0" w:line="262" w:lineRule="auto"/>
        <w:tabs>
          <w:tab w:leader="none" w:pos="2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 xml:space="preserve">If you are a director, an “ofcer” under Secton 16 of the U.S. Securites Exchange Act of 1934 (“Secton 16 ofcer”) or a member of the Mondelēz Internatonal Leadership Team (“MLT”), you may not </w:t>
      </w:r>
      <w:r>
        <w:rPr>
          <w:rFonts w:ascii="Calibri" w:cs="Calibri" w:eastAsia="Calibri" w:hAnsi="Calibri"/>
          <w:sz w:val="14"/>
          <w:szCs w:val="14"/>
          <w:i w:val="1"/>
          <w:iCs w:val="1"/>
          <w:color w:val="auto"/>
        </w:rPr>
        <w:t>at any tme</w:t>
      </w:r>
      <w:r>
        <w:rPr>
          <w:rFonts w:ascii="Calibri" w:cs="Calibri" w:eastAsia="Calibri" w:hAnsi="Calibri"/>
          <w:sz w:val="14"/>
          <w:szCs w:val="14"/>
          <w:color w:val="auto"/>
        </w:rPr>
        <w:t xml:space="preserve"> enter limit orders covering the securites of Mondelēz Internatonal or any Other Covered Company with which we have a business relatonship.</w:t>
      </w:r>
    </w:p>
    <w:p>
      <w:pPr>
        <w:spacing w:after="0" w:line="30" w:lineRule="exact"/>
        <w:rPr>
          <w:rFonts w:ascii="Calibri" w:cs="Calibri" w:eastAsia="Calibri" w:hAnsi="Calibri"/>
          <w:sz w:val="14"/>
          <w:szCs w:val="14"/>
          <w:color w:val="auto"/>
        </w:rPr>
      </w:pPr>
    </w:p>
    <w:p>
      <w:pPr>
        <w:ind w:left="208" w:right="280" w:hanging="208"/>
        <w:spacing w:after="0" w:line="260" w:lineRule="auto"/>
        <w:tabs>
          <w:tab w:leader="none" w:pos="2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If you are not a director or a Secton 16 ofcer or MLT member, you are discouraged from placing limit orders with brokers, partcularly where the order is likely to remain outstanding for an extended period, and if you subsequently become aware of inside informaton, you must cancel any existng limit order. Similarly, if you become subject to a quarterly or event-specifc blackout period (discussed below), you must cancel any existng limit order either before the quarterly blackout period begins or as soon as you are notfed that you are subject to an event-specifc blackout, as applicable.</w:t>
      </w:r>
    </w:p>
    <w:p>
      <w:pPr>
        <w:spacing w:after="0" w:line="31"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Short Sales</w:t>
      </w:r>
    </w:p>
    <w:p>
      <w:pPr>
        <w:spacing w:after="0" w:line="99" w:lineRule="exact"/>
        <w:rPr>
          <w:sz w:val="20"/>
          <w:szCs w:val="20"/>
          <w:color w:val="auto"/>
        </w:rPr>
      </w:pPr>
    </w:p>
    <w:p>
      <w:pPr>
        <w:ind w:left="8" w:right="260"/>
        <w:spacing w:after="0" w:line="254" w:lineRule="auto"/>
        <w:rPr>
          <w:sz w:val="20"/>
          <w:szCs w:val="20"/>
          <w:color w:val="auto"/>
        </w:rPr>
      </w:pPr>
      <w:r>
        <w:rPr>
          <w:rFonts w:ascii="Calibri" w:cs="Calibri" w:eastAsia="Calibri" w:hAnsi="Calibri"/>
          <w:sz w:val="14"/>
          <w:szCs w:val="14"/>
          <w:color w:val="auto"/>
        </w:rPr>
        <w:t>“Short” sales of securites are transactons where a person borrows stock, sells it, and then buys stock later to replace the borrowed shares. Short sales may evidence an expectaton on the part of the seller that the securites will decline in value, and therefore, have the potental to signal to the market that the seller lacks confdence in Mondelēz</w:t>
      </w:r>
    </w:p>
    <w:p>
      <w:pPr>
        <w:spacing w:after="0" w:line="36" w:lineRule="exact"/>
        <w:rPr>
          <w:sz w:val="20"/>
          <w:szCs w:val="20"/>
          <w:color w:val="auto"/>
        </w:rPr>
      </w:pPr>
    </w:p>
    <w:p>
      <w:pPr>
        <w:ind w:left="8" w:right="120"/>
        <w:spacing w:after="0" w:line="284" w:lineRule="auto"/>
        <w:rPr>
          <w:sz w:val="20"/>
          <w:szCs w:val="20"/>
          <w:color w:val="auto"/>
        </w:rPr>
      </w:pPr>
      <w:r>
        <w:rPr>
          <w:rFonts w:ascii="Calibri" w:cs="Calibri" w:eastAsia="Calibri" w:hAnsi="Calibri"/>
          <w:sz w:val="14"/>
          <w:szCs w:val="14"/>
          <w:color w:val="auto"/>
        </w:rPr>
        <w:t>Internatonal’s prospects. In additon, short sales may reduce a seller’s incentve to seek to improve Mondelēz Internatonal’s performance. For these reasons, you may not sell Mondelēz Internatonal’s securites short.</w:t>
      </w:r>
    </w:p>
    <w:p>
      <w:pPr>
        <w:spacing w:after="0" w:line="67"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Derivatve Securites</w:t>
      </w:r>
    </w:p>
    <w:p>
      <w:pPr>
        <w:spacing w:after="0" w:line="99" w:lineRule="exact"/>
        <w:rPr>
          <w:sz w:val="20"/>
          <w:szCs w:val="20"/>
          <w:color w:val="auto"/>
        </w:rPr>
      </w:pPr>
    </w:p>
    <w:p>
      <w:pPr>
        <w:ind w:left="8" w:right="260"/>
        <w:spacing w:after="0" w:line="261" w:lineRule="auto"/>
        <w:rPr>
          <w:sz w:val="20"/>
          <w:szCs w:val="20"/>
          <w:color w:val="auto"/>
        </w:rPr>
      </w:pPr>
      <w:r>
        <w:rPr>
          <w:rFonts w:ascii="Calibri" w:cs="Calibri" w:eastAsia="Calibri" w:hAnsi="Calibri"/>
          <w:sz w:val="14"/>
          <w:szCs w:val="14"/>
          <w:color w:val="auto"/>
        </w:rPr>
        <w:t>Derivatve securites include optons, warrants, convertble securites, stock appreciaton rights or similar rights whose value is derived from the value of an equity security, such as Mondelēz Internatonal stock. A put is an opton or right to sell a specifc stock at a specifc price before a set date and generally is purchased when a person believes that the price of a stock will fall. A call is an opton or right to buy a specifc stock at a specifc price before a set date and generally is purchased when a person believes that the price of a stock will rise. Given the relatvely short term of publicly traded optons, transactons in optons and other derivatve securites may create the appearance that a director, ofcer or employee is trading based on inside informaton and may focus that person’s atenton on the short-term performance of Mondelēz Internatonal at the expense of Mondelēz Internatonal’s long-term objectves. For these reasons, you may not engage in any transactons in put optons, call optons or other derivatve securites based on the securites of Mondelēz Internatonal or any of its subsidiaries.</w:t>
      </w:r>
    </w:p>
    <w:p>
      <w:pPr>
        <w:spacing w:after="0" w:line="94"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Hedging Transactons</w:t>
      </w:r>
    </w:p>
    <w:p>
      <w:pPr>
        <w:spacing w:after="0" w:line="99" w:lineRule="exact"/>
        <w:rPr>
          <w:sz w:val="20"/>
          <w:szCs w:val="20"/>
          <w:color w:val="auto"/>
        </w:rPr>
      </w:pPr>
    </w:p>
    <w:p>
      <w:pPr>
        <w:ind w:left="8" w:right="500"/>
        <w:spacing w:after="0" w:line="260" w:lineRule="auto"/>
        <w:rPr>
          <w:sz w:val="20"/>
          <w:szCs w:val="20"/>
          <w:color w:val="auto"/>
        </w:rPr>
      </w:pPr>
      <w:r>
        <w:rPr>
          <w:rFonts w:ascii="Calibri" w:cs="Calibri" w:eastAsia="Calibri" w:hAnsi="Calibri"/>
          <w:sz w:val="14"/>
          <w:szCs w:val="14"/>
          <w:color w:val="auto"/>
        </w:rPr>
        <w:t>Hedging or monetzaton transactons can be accomplished through a number of possible mechanisms, including through the use of fnancial instruments such as pre-paid variable forwards, equity swaps, collars and exchange funds. Such transactons may permit a director, ofcer or employee to contnue to own securites of Mondelēz Internatonal or one of its subsidiaries, but without the full risks and rewards of ownership. When that occurs, the director, ofcer or employee may no longer have the same objectves as Mondelēz Internatonal’s other shareholders. For these reasons, you may not engage in any such transactons.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EFAD1B"/>
        </w:rPr>
        <w:t>Page 3 of 7</w:t>
      </w:r>
    </w:p>
    <w:p>
      <w:pPr>
        <w:spacing w:after="0" w:line="28" w:lineRule="exact"/>
        <w:rPr>
          <w:sz w:val="20"/>
          <w:szCs w:val="20"/>
          <w:color w:val="auto"/>
        </w:rPr>
      </w:pPr>
    </w:p>
    <w:p>
      <w:pPr>
        <w:jc w:val="center"/>
        <w:ind w:right="-67"/>
        <w:spacing w:after="0"/>
        <w:rPr>
          <w:sz w:val="20"/>
          <w:szCs w:val="20"/>
          <w:color w:val="auto"/>
        </w:rPr>
      </w:pPr>
      <w:r>
        <w:rPr>
          <w:rFonts w:ascii="Calibri" w:cs="Calibri" w:eastAsia="Calibri" w:hAnsi="Calibri"/>
          <w:sz w:val="14"/>
          <w:szCs w:val="14"/>
          <w:color w:val="auto"/>
        </w:rPr>
        <w:t>Mondelez Internatonal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Margin Accounts and Pledged Securites</w:t>
      </w:r>
    </w:p>
    <w:p>
      <w:pPr>
        <w:spacing w:after="0" w:line="110" w:lineRule="exact"/>
        <w:rPr>
          <w:sz w:val="20"/>
          <w:szCs w:val="20"/>
          <w:color w:val="auto"/>
        </w:rPr>
      </w:pPr>
    </w:p>
    <w:p>
      <w:pPr>
        <w:ind w:left="8" w:right="300"/>
        <w:spacing w:after="0" w:line="254" w:lineRule="auto"/>
        <w:rPr>
          <w:sz w:val="20"/>
          <w:szCs w:val="20"/>
          <w:color w:val="auto"/>
        </w:rPr>
      </w:pPr>
      <w:r>
        <w:rPr>
          <w:rFonts w:ascii="Calibri" w:cs="Calibri" w:eastAsia="Calibri" w:hAnsi="Calibri"/>
          <w:sz w:val="14"/>
          <w:szCs w:val="14"/>
          <w:color w:val="auto"/>
        </w:rPr>
        <w:t>Securites held in a margin account as collateral for a margin loan and securites pledged as collateral for a loan could be sold without a person’s knowledge or consent. That sale could occur when the person has inside informaton. For these reasons:</w:t>
      </w:r>
    </w:p>
    <w:p>
      <w:pPr>
        <w:spacing w:after="0" w:line="88" w:lineRule="exact"/>
        <w:rPr>
          <w:sz w:val="20"/>
          <w:szCs w:val="20"/>
          <w:color w:val="auto"/>
        </w:rPr>
      </w:pPr>
    </w:p>
    <w:p>
      <w:pPr>
        <w:ind w:left="208" w:hanging="208"/>
        <w:spacing w:after="0"/>
        <w:tabs>
          <w:tab w:leader="none" w:pos="208" w:val="left"/>
        </w:tabs>
        <w:numPr>
          <w:ilvl w:val="0"/>
          <w:numId w:val="67"/>
        </w:numPr>
        <w:rPr>
          <w:rFonts w:ascii="Calibri" w:cs="Calibri" w:eastAsia="Calibri" w:hAnsi="Calibri"/>
          <w:sz w:val="14"/>
          <w:szCs w:val="14"/>
          <w:color w:val="auto"/>
        </w:rPr>
      </w:pPr>
      <w:r>
        <w:rPr>
          <w:rFonts w:ascii="Calibri" w:cs="Calibri" w:eastAsia="Calibri" w:hAnsi="Calibri"/>
          <w:sz w:val="14"/>
          <w:szCs w:val="14"/>
          <w:color w:val="auto"/>
        </w:rPr>
        <w:t>If you are a director, a Secton 16 ofcer, a MLT member, or a direct report of a MLT member, you may not hold Mondelēz Internatonal securites as collateral in a margin</w:t>
      </w:r>
    </w:p>
    <w:p>
      <w:pPr>
        <w:spacing w:after="0" w:line="23" w:lineRule="exact"/>
        <w:rPr>
          <w:rFonts w:ascii="Calibri" w:cs="Calibri" w:eastAsia="Calibri" w:hAnsi="Calibri"/>
          <w:sz w:val="14"/>
          <w:szCs w:val="14"/>
          <w:color w:val="auto"/>
        </w:rPr>
      </w:pPr>
    </w:p>
    <w:p>
      <w:pPr>
        <w:ind w:left="208" w:right="400"/>
        <w:spacing w:after="0" w:line="254" w:lineRule="auto"/>
        <w:rPr>
          <w:rFonts w:ascii="Calibri" w:cs="Calibri" w:eastAsia="Calibri" w:hAnsi="Calibri"/>
          <w:sz w:val="14"/>
          <w:szCs w:val="14"/>
          <w:color w:val="auto"/>
        </w:rPr>
      </w:pPr>
      <w:r>
        <w:rPr>
          <w:rFonts w:ascii="Calibri" w:cs="Calibri" w:eastAsia="Calibri" w:hAnsi="Calibri"/>
          <w:sz w:val="14"/>
          <w:szCs w:val="14"/>
          <w:color w:val="auto"/>
        </w:rPr>
        <w:t>account, borrow against an account in which Mondelēz Internatonal securites are held, or pledge Mondelēz Internatonal securites as collateral for a loan. This restricton extends to your family members and controlled enttes.</w:t>
      </w:r>
    </w:p>
    <w:p>
      <w:pPr>
        <w:spacing w:after="0" w:line="35" w:lineRule="exact"/>
        <w:rPr>
          <w:rFonts w:ascii="Calibri" w:cs="Calibri" w:eastAsia="Calibri" w:hAnsi="Calibri"/>
          <w:sz w:val="14"/>
          <w:szCs w:val="14"/>
          <w:color w:val="auto"/>
        </w:rPr>
      </w:pPr>
    </w:p>
    <w:p>
      <w:pPr>
        <w:ind w:left="208" w:right="400" w:hanging="208"/>
        <w:spacing w:after="0" w:line="254" w:lineRule="auto"/>
        <w:tabs>
          <w:tab w:leader="none" w:pos="208" w:val="left"/>
        </w:tabs>
        <w:numPr>
          <w:ilvl w:val="0"/>
          <w:numId w:val="67"/>
        </w:numPr>
        <w:rPr>
          <w:rFonts w:ascii="Calibri" w:cs="Calibri" w:eastAsia="Calibri" w:hAnsi="Calibri"/>
          <w:sz w:val="14"/>
          <w:szCs w:val="14"/>
          <w:color w:val="auto"/>
        </w:rPr>
      </w:pPr>
      <w:r>
        <w:rPr>
          <w:rFonts w:ascii="Calibri" w:cs="Calibri" w:eastAsia="Calibri" w:hAnsi="Calibri"/>
          <w:sz w:val="14"/>
          <w:szCs w:val="14"/>
          <w:color w:val="auto"/>
        </w:rPr>
        <w:t>Even if you are not a director, a Secton 16 ofcer, a MLT member, or a direct report of a MLT member, you should be aware of the risks associated with, and you are discouraged from, holding Mondelēz Internatonal securites as collateral in a margin account, borrowing against an account in which Mondelēz Internatonal securites are</w:t>
      </w:r>
    </w:p>
    <w:p>
      <w:pPr>
        <w:spacing w:after="0" w:line="14" w:lineRule="exact"/>
        <w:rPr>
          <w:rFonts w:ascii="Calibri" w:cs="Calibri" w:eastAsia="Calibri" w:hAnsi="Calibri"/>
          <w:sz w:val="14"/>
          <w:szCs w:val="14"/>
          <w:color w:val="auto"/>
        </w:rPr>
      </w:pPr>
    </w:p>
    <w:p>
      <w:pPr>
        <w:ind w:left="208" w:right="300"/>
        <w:spacing w:after="0" w:line="254" w:lineRule="auto"/>
        <w:rPr>
          <w:rFonts w:ascii="Calibri" w:cs="Calibri" w:eastAsia="Calibri" w:hAnsi="Calibri"/>
          <w:sz w:val="14"/>
          <w:szCs w:val="14"/>
          <w:color w:val="auto"/>
        </w:rPr>
      </w:pPr>
      <w:r>
        <w:rPr>
          <w:rFonts w:ascii="Calibri" w:cs="Calibri" w:eastAsia="Calibri" w:hAnsi="Calibri"/>
          <w:sz w:val="14"/>
          <w:szCs w:val="14"/>
          <w:color w:val="auto"/>
        </w:rPr>
        <w:t>held, or pledging those securites as collateral for a loan. If you become subject to a quarterly or event-specifc blackout period, you should take the steps necessary to avoid an inadvertent sale of your Mondelēz Internatonal securites.</w:t>
      </w:r>
    </w:p>
    <w:p>
      <w:pPr>
        <w:spacing w:after="0" w:line="81" w:lineRule="exact"/>
        <w:rPr>
          <w:sz w:val="20"/>
          <w:szCs w:val="20"/>
          <w:color w:val="auto"/>
        </w:rPr>
      </w:pPr>
    </w:p>
    <w:p>
      <w:pPr>
        <w:ind w:left="8"/>
        <w:spacing w:after="0"/>
        <w:rPr>
          <w:sz w:val="20"/>
          <w:szCs w:val="20"/>
          <w:color w:val="auto"/>
        </w:rPr>
      </w:pPr>
      <w:r>
        <w:rPr>
          <w:rFonts w:ascii="Calibri" w:cs="Calibri" w:eastAsia="Calibri" w:hAnsi="Calibri"/>
          <w:sz w:val="17"/>
          <w:szCs w:val="17"/>
          <w:b w:val="1"/>
          <w:bCs w:val="1"/>
          <w:u w:val="single" w:color="auto"/>
          <w:color w:val="666666"/>
        </w:rPr>
        <w:t>Exceptons to Trading Restrictons</w:t>
      </w:r>
    </w:p>
    <w:p>
      <w:pPr>
        <w:spacing w:after="0" w:line="111" w:lineRule="exact"/>
        <w:rPr>
          <w:sz w:val="20"/>
          <w:szCs w:val="20"/>
          <w:color w:val="auto"/>
        </w:rPr>
      </w:pPr>
    </w:p>
    <w:p>
      <w:pPr>
        <w:ind w:left="8"/>
        <w:spacing w:after="0"/>
        <w:rPr>
          <w:sz w:val="20"/>
          <w:szCs w:val="20"/>
          <w:color w:val="auto"/>
        </w:rPr>
      </w:pPr>
      <w:r>
        <w:rPr>
          <w:rFonts w:ascii="Calibri" w:cs="Calibri" w:eastAsia="Calibri" w:hAnsi="Calibri"/>
          <w:sz w:val="14"/>
          <w:szCs w:val="14"/>
          <w:color w:val="auto"/>
        </w:rPr>
        <w:t>The trading restrictons of this Policy do not apply to the following transactons:</w:t>
      </w:r>
    </w:p>
    <w:p>
      <w:pPr>
        <w:spacing w:after="0" w:line="98" w:lineRule="exact"/>
        <w:rPr>
          <w:sz w:val="20"/>
          <w:szCs w:val="20"/>
          <w:color w:val="auto"/>
        </w:rPr>
      </w:pPr>
    </w:p>
    <w:p>
      <w:pPr>
        <w:ind w:left="208" w:hanging="208"/>
        <w:spacing w:after="0"/>
        <w:tabs>
          <w:tab w:leader="none" w:pos="208" w:val="left"/>
        </w:tabs>
        <w:numPr>
          <w:ilvl w:val="0"/>
          <w:numId w:val="68"/>
        </w:numPr>
        <w:rPr>
          <w:rFonts w:ascii="Calibri" w:cs="Calibri" w:eastAsia="Calibri" w:hAnsi="Calibri"/>
          <w:sz w:val="14"/>
          <w:szCs w:val="14"/>
          <w:color w:val="auto"/>
        </w:rPr>
      </w:pPr>
      <w:r>
        <w:rPr>
          <w:rFonts w:ascii="Calibri" w:cs="Calibri" w:eastAsia="Calibri" w:hAnsi="Calibri"/>
          <w:sz w:val="14"/>
          <w:szCs w:val="14"/>
          <w:b w:val="1"/>
          <w:bCs w:val="1"/>
          <w:color w:val="auto"/>
        </w:rPr>
        <w:t xml:space="preserve">401(k) Plan. </w:t>
      </w:r>
      <w:r>
        <w:rPr>
          <w:rFonts w:ascii="Calibri" w:cs="Calibri" w:eastAsia="Calibri" w:hAnsi="Calibri"/>
          <w:sz w:val="14"/>
          <w:szCs w:val="14"/>
          <w:color w:val="auto"/>
        </w:rPr>
        <w:t>This Policy does not apply to purchases of Mondelēz Internatonal securites in the Mondelēz Internatonal 401(k) plan resultng from your periodic contributon</w:t>
      </w:r>
    </w:p>
    <w:p>
      <w:pPr>
        <w:spacing w:after="0" w:line="23" w:lineRule="exact"/>
        <w:rPr>
          <w:rFonts w:ascii="Calibri" w:cs="Calibri" w:eastAsia="Calibri" w:hAnsi="Calibri"/>
          <w:sz w:val="14"/>
          <w:szCs w:val="14"/>
          <w:color w:val="auto"/>
        </w:rPr>
      </w:pPr>
    </w:p>
    <w:p>
      <w:pPr>
        <w:ind w:left="208" w:right="320"/>
        <w:spacing w:after="0" w:line="255" w:lineRule="auto"/>
        <w:rPr>
          <w:rFonts w:ascii="Calibri" w:cs="Calibri" w:eastAsia="Calibri" w:hAnsi="Calibri"/>
          <w:sz w:val="14"/>
          <w:szCs w:val="14"/>
          <w:color w:val="auto"/>
        </w:rPr>
      </w:pPr>
      <w:r>
        <w:rPr>
          <w:rFonts w:ascii="Calibri" w:cs="Calibri" w:eastAsia="Calibri" w:hAnsi="Calibri"/>
          <w:sz w:val="14"/>
          <w:szCs w:val="14"/>
          <w:color w:val="auto"/>
        </w:rPr>
        <w:t>of money to the plan pursuant to your payroll deducton electon. This Policy does apply, however, to certain electons you may make under the 401(k) plan, including: (1) an electon to begin or terminate investng in the Mondelēz Internatonal stock fund; (2) an electon to increase or decrease the percentage of your periodic contributons that will be allocated to the Mondelēz Internatonal stock fund; (3) an electon to make an intra-plan transfer of an existng account balance into or out of the Mondelēz</w:t>
      </w:r>
    </w:p>
    <w:p>
      <w:pPr>
        <w:spacing w:after="0" w:line="12" w:lineRule="exact"/>
        <w:rPr>
          <w:rFonts w:ascii="Calibri" w:cs="Calibri" w:eastAsia="Calibri" w:hAnsi="Calibri"/>
          <w:sz w:val="14"/>
          <w:szCs w:val="14"/>
          <w:color w:val="auto"/>
        </w:rPr>
      </w:pPr>
    </w:p>
    <w:p>
      <w:pPr>
        <w:ind w:left="208"/>
        <w:spacing w:after="0"/>
        <w:rPr>
          <w:rFonts w:ascii="Calibri" w:cs="Calibri" w:eastAsia="Calibri" w:hAnsi="Calibri"/>
          <w:sz w:val="14"/>
          <w:szCs w:val="14"/>
          <w:color w:val="auto"/>
        </w:rPr>
      </w:pPr>
      <w:r>
        <w:rPr>
          <w:rFonts w:ascii="Calibri" w:cs="Calibri" w:eastAsia="Calibri" w:hAnsi="Calibri"/>
          <w:sz w:val="14"/>
          <w:szCs w:val="14"/>
          <w:color w:val="auto"/>
        </w:rPr>
        <w:t>Internatonal stock fund; (4) an electon to borrow money against your 401(k) plan account if the loan will result in a liquidaton of some or all of your stock fund balance; and</w:t>
      </w:r>
    </w:p>
    <w:p>
      <w:pPr>
        <w:spacing w:after="0" w:line="11" w:lineRule="exact"/>
        <w:rPr>
          <w:rFonts w:ascii="Calibri" w:cs="Calibri" w:eastAsia="Calibri" w:hAnsi="Calibri"/>
          <w:sz w:val="14"/>
          <w:szCs w:val="14"/>
          <w:color w:val="auto"/>
        </w:rPr>
      </w:pPr>
    </w:p>
    <w:p>
      <w:pPr>
        <w:ind w:left="208"/>
        <w:spacing w:after="0"/>
        <w:rPr>
          <w:rFonts w:ascii="Calibri" w:cs="Calibri" w:eastAsia="Calibri" w:hAnsi="Calibri"/>
          <w:sz w:val="14"/>
          <w:szCs w:val="14"/>
          <w:color w:val="auto"/>
        </w:rPr>
      </w:pPr>
      <w:r>
        <w:rPr>
          <w:rFonts w:ascii="Calibri" w:cs="Calibri" w:eastAsia="Calibri" w:hAnsi="Calibri"/>
          <w:sz w:val="14"/>
          <w:szCs w:val="14"/>
          <w:color w:val="auto"/>
        </w:rPr>
        <w:t>(5) an electon to pre-pay a plan loan if the pre-payment will result in allocaton of loan proceeds to the Mondelēz Internatonal stock fund.</w:t>
      </w:r>
    </w:p>
    <w:p>
      <w:pPr>
        <w:spacing w:after="0" w:line="45" w:lineRule="exact"/>
        <w:rPr>
          <w:rFonts w:ascii="Calibri" w:cs="Calibri" w:eastAsia="Calibri" w:hAnsi="Calibri"/>
          <w:sz w:val="14"/>
          <w:szCs w:val="14"/>
          <w:color w:val="auto"/>
        </w:rPr>
      </w:pPr>
    </w:p>
    <w:p>
      <w:pPr>
        <w:ind w:left="208" w:right="340" w:hanging="208"/>
        <w:spacing w:after="0" w:line="254" w:lineRule="auto"/>
        <w:tabs>
          <w:tab w:leader="none" w:pos="208" w:val="left"/>
        </w:tabs>
        <w:numPr>
          <w:ilvl w:val="0"/>
          <w:numId w:val="68"/>
        </w:numPr>
        <w:rPr>
          <w:rFonts w:ascii="Calibri" w:cs="Calibri" w:eastAsia="Calibri" w:hAnsi="Calibri"/>
          <w:sz w:val="14"/>
          <w:szCs w:val="14"/>
          <w:color w:val="auto"/>
        </w:rPr>
      </w:pPr>
      <w:r>
        <w:rPr>
          <w:rFonts w:ascii="Calibri" w:cs="Calibri" w:eastAsia="Calibri" w:hAnsi="Calibri"/>
          <w:sz w:val="14"/>
          <w:szCs w:val="14"/>
          <w:b w:val="1"/>
          <w:bCs w:val="1"/>
          <w:color w:val="auto"/>
        </w:rPr>
        <w:t xml:space="preserve">Stock Opton Exercises. </w:t>
      </w:r>
      <w:r>
        <w:rPr>
          <w:rFonts w:ascii="Calibri" w:cs="Calibri" w:eastAsia="Calibri" w:hAnsi="Calibri"/>
          <w:sz w:val="14"/>
          <w:szCs w:val="14"/>
          <w:color w:val="auto"/>
        </w:rPr>
        <w:t>This Policy generally does not apply to the exercise of a stock opton or to the exercise of a tax withholding right pursuant to which a person has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elected to have Mondelēz Internatonal withhold shares subject to an opton to satsfy tax withholding requirements. This Policy does apply, however, to any sale of stock as</w:t>
      </w:r>
    </w:p>
    <w:p>
      <w:pPr>
        <w:spacing w:after="0" w:line="14" w:lineRule="exact"/>
        <w:rPr>
          <w:rFonts w:ascii="Calibri" w:cs="Calibri" w:eastAsia="Calibri" w:hAnsi="Calibri"/>
          <w:sz w:val="14"/>
          <w:szCs w:val="14"/>
          <w:color w:val="auto"/>
        </w:rPr>
      </w:pPr>
    </w:p>
    <w:p>
      <w:pPr>
        <w:ind w:left="208" w:right="380"/>
        <w:spacing w:after="0" w:line="255" w:lineRule="auto"/>
        <w:rPr>
          <w:rFonts w:ascii="Calibri" w:cs="Calibri" w:eastAsia="Calibri" w:hAnsi="Calibri"/>
          <w:sz w:val="14"/>
          <w:szCs w:val="14"/>
          <w:color w:val="auto"/>
        </w:rPr>
      </w:pPr>
      <w:r>
        <w:rPr>
          <w:rFonts w:ascii="Calibri" w:cs="Calibri" w:eastAsia="Calibri" w:hAnsi="Calibri"/>
          <w:sz w:val="14"/>
          <w:szCs w:val="14"/>
          <w:color w:val="auto"/>
        </w:rPr>
        <w:t>part of a broker-assisted cashless exercise of an opton or any other market sale of shares, including for the purpose of generatng the cash needed to pay the exercise price of an opton or the applicable tax withholding liability. For the avoidance of doubt, you may not sell any stock acquired upon the exercise of a stock opton while a trading restricton is in place.</w:t>
      </w:r>
    </w:p>
    <w:p>
      <w:pPr>
        <w:spacing w:after="0" w:line="33" w:lineRule="exact"/>
        <w:rPr>
          <w:rFonts w:ascii="Calibri" w:cs="Calibri" w:eastAsia="Calibri" w:hAnsi="Calibri"/>
          <w:sz w:val="14"/>
          <w:szCs w:val="14"/>
          <w:color w:val="auto"/>
        </w:rPr>
      </w:pPr>
    </w:p>
    <w:p>
      <w:pPr>
        <w:ind w:left="208" w:hanging="208"/>
        <w:spacing w:after="0"/>
        <w:tabs>
          <w:tab w:leader="none" w:pos="208" w:val="left"/>
        </w:tabs>
        <w:numPr>
          <w:ilvl w:val="0"/>
          <w:numId w:val="68"/>
        </w:numPr>
        <w:rPr>
          <w:rFonts w:ascii="Calibri" w:cs="Calibri" w:eastAsia="Calibri" w:hAnsi="Calibri"/>
          <w:sz w:val="14"/>
          <w:szCs w:val="14"/>
          <w:color w:val="auto"/>
        </w:rPr>
      </w:pPr>
      <w:r>
        <w:rPr>
          <w:rFonts w:ascii="Calibri" w:cs="Calibri" w:eastAsia="Calibri" w:hAnsi="Calibri"/>
          <w:sz w:val="14"/>
          <w:szCs w:val="14"/>
          <w:b w:val="1"/>
          <w:bCs w:val="1"/>
          <w:color w:val="auto"/>
        </w:rPr>
        <w:t xml:space="preserve">Restricted Stock Awards. </w:t>
      </w:r>
      <w:r>
        <w:rPr>
          <w:rFonts w:ascii="Calibri" w:cs="Calibri" w:eastAsia="Calibri" w:hAnsi="Calibri"/>
          <w:sz w:val="14"/>
          <w:szCs w:val="14"/>
          <w:color w:val="auto"/>
        </w:rPr>
        <w:t>This Policy does not apply to the vestng of restricted stock or the exercise of a tax withholding right pursuant to which you elect to have Mondelēz</w:t>
      </w:r>
    </w:p>
    <w:p>
      <w:pPr>
        <w:spacing w:after="0" w:line="23" w:lineRule="exact"/>
        <w:rPr>
          <w:rFonts w:ascii="Calibri" w:cs="Calibri" w:eastAsia="Calibri" w:hAnsi="Calibri"/>
          <w:sz w:val="14"/>
          <w:szCs w:val="14"/>
          <w:color w:val="auto"/>
        </w:rPr>
      </w:pPr>
    </w:p>
    <w:p>
      <w:pPr>
        <w:ind w:left="208" w:right="340"/>
        <w:spacing w:after="0" w:line="254" w:lineRule="auto"/>
        <w:rPr>
          <w:rFonts w:ascii="Calibri" w:cs="Calibri" w:eastAsia="Calibri" w:hAnsi="Calibri"/>
          <w:sz w:val="14"/>
          <w:szCs w:val="14"/>
          <w:color w:val="auto"/>
        </w:rPr>
      </w:pPr>
      <w:r>
        <w:rPr>
          <w:rFonts w:ascii="Calibri" w:cs="Calibri" w:eastAsia="Calibri" w:hAnsi="Calibri"/>
          <w:sz w:val="14"/>
          <w:szCs w:val="14"/>
          <w:color w:val="auto"/>
        </w:rPr>
        <w:t>Internatonal withhold shares of stock to satsfy tax withholding requirements upon the vestng of any restricted stock. The Policy does apply, however, to any market sale of the stock upon vestng.</w:t>
      </w:r>
    </w:p>
    <w:p>
      <w:pPr>
        <w:sectPr>
          <w:pgSz w:w="11900" w:h="16838" w:orient="portrait"/>
          <w:cols w:equalWidth="0" w:num="1">
            <w:col w:w="10268"/>
          </w:cols>
          <w:pgMar w:left="832" w:top="110" w:right="799" w:bottom="0" w:gutter="0" w:footer="0" w:header="0"/>
        </w:sectPr>
      </w:pPr>
    </w:p>
    <w:p>
      <w:pPr>
        <w:spacing w:after="0" w:line="83"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u w:val="single" w:color="auto"/>
          <w:color w:val="666666"/>
        </w:rPr>
        <w:t>Blackout Periods</w:t>
      </w:r>
    </w:p>
    <w:p>
      <w:pPr>
        <w:sectPr>
          <w:pgSz w:w="11900" w:h="16838" w:orient="portrait"/>
          <w:cols w:equalWidth="0" w:num="1">
            <w:col w:w="10268"/>
          </w:cols>
          <w:pgMar w:left="832" w:top="110" w:right="799" w:bottom="0" w:gutter="0" w:footer="0" w:header="0"/>
          <w:type w:val="continuous"/>
        </w:sectPr>
      </w:pPr>
    </w:p>
    <w:bookmarkStart w:id="145" w:name="page146"/>
    <w:bookmarkEnd w:id="145"/>
    <w:p>
      <w:pPr>
        <w:ind w:left="8" w:right="520"/>
        <w:spacing w:after="0" w:line="224" w:lineRule="auto"/>
        <w:rPr>
          <w:sz w:val="20"/>
          <w:szCs w:val="20"/>
          <w:color w:val="auto"/>
        </w:rPr>
      </w:pPr>
      <w:r>
        <w:rPr>
          <w:rFonts w:ascii="Calibri" w:cs="Calibri" w:eastAsia="Calibri" w:hAnsi="Calibri"/>
          <w:sz w:val="14"/>
          <w:szCs w:val="14"/>
          <w:color w:val="auto"/>
        </w:rPr>
        <w:t>MDLZ has established quarterly blackout periods and may establish event-specifc blackout periods from tme to tme for certain individuals, which are designed to help you comply with this Policy and insider trading laws. Even if a blackout period is not in efect, you may not trade (including making a gif or a donaton) in Mondelēz Internatonal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-184150</wp:posOffset>
            </wp:positionV>
            <wp:extent cx="7212965" cy="105156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0">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spacing w:after="0" w:line="3" w:lineRule="exact"/>
        <w:rPr>
          <w:sz w:val="20"/>
          <w:szCs w:val="20"/>
          <w:color w:val="auto"/>
        </w:rPr>
      </w:pPr>
    </w:p>
    <w:p>
      <w:pPr>
        <w:ind w:left="8"/>
        <w:spacing w:after="0"/>
        <w:rPr>
          <w:sz w:val="20"/>
          <w:szCs w:val="20"/>
          <w:color w:val="auto"/>
        </w:rPr>
      </w:pPr>
      <w:r>
        <w:rPr>
          <w:rFonts w:ascii="Calibri" w:cs="Calibri" w:eastAsia="Calibri" w:hAnsi="Calibri"/>
          <w:sz w:val="14"/>
          <w:szCs w:val="14"/>
          <w:color w:val="auto"/>
        </w:rPr>
        <w:t>securites if you have inside informaton.</w:t>
      </w:r>
    </w:p>
    <w:p>
      <w:pPr>
        <w:spacing w:after="0" w:line="98"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Quarterly Blackout Periods</w:t>
      </w:r>
    </w:p>
    <w:p>
      <w:pPr>
        <w:spacing w:after="0" w:line="99" w:lineRule="exact"/>
        <w:rPr>
          <w:sz w:val="20"/>
          <w:szCs w:val="20"/>
          <w:color w:val="auto"/>
        </w:rPr>
      </w:pPr>
    </w:p>
    <w:p>
      <w:pPr>
        <w:ind w:left="8" w:right="420"/>
        <w:spacing w:after="0" w:line="262" w:lineRule="auto"/>
        <w:rPr>
          <w:sz w:val="20"/>
          <w:szCs w:val="20"/>
          <w:color w:val="auto"/>
        </w:rPr>
      </w:pPr>
      <w:r>
        <w:rPr>
          <w:rFonts w:ascii="Calibri" w:cs="Calibri" w:eastAsia="Calibri" w:hAnsi="Calibri"/>
          <w:sz w:val="14"/>
          <w:szCs w:val="14"/>
          <w:color w:val="auto"/>
        </w:rPr>
        <w:t>All directors, Secton 16 ofcers and certain employees of Mondelēz Internatonal designated by the Corporate Secretary Ofce because of their positon, responsibilites, or their actual or potental access to inside informaton, as well as that of their family members and controlled enttes (collectvely, “restricted insiders”), are subject to quarterly blackout periods.</w:t>
      </w:r>
    </w:p>
    <w:p>
      <w:pPr>
        <w:spacing w:after="0" w:line="353" w:lineRule="exact"/>
        <w:rPr>
          <w:sz w:val="20"/>
          <w:szCs w:val="20"/>
          <w:color w:val="auto"/>
        </w:rPr>
      </w:pPr>
    </w:p>
    <w:p>
      <w:pPr>
        <w:ind w:left="28"/>
        <w:spacing w:after="0"/>
        <w:rPr>
          <w:sz w:val="20"/>
          <w:szCs w:val="20"/>
          <w:color w:val="auto"/>
        </w:rPr>
      </w:pPr>
      <w:r>
        <w:rPr>
          <w:rFonts w:ascii="Arial" w:cs="Arial" w:eastAsia="Arial" w:hAnsi="Arial"/>
          <w:sz w:val="14"/>
          <w:szCs w:val="14"/>
          <w:color w:val="EFAD1B"/>
        </w:rPr>
        <w:t>Page 4 of 7</w:t>
      </w:r>
    </w:p>
    <w:p>
      <w:pPr>
        <w:spacing w:after="0" w:line="28" w:lineRule="exact"/>
        <w:rPr>
          <w:sz w:val="20"/>
          <w:szCs w:val="20"/>
          <w:color w:val="auto"/>
        </w:rPr>
      </w:pPr>
    </w:p>
    <w:p>
      <w:pPr>
        <w:jc w:val="center"/>
        <w:ind w:right="-67"/>
        <w:spacing w:after="0"/>
        <w:rPr>
          <w:sz w:val="20"/>
          <w:szCs w:val="20"/>
          <w:color w:val="auto"/>
        </w:rPr>
      </w:pPr>
      <w:r>
        <w:rPr>
          <w:rFonts w:ascii="Calibri" w:cs="Calibri" w:eastAsia="Calibri" w:hAnsi="Calibri"/>
          <w:sz w:val="14"/>
          <w:szCs w:val="14"/>
          <w:color w:val="auto"/>
        </w:rPr>
        <w:t>Mondelez Internatonal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 w:right="300"/>
        <w:spacing w:after="0"/>
        <w:rPr>
          <w:sz w:val="20"/>
          <w:szCs w:val="20"/>
          <w:color w:val="auto"/>
        </w:rPr>
      </w:pPr>
      <w:r>
        <w:rPr>
          <w:rFonts w:ascii="Calibri" w:cs="Calibri" w:eastAsia="Calibri" w:hAnsi="Calibri"/>
          <w:sz w:val="14"/>
          <w:szCs w:val="14"/>
          <w:color w:val="auto"/>
        </w:rPr>
        <w:t>The Corporate Secretary Ofce will notfy you if you are subject to quarterly blackout periods. If you have any questons about whether you are subject to quarterly blackout periods, please contact the Corporate Secretary Ofce. The Corporate Secretary Ofce maintains a list of all persons subject to quarterly blackout periods under this Policy for recordkeeping purposes and periodically updates the list as appropriate; however, you are subject to this Policy, including any applicable quarterly blackouts, even if such list has not been updated to include you.</w:t>
      </w:r>
    </w:p>
    <w:p>
      <w:pPr>
        <w:spacing w:after="0" w:line="90" w:lineRule="exact"/>
        <w:rPr>
          <w:sz w:val="20"/>
          <w:szCs w:val="20"/>
          <w:color w:val="auto"/>
        </w:rPr>
      </w:pPr>
    </w:p>
    <w:p>
      <w:pPr>
        <w:ind w:left="8" w:right="600"/>
        <w:spacing w:after="0" w:line="239" w:lineRule="auto"/>
        <w:rPr>
          <w:sz w:val="20"/>
          <w:szCs w:val="20"/>
          <w:color w:val="auto"/>
        </w:rPr>
      </w:pPr>
      <w:r>
        <w:rPr>
          <w:rFonts w:ascii="Calibri" w:cs="Calibri" w:eastAsia="Calibri" w:hAnsi="Calibri"/>
          <w:sz w:val="14"/>
          <w:szCs w:val="14"/>
          <w:color w:val="auto"/>
        </w:rPr>
        <w:t xml:space="preserve">Quarterly blackout periods will begin on the 15th day of the last month of each quarter ( </w:t>
      </w:r>
      <w:r>
        <w:rPr>
          <w:rFonts w:ascii="Calibri" w:cs="Calibri" w:eastAsia="Calibri" w:hAnsi="Calibri"/>
          <w:sz w:val="14"/>
          <w:szCs w:val="14"/>
          <w:i w:val="1"/>
          <w:iCs w:val="1"/>
          <w:color w:val="auto"/>
        </w:rPr>
        <w:t>i.e</w:t>
      </w:r>
      <w:r>
        <w:rPr>
          <w:rFonts w:ascii="Calibri" w:cs="Calibri" w:eastAsia="Calibri" w:hAnsi="Calibri"/>
          <w:sz w:val="14"/>
          <w:szCs w:val="14"/>
          <w:color w:val="auto"/>
        </w:rPr>
        <w:t>., March 15, June 15, September 15, and December 15) and will end upon the completon of one full trading day afer the public announcement of Mondelēz Internatonal’s earnings for the quarter.</w:t>
      </w:r>
    </w:p>
    <w:p>
      <w:pPr>
        <w:spacing w:after="0" w:line="109" w:lineRule="exact"/>
        <w:rPr>
          <w:sz w:val="20"/>
          <w:szCs w:val="20"/>
          <w:color w:val="auto"/>
        </w:rPr>
      </w:pPr>
    </w:p>
    <w:p>
      <w:pPr>
        <w:ind w:left="8"/>
        <w:spacing w:after="0"/>
        <w:rPr>
          <w:sz w:val="20"/>
          <w:szCs w:val="20"/>
          <w:color w:val="auto"/>
        </w:rPr>
      </w:pPr>
      <w:r>
        <w:rPr>
          <w:rFonts w:ascii="Calibri" w:cs="Calibri" w:eastAsia="Calibri" w:hAnsi="Calibri"/>
          <w:sz w:val="14"/>
          <w:szCs w:val="14"/>
          <w:color w:val="auto"/>
        </w:rPr>
        <w:t>During a quarterly blackout period, restricted insiders must refrain from buying or selling Mondelēz Internatonal’s securites.</w:t>
      </w:r>
    </w:p>
    <w:p>
      <w:pPr>
        <w:spacing w:after="0" w:line="98"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Event-Specifc Blackout Periods</w:t>
      </w:r>
    </w:p>
    <w:p>
      <w:pPr>
        <w:spacing w:after="0" w:line="88" w:lineRule="exact"/>
        <w:rPr>
          <w:sz w:val="20"/>
          <w:szCs w:val="20"/>
          <w:color w:val="auto"/>
        </w:rPr>
      </w:pPr>
    </w:p>
    <w:p>
      <w:pPr>
        <w:ind w:left="8" w:right="380"/>
        <w:spacing w:after="0"/>
        <w:rPr>
          <w:sz w:val="20"/>
          <w:szCs w:val="20"/>
          <w:color w:val="auto"/>
        </w:rPr>
      </w:pPr>
      <w:r>
        <w:rPr>
          <w:rFonts w:ascii="Calibri" w:cs="Calibri" w:eastAsia="Calibri" w:hAnsi="Calibri"/>
          <w:sz w:val="14"/>
          <w:szCs w:val="14"/>
          <w:color w:val="auto"/>
        </w:rPr>
        <w:t>From tme to tme, an event may occur that is material to Mondelēz Internatonal and is known by only a few individuals, such as the negotaton of mergers, acquisitons or dispositons, the investgaton and assessment of cybersecurity incidents, issues that might signifcantly afect product supply or inventory, such as product recalls and manufacturing issues, and changes in the MLT. In these instances, Mondelēz Internatonal may impose special blackout periods during which certain persons designated by the Corporate Secretary Ofce are prohibited from trading in Mondelēz Internatonal’s securites.</w:t>
      </w:r>
    </w:p>
    <w:p>
      <w:pPr>
        <w:spacing w:after="0" w:line="90" w:lineRule="exact"/>
        <w:rPr>
          <w:sz w:val="20"/>
          <w:szCs w:val="20"/>
          <w:color w:val="auto"/>
        </w:rPr>
      </w:pPr>
    </w:p>
    <w:p>
      <w:pPr>
        <w:jc w:val="both"/>
        <w:ind w:left="8" w:right="400"/>
        <w:spacing w:after="0"/>
        <w:rPr>
          <w:sz w:val="20"/>
          <w:szCs w:val="20"/>
          <w:color w:val="auto"/>
        </w:rPr>
      </w:pPr>
      <w:r>
        <w:rPr>
          <w:rFonts w:ascii="Calibri" w:cs="Calibri" w:eastAsia="Calibri" w:hAnsi="Calibri"/>
          <w:sz w:val="14"/>
          <w:szCs w:val="14"/>
          <w:color w:val="auto"/>
        </w:rPr>
        <w:t>If Mondelēz Internatonal imposes a special blackout period, the Corporate Secretary Ofce will notfy the persons afected. The existence of an event-specifc blackout period will not be announced to Mondelēz Internatonal as a whole and should itself be treated as inside informaton. The Corporate Secretary Ofce will maintain a list of all persons subject to event-driven blackouts under this Policy for recordkeeping purposes; however, you are subject to this Policy, including any applicable event-driven blackouts, even if such list has not been updated to include you.</w:t>
      </w:r>
    </w:p>
    <w:p>
      <w:pPr>
        <w:spacing w:after="0" w:line="81" w:lineRule="exact"/>
        <w:rPr>
          <w:sz w:val="20"/>
          <w:szCs w:val="20"/>
          <w:color w:val="auto"/>
        </w:rPr>
      </w:pPr>
    </w:p>
    <w:p>
      <w:pPr>
        <w:ind w:left="8"/>
        <w:spacing w:after="0"/>
        <w:rPr>
          <w:sz w:val="20"/>
          <w:szCs w:val="20"/>
          <w:color w:val="auto"/>
        </w:rPr>
      </w:pPr>
      <w:r>
        <w:rPr>
          <w:rFonts w:ascii="Calibri" w:cs="Calibri" w:eastAsia="Calibri" w:hAnsi="Calibri"/>
          <w:sz w:val="17"/>
          <w:szCs w:val="17"/>
          <w:b w:val="1"/>
          <w:bCs w:val="1"/>
          <w:u w:val="single" w:color="auto"/>
          <w:color w:val="666666"/>
        </w:rPr>
        <w:t>Rule 10b5-1 Plans</w:t>
      </w:r>
    </w:p>
    <w:p>
      <w:pPr>
        <w:spacing w:after="0" w:line="91" w:lineRule="exact"/>
        <w:rPr>
          <w:sz w:val="20"/>
          <w:szCs w:val="20"/>
          <w:color w:val="auto"/>
        </w:rPr>
      </w:pPr>
    </w:p>
    <w:p>
      <w:pPr>
        <w:ind w:left="8" w:right="260"/>
        <w:spacing w:after="0"/>
        <w:rPr>
          <w:sz w:val="20"/>
          <w:szCs w:val="20"/>
          <w:color w:val="auto"/>
        </w:rPr>
      </w:pPr>
      <w:r>
        <w:rPr>
          <w:rFonts w:ascii="Calibri" w:cs="Calibri" w:eastAsia="Calibri" w:hAnsi="Calibri"/>
          <w:sz w:val="14"/>
          <w:szCs w:val="14"/>
          <w:color w:val="auto"/>
        </w:rPr>
        <w:t>Rule 10b5-1 under the Securites Exchange Act of 1934 provides an afrmatve defense to potental insider trading liability if trades occur pursuant to a pre-arranged trading plan that meets certain specifed conditons (“Rule 10b5-1 Trading Plan”). Under this rule, if a person actng in good faith, actng at a tme when the person does not possess material, nonpublic informaton about the issuer, enters into a binding contract or writen plan that meets the requirements of Rule 10b5-1, including specifying the amount, price and dates on which securites are to be purchased or sold, and satsfes all the other conditons under Rule 10b5-1 including the required cooling-of periods, then the person may claim a defense to insider trading liability if the trades under the plan occur at a tme when the person subsequently possesses material, nonpublic informaton. Given the complexity of the requirements of the rule, please contact Corporate Secretary Ofce if you are interested in establishing a Rule 10b5-1 Trading Plan.</w:t>
      </w:r>
    </w:p>
    <w:p>
      <w:pPr>
        <w:spacing w:after="0" w:line="91" w:lineRule="exact"/>
        <w:rPr>
          <w:sz w:val="20"/>
          <w:szCs w:val="20"/>
          <w:color w:val="auto"/>
        </w:rPr>
      </w:pPr>
    </w:p>
    <w:p>
      <w:pPr>
        <w:ind w:left="8" w:right="440"/>
        <w:spacing w:after="0" w:line="241" w:lineRule="auto"/>
        <w:rPr>
          <w:sz w:val="20"/>
          <w:szCs w:val="20"/>
          <w:color w:val="auto"/>
        </w:rPr>
      </w:pPr>
      <w:r>
        <w:rPr>
          <w:rFonts w:ascii="Calibri" w:cs="Calibri" w:eastAsia="Calibri" w:hAnsi="Calibri"/>
          <w:sz w:val="14"/>
          <w:szCs w:val="14"/>
          <w:color w:val="auto"/>
        </w:rPr>
        <w:t>Absent special circumstances and approval by the Chief Executve Ofcer and the Corporate Secretary, all executve ofcers who report to the Chief Executve Ofcer and such other person(s) as may from tme to tme be designated in writng by the Chief Executve Ofcer are required to adopt a Rule 10b5-1 Trading Plan covering their trading in Mondelēz Internatonal securites. The adopton of a Rule 10b-5 Trading Plan by either the Chief Executve Ofcer or the Chief Financial Ofcer of Mondelēz Internatonal shall require the prior approval of the People and Compensaton Commitee of the Company’s board of directors. All Rule 10b5-1 Trading Plans adopted pursuant to this Policy and their amendments must meet the requirements of applicable securites laws and rules and undergo pre-clearance by the Chief Executve Ofcer and the Corporate Secretary. Additonally, any terminaton of a Rule 10b5-1 Trading Plan must be pre-approved by the Chief Executve Ofcer and the Corporate Secretary. Trades that comply with a pre-cleared Rule 10b5-1 Trading Plan will not require further pre-clearance at the tme such trades occur, nor will they be subject to withdrawal of approval once the plan is executed. Notwithstanding any pre-clearance of a Rule 10b5-1 Trading Plan for an individual, none of the Company, its ofcers, directors or other employees assumes any liability for the consequences of any trade made pursuant to such plan by the individual.</w:t>
      </w:r>
    </w:p>
    <w:p>
      <w:pPr>
        <w:spacing w:after="0" w:line="79" w:lineRule="exact"/>
        <w:rPr>
          <w:sz w:val="20"/>
          <w:szCs w:val="20"/>
          <w:color w:val="auto"/>
        </w:rPr>
      </w:pPr>
    </w:p>
    <w:p>
      <w:pPr>
        <w:ind w:left="8"/>
        <w:spacing w:after="0"/>
        <w:rPr>
          <w:sz w:val="20"/>
          <w:szCs w:val="20"/>
          <w:color w:val="auto"/>
        </w:rPr>
      </w:pPr>
      <w:r>
        <w:rPr>
          <w:rFonts w:ascii="Calibri" w:cs="Calibri" w:eastAsia="Calibri" w:hAnsi="Calibri"/>
          <w:sz w:val="17"/>
          <w:szCs w:val="17"/>
          <w:b w:val="1"/>
          <w:bCs w:val="1"/>
          <w:u w:val="single" w:color="auto"/>
          <w:color w:val="666666"/>
        </w:rPr>
        <w:t>Pre-clearance</w:t>
      </w:r>
    </w:p>
    <w:p>
      <w:pPr>
        <w:spacing w:after="0" w:line="91" w:lineRule="exact"/>
        <w:rPr>
          <w:sz w:val="20"/>
          <w:szCs w:val="20"/>
          <w:color w:val="auto"/>
        </w:rPr>
      </w:pPr>
    </w:p>
    <w:p>
      <w:pPr>
        <w:jc w:val="both"/>
        <w:ind w:left="8" w:right="240"/>
        <w:spacing w:after="0"/>
        <w:rPr>
          <w:sz w:val="20"/>
          <w:szCs w:val="20"/>
          <w:color w:val="auto"/>
        </w:rPr>
      </w:pPr>
      <w:r>
        <w:rPr>
          <w:rFonts w:ascii="Calibri" w:cs="Calibri" w:eastAsia="Calibri" w:hAnsi="Calibri"/>
          <w:sz w:val="14"/>
          <w:szCs w:val="14"/>
          <w:color w:val="auto"/>
        </w:rPr>
        <w:t>To further ensure compliance with securites and insider trading laws, all directors, Secton 16 ofcers and certain persons designated by the Corporate Secretary Ofce because of their positon, responsibilites or their actual or potental access to material nonpublic informaton must pre-clear all transactons (including gifs or donatons) in the securites of Mondelēz Internatonal. The Corporate Secretary Ofce will notfy any persons (other than directors and Secton 16 ofcers) who become subject to pre-clearance obligatons by issuing a pre-clearance notce.</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EFAD1B"/>
        </w:rPr>
        <w:t>Page 5 of 7</w:t>
      </w:r>
    </w:p>
    <w:p>
      <w:pPr>
        <w:spacing w:after="0" w:line="28" w:lineRule="exact"/>
        <w:rPr>
          <w:sz w:val="20"/>
          <w:szCs w:val="20"/>
          <w:color w:val="auto"/>
        </w:rPr>
      </w:pPr>
    </w:p>
    <w:p>
      <w:pPr>
        <w:jc w:val="center"/>
        <w:ind w:right="-67"/>
        <w:spacing w:after="0"/>
        <w:rPr>
          <w:sz w:val="20"/>
          <w:szCs w:val="20"/>
          <w:color w:val="auto"/>
        </w:rPr>
      </w:pPr>
      <w:r>
        <w:rPr>
          <w:rFonts w:ascii="Calibri" w:cs="Calibri" w:eastAsia="Calibri" w:hAnsi="Calibri"/>
          <w:sz w:val="14"/>
          <w:szCs w:val="14"/>
          <w:color w:val="auto"/>
        </w:rPr>
        <w:t>Mondelez Internatonal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8" w:right="800" w:hanging="208"/>
        <w:spacing w:after="0" w:line="254" w:lineRule="auto"/>
        <w:tabs>
          <w:tab w:leader="none" w:pos="208" w:val="left"/>
        </w:tabs>
        <w:numPr>
          <w:ilvl w:val="0"/>
          <w:numId w:val="69"/>
        </w:numPr>
        <w:rPr>
          <w:rFonts w:ascii="Calibri" w:cs="Calibri" w:eastAsia="Calibri" w:hAnsi="Calibri"/>
          <w:sz w:val="14"/>
          <w:szCs w:val="14"/>
          <w:color w:val="auto"/>
        </w:rPr>
      </w:pPr>
      <w:r>
        <w:rPr>
          <w:rFonts w:ascii="Calibri" w:cs="Calibri" w:eastAsia="Calibri" w:hAnsi="Calibri"/>
          <w:sz w:val="14"/>
          <w:szCs w:val="14"/>
          <w:color w:val="auto"/>
        </w:rPr>
        <w:t>If you are a director, a Secton 16 ofcer, or you receive a pre-clearance notce, you must obtain prior approval before engaging in any transactons (including gifs or donatons) in the securites of Mondelēz Internatonal by requestng the appropriate pre-clearance form from the Corporate Secretary Ofce.</w:t>
      </w:r>
    </w:p>
    <w:p>
      <w:pPr>
        <w:spacing w:after="0" w:line="66" w:lineRule="exact"/>
        <w:rPr>
          <w:sz w:val="20"/>
          <w:szCs w:val="20"/>
          <w:color w:val="auto"/>
        </w:rPr>
      </w:pPr>
    </w:p>
    <w:p>
      <w:pPr>
        <w:ind w:left="8"/>
        <w:spacing w:after="0"/>
        <w:tabs>
          <w:tab w:leader="none" w:pos="187" w:val="left"/>
        </w:tabs>
        <w:rPr>
          <w:sz w:val="20"/>
          <w:szCs w:val="20"/>
          <w:color w:val="auto"/>
        </w:rPr>
      </w:pPr>
      <w:r>
        <w:rPr>
          <w:rFonts w:ascii="Calibri" w:cs="Calibri" w:eastAsia="Calibri" w:hAnsi="Calibri"/>
          <w:sz w:val="14"/>
          <w:szCs w:val="14"/>
          <w:color w:val="auto"/>
        </w:rPr>
        <w:t>•</w:t>
        <w:tab/>
        <w:t xml:space="preserve">Pre-clearance requests must be received  </w:t>
      </w:r>
      <w:r>
        <w:rPr>
          <w:rFonts w:ascii="Calibri" w:cs="Calibri" w:eastAsia="Calibri" w:hAnsi="Calibri"/>
          <w:sz w:val="14"/>
          <w:szCs w:val="14"/>
          <w:u w:val="single" w:color="auto"/>
          <w:color w:val="auto"/>
        </w:rPr>
        <w:t>at least two business days prior</w:t>
      </w:r>
      <w:r>
        <w:rPr>
          <w:rFonts w:ascii="Calibri" w:cs="Calibri" w:eastAsia="Calibri" w:hAnsi="Calibri"/>
          <w:sz w:val="14"/>
          <w:szCs w:val="14"/>
          <w:color w:val="auto"/>
        </w:rPr>
        <w:t xml:space="preserve"> to the proposed transacton.</w:t>
      </w:r>
    </w:p>
    <w:p>
      <w:pPr>
        <w:spacing w:after="0" w:line="65" w:lineRule="exact"/>
        <w:rPr>
          <w:sz w:val="20"/>
          <w:szCs w:val="20"/>
          <w:color w:val="auto"/>
        </w:rPr>
      </w:pPr>
    </w:p>
    <w:p>
      <w:pPr>
        <w:ind w:left="208" w:hanging="208"/>
        <w:spacing w:after="0"/>
        <w:tabs>
          <w:tab w:leader="none" w:pos="208"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Pre-cleared transactons must be executed within fve business days of receiving approval.</w:t>
      </w:r>
    </w:p>
    <w:p>
      <w:pPr>
        <w:spacing w:after="0" w:line="76" w:lineRule="exact"/>
        <w:rPr>
          <w:rFonts w:ascii="Calibri" w:cs="Calibri" w:eastAsia="Calibri" w:hAnsi="Calibri"/>
          <w:sz w:val="14"/>
          <w:szCs w:val="14"/>
          <w:color w:val="auto"/>
        </w:rPr>
      </w:pPr>
    </w:p>
    <w:p>
      <w:pPr>
        <w:ind w:left="208" w:hanging="208"/>
        <w:spacing w:after="0"/>
        <w:tabs>
          <w:tab w:leader="none" w:pos="208"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If you do not complete the transacton within the fve-day period, you must again seek approval before executng the transacton.</w:t>
      </w:r>
    </w:p>
    <w:p>
      <w:pPr>
        <w:spacing w:after="0" w:line="77" w:lineRule="exact"/>
        <w:rPr>
          <w:rFonts w:ascii="Calibri" w:cs="Calibri" w:eastAsia="Calibri" w:hAnsi="Calibri"/>
          <w:sz w:val="14"/>
          <w:szCs w:val="14"/>
          <w:color w:val="auto"/>
        </w:rPr>
      </w:pPr>
    </w:p>
    <w:p>
      <w:pPr>
        <w:ind w:left="208" w:right="420" w:hanging="208"/>
        <w:spacing w:after="0" w:line="254" w:lineRule="auto"/>
        <w:tabs>
          <w:tab w:leader="none" w:pos="208"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If a proposed transacton is not approved under these pre-clearance provisions, you must not execute the transacton and you must not inform anyone inside or outside of Mondelēz Internatonal of the restricton.</w:t>
      </w:r>
    </w:p>
    <w:p>
      <w:pPr>
        <w:spacing w:after="0" w:line="66" w:lineRule="exact"/>
        <w:rPr>
          <w:rFonts w:ascii="Calibri" w:cs="Calibri" w:eastAsia="Calibri" w:hAnsi="Calibri"/>
          <w:sz w:val="14"/>
          <w:szCs w:val="14"/>
          <w:color w:val="auto"/>
        </w:rPr>
      </w:pPr>
    </w:p>
    <w:p>
      <w:pPr>
        <w:ind w:left="208" w:hanging="208"/>
        <w:spacing w:after="0"/>
        <w:tabs>
          <w:tab w:leader="none" w:pos="208"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Pre-clearance may be withdrawn at any tme by the grantng authority by notce to the recipient.</w:t>
      </w:r>
    </w:p>
    <w:p>
      <w:pPr>
        <w:spacing w:after="0" w:line="66" w:lineRule="exact"/>
        <w:rPr>
          <w:rFonts w:ascii="Calibri" w:cs="Calibri" w:eastAsia="Calibri" w:hAnsi="Calibri"/>
          <w:sz w:val="14"/>
          <w:szCs w:val="14"/>
          <w:color w:val="auto"/>
        </w:rPr>
      </w:pPr>
    </w:p>
    <w:p>
      <w:pPr>
        <w:ind w:left="208" w:right="580" w:hanging="208"/>
        <w:spacing w:after="0" w:line="269" w:lineRule="auto"/>
        <w:tabs>
          <w:tab w:leader="none" w:pos="208"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For avoidance of doubt, you may not execute a transacton if you acquire inside informaton concerning Mondelēz Internatonal or any Other Covered Company prior to executon of the proposed transacton, regardless of whether the transacton was approved.</w:t>
      </w:r>
    </w:p>
    <w:p>
      <w:pPr>
        <w:spacing w:after="0" w:line="79" w:lineRule="exact"/>
        <w:rPr>
          <w:sz w:val="20"/>
          <w:szCs w:val="20"/>
          <w:color w:val="auto"/>
        </w:rPr>
      </w:pPr>
    </w:p>
    <w:p>
      <w:pPr>
        <w:ind w:left="8" w:right="400"/>
        <w:spacing w:after="0" w:line="260" w:lineRule="auto"/>
        <w:rPr>
          <w:sz w:val="20"/>
          <w:szCs w:val="20"/>
          <w:color w:val="auto"/>
        </w:rPr>
      </w:pPr>
      <w:r>
        <w:rPr>
          <w:rFonts w:ascii="Calibri" w:cs="Calibri" w:eastAsia="Calibri" w:hAnsi="Calibri"/>
          <w:sz w:val="14"/>
          <w:szCs w:val="14"/>
          <w:color w:val="auto"/>
        </w:rPr>
        <w:t>For those persons who are required to or wish to enter a Rule 10b5-1 Trading Plan, the entry into the plan consttutes the “transacton” for purposes of these pre-clearance procedures. The Corporate Secretary Ofce will maintain a list of all persons subject to pre-clearance under this Policy for recordkeeping purposes; however, you are subject to this Policy, including any applicable pre-clearance, even if such list has not been updated to include you. If you have any questons about how to interpret these rules, contact your Region, BU or Global Compliance Lead or the Corporate Secretary Ofce.</w:t>
      </w:r>
    </w:p>
    <w:p>
      <w:pPr>
        <w:sectPr>
          <w:pgSz w:w="11900" w:h="16838" w:orient="portrait"/>
          <w:cols w:equalWidth="0" w:num="1">
            <w:col w:w="10268"/>
          </w:cols>
          <w:pgMar w:left="832" w:top="111" w:right="79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7893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1">
                      <a:extLst>
                        <a:ext uri="{28A0092B-C50C-407E-A947-70E740481C1C}"/>
                      </a:extLst>
                    </a:blip>
                    <a:srcRect/>
                    <a:stretch>
                      <a:fillRect/>
                    </a:stretch>
                  </pic:blipFill>
                  <pic:spPr bwMode="auto">
                    <a:xfrm>
                      <a:off x="0" y="0"/>
                      <a:ext cx="7212965" cy="789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
        <w:spacing w:after="0"/>
        <w:rPr>
          <w:sz w:val="20"/>
          <w:szCs w:val="20"/>
          <w:color w:val="auto"/>
        </w:rPr>
      </w:pPr>
      <w:r>
        <w:rPr>
          <w:rFonts w:ascii="Arial" w:cs="Arial" w:eastAsia="Arial" w:hAnsi="Arial"/>
          <w:sz w:val="14"/>
          <w:szCs w:val="14"/>
          <w:color w:val="EFAD1B"/>
        </w:rPr>
        <w:t>Page 6 of 7</w:t>
      </w:r>
    </w:p>
    <w:p>
      <w:pPr>
        <w:spacing w:after="0" w:line="28" w:lineRule="exact"/>
        <w:rPr>
          <w:sz w:val="20"/>
          <w:szCs w:val="20"/>
          <w:color w:val="auto"/>
        </w:rPr>
      </w:pPr>
    </w:p>
    <w:p>
      <w:pPr>
        <w:jc w:val="center"/>
        <w:ind w:right="-47"/>
        <w:spacing w:after="0"/>
        <w:rPr>
          <w:sz w:val="20"/>
          <w:szCs w:val="20"/>
          <w:color w:val="auto"/>
        </w:rPr>
      </w:pPr>
      <w:r>
        <w:rPr>
          <w:rFonts w:ascii="Calibri" w:cs="Calibri" w:eastAsia="Calibri" w:hAnsi="Calibri"/>
          <w:sz w:val="14"/>
          <w:szCs w:val="14"/>
          <w:color w:val="auto"/>
        </w:rPr>
        <w:t>Mondelez Internatonal Internal</w:t>
      </w:r>
    </w:p>
    <w:p>
      <w:pPr>
        <w:sectPr>
          <w:pgSz w:w="11900" w:h="16838" w:orient="portrait"/>
          <w:cols w:equalWidth="0" w:num="1">
            <w:col w:w="10288"/>
          </w:cols>
          <w:pgMar w:left="832"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u w:val="single" w:color="auto"/>
          <w:color w:val="auto"/>
        </w:rPr>
        <w:t>EXHIBIT 2</w:t>
      </w:r>
    </w:p>
    <w:p>
      <w:pPr>
        <w:ind w:left="8"/>
        <w:spacing w:after="0" w:line="224" w:lineRule="auto"/>
        <w:rPr>
          <w:sz w:val="20"/>
          <w:szCs w:val="20"/>
          <w:color w:val="auto"/>
        </w:rPr>
      </w:pPr>
      <w:r>
        <w:rPr>
          <w:rFonts w:ascii="Calibri" w:cs="Calibri" w:eastAsia="Calibri" w:hAnsi="Calibri"/>
          <w:sz w:val="16"/>
          <w:szCs w:val="16"/>
          <w:b w:val="1"/>
          <w:bCs w:val="1"/>
          <w:u w:val="single" w:color="auto"/>
          <w:color w:val="auto"/>
        </w:rPr>
        <w:t>INSIDER TRADING POLICY – FAQs</w:t>
      </w:r>
    </w:p>
    <w:p>
      <w:pPr>
        <w:spacing w:after="0" w:line="97" w:lineRule="exact"/>
        <w:rPr>
          <w:sz w:val="20"/>
          <w:szCs w:val="20"/>
          <w:color w:val="auto"/>
        </w:rPr>
      </w:pPr>
    </w:p>
    <w:p>
      <w:pPr>
        <w:ind w:left="8" w:right="300" w:hanging="8"/>
        <w:spacing w:after="0" w:line="230" w:lineRule="auto"/>
        <w:tabs>
          <w:tab w:leader="none" w:pos="190" w:val="left"/>
        </w:tabs>
        <w:numPr>
          <w:ilvl w:val="0"/>
          <w:numId w:val="71"/>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What are the actual consequences for violatng this policy?</w:t>
      </w:r>
    </w:p>
    <w:p>
      <w:pPr>
        <w:spacing w:after="0" w:line="93" w:lineRule="exact"/>
        <w:rPr>
          <w:sz w:val="20"/>
          <w:szCs w:val="20"/>
          <w:color w:val="auto"/>
        </w:rPr>
      </w:pPr>
    </w:p>
    <w:p>
      <w:pPr>
        <w:jc w:val="both"/>
        <w:ind w:left="8" w:right="280"/>
        <w:spacing w:after="0" w:line="231" w:lineRule="auto"/>
        <w:rPr>
          <w:sz w:val="20"/>
          <w:szCs w:val="20"/>
          <w:color w:val="auto"/>
        </w:rPr>
      </w:pPr>
      <w:r>
        <w:rPr>
          <w:rFonts w:ascii="Calibri" w:cs="Calibri" w:eastAsia="Calibri" w:hAnsi="Calibri"/>
          <w:sz w:val="13"/>
          <w:szCs w:val="13"/>
          <w:b w:val="1"/>
          <w:bCs w:val="1"/>
          <w:color w:val="auto"/>
        </w:rPr>
        <w:t>A</w:t>
      </w:r>
      <w:r>
        <w:rPr>
          <w:rFonts w:ascii="Calibri" w:cs="Calibri" w:eastAsia="Calibri" w:hAnsi="Calibri"/>
          <w:sz w:val="13"/>
          <w:szCs w:val="13"/>
          <w:color w:val="auto"/>
        </w:rPr>
        <w:t>: Implicatons are severe not only for MDLZ but for the</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individuals who violate these rules. In the United States, for example, the penaltes include criminal fnes of up to $5 million for each violaton and imprisonment for up to 20 years.</w:t>
      </w:r>
    </w:p>
    <w:p>
      <w:pPr>
        <w:spacing w:after="0" w:line="95" w:lineRule="exact"/>
        <w:rPr>
          <w:sz w:val="20"/>
          <w:szCs w:val="20"/>
          <w:color w:val="auto"/>
        </w:rPr>
      </w:pPr>
    </w:p>
    <w:p>
      <w:pPr>
        <w:ind w:left="8" w:right="20" w:hanging="8"/>
        <w:spacing w:after="0" w:line="233" w:lineRule="auto"/>
        <w:tabs>
          <w:tab w:leader="none" w:pos="190" w:val="left"/>
        </w:tabs>
        <w:numPr>
          <w:ilvl w:val="0"/>
          <w:numId w:val="72"/>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I have an urgent need for cash and want to sell my MDLZ stock. But I’m nervous about doing that now because I’m aware of a big event happening within MDLZ next month that is not public informaton.</w:t>
      </w:r>
    </w:p>
    <w:p>
      <w:pPr>
        <w:spacing w:after="0" w:line="82" w:lineRule="exact"/>
        <w:rPr>
          <w:sz w:val="20"/>
          <w:szCs w:val="20"/>
          <w:color w:val="auto"/>
        </w:rPr>
      </w:pPr>
    </w:p>
    <w:p>
      <w:pPr>
        <w:ind w:left="8" w:right="240" w:hanging="8"/>
        <w:spacing w:after="0" w:line="238" w:lineRule="auto"/>
        <w:tabs>
          <w:tab w:leader="none" w:pos="179" w:val="left"/>
        </w:tabs>
        <w:numPr>
          <w:ilvl w:val="0"/>
          <w:numId w:val="73"/>
        </w:numPr>
        <w:rPr>
          <w:rFonts w:ascii="Calibri" w:cs="Calibri" w:eastAsia="Calibri" w:hAnsi="Calibri"/>
          <w:sz w:val="13"/>
          <w:szCs w:val="13"/>
          <w:b w:val="1"/>
          <w:bCs w:val="1"/>
          <w:color w:val="auto"/>
        </w:rPr>
      </w:pPr>
      <w:r>
        <w:rPr>
          <w:rFonts w:ascii="Calibri" w:cs="Calibri" w:eastAsia="Calibri" w:hAnsi="Calibri"/>
          <w:sz w:val="13"/>
          <w:szCs w:val="13"/>
          <w:color w:val="auto"/>
        </w:rPr>
        <w:t>Do not sell. Contact the Corporate Secretary Ofce for additonal guidance.</w:t>
      </w:r>
    </w:p>
    <w:p>
      <w:pPr>
        <w:spacing w:after="0" w:line="79"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Q: How do I know if I am a Secton 16 ofcer?</w:t>
      </w:r>
    </w:p>
    <w:p>
      <w:pPr>
        <w:spacing w:after="0" w:line="82" w:lineRule="exact"/>
        <w:rPr>
          <w:sz w:val="20"/>
          <w:szCs w:val="20"/>
          <w:color w:val="auto"/>
        </w:rPr>
      </w:pPr>
    </w:p>
    <w:p>
      <w:pPr>
        <w:ind w:left="8" w:right="380" w:hanging="8"/>
        <w:spacing w:after="0" w:line="238" w:lineRule="auto"/>
        <w:tabs>
          <w:tab w:leader="none" w:pos="179" w:val="left"/>
        </w:tabs>
        <w:numPr>
          <w:ilvl w:val="0"/>
          <w:numId w:val="74"/>
        </w:numPr>
        <w:rPr>
          <w:rFonts w:ascii="Calibri" w:cs="Calibri" w:eastAsia="Calibri" w:hAnsi="Calibri"/>
          <w:sz w:val="13"/>
          <w:szCs w:val="13"/>
          <w:b w:val="1"/>
          <w:bCs w:val="1"/>
          <w:color w:val="auto"/>
        </w:rPr>
      </w:pPr>
      <w:r>
        <w:rPr>
          <w:rFonts w:ascii="Calibri" w:cs="Calibri" w:eastAsia="Calibri" w:hAnsi="Calibri"/>
          <w:sz w:val="13"/>
          <w:szCs w:val="13"/>
          <w:color w:val="auto"/>
        </w:rPr>
        <w:t>Secton 16 ofcers will be notfed by the Corporate Secretary Ofce of their obligatons under Secton 16.</w:t>
      </w:r>
    </w:p>
    <w:p>
      <w:pPr>
        <w:spacing w:after="0" w:line="83" w:lineRule="exact"/>
        <w:rPr>
          <w:sz w:val="20"/>
          <w:szCs w:val="20"/>
          <w:color w:val="auto"/>
        </w:rPr>
      </w:pPr>
    </w:p>
    <w:p>
      <w:pPr>
        <w:ind w:left="8" w:right="40" w:hanging="8"/>
        <w:spacing w:after="0" w:line="234" w:lineRule="auto"/>
        <w:tabs>
          <w:tab w:leader="none" w:pos="190" w:val="left"/>
        </w:tabs>
        <w:numPr>
          <w:ilvl w:val="0"/>
          <w:numId w:val="75"/>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My brother asks me whether it’s a good tme to buy MDLZ stock. Can I menton an upcoming acquisiton to him? His buying stock wouldn’t beneft me personally.</w:t>
      </w:r>
    </w:p>
    <w:p>
      <w:pPr>
        <w:spacing w:after="0" w:line="84" w:lineRule="exact"/>
        <w:rPr>
          <w:sz w:val="20"/>
          <w:szCs w:val="20"/>
          <w:color w:val="auto"/>
        </w:rPr>
      </w:pPr>
    </w:p>
    <w:p>
      <w:pPr>
        <w:ind w:left="8" w:right="20" w:hanging="8"/>
        <w:spacing w:after="0" w:line="256" w:lineRule="auto"/>
        <w:tabs>
          <w:tab w:leader="none" w:pos="150" w:val="left"/>
        </w:tabs>
        <w:numPr>
          <w:ilvl w:val="0"/>
          <w:numId w:val="76"/>
        </w:numPr>
        <w:rPr>
          <w:rFonts w:ascii="Calibri" w:cs="Calibri" w:eastAsia="Calibri" w:hAnsi="Calibri"/>
          <w:sz w:val="12"/>
          <w:szCs w:val="12"/>
          <w:b w:val="1"/>
          <w:bCs w:val="1"/>
          <w:color w:val="auto"/>
        </w:rPr>
      </w:pPr>
      <w:r>
        <w:rPr>
          <w:rFonts w:ascii="Calibri" w:cs="Calibri" w:eastAsia="Calibri" w:hAnsi="Calibri"/>
          <w:sz w:val="12"/>
          <w:szCs w:val="12"/>
          <w:color w:val="auto"/>
        </w:rPr>
        <w:t>No. You must not share any inside informaton with your brother. If he buys, sells, or holds stock based on inside informaton that you give him, you and he could be in violaton of the law. And you would be in breach of MDLZ’s Insider Trading Policy simply by sharing that informaton, regardless of whether your brother uses it or benefts from it.</w:t>
      </w:r>
    </w:p>
    <w:p>
      <w:pPr>
        <w:spacing w:after="0" w:line="83" w:lineRule="exact"/>
        <w:rPr>
          <w:sz w:val="20"/>
          <w:szCs w:val="20"/>
          <w:color w:val="auto"/>
        </w:rPr>
      </w:pPr>
    </w:p>
    <w:p>
      <w:pPr>
        <w:ind w:left="8" w:right="80" w:hanging="8"/>
        <w:spacing w:after="0" w:line="234" w:lineRule="auto"/>
        <w:tabs>
          <w:tab w:leader="none" w:pos="190" w:val="left"/>
        </w:tabs>
        <w:numPr>
          <w:ilvl w:val="0"/>
          <w:numId w:val="77"/>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I just saw that the acquisiton I was going to menton to my brother is now being reported in the press. Can I now discuss it with my brother?</w:t>
      </w:r>
    </w:p>
    <w:p>
      <w:pPr>
        <w:spacing w:after="0" w:line="84" w:lineRule="exact"/>
        <w:rPr>
          <w:sz w:val="20"/>
          <w:szCs w:val="20"/>
          <w:color w:val="auto"/>
        </w:rPr>
      </w:pPr>
    </w:p>
    <w:p>
      <w:pPr>
        <w:ind w:left="8" w:hanging="8"/>
        <w:spacing w:after="0" w:line="234" w:lineRule="auto"/>
        <w:tabs>
          <w:tab w:leader="none" w:pos="179" w:val="left"/>
        </w:tabs>
        <w:numPr>
          <w:ilvl w:val="0"/>
          <w:numId w:val="78"/>
        </w:numPr>
        <w:rPr>
          <w:rFonts w:ascii="Calibri" w:cs="Calibri" w:eastAsia="Calibri" w:hAnsi="Calibri"/>
          <w:sz w:val="13"/>
          <w:szCs w:val="13"/>
          <w:b w:val="1"/>
          <w:bCs w:val="1"/>
          <w:color w:val="auto"/>
        </w:rPr>
      </w:pPr>
      <w:r>
        <w:rPr>
          <w:rFonts w:ascii="Calibri" w:cs="Calibri" w:eastAsia="Calibri" w:hAnsi="Calibri"/>
          <w:sz w:val="13"/>
          <w:szCs w:val="13"/>
          <w:color w:val="auto"/>
        </w:rPr>
        <w:t>Yes, you can discuss accurate informaton that appears in a public forum but must be careful not to provide additonal informaton that is not public.</w:t>
      </w:r>
    </w:p>
    <w:p>
      <w:pPr>
        <w:spacing w:after="0" w:line="79"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Q: What do I do if I accidentally disclose inside informaton?</w:t>
      </w:r>
    </w:p>
    <w:p>
      <w:pPr>
        <w:spacing w:after="0" w:line="92" w:lineRule="exact"/>
        <w:rPr>
          <w:sz w:val="20"/>
          <w:szCs w:val="20"/>
          <w:color w:val="auto"/>
        </w:rPr>
      </w:pPr>
    </w:p>
    <w:p>
      <w:pPr>
        <w:jc w:val="both"/>
        <w:ind w:left="8" w:right="40" w:hanging="8"/>
        <w:spacing w:after="0" w:line="233" w:lineRule="auto"/>
        <w:tabs>
          <w:tab w:leader="none" w:pos="179" w:val="left"/>
        </w:tabs>
        <w:numPr>
          <w:ilvl w:val="0"/>
          <w:numId w:val="79"/>
        </w:numPr>
        <w:rPr>
          <w:rFonts w:ascii="Calibri" w:cs="Calibri" w:eastAsia="Calibri" w:hAnsi="Calibri"/>
          <w:sz w:val="13"/>
          <w:szCs w:val="13"/>
          <w:b w:val="1"/>
          <w:bCs w:val="1"/>
          <w:color w:val="auto"/>
        </w:rPr>
      </w:pPr>
      <w:r>
        <w:rPr>
          <w:rFonts w:ascii="Calibri" w:cs="Calibri" w:eastAsia="Calibri" w:hAnsi="Calibri"/>
          <w:sz w:val="13"/>
          <w:szCs w:val="13"/>
          <w:color w:val="auto"/>
        </w:rPr>
        <w:t>Recognize that this is a serious mater. Immediately notfy the Corporate Secretary Ofce, so that we can work together to address it. This ofen includes contactng the recipient to let them know that you: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5" w:hanging="205"/>
        <w:spacing w:after="0"/>
        <w:tabs>
          <w:tab w:leader="none" w:pos="205" w:val="left"/>
        </w:tabs>
        <w:numPr>
          <w:ilvl w:val="0"/>
          <w:numId w:val="80"/>
        </w:numPr>
        <w:rPr>
          <w:rFonts w:ascii="Calibri" w:cs="Calibri" w:eastAsia="Calibri" w:hAnsi="Calibri"/>
          <w:sz w:val="13"/>
          <w:szCs w:val="13"/>
          <w:color w:val="auto"/>
        </w:rPr>
      </w:pPr>
      <w:r>
        <w:rPr>
          <w:rFonts w:ascii="Calibri" w:cs="Calibri" w:eastAsia="Calibri" w:hAnsi="Calibri"/>
          <w:sz w:val="13"/>
          <w:szCs w:val="13"/>
          <w:color w:val="auto"/>
        </w:rPr>
        <w:t>Provided them with inside informaton;</w:t>
      </w:r>
    </w:p>
    <w:p>
      <w:pPr>
        <w:spacing w:after="0" w:line="49" w:lineRule="exact"/>
        <w:rPr>
          <w:rFonts w:ascii="Calibri" w:cs="Calibri" w:eastAsia="Calibri" w:hAnsi="Calibri"/>
          <w:sz w:val="13"/>
          <w:szCs w:val="13"/>
          <w:color w:val="auto"/>
        </w:rPr>
      </w:pPr>
    </w:p>
    <w:p>
      <w:pPr>
        <w:ind w:left="205" w:right="360" w:hanging="205"/>
        <w:spacing w:after="0" w:line="238" w:lineRule="auto"/>
        <w:tabs>
          <w:tab w:leader="none" w:pos="205" w:val="left"/>
        </w:tabs>
        <w:numPr>
          <w:ilvl w:val="0"/>
          <w:numId w:val="80"/>
        </w:numPr>
        <w:rPr>
          <w:rFonts w:ascii="Calibri" w:cs="Calibri" w:eastAsia="Calibri" w:hAnsi="Calibri"/>
          <w:sz w:val="13"/>
          <w:szCs w:val="13"/>
          <w:color w:val="auto"/>
        </w:rPr>
      </w:pPr>
      <w:r>
        <w:rPr>
          <w:rFonts w:ascii="Calibri" w:cs="Calibri" w:eastAsia="Calibri" w:hAnsi="Calibri"/>
          <w:sz w:val="13"/>
          <w:szCs w:val="13"/>
          <w:color w:val="auto"/>
        </w:rPr>
        <w:t>Need their commitment to keep this informaton to themselves; and</w:t>
      </w:r>
    </w:p>
    <w:p>
      <w:pPr>
        <w:spacing w:after="0" w:line="61" w:lineRule="exact"/>
        <w:rPr>
          <w:rFonts w:ascii="Calibri" w:cs="Calibri" w:eastAsia="Calibri" w:hAnsi="Calibri"/>
          <w:sz w:val="13"/>
          <w:szCs w:val="13"/>
          <w:color w:val="auto"/>
        </w:rPr>
      </w:pPr>
    </w:p>
    <w:p>
      <w:pPr>
        <w:ind w:left="205" w:right="40" w:hanging="205"/>
        <w:spacing w:after="0" w:line="253" w:lineRule="auto"/>
        <w:tabs>
          <w:tab w:leader="none" w:pos="205" w:val="left"/>
        </w:tabs>
        <w:numPr>
          <w:ilvl w:val="0"/>
          <w:numId w:val="80"/>
        </w:numPr>
        <w:rPr>
          <w:rFonts w:ascii="Calibri" w:cs="Calibri" w:eastAsia="Calibri" w:hAnsi="Calibri"/>
          <w:sz w:val="12"/>
          <w:szCs w:val="12"/>
          <w:color w:val="auto"/>
        </w:rPr>
      </w:pPr>
      <w:r>
        <w:rPr>
          <w:rFonts w:ascii="Calibri" w:cs="Calibri" w:eastAsia="Calibri" w:hAnsi="Calibri"/>
          <w:sz w:val="12"/>
          <w:szCs w:val="12"/>
          <w:color w:val="auto"/>
        </w:rPr>
        <w:t>Need their commitment not to trade using this informaton untl the inside informaton is made public through a widely disseminated press release or SEC fling.</w:t>
      </w:r>
    </w:p>
    <w:p>
      <w:pPr>
        <w:spacing w:after="0" w:line="52" w:lineRule="exact"/>
        <w:rPr>
          <w:sz w:val="20"/>
          <w:szCs w:val="20"/>
          <w:color w:val="auto"/>
        </w:rPr>
      </w:pPr>
    </w:p>
    <w:p>
      <w:pPr>
        <w:ind w:left="5" w:right="40" w:hanging="5"/>
        <w:spacing w:after="0" w:line="234" w:lineRule="auto"/>
        <w:tabs>
          <w:tab w:leader="none" w:pos="188" w:val="left"/>
        </w:tabs>
        <w:numPr>
          <w:ilvl w:val="0"/>
          <w:numId w:val="81"/>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If I terminate my employment or service, may I buy or sell securites of MDLZ or a company with which MDLZ has a business relatonship immediately afer I leave MDLZ?</w:t>
      </w:r>
    </w:p>
    <w:p>
      <w:pPr>
        <w:spacing w:after="0" w:line="84" w:lineRule="exact"/>
        <w:rPr>
          <w:sz w:val="20"/>
          <w:szCs w:val="20"/>
          <w:color w:val="auto"/>
        </w:rPr>
      </w:pPr>
    </w:p>
    <w:p>
      <w:pPr>
        <w:ind w:left="5" w:hanging="5"/>
        <w:spacing w:after="0" w:line="233" w:lineRule="auto"/>
        <w:tabs>
          <w:tab w:leader="none" w:pos="177" w:val="left"/>
        </w:tabs>
        <w:numPr>
          <w:ilvl w:val="0"/>
          <w:numId w:val="82"/>
        </w:numPr>
        <w:rPr>
          <w:rFonts w:ascii="Calibri" w:cs="Calibri" w:eastAsia="Calibri" w:hAnsi="Calibri"/>
          <w:sz w:val="13"/>
          <w:szCs w:val="13"/>
          <w:b w:val="1"/>
          <w:bCs w:val="1"/>
          <w:color w:val="auto"/>
        </w:rPr>
      </w:pPr>
      <w:r>
        <w:rPr>
          <w:rFonts w:ascii="Calibri" w:cs="Calibri" w:eastAsia="Calibri" w:hAnsi="Calibri"/>
          <w:sz w:val="13"/>
          <w:szCs w:val="13"/>
          <w:color w:val="auto"/>
        </w:rPr>
        <w:t>If you are subject to a blackout period or are otherwise in possession of inside informaton, the answer is “no”. U.S. federal law prohibits you from trading in the securites of any company about which you have inside informaton. You may begin trading once this informaton is made public through a widely disseminated press release or an SEC fling or the informaton is no longer material. If you are or were a director or Secton 16 ofcer at the tme of your terminaton of employment or service, you must also contnue to observe any pre-clearance and reportng obligatons that you are advised of in connecton with your departure.</w:t>
      </w:r>
    </w:p>
    <w:p>
      <w:pPr>
        <w:spacing w:after="0" w:line="99" w:lineRule="exact"/>
        <w:rPr>
          <w:sz w:val="20"/>
          <w:szCs w:val="20"/>
          <w:color w:val="auto"/>
        </w:rPr>
      </w:pPr>
    </w:p>
    <w:p>
      <w:pPr>
        <w:ind w:left="5" w:right="80" w:hanging="5"/>
        <w:spacing w:after="0" w:line="231" w:lineRule="auto"/>
        <w:tabs>
          <w:tab w:leader="none" w:pos="188" w:val="left"/>
        </w:tabs>
        <w:numPr>
          <w:ilvl w:val="0"/>
          <w:numId w:val="83"/>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I entered a limit order prior to a blackout period, when I had no inside informaton. Do I need to cancel the limit order if I will become subject to an upcoming quarterly blackout period? Do I need to cancel the limit order if I become subject to an event-specifc blackout period?</w:t>
      </w:r>
    </w:p>
    <w:p>
      <w:pPr>
        <w:spacing w:after="0" w:line="95" w:lineRule="exact"/>
        <w:rPr>
          <w:sz w:val="20"/>
          <w:szCs w:val="20"/>
          <w:color w:val="auto"/>
        </w:rPr>
      </w:pPr>
    </w:p>
    <w:p>
      <w:pPr>
        <w:ind w:left="5" w:right="220" w:hanging="5"/>
        <w:spacing w:after="0" w:line="231" w:lineRule="auto"/>
        <w:tabs>
          <w:tab w:leader="none" w:pos="148" w:val="left"/>
        </w:tabs>
        <w:numPr>
          <w:ilvl w:val="0"/>
          <w:numId w:val="84"/>
        </w:numPr>
        <w:rPr>
          <w:rFonts w:ascii="Calibri" w:cs="Calibri" w:eastAsia="Calibri" w:hAnsi="Calibri"/>
          <w:sz w:val="13"/>
          <w:szCs w:val="13"/>
          <w:b w:val="1"/>
          <w:bCs w:val="1"/>
          <w:color w:val="auto"/>
        </w:rPr>
      </w:pPr>
      <w:r>
        <w:rPr>
          <w:rFonts w:ascii="Calibri" w:cs="Calibri" w:eastAsia="Calibri" w:hAnsi="Calibri"/>
          <w:sz w:val="13"/>
          <w:szCs w:val="13"/>
          <w:color w:val="auto"/>
        </w:rPr>
        <w:t>Yes. If you will become subject to a quarterly blackout period, you must cancel all your limit orders before the blackout period begins. You must also cancel all limit orders as soon as you become subject to an event-specifc blackout period.</w:t>
      </w:r>
    </w:p>
    <w:p>
      <w:pPr>
        <w:spacing w:after="0" w:line="95" w:lineRule="exact"/>
        <w:rPr>
          <w:sz w:val="20"/>
          <w:szCs w:val="20"/>
          <w:color w:val="auto"/>
        </w:rPr>
      </w:pPr>
    </w:p>
    <w:p>
      <w:pPr>
        <w:ind w:left="5" w:right="40" w:hanging="5"/>
        <w:spacing w:after="0" w:line="233" w:lineRule="auto"/>
        <w:tabs>
          <w:tab w:leader="none" w:pos="188" w:val="left"/>
        </w:tabs>
        <w:numPr>
          <w:ilvl w:val="0"/>
          <w:numId w:val="85"/>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Because the exercise of stock optons is not considered a transacton subject to the Policy, can I exercise MDLZ stock optons during a blackout period or when I have inside informaton?</w:t>
      </w:r>
    </w:p>
    <w:p>
      <w:pPr>
        <w:spacing w:after="0" w:line="82" w:lineRule="exact"/>
        <w:rPr>
          <w:sz w:val="20"/>
          <w:szCs w:val="20"/>
          <w:color w:val="auto"/>
        </w:rPr>
      </w:pPr>
    </w:p>
    <w:p>
      <w:pPr>
        <w:ind w:left="5" w:right="200" w:hanging="5"/>
        <w:spacing w:after="0" w:line="234" w:lineRule="auto"/>
        <w:tabs>
          <w:tab w:leader="none" w:pos="177" w:val="left"/>
        </w:tabs>
        <w:numPr>
          <w:ilvl w:val="0"/>
          <w:numId w:val="86"/>
        </w:numPr>
        <w:rPr>
          <w:rFonts w:ascii="Calibri" w:cs="Calibri" w:eastAsia="Calibri" w:hAnsi="Calibri"/>
          <w:sz w:val="13"/>
          <w:szCs w:val="13"/>
          <w:b w:val="1"/>
          <w:bCs w:val="1"/>
          <w:color w:val="auto"/>
        </w:rPr>
      </w:pPr>
      <w:r>
        <w:rPr>
          <w:rFonts w:ascii="Calibri" w:cs="Calibri" w:eastAsia="Calibri" w:hAnsi="Calibri"/>
          <w:sz w:val="13"/>
          <w:szCs w:val="13"/>
          <w:color w:val="auto"/>
        </w:rPr>
        <w:t>Generally, yes. However, sale of the stock acquired on exercise would not be permited at that tme. Contact the Corporate Secretary Ofce for additonal guidance.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 w:right="260" w:hanging="3"/>
        <w:spacing w:after="0"/>
        <w:tabs>
          <w:tab w:leader="none" w:pos="204" w:val="left"/>
        </w:tabs>
        <w:numPr>
          <w:ilvl w:val="0"/>
          <w:numId w:val="87"/>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May I enter derivatve transactons (</w:t>
      </w:r>
      <w:r>
        <w:rPr>
          <w:rFonts w:ascii="Calibri" w:cs="Calibri" w:eastAsia="Calibri" w:hAnsi="Calibri"/>
          <w:sz w:val="17"/>
          <w:szCs w:val="17"/>
          <w:b w:val="1"/>
          <w:bCs w:val="1"/>
          <w:i w:val="1"/>
          <w:iCs w:val="1"/>
          <w:color w:val="auto"/>
        </w:rPr>
        <w:t>i.e</w:t>
      </w:r>
      <w:r>
        <w:rPr>
          <w:rFonts w:ascii="Calibri" w:cs="Calibri" w:eastAsia="Calibri" w:hAnsi="Calibri"/>
          <w:sz w:val="13"/>
          <w:szCs w:val="13"/>
          <w:b w:val="1"/>
          <w:bCs w:val="1"/>
          <w:color w:val="auto"/>
        </w:rPr>
        <w:t>., puts, calls, short-selling, swaps, etc.) involving MDLZ stock?</w:t>
      </w:r>
    </w:p>
    <w:p>
      <w:pPr>
        <w:spacing w:after="0" w:line="24" w:lineRule="exact"/>
        <w:rPr>
          <w:rFonts w:ascii="Calibri" w:cs="Calibri" w:eastAsia="Calibri" w:hAnsi="Calibri"/>
          <w:sz w:val="13"/>
          <w:szCs w:val="13"/>
          <w:b w:val="1"/>
          <w:bCs w:val="1"/>
          <w:color w:val="auto"/>
        </w:rPr>
      </w:pPr>
    </w:p>
    <w:p>
      <w:pPr>
        <w:ind w:left="183" w:hanging="183"/>
        <w:spacing w:after="0"/>
        <w:tabs>
          <w:tab w:leader="none" w:pos="183" w:val="left"/>
        </w:tabs>
        <w:numPr>
          <w:ilvl w:val="0"/>
          <w:numId w:val="88"/>
        </w:numPr>
        <w:rPr>
          <w:rFonts w:ascii="Calibri" w:cs="Calibri" w:eastAsia="Calibri" w:hAnsi="Calibri"/>
          <w:sz w:val="13"/>
          <w:szCs w:val="13"/>
          <w:b w:val="1"/>
          <w:bCs w:val="1"/>
          <w:color w:val="auto"/>
        </w:rPr>
      </w:pPr>
      <w:r>
        <w:rPr>
          <w:rFonts w:ascii="Calibri" w:cs="Calibri" w:eastAsia="Calibri" w:hAnsi="Calibri"/>
          <w:sz w:val="13"/>
          <w:szCs w:val="13"/>
          <w:color w:val="auto"/>
        </w:rPr>
        <w:t>No. MDLZ’s Insider Trading Policy prohibits you from</w:t>
      </w:r>
    </w:p>
    <w:p>
      <w:pPr>
        <w:spacing w:after="0" w:line="17" w:lineRule="exact"/>
        <w:rPr>
          <w:rFonts w:ascii="Calibri" w:cs="Calibri" w:eastAsia="Calibri" w:hAnsi="Calibri"/>
          <w:sz w:val="13"/>
          <w:szCs w:val="13"/>
          <w:b w:val="1"/>
          <w:bCs w:val="1"/>
          <w:color w:val="auto"/>
        </w:rPr>
      </w:pPr>
    </w:p>
    <w:p>
      <w:pPr>
        <w:ind w:left="3" w:right="160"/>
        <w:spacing w:after="0" w:line="234" w:lineRule="auto"/>
        <w:rPr>
          <w:rFonts w:ascii="Calibri" w:cs="Calibri" w:eastAsia="Calibri" w:hAnsi="Calibri"/>
          <w:sz w:val="13"/>
          <w:szCs w:val="13"/>
          <w:b w:val="1"/>
          <w:bCs w:val="1"/>
          <w:color w:val="auto"/>
        </w:rPr>
      </w:pPr>
      <w:r>
        <w:rPr>
          <w:rFonts w:ascii="Calibri" w:cs="Calibri" w:eastAsia="Calibri" w:hAnsi="Calibri"/>
          <w:sz w:val="13"/>
          <w:szCs w:val="13"/>
          <w:color w:val="auto"/>
        </w:rPr>
        <w:t>engaging in all forms of transactons in derivatve securites based on MDLZ’s securites (other than the exercise of stock optons).</w:t>
      </w:r>
    </w:p>
    <w:p>
      <w:pPr>
        <w:spacing w:after="0" w:line="40" w:lineRule="exact"/>
        <w:rPr>
          <w:rFonts w:ascii="Calibri" w:cs="Calibri" w:eastAsia="Calibri" w:hAnsi="Calibri"/>
          <w:sz w:val="13"/>
          <w:szCs w:val="13"/>
          <w:b w:val="1"/>
          <w:bCs w:val="1"/>
          <w:color w:val="auto"/>
        </w:rPr>
      </w:pPr>
    </w:p>
    <w:p>
      <w:pPr>
        <w:ind w:left="3" w:right="200" w:hanging="3"/>
        <w:spacing w:after="0" w:line="253" w:lineRule="auto"/>
        <w:tabs>
          <w:tab w:leader="none" w:pos="204" w:val="left"/>
        </w:tabs>
        <w:numPr>
          <w:ilvl w:val="0"/>
          <w:numId w:val="89"/>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May I trade during a blackout period if the number of shares is minimal?</w:t>
      </w:r>
    </w:p>
    <w:p>
      <w:pPr>
        <w:spacing w:after="0" w:line="19" w:lineRule="exact"/>
        <w:rPr>
          <w:rFonts w:ascii="Calibri" w:cs="Calibri" w:eastAsia="Calibri" w:hAnsi="Calibri"/>
          <w:sz w:val="13"/>
          <w:szCs w:val="13"/>
          <w:b w:val="1"/>
          <w:bCs w:val="1"/>
          <w:color w:val="auto"/>
        </w:rPr>
      </w:pPr>
    </w:p>
    <w:p>
      <w:pPr>
        <w:ind w:left="3" w:right="140" w:hanging="3"/>
        <w:spacing w:after="0" w:line="253" w:lineRule="auto"/>
        <w:tabs>
          <w:tab w:leader="none" w:pos="184" w:val="left"/>
        </w:tabs>
        <w:numPr>
          <w:ilvl w:val="0"/>
          <w:numId w:val="90"/>
        </w:numPr>
        <w:rPr>
          <w:rFonts w:ascii="Calibri" w:cs="Calibri" w:eastAsia="Calibri" w:hAnsi="Calibri"/>
          <w:sz w:val="13"/>
          <w:szCs w:val="13"/>
          <w:b w:val="1"/>
          <w:bCs w:val="1"/>
          <w:color w:val="auto"/>
        </w:rPr>
      </w:pPr>
      <w:r>
        <w:rPr>
          <w:rFonts w:ascii="Calibri" w:cs="Calibri" w:eastAsia="Calibri" w:hAnsi="Calibri"/>
          <w:sz w:val="13"/>
          <w:szCs w:val="13"/>
          <w:color w:val="auto"/>
        </w:rPr>
        <w:t>No. The restrictons apply to all trades, including a trade involving only one share of stock.</w:t>
      </w:r>
    </w:p>
    <w:p>
      <w:pPr>
        <w:spacing w:after="0" w:line="31" w:lineRule="exact"/>
        <w:rPr>
          <w:sz w:val="20"/>
          <w:szCs w:val="20"/>
          <w:color w:val="auto"/>
        </w:rPr>
      </w:pPr>
    </w:p>
    <w:p>
      <w:pPr>
        <w:ind w:left="3" w:right="180" w:hanging="3"/>
        <w:spacing w:after="0" w:line="253" w:lineRule="auto"/>
        <w:tabs>
          <w:tab w:leader="none" w:pos="204" w:val="left"/>
        </w:tabs>
        <w:numPr>
          <w:ilvl w:val="0"/>
          <w:numId w:val="91"/>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Is it okay for my spouse or domestc partner to buy or sell MDLZ stock during a blackout period?</w:t>
      </w:r>
    </w:p>
    <w:p>
      <w:pPr>
        <w:spacing w:after="0" w:line="15" w:lineRule="exact"/>
        <w:rPr>
          <w:rFonts w:ascii="Calibri" w:cs="Calibri" w:eastAsia="Calibri" w:hAnsi="Calibri"/>
          <w:sz w:val="13"/>
          <w:szCs w:val="13"/>
          <w:b w:val="1"/>
          <w:bCs w:val="1"/>
          <w:color w:val="auto"/>
        </w:rPr>
      </w:pPr>
    </w:p>
    <w:p>
      <w:pPr>
        <w:ind w:left="183" w:hanging="183"/>
        <w:spacing w:after="0"/>
        <w:tabs>
          <w:tab w:leader="none" w:pos="183" w:val="left"/>
        </w:tabs>
        <w:numPr>
          <w:ilvl w:val="0"/>
          <w:numId w:val="92"/>
        </w:numPr>
        <w:rPr>
          <w:rFonts w:ascii="Calibri" w:cs="Calibri" w:eastAsia="Calibri" w:hAnsi="Calibri"/>
          <w:sz w:val="13"/>
          <w:szCs w:val="13"/>
          <w:b w:val="1"/>
          <w:bCs w:val="1"/>
          <w:color w:val="auto"/>
        </w:rPr>
      </w:pPr>
      <w:r>
        <w:rPr>
          <w:rFonts w:ascii="Calibri" w:cs="Calibri" w:eastAsia="Calibri" w:hAnsi="Calibri"/>
          <w:sz w:val="13"/>
          <w:szCs w:val="13"/>
          <w:color w:val="auto"/>
        </w:rPr>
        <w:t>No. If you are subject to a blackout period, then your</w:t>
      </w:r>
    </w:p>
    <w:p>
      <w:pPr>
        <w:spacing w:after="0" w:line="28" w:lineRule="exact"/>
        <w:rPr>
          <w:sz w:val="20"/>
          <w:szCs w:val="20"/>
          <w:color w:val="auto"/>
        </w:rPr>
      </w:pPr>
    </w:p>
    <w:p>
      <w:pPr>
        <w:ind w:left="3" w:right="260"/>
        <w:spacing w:after="0" w:line="230" w:lineRule="auto"/>
        <w:rPr>
          <w:sz w:val="20"/>
          <w:szCs w:val="20"/>
          <w:color w:val="auto"/>
        </w:rPr>
      </w:pPr>
      <w:r>
        <w:rPr>
          <w:rFonts w:ascii="Calibri" w:cs="Calibri" w:eastAsia="Calibri" w:hAnsi="Calibri"/>
          <w:sz w:val="13"/>
          <w:szCs w:val="13"/>
          <w:color w:val="auto"/>
        </w:rPr>
        <w:t>spouse or domestc partner (or any other family member living in your household) is also subject to it.</w:t>
      </w:r>
    </w:p>
    <w:p>
      <w:pPr>
        <w:spacing w:after="0" w:line="29" w:lineRule="exact"/>
        <w:rPr>
          <w:sz w:val="20"/>
          <w:szCs w:val="20"/>
          <w:color w:val="auto"/>
        </w:rPr>
      </w:pPr>
    </w:p>
    <w:p>
      <w:pPr>
        <w:ind w:left="3" w:right="200" w:hanging="3"/>
        <w:spacing w:after="0" w:line="270" w:lineRule="auto"/>
        <w:tabs>
          <w:tab w:leader="none" w:pos="204" w:val="left"/>
        </w:tabs>
        <w:numPr>
          <w:ilvl w:val="0"/>
          <w:numId w:val="93"/>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Am I allowed to buy or sell mutual funds that include MDLZ stock during a blackout period?</w:t>
      </w:r>
    </w:p>
    <w:p>
      <w:pPr>
        <w:spacing w:after="0" w:line="4" w:lineRule="exact"/>
        <w:rPr>
          <w:rFonts w:ascii="Calibri" w:cs="Calibri" w:eastAsia="Calibri" w:hAnsi="Calibri"/>
          <w:sz w:val="13"/>
          <w:szCs w:val="13"/>
          <w:b w:val="1"/>
          <w:bCs w:val="1"/>
          <w:color w:val="auto"/>
        </w:rPr>
      </w:pPr>
    </w:p>
    <w:p>
      <w:pPr>
        <w:ind w:left="183" w:hanging="183"/>
        <w:spacing w:after="0"/>
        <w:tabs>
          <w:tab w:leader="none" w:pos="183" w:val="left"/>
        </w:tabs>
        <w:numPr>
          <w:ilvl w:val="0"/>
          <w:numId w:val="94"/>
        </w:numPr>
        <w:rPr>
          <w:rFonts w:ascii="Calibri" w:cs="Calibri" w:eastAsia="Calibri" w:hAnsi="Calibri"/>
          <w:sz w:val="13"/>
          <w:szCs w:val="13"/>
          <w:b w:val="1"/>
          <w:bCs w:val="1"/>
          <w:color w:val="auto"/>
        </w:rPr>
      </w:pPr>
      <w:r>
        <w:rPr>
          <w:rFonts w:ascii="Calibri" w:cs="Calibri" w:eastAsia="Calibri" w:hAnsi="Calibri"/>
          <w:sz w:val="13"/>
          <w:szCs w:val="13"/>
          <w:color w:val="auto"/>
        </w:rPr>
        <w:t>Yes, if MDLZ stock is a very small porton of the fund and</w:t>
      </w:r>
    </w:p>
    <w:p>
      <w:pPr>
        <w:spacing w:after="0" w:line="17" w:lineRule="exact"/>
        <w:rPr>
          <w:rFonts w:ascii="Calibri" w:cs="Calibri" w:eastAsia="Calibri" w:hAnsi="Calibri"/>
          <w:sz w:val="13"/>
          <w:szCs w:val="13"/>
          <w:b w:val="1"/>
          <w:bCs w:val="1"/>
          <w:color w:val="auto"/>
        </w:rPr>
      </w:pPr>
    </w:p>
    <w:p>
      <w:pPr>
        <w:ind w:left="3"/>
        <w:spacing w:after="0" w:line="234" w:lineRule="auto"/>
        <w:rPr>
          <w:rFonts w:ascii="Calibri" w:cs="Calibri" w:eastAsia="Calibri" w:hAnsi="Calibri"/>
          <w:sz w:val="13"/>
          <w:szCs w:val="13"/>
          <w:b w:val="1"/>
          <w:bCs w:val="1"/>
          <w:color w:val="auto"/>
        </w:rPr>
      </w:pPr>
      <w:r>
        <w:rPr>
          <w:rFonts w:ascii="Calibri" w:cs="Calibri" w:eastAsia="Calibri" w:hAnsi="Calibri"/>
          <w:sz w:val="13"/>
          <w:szCs w:val="13"/>
          <w:color w:val="auto"/>
        </w:rPr>
        <w:t>you do not control the investment decisions on individual stocks within the fund. Contact the Corporate Secretary Ofce if you have any questons.</w:t>
      </w:r>
    </w:p>
    <w:p>
      <w:pPr>
        <w:spacing w:after="0" w:line="29" w:lineRule="exact"/>
        <w:rPr>
          <w:rFonts w:ascii="Calibri" w:cs="Calibri" w:eastAsia="Calibri" w:hAnsi="Calibri"/>
          <w:sz w:val="13"/>
          <w:szCs w:val="13"/>
          <w:b w:val="1"/>
          <w:bCs w:val="1"/>
          <w:color w:val="auto"/>
        </w:rPr>
      </w:pPr>
    </w:p>
    <w:p>
      <w:pPr>
        <w:ind w:left="3" w:right="20" w:hanging="3"/>
        <w:spacing w:after="0" w:line="270" w:lineRule="auto"/>
        <w:tabs>
          <w:tab w:leader="none" w:pos="204" w:val="left"/>
        </w:tabs>
        <w:numPr>
          <w:ilvl w:val="0"/>
          <w:numId w:val="95"/>
        </w:numPr>
        <w:rPr>
          <w:rFonts w:ascii="Calibri" w:cs="Calibri" w:eastAsia="Calibri" w:hAnsi="Calibri"/>
          <w:sz w:val="13"/>
          <w:szCs w:val="13"/>
          <w:b w:val="1"/>
          <w:bCs w:val="1"/>
          <w:color w:val="auto"/>
        </w:rPr>
      </w:pPr>
      <w:r>
        <w:rPr>
          <w:rFonts w:ascii="Calibri" w:cs="Calibri" w:eastAsia="Calibri" w:hAnsi="Calibri"/>
          <w:sz w:val="13"/>
          <w:szCs w:val="13"/>
          <w:b w:val="1"/>
          <w:bCs w:val="1"/>
          <w:color w:val="auto"/>
        </w:rPr>
        <w:t>May I make a gif or donaton of my MDLZ stock during a blackout period to which I am subject?</w:t>
      </w:r>
    </w:p>
    <w:p>
      <w:pPr>
        <w:spacing w:after="0" w:line="4" w:lineRule="exact"/>
        <w:rPr>
          <w:rFonts w:ascii="Calibri" w:cs="Calibri" w:eastAsia="Calibri" w:hAnsi="Calibri"/>
          <w:sz w:val="13"/>
          <w:szCs w:val="13"/>
          <w:b w:val="1"/>
          <w:bCs w:val="1"/>
          <w:color w:val="auto"/>
        </w:rPr>
      </w:pPr>
    </w:p>
    <w:p>
      <w:pPr>
        <w:ind w:left="183" w:hanging="183"/>
        <w:spacing w:after="0"/>
        <w:tabs>
          <w:tab w:leader="none" w:pos="183" w:val="left"/>
        </w:tabs>
        <w:numPr>
          <w:ilvl w:val="0"/>
          <w:numId w:val="96"/>
        </w:numPr>
        <w:rPr>
          <w:rFonts w:ascii="Calibri" w:cs="Calibri" w:eastAsia="Calibri" w:hAnsi="Calibri"/>
          <w:sz w:val="13"/>
          <w:szCs w:val="13"/>
          <w:b w:val="1"/>
          <w:bCs w:val="1"/>
          <w:color w:val="auto"/>
        </w:rPr>
      </w:pPr>
      <w:r>
        <w:rPr>
          <w:rFonts w:ascii="Calibri" w:cs="Calibri" w:eastAsia="Calibri" w:hAnsi="Calibri"/>
          <w:sz w:val="13"/>
          <w:szCs w:val="13"/>
          <w:color w:val="auto"/>
        </w:rPr>
        <w:t>No. The provisions of MDLZ’s Insider Trading Policy apply</w:t>
      </w:r>
    </w:p>
    <w:p>
      <w:pPr>
        <w:spacing w:after="0" w:line="17" w:lineRule="exact"/>
        <w:rPr>
          <w:rFonts w:ascii="Calibri" w:cs="Calibri" w:eastAsia="Calibri" w:hAnsi="Calibri"/>
          <w:sz w:val="13"/>
          <w:szCs w:val="13"/>
          <w:b w:val="1"/>
          <w:bCs w:val="1"/>
          <w:color w:val="auto"/>
        </w:rPr>
      </w:pPr>
    </w:p>
    <w:p>
      <w:pPr>
        <w:ind w:left="3" w:right="40"/>
        <w:spacing w:after="0" w:line="238" w:lineRule="auto"/>
        <w:rPr>
          <w:rFonts w:ascii="Calibri" w:cs="Calibri" w:eastAsia="Calibri" w:hAnsi="Calibri"/>
          <w:sz w:val="13"/>
          <w:szCs w:val="13"/>
          <w:b w:val="1"/>
          <w:bCs w:val="1"/>
          <w:color w:val="auto"/>
        </w:rPr>
      </w:pPr>
      <w:r>
        <w:rPr>
          <w:rFonts w:ascii="Calibri" w:cs="Calibri" w:eastAsia="Calibri" w:hAnsi="Calibri"/>
          <w:sz w:val="13"/>
          <w:szCs w:val="13"/>
          <w:color w:val="auto"/>
        </w:rPr>
        <w:t>to gifs or donatons of MDLZ stock in the same way that they apply to sales of MDLZ stock.</w:t>
      </w:r>
    </w:p>
    <w:p>
      <w:pPr>
        <w:spacing w:after="0" w:line="242" w:lineRule="exact"/>
        <w:rPr>
          <w:sz w:val="20"/>
          <w:szCs w:val="20"/>
          <w:color w:val="auto"/>
        </w:rPr>
      </w:pPr>
    </w:p>
    <w:p>
      <w:pPr>
        <w:ind w:left="203"/>
        <w:spacing w:after="0"/>
        <w:rPr>
          <w:sz w:val="20"/>
          <w:szCs w:val="20"/>
          <w:color w:val="auto"/>
        </w:rPr>
      </w:pPr>
      <w:r>
        <w:rPr>
          <w:rFonts w:ascii="Arial" w:cs="Arial" w:eastAsia="Arial" w:hAnsi="Arial"/>
          <w:sz w:val="23"/>
          <w:szCs w:val="23"/>
          <w:b w:val="1"/>
          <w:bCs w:val="1"/>
          <w:color w:val="FFFFFF"/>
        </w:rPr>
        <w:t>IMPORTANT RESOURCES</w:t>
      </w:r>
    </w:p>
    <w:p>
      <w:pPr>
        <w:spacing w:after="0" w:line="259" w:lineRule="exact"/>
        <w:rPr>
          <w:sz w:val="20"/>
          <w:szCs w:val="20"/>
          <w:color w:val="auto"/>
        </w:rPr>
      </w:pPr>
    </w:p>
    <w:p>
      <w:pPr>
        <w:ind w:left="143"/>
        <w:spacing w:after="0"/>
        <w:rPr>
          <w:sz w:val="20"/>
          <w:szCs w:val="20"/>
          <w:color w:val="auto"/>
        </w:rPr>
      </w:pPr>
      <w:r>
        <w:rPr>
          <w:rFonts w:ascii="Calibri" w:cs="Calibri" w:eastAsia="Calibri" w:hAnsi="Calibri"/>
          <w:sz w:val="13"/>
          <w:szCs w:val="13"/>
          <w:i w:val="1"/>
          <w:iCs w:val="1"/>
          <w:color w:val="E18719"/>
        </w:rPr>
        <w:t>Code of Conduct</w:t>
      </w:r>
    </w:p>
    <w:p>
      <w:pPr>
        <w:spacing w:after="0" w:line="88" w:lineRule="exact"/>
        <w:rPr>
          <w:sz w:val="20"/>
          <w:szCs w:val="20"/>
          <w:color w:val="auto"/>
        </w:rPr>
      </w:pPr>
    </w:p>
    <w:p>
      <w:pPr>
        <w:ind w:left="143"/>
        <w:spacing w:after="0"/>
        <w:rPr>
          <w:sz w:val="20"/>
          <w:szCs w:val="20"/>
          <w:color w:val="auto"/>
        </w:rPr>
      </w:pPr>
      <w:r>
        <w:rPr>
          <w:rFonts w:ascii="Calibri" w:cs="Calibri" w:eastAsia="Calibri" w:hAnsi="Calibri"/>
          <w:sz w:val="13"/>
          <w:szCs w:val="13"/>
          <w:i w:val="1"/>
          <w:iCs w:val="1"/>
          <w:color w:val="E18719"/>
        </w:rPr>
        <w:t>Compliance Contacts</w:t>
      </w:r>
    </w:p>
    <w:p>
      <w:pPr>
        <w:spacing w:after="0" w:line="99" w:lineRule="exact"/>
        <w:rPr>
          <w:sz w:val="20"/>
          <w:szCs w:val="20"/>
          <w:color w:val="auto"/>
        </w:rPr>
      </w:pPr>
    </w:p>
    <w:p>
      <w:pPr>
        <w:ind w:left="143"/>
        <w:spacing w:after="0"/>
        <w:rPr>
          <w:sz w:val="20"/>
          <w:szCs w:val="20"/>
          <w:color w:val="auto"/>
        </w:rPr>
      </w:pPr>
      <w:r>
        <w:rPr>
          <w:rFonts w:ascii="Calibri" w:cs="Calibri" w:eastAsia="Calibri" w:hAnsi="Calibri"/>
          <w:sz w:val="13"/>
          <w:szCs w:val="13"/>
          <w:i w:val="1"/>
          <w:iCs w:val="1"/>
          <w:color w:val="E18719"/>
        </w:rPr>
        <w:t>Corporate Secretary Ofce Contacts</w:t>
      </w:r>
    </w:p>
    <w:p>
      <w:pPr>
        <w:spacing w:after="0" w:line="88" w:lineRule="exact"/>
        <w:rPr>
          <w:sz w:val="20"/>
          <w:szCs w:val="20"/>
          <w:color w:val="auto"/>
        </w:rPr>
      </w:pPr>
    </w:p>
    <w:p>
      <w:pPr>
        <w:ind w:left="143"/>
        <w:spacing w:after="0"/>
        <w:rPr>
          <w:sz w:val="20"/>
          <w:szCs w:val="20"/>
          <w:color w:val="auto"/>
        </w:rPr>
      </w:pPr>
      <w:r>
        <w:rPr>
          <w:rFonts w:ascii="Calibri" w:cs="Calibri" w:eastAsia="Calibri" w:hAnsi="Calibri"/>
          <w:sz w:val="13"/>
          <w:szCs w:val="13"/>
          <w:i w:val="1"/>
          <w:iCs w:val="1"/>
          <w:color w:val="E18719"/>
        </w:rPr>
        <w:t>Regulaton FD (“Fair Disclosure”) Policy</w:t>
      </w:r>
    </w:p>
    <w:p>
      <w:pPr>
        <w:spacing w:after="0" w:line="532" w:lineRule="exact"/>
        <w:rPr>
          <w:sz w:val="20"/>
          <w:szCs w:val="20"/>
          <w:color w:val="auto"/>
        </w:rPr>
      </w:pPr>
    </w:p>
    <w:p>
      <w:pPr>
        <w:sectPr>
          <w:pgSz w:w="11900" w:h="16838" w:orient="portrait"/>
          <w:cols w:equalWidth="0" w:num="3">
            <w:col w:w="3228" w:space="295"/>
            <w:col w:w="3245" w:space="277"/>
            <w:col w:w="3243"/>
          </w:cols>
          <w:pgMar w:left="832" w:top="1440" w:right="77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EFAD1B"/>
        </w:rPr>
        <w:t>Page 7 of 7</w:t>
      </w:r>
    </w:p>
    <w:p>
      <w:pPr>
        <w:spacing w:after="0" w:line="28" w:lineRule="exact"/>
        <w:rPr>
          <w:sz w:val="20"/>
          <w:szCs w:val="20"/>
          <w:color w:val="auto"/>
        </w:rPr>
      </w:pPr>
    </w:p>
    <w:p>
      <w:pPr>
        <w:jc w:val="center"/>
        <w:ind w:right="-47"/>
        <w:spacing w:after="0"/>
        <w:rPr>
          <w:sz w:val="20"/>
          <w:szCs w:val="20"/>
          <w:color w:val="auto"/>
        </w:rPr>
      </w:pPr>
      <w:r>
        <w:rPr>
          <w:rFonts w:ascii="Calibri" w:cs="Calibri" w:eastAsia="Calibri" w:hAnsi="Calibri"/>
          <w:sz w:val="14"/>
          <w:szCs w:val="14"/>
          <w:color w:val="auto"/>
        </w:rPr>
        <w:t>Mondelez Internatonal Internal</w:t>
      </w:r>
    </w:p>
    <w:p>
      <w:pPr>
        <w:sectPr>
          <w:pgSz w:w="11900" w:h="16838" w:orient="portrait"/>
          <w:cols w:equalWidth="0" w:num="1">
            <w:col w:w="10288"/>
          </w:cols>
          <w:pgMar w:left="832" w:top="1440" w:right="779" w:bottom="1440" w:gutter="0" w:footer="0" w:header="0"/>
          <w:type w:val="continuous"/>
        </w:sectPr>
      </w:pPr>
    </w:p>
    <w:bookmarkStart w:id="147" w:name="page148"/>
    <w:bookmarkEnd w:id="147"/>
    <w:p>
      <w:pPr>
        <w:jc w:val="right"/>
        <w:spacing w:after="0"/>
        <w:rPr>
          <w:sz w:val="20"/>
          <w:szCs w:val="20"/>
          <w:color w:val="auto"/>
        </w:rPr>
      </w:pPr>
      <w:r>
        <w:rPr>
          <w:rFonts w:ascii="Calibri" w:cs="Calibri" w:eastAsia="Calibri" w:hAnsi="Calibri"/>
          <w:sz w:val="16"/>
          <w:szCs w:val="16"/>
          <w:color w:val="auto"/>
        </w:rPr>
        <w:t>Exhibit 21.1</w:t>
      </w:r>
    </w:p>
    <w:p>
      <w:pPr>
        <w:spacing w:after="0" w:line="4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Mondelēz Internatonal, Inc.</w:t>
      </w:r>
    </w:p>
    <w:p>
      <w:pPr>
        <w:spacing w:after="0" w:line="4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Subsidiaries List – December 31, 2024</w:t>
      </w:r>
    </w:p>
    <w:p>
      <w:pPr>
        <w:sectPr>
          <w:pgSz w:w="11900" w:h="16838" w:orient="portrait"/>
          <w:cols w:equalWidth="0" w:num="1">
            <w:col w:w="10200"/>
          </w:cols>
          <w:pgMar w:left="360" w:top="1185" w:right="1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16"/>
          <w:szCs w:val="16"/>
          <w:color w:val="auto"/>
        </w:rPr>
        <w:t>LU Algerie S.p.A.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Argentna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Van Mar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Nabisco Inversiones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Marketng Services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Fine Food Holdings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Gourmet Food Holdings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Gourmet Food Operatons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 (Australia)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Australia (Foods)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Australia Group Co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Australia Group Investments Limited Partnership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Australia Holdings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Australia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GF HOLDING COMPANY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New Zealand Holdings (Australia)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Mirabell Salzburger Confserie-und Bisquit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Österreich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Österreich Producton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Bahrain Biscuits W.L.L.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Bangladesh Private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Belgium Chocolate Producton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Namur Producton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Confbel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Belgium Intellectual Property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Belgium Biscuits Producton NV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Belgium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Belgium Manufacturing Services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Belgium Services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de Alimentos Bolivia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Botswana (Proprietary)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Brasil Ltda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Brasil Norte Nordeste Ltda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Chipita Bulgaria EAD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Bulgaria Holding AD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Bulgaria OOD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Bulgaria Producton OOD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16"/>
          <w:szCs w:val="16"/>
          <w:color w:val="auto"/>
        </w:rPr>
        <w:t>Algeria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Argentna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Argentna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Argentna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Australia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Austria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Bahrain</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Bangladesh</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Belgium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Bolivia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Botswana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Brazil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Brazil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Bulgaria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Bulgaria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Bulgaria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Bulgaria</w:t>
      </w:r>
    </w:p>
    <w:p>
      <w:pPr>
        <w:sectPr>
          <w:pgSz w:w="11900" w:h="16838" w:orient="portrait"/>
          <w:cols w:equalWidth="0" w:num="2">
            <w:col w:w="5140" w:space="720"/>
            <w:col w:w="4340"/>
          </w:cols>
          <w:pgMar w:left="360" w:top="1185" w:right="1339"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6"/>
          <w:szCs w:val="16"/>
          <w:color w:val="auto"/>
        </w:rPr>
        <w:t>Give and Go Prepared Foods Corp.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MCI Finance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Asia Pacifc (Alberta) GP ULC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Canada Holdings ULC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Canada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TCI Realty Holdings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Chile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Confectonery (Guangzhou) Co.,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Shanghai Food Corporate Management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Suzhou Food Co.Ltd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Beijing Food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China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Nabisco Food (Suzhou)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(Shanghai) lndustrial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(Dongguan) Food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(Shanghai) Biotechnology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(Shanghai) Food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(Shanghai) Supply Chain Management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(Shenzhen) Food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Colombia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Servicios Comerciales Colombia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3-101-138869,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Business Services Costa Rica Limitada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Costa Rica Limitada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Zagreb d.o.o.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CR Biscuit Producton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Czech Republic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Opavia - LU,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Danmark Intellectual Property ApS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Danmark ApS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Dominicana,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Ecuador C Ltda.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Egypt Foods S.A.E.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Egypt Trading S.A.E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El Salvador, Ltda. de C.V.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Eest Osauhing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Chapelat Swaziland (Proprietary)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Finland Oy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Generale Biscuit</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Generale Biscuit Glico 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France Biscuit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Canada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Chile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Colombia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Colombia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Costa Rica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Costa Rica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Costa Rica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Croata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Czech Republic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Czech Republic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Czech Republic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Denmark</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Denmark</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Dominican Republic</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Ecuador</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Egypt</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Egypt</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El Salvador</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Estonia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Eswatni</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Finland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ectPr>
          <w:pgSz w:w="11900" w:h="16838" w:orient="portrait"/>
          <w:cols w:equalWidth="0" w:num="2">
            <w:col w:w="5140" w:space="720"/>
            <w:col w:w="4239"/>
          </w:cols>
          <w:pgMar w:left="360" w:top="1185"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6"/>
          <w:szCs w:val="16"/>
          <w:color w:val="auto"/>
        </w:rPr>
        <w:t>Mondelez France Antlles Guyane Distributon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Biscuit Distributon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Biscuits Producton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Company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Océan Indien Distributon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R&amp;D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France SAS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LLC Mondelez Georgia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Carlton Lebensmitelvertriebs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Deutschland Biscuits Grundstuecksverwaltungs GmbH &amp; Co. KG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Deutschland Holding Grundstuecksverwaltungs GmbH &amp; Co. KG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Deutschland Producton Grundstuecksverwaltungs GmbH &amp; Co. KG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Deutschland Biscuits Producton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Deutschland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Deutschland Services GmbH &amp; Co. KG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Deutschland Snacks Producton GmbH &amp; Co. KG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Suchard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Ghana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Hellas Producton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Hellas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Hellas Snacks Producton Single Member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Guatemala Limitada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Honduras, S. de 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Hong Kong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EVIRTH (Hong Kong) Industry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Symphony Hong Kong Investment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Gyori Keksz Kf</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Hungária IP Kf.</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Hungária Kf.</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 S Business Services (India) Private Limited (CSBS)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Induri Farm Private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India Foods Private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Kraf Ultrajaya 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Cadbury 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Mondelez 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Cipta ManisMakmur</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Mondelez Indonesia Trading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PT Mondelez Indonesia Manufacturing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France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Georgia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Germany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Ghana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Greece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Greece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Greece</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Guatemala</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Honduras</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Hong Kong</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Hong Kong</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Hong Kong</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Hungary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Hungary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Hungary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Indonesia</w:t>
      </w:r>
    </w:p>
    <w:p>
      <w:pPr>
        <w:sectPr>
          <w:pgSz w:w="11900" w:h="16838" w:orient="portrait"/>
          <w:cols w:equalWidth="0" w:num="2">
            <w:col w:w="5140" w:space="720"/>
            <w:col w:w="4239"/>
          </w:cols>
          <w:pgMar w:left="360" w:top="1185"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6"/>
          <w:szCs w:val="16"/>
          <w:color w:val="auto"/>
        </w:rPr>
        <w:t>Berkeley Re Designed Actvity Company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Schweppes Ireland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Ireland Intellectual Property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Ireland Insurance Holdings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Ireland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Ireland Producton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Fatorie Osella S.p.A.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HUP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Italia Intellectual Property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Italia Biscuits Producton S.p.A.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Italia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Italia Services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COTE D'IVORE S.A.R.L.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Meito Adams Company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Japan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Kazakhstan LLP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Kenya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Dong Suh Foods Corporaton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Migabang Limited Company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Sam Kwang Glass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Latvija 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Adams Middle East S.A.L.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UAB Mondelez Baltc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UAB Mondelez Lietuva Producton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Confectonery Sales (M) Sdn. Bhd.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Malaysia Sales Sdn. Bhd.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Malaysia Sdn. Bhd.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Confectonery Malaysia Sdn. Bhd.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Mauritus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Mexico, S. de R.L. de C.V.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Productos Mondelez, S. de R.L. de C.V.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Ricolino, S.A. de C.V.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Maroc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Société Immobilière Ibrahim d'Ain Sebaa S.A.R.L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AztecAgri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Holdings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Netherlands Internatonal Holdings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Grenade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Cesko Holdings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LA MB Holding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LA MC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LA NMB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LA NVA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Ireland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Italy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Ivory Coast</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Japan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Japan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Kazakhstan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Kenya</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Korea,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Korea,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Korea, Republic of</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Latvia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Lebanon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Lithuania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Lithuania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Malaysia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Malaysia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Malaysia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Malaysia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Mauritus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Mexico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Mexico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Mexico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Morocco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Morocco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ectPr>
          <w:pgSz w:w="11900" w:h="16838" w:orient="portrait"/>
          <w:cols w:equalWidth="0" w:num="2">
            <w:col w:w="5140" w:space="720"/>
            <w:col w:w="4239"/>
          </w:cols>
          <w:pgMar w:left="360" w:top="1185"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6"/>
          <w:szCs w:val="16"/>
          <w:color w:val="auto"/>
        </w:rPr>
        <w:t>Kraf Foods LA VA Holding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Nederland Intellectual Property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North America and Asia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Biscuits Holdings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Holdings Netherlands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Intercontnental Netherlands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Nederland Biscuit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Nederland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Nederland Services B.V.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Gourmet Food New Zealand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New Zealand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New Zealand Investments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Nicaragua,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Nigeria PLC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Norge Intellectual Property 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Norge 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Norge Producton 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Pakistan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Panama S. de 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Peru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Philippines,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LU Polska Sp. z o.o.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RD&amp;Q sp. z o.o.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Polska Producton sp. z o.o.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Polska Sp. z o.o.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Portugal, Unipessoal, Lda.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Puerto Rico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Romania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Romania Snacks Producton S.R.L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CHIPITA SAINT-PETERSBURG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Rus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Arabia For Trading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d.o.o. Beograd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Procurement d.o.o. Beograd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Kuan Enterprises Private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Business Services AP Pte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Helix Singapore Pte.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Holdings Singapore Pte.Ltd.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AMEA Pte.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Singapore Sales Pte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Trading Singapore Pte.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Symphony Singapore Investments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Netherlands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New Zealand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New Zealand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New Zealand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Nicaragua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Nigeria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Norway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Norway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Norway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Pakistan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Panama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Peru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Philippines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Poland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Poland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Poland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Poland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Portugal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Puerto Rico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Romania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Romania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Russian Federaton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Russian Federaton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Saudi Arabia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Serbia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Serbia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Singapore</w:t>
      </w:r>
    </w:p>
    <w:p>
      <w:pPr>
        <w:sectPr>
          <w:pgSz w:w="11900" w:h="16838" w:orient="portrait"/>
          <w:cols w:equalWidth="0" w:num="2">
            <w:col w:w="5140" w:space="720"/>
            <w:col w:w="4239"/>
          </w:cols>
          <w:pgMar w:left="360" w:top="1185"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6"/>
          <w:szCs w:val="16"/>
          <w:color w:val="auto"/>
        </w:rPr>
        <w:t>Mondelez European Business Services Centre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Slovakia Holding 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Slovakia Intellectual Property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Slovakia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SR Producton s.r.o.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trgovska druzba, d.o.o., Trzin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Chapelat-Humphries Investments (Pty)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South Africa (Pty)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Chipita España SL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España Intellectual Property,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Commercial, S.L.</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Galletas Producton,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Postres Producton, S.A.U.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Producton,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España Services,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Iberia Holdings,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Iberia Snacking Holdings, S.L.U.</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Sverige Holding AB</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Sverige Intellectual Property AB</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Sverige AB</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Sverige Producton AB</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Schweiz Holding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Europe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Europe Procurement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Europe Services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Finance AG</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Schweiz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Schweiz Producton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World Travel Retail GmbH</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Taiwan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(Thailand)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(Thailand) Co., Ltd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Turkey Gida Uretm A.S.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Kent Gida Maddeleri Sanayii ve Ticaret Anonim Sirket</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Chipita Ukraine Trading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LLC Chipsy LYUKS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Private Joint Stock Company "Mondelez Ukraina"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Middle East &amp; Africa FZE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Brentwick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Eight LLP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Nine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Slovakia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Slovakia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Slovakia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Slovakia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Slovakia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Slovenia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South Africa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South Africa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Spain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Sweden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Sweden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Sweden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Sweden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Switzerland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Taiwan</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Thailand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Thailand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Turkey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Turkey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Ukraine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Ukraine</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Ukraine</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Arab Emirates</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Kingdom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Kingdom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Kingdom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Kingdom</w:t>
      </w:r>
    </w:p>
    <w:p>
      <w:pPr>
        <w:sectPr>
          <w:pgSz w:w="11900" w:h="16838" w:orient="portrait"/>
          <w:cols w:equalWidth="0" w:num="2">
            <w:col w:w="5140" w:space="720"/>
            <w:col w:w="4239"/>
          </w:cols>
          <w:pgMar w:left="360" w:top="1185"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6"/>
          <w:szCs w:val="16"/>
          <w:color w:val="auto"/>
        </w:rPr>
        <w:t>Cadbury Schweppes Finance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Schweppes Overseas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SEVEN LLP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South Africa (Holdings)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UK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Nominees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Schweppes Investments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Chromium Acquisitons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Chromium Assets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Chromium Suchex LLP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Craven Keiller</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Ernest Jackson &amp; Co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Grenade (UK)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Grenade Holdings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 Master UK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Investment Holdings UK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UK Intellectual Property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UK IP &amp; Producton Holdings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Services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Biscuit Financing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Confectonery Producton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Finance Company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Holdings &amp; Services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UK R&amp;D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Reading Scientfc Services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Schweppes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Speedy Assetco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The Old Leo Company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Trebor Basset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Trebor Internatonal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Vantas Internatonal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 Catering,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Third 86 Partners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Third Avenue 1536 Partners,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Enjoy Life Natural Brands,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Epta America,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 Master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Hu Products,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Intercontnental Brands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Intercontnental Great Brands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KFI-USLLC 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United Kingdom</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ectPr>
          <w:pgSz w:w="11900" w:h="16838" w:orient="portrait"/>
          <w:cols w:equalWidth="0" w:num="2">
            <w:col w:w="5140" w:space="720"/>
            <w:col w:w="4239"/>
          </w:cols>
          <w:pgMar w:left="360" w:top="1185"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6"/>
          <w:szCs w:val="16"/>
          <w:color w:val="auto"/>
        </w:rPr>
        <w:t>Kraf Foods Asia Pacifc Services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Biscuit Brands Kuan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Internatonal Europe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Internatonal Holdings Delaware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Internatonal Services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Latn America Holding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Kraf Foods R &amp; D,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BTN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Global Direct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Global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Delaware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Financing Delaware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Service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Perfect Bar Blocker,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SMR Concepts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Tate's Bake Shop, Inc.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Tate's Holding Company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Tate's Wholesale,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Give and Go Prepared Foods (U.S.A.) Corp.</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KFI-USLLC VII</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KFI-USLLC VIII</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KFI-USLLC XI</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KFI-USLLC XIV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Internatonal Service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Perfect Bar Holdings,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Perfect Bar,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Productos de Leche Coronado, S.A. de C.V.</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PurpleBird LLC</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Uruguay S.A.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Beverages de Venezuela 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Compañia Venezolana de Conservas CA (COVENCO)</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Covenco Holding 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Tevalca Holding 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VZ, 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Promotora Cadbury Adams, C.A.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Mondelez Kinh Do Viet Nam Joint Stock Company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North Kinh Do One Member Company Limited</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Cadbury Schweppes Zimbabwe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United States</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Uruguay</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Venezuela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Venezuela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Venezuela</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Venezuela</w:t>
      </w:r>
    </w:p>
    <w:p>
      <w:pPr>
        <w:spacing w:after="0" w:line="50" w:lineRule="exact"/>
        <w:rPr>
          <w:sz w:val="20"/>
          <w:szCs w:val="20"/>
          <w:color w:val="auto"/>
        </w:rPr>
      </w:pPr>
    </w:p>
    <w:p>
      <w:pPr>
        <w:spacing w:after="0"/>
        <w:rPr>
          <w:sz w:val="20"/>
          <w:szCs w:val="20"/>
          <w:color w:val="auto"/>
        </w:rPr>
      </w:pPr>
      <w:r>
        <w:rPr>
          <w:rFonts w:ascii="Calibri" w:cs="Calibri" w:eastAsia="Calibri" w:hAnsi="Calibri"/>
          <w:sz w:val="15"/>
          <w:szCs w:val="15"/>
          <w:color w:val="auto"/>
        </w:rPr>
        <w:t>Venezuela, Bolivarian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15"/>
          <w:szCs w:val="15"/>
          <w:color w:val="auto"/>
        </w:rPr>
        <w:t>Venezuela, Bolivarian Republic of</w:t>
      </w:r>
    </w:p>
    <w:p>
      <w:pPr>
        <w:spacing w:after="0" w:line="44" w:lineRule="exact"/>
        <w:rPr>
          <w:sz w:val="20"/>
          <w:szCs w:val="20"/>
          <w:color w:val="auto"/>
        </w:rPr>
      </w:pPr>
    </w:p>
    <w:p>
      <w:pPr>
        <w:spacing w:after="0"/>
        <w:rPr>
          <w:sz w:val="20"/>
          <w:szCs w:val="20"/>
          <w:color w:val="auto"/>
        </w:rPr>
      </w:pPr>
      <w:r>
        <w:rPr>
          <w:rFonts w:ascii="Calibri" w:cs="Calibri" w:eastAsia="Calibri" w:hAnsi="Calibri"/>
          <w:sz w:val="16"/>
          <w:szCs w:val="16"/>
          <w:color w:val="auto"/>
        </w:rPr>
        <w:t>Vietnam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Vietnam</w:t>
      </w:r>
    </w:p>
    <w:p>
      <w:pPr>
        <w:spacing w:after="0" w:line="41" w:lineRule="exact"/>
        <w:rPr>
          <w:sz w:val="20"/>
          <w:szCs w:val="20"/>
          <w:color w:val="auto"/>
        </w:rPr>
      </w:pPr>
    </w:p>
    <w:p>
      <w:pPr>
        <w:spacing w:after="0"/>
        <w:rPr>
          <w:sz w:val="20"/>
          <w:szCs w:val="20"/>
          <w:color w:val="auto"/>
        </w:rPr>
      </w:pPr>
      <w:r>
        <w:rPr>
          <w:rFonts w:ascii="Calibri" w:cs="Calibri" w:eastAsia="Calibri" w:hAnsi="Calibri"/>
          <w:sz w:val="16"/>
          <w:szCs w:val="16"/>
          <w:color w:val="auto"/>
        </w:rPr>
        <w:t>Zimbabwe</w:t>
      </w:r>
    </w:p>
    <w:p>
      <w:pPr>
        <w:sectPr>
          <w:pgSz w:w="11900" w:h="16838" w:orient="portrait"/>
          <w:cols w:equalWidth="0" w:num="2">
            <w:col w:w="5140" w:space="720"/>
            <w:col w:w="4239"/>
          </w:cols>
          <w:pgMar w:left="360" w:top="1185"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hereby consent to the incorporation by reference in the Registration Statements on Form S-3 (No. 333-270063) and Form S-8 (Nos. 333-279637</w:t>
      </w:r>
      <w:r>
        <w:rPr>
          <w:rFonts w:ascii="Arial" w:cs="Arial" w:eastAsia="Arial" w:hAnsi="Arial"/>
          <w:sz w:val="14"/>
          <w:szCs w:val="14"/>
          <w:b w:val="1"/>
          <w:bCs w:val="1"/>
          <w:color w:val="auto"/>
        </w:rPr>
        <w:t>,</w:t>
      </w:r>
      <w:r>
        <w:rPr>
          <w:rFonts w:ascii="Arial" w:cs="Arial" w:eastAsia="Arial" w:hAnsi="Arial"/>
          <w:sz w:val="14"/>
          <w:szCs w:val="14"/>
          <w:color w:val="auto"/>
        </w:rPr>
        <w:t xml:space="preserve"> 333-197088, 333-184178, 333-183993, 333-182066, 333-174665, 333-165736, 333-133559 and 333-125992) of Mondelēz International, Inc. of our report dated February 5, 2025 relating to the financial statements and the effectiveness of internal control over financial reporting, which appears in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February 5, 2025</w:t>
      </w: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Georgia" w:cs="Georgia" w:eastAsia="Georgia" w:hAnsi="Georgia"/>
          <w:sz w:val="13"/>
          <w:szCs w:val="13"/>
          <w:i w:val="1"/>
          <w:iCs w:val="1"/>
          <w:color w:val="auto"/>
        </w:rPr>
        <w:t>PricewaterhouseCoopers LLP, One North Wacker, Chicago, Illinois 60606</w:t>
      </w:r>
    </w:p>
    <w:p>
      <w:pPr>
        <w:spacing w:after="0" w:line="3" w:lineRule="exact"/>
        <w:rPr>
          <w:sz w:val="20"/>
          <w:szCs w:val="20"/>
          <w:color w:val="auto"/>
        </w:rPr>
      </w:pPr>
    </w:p>
    <w:p>
      <w:pPr>
        <w:ind w:left="400"/>
        <w:spacing w:after="0"/>
        <w:rPr>
          <w:sz w:val="20"/>
          <w:szCs w:val="20"/>
          <w:color w:val="auto"/>
        </w:rPr>
      </w:pPr>
      <w:r>
        <w:rPr>
          <w:rFonts w:ascii="Georgia" w:cs="Georgia" w:eastAsia="Georgia" w:hAnsi="Georgia"/>
          <w:sz w:val="13"/>
          <w:szCs w:val="13"/>
          <w:i w:val="1"/>
          <w:iCs w:val="1"/>
          <w:color w:val="auto"/>
        </w:rPr>
        <w:t>T: 312-298-2000, F: 312-298-2001, www.pwc.com/us</w:t>
      </w:r>
    </w:p>
    <w:p>
      <w:pPr>
        <w:sectPr>
          <w:pgSz w:w="11900" w:h="16838" w:orient="portrait"/>
          <w:cols w:equalWidth="0" w:num="1">
            <w:col w:w="11280"/>
          </w:cols>
          <w:pgMar w:left="300" w:top="1156"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 Dirk Van de Put, certify that:</w:t>
      </w:r>
    </w:p>
    <w:p>
      <w:pPr>
        <w:spacing w:after="0" w:line="215" w:lineRule="exact"/>
        <w:rPr>
          <w:sz w:val="20"/>
          <w:szCs w:val="20"/>
          <w:color w:val="auto"/>
        </w:rPr>
      </w:pPr>
    </w:p>
    <w:p>
      <w:pPr>
        <w:ind w:left="480" w:hanging="46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Mondelēz International, Inc.;</w:t>
      </w:r>
    </w:p>
    <w:p>
      <w:pPr>
        <w:spacing w:after="0" w:line="214"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4"/>
          <w:szCs w:val="14"/>
          <w:color w:val="auto"/>
        </w:rPr>
      </w:pPr>
    </w:p>
    <w:p>
      <w:pPr>
        <w:ind w:left="480" w:hanging="46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ind w:left="48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11" w:lineRule="exact"/>
        <w:rPr>
          <w:rFonts w:ascii="Arial" w:cs="Arial" w:eastAsia="Arial" w:hAnsi="Arial"/>
          <w:sz w:val="14"/>
          <w:szCs w:val="14"/>
          <w:color w:val="auto"/>
        </w:rPr>
      </w:pPr>
    </w:p>
    <w:p>
      <w:pPr>
        <w:jc w:val="both"/>
        <w:ind w:left="920" w:right="20" w:hanging="449"/>
        <w:spacing w:after="0" w:line="232"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4"/>
          <w:szCs w:val="14"/>
          <w:color w:val="auto"/>
        </w:rPr>
      </w:pPr>
    </w:p>
    <w:p>
      <w:pPr>
        <w:jc w:val="both"/>
        <w:ind w:left="920" w:right="20" w:hanging="449"/>
        <w:spacing w:after="0" w:line="232"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4"/>
          <w:szCs w:val="14"/>
          <w:color w:val="auto"/>
        </w:rPr>
      </w:pPr>
    </w:p>
    <w:p>
      <w:pPr>
        <w:ind w:left="920" w:right="20" w:hanging="449"/>
        <w:spacing w:after="0" w:line="250"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4"/>
          <w:szCs w:val="14"/>
          <w:color w:val="auto"/>
        </w:rPr>
      </w:pPr>
    </w:p>
    <w:p>
      <w:pPr>
        <w:jc w:val="both"/>
        <w:ind w:left="920" w:right="20" w:hanging="449"/>
        <w:spacing w:after="0" w:line="232"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4"/>
          <w:szCs w:val="14"/>
          <w:color w:val="auto"/>
        </w:rPr>
      </w:pPr>
    </w:p>
    <w:p>
      <w:pPr>
        <w:ind w:left="920" w:right="20" w:hanging="449"/>
        <w:spacing w:after="0" w:line="250"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4"/>
          <w:szCs w:val="14"/>
          <w:color w:val="auto"/>
        </w:rPr>
      </w:pPr>
    </w:p>
    <w:p>
      <w:pPr>
        <w:ind w:left="920" w:right="20" w:hanging="449"/>
        <w:spacing w:after="0" w:line="245" w:lineRule="auto"/>
        <w:tabs>
          <w:tab w:leader="none" w:pos="9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Date: February 5, 2025</w:t>
      </w:r>
    </w:p>
    <w:p>
      <w:pPr>
        <w:spacing w:after="0" w:line="32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29845</wp:posOffset>
            </wp:positionV>
            <wp:extent cx="285051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2">
                      <a:extLst>
                        <a:ext uri="{28A0092B-C50C-407E-A947-70E740481C1C}"/>
                      </a:extLst>
                    </a:blip>
                    <a:srcRect/>
                    <a:stretch>
                      <a:fillRect/>
                    </a:stretch>
                  </pic:blipFill>
                  <pic:spPr bwMode="auto">
                    <a:xfrm>
                      <a:off x="0" y="0"/>
                      <a:ext cx="2850515" cy="6985"/>
                    </a:xfrm>
                    <a:prstGeom prst="rect">
                      <a:avLst/>
                    </a:prstGeom>
                    <a:noFill/>
                  </pic:spPr>
                </pic:pic>
              </a:graphicData>
            </a:graphic>
          </wp:anchor>
        </w:drawing>
      </w:r>
    </w:p>
    <w:p>
      <w:pPr>
        <w:spacing w:after="0" w:line="45"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Dirk Van de Put</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Chairman and Chief Executive Officer</w:t>
      </w:r>
    </w:p>
    <w:p>
      <w:pPr>
        <w:sectPr>
          <w:pgSz w:w="11900" w:h="16838" w:orient="portrait"/>
          <w:cols w:equalWidth="0" w:num="1">
            <w:col w:w="11280"/>
          </w:cols>
          <w:pgMar w:left="300" w:top="640"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Luca Zaramella, certify that:</w:t>
      </w:r>
    </w:p>
    <w:p>
      <w:pPr>
        <w:spacing w:after="0" w:line="215" w:lineRule="exact"/>
        <w:rPr>
          <w:sz w:val="20"/>
          <w:szCs w:val="20"/>
          <w:color w:val="auto"/>
        </w:rPr>
      </w:pPr>
    </w:p>
    <w:p>
      <w:pPr>
        <w:ind w:left="480" w:hanging="460"/>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Mondelēz International, Inc.;</w:t>
      </w:r>
    </w:p>
    <w:p>
      <w:pPr>
        <w:spacing w:after="0" w:line="214"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4"/>
          <w:szCs w:val="14"/>
          <w:color w:val="auto"/>
        </w:rPr>
      </w:pPr>
    </w:p>
    <w:p>
      <w:pPr>
        <w:ind w:left="480" w:hanging="460"/>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ind w:left="48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11" w:lineRule="exact"/>
        <w:rPr>
          <w:rFonts w:ascii="Arial" w:cs="Arial" w:eastAsia="Arial" w:hAnsi="Arial"/>
          <w:sz w:val="14"/>
          <w:szCs w:val="14"/>
          <w:color w:val="auto"/>
        </w:rPr>
      </w:pPr>
    </w:p>
    <w:p>
      <w:pPr>
        <w:jc w:val="both"/>
        <w:ind w:left="920" w:right="20" w:hanging="449"/>
        <w:spacing w:after="0" w:line="238"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4"/>
          <w:szCs w:val="14"/>
          <w:color w:val="auto"/>
        </w:rPr>
      </w:pPr>
    </w:p>
    <w:p>
      <w:pPr>
        <w:jc w:val="both"/>
        <w:ind w:left="920" w:right="20" w:hanging="449"/>
        <w:spacing w:after="0" w:line="238"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4"/>
          <w:szCs w:val="14"/>
          <w:color w:val="auto"/>
        </w:rPr>
      </w:pPr>
    </w:p>
    <w:p>
      <w:pPr>
        <w:ind w:left="920" w:right="20" w:hanging="449"/>
        <w:spacing w:after="0" w:line="250"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4"/>
          <w:szCs w:val="14"/>
          <w:color w:val="auto"/>
        </w:rPr>
      </w:pPr>
    </w:p>
    <w:p>
      <w:pPr>
        <w:jc w:val="both"/>
        <w:ind w:left="920" w:right="20" w:hanging="449"/>
        <w:spacing w:after="0" w:line="238"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4"/>
          <w:szCs w:val="14"/>
          <w:color w:val="auto"/>
        </w:rPr>
      </w:pPr>
    </w:p>
    <w:p>
      <w:pPr>
        <w:ind w:left="480" w:right="20" w:hanging="460"/>
        <w:spacing w:after="0" w:line="250"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4"/>
          <w:szCs w:val="14"/>
          <w:color w:val="auto"/>
        </w:rPr>
      </w:pPr>
    </w:p>
    <w:p>
      <w:pPr>
        <w:ind w:left="920" w:right="20" w:hanging="449"/>
        <w:spacing w:after="0" w:line="250"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4"/>
          <w:szCs w:val="14"/>
          <w:color w:val="auto"/>
        </w:rPr>
      </w:pPr>
    </w:p>
    <w:p>
      <w:pPr>
        <w:ind w:left="920" w:right="20" w:hanging="449"/>
        <w:spacing w:after="0" w:line="245" w:lineRule="auto"/>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5, 2025</w:t>
      </w:r>
    </w:p>
    <w:p>
      <w:pPr>
        <w:spacing w:after="0" w:line="31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29845</wp:posOffset>
            </wp:positionV>
            <wp:extent cx="285051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3">
                      <a:extLst>
                        <a:ext uri="{28A0092B-C50C-407E-A947-70E740481C1C}"/>
                      </a:extLst>
                    </a:blip>
                    <a:srcRect/>
                    <a:stretch>
                      <a:fillRect/>
                    </a:stretch>
                  </pic:blipFill>
                  <pic:spPr bwMode="auto">
                    <a:xfrm>
                      <a:off x="0" y="0"/>
                      <a:ext cx="2850515" cy="6985"/>
                    </a:xfrm>
                    <a:prstGeom prst="rect">
                      <a:avLst/>
                    </a:prstGeom>
                    <a:noFill/>
                  </pic:spPr>
                </pic:pic>
              </a:graphicData>
            </a:graphic>
          </wp:anchor>
        </w:drawing>
      </w:r>
    </w:p>
    <w:p>
      <w:pPr>
        <w:spacing w:after="0" w:line="45"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Luca Zaramella</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Executive Vice President and</w:t>
      </w:r>
    </w:p>
    <w:p>
      <w:pPr>
        <w:spacing w:after="0" w:line="11"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640"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85051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4">
                      <a:extLst>
                        <a:ext uri="{28A0092B-C50C-407E-A947-70E740481C1C}"/>
                      </a:extLst>
                    </a:blip>
                    <a:srcRect/>
                    <a:stretch>
                      <a:fillRect/>
                    </a:stretch>
                  </pic:blipFill>
                  <pic:spPr bwMode="auto">
                    <a:xfrm>
                      <a:off x="0" y="0"/>
                      <a:ext cx="285051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Dirk Van de Put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and Chief Executive Officer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5, 2025</w:t>
      </w:r>
    </w:p>
    <w:p>
      <w:pPr>
        <w:spacing w:after="0" w:line="34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85051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5">
                      <a:extLst>
                        <a:ext uri="{28A0092B-C50C-407E-A947-70E740481C1C}"/>
                      </a:extLst>
                    </a:blip>
                    <a:srcRect/>
                    <a:stretch>
                      <a:fillRect/>
                    </a:stretch>
                  </pic:blipFill>
                  <pic:spPr bwMode="auto">
                    <a:xfrm>
                      <a:off x="0" y="0"/>
                      <a:ext cx="285051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Luca Zaramella</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5, 2025</w:t>
      </w:r>
    </w:p>
    <w:p>
      <w:pPr>
        <w:spacing w:after="0" w:line="35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sectPr>
          <w:pgSz w:w="11900" w:h="16838" w:orient="portrait"/>
          <w:cols w:equalWidth="0" w:num="1">
            <w:col w:w="11280"/>
          </w:cols>
          <w:pgMar w:left="300" w:top="1156" w:right="31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16"/>
          <w:szCs w:val="16"/>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480695</wp:posOffset>
            </wp:positionV>
            <wp:extent cx="1043305" cy="388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6">
                      <a:extLst>
                        <a:ext uri="{28A0092B-C50C-407E-A947-70E740481C1C}"/>
                      </a:extLst>
                    </a:blip>
                    <a:srcRect/>
                    <a:stretch>
                      <a:fillRect/>
                    </a:stretch>
                  </pic:blipFill>
                  <pic:spPr bwMode="auto">
                    <a:xfrm>
                      <a:off x="0" y="0"/>
                      <a:ext cx="10433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Dated July 18, 2023</w:t>
      </w:r>
    </w:p>
    <w:p>
      <w:pPr>
        <w:spacing w:after="0" w:line="344" w:lineRule="exact"/>
        <w:rPr>
          <w:sz w:val="20"/>
          <w:szCs w:val="20"/>
          <w:color w:val="auto"/>
        </w:rPr>
      </w:pPr>
    </w:p>
    <w:p>
      <w:pPr>
        <w:ind w:left="4640"/>
        <w:spacing w:after="0"/>
        <w:rPr>
          <w:sz w:val="20"/>
          <w:szCs w:val="20"/>
          <w:color w:val="auto"/>
        </w:rPr>
      </w:pPr>
      <w:r>
        <w:rPr>
          <w:rFonts w:ascii="Calibri" w:cs="Calibri" w:eastAsia="Calibri" w:hAnsi="Calibri"/>
          <w:sz w:val="17"/>
          <w:szCs w:val="17"/>
          <w:b w:val="1"/>
          <w:bCs w:val="1"/>
          <w:color w:val="auto"/>
        </w:rPr>
        <w:t>Mondelēz Internatonal, Inc.</w:t>
      </w:r>
    </w:p>
    <w:p>
      <w:pPr>
        <w:ind w:left="4640"/>
        <w:spacing w:after="0" w:line="198" w:lineRule="auto"/>
        <w:rPr>
          <w:sz w:val="20"/>
          <w:szCs w:val="20"/>
          <w:color w:val="auto"/>
        </w:rPr>
      </w:pPr>
      <w:r>
        <w:rPr>
          <w:rFonts w:ascii="Calibri" w:cs="Calibri" w:eastAsia="Calibri" w:hAnsi="Calibri"/>
          <w:sz w:val="17"/>
          <w:szCs w:val="17"/>
          <w:b w:val="1"/>
          <w:bCs w:val="1"/>
          <w:color w:val="auto"/>
        </w:rPr>
        <w:t>Dodd-Frank Clawback Policy</w:t>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6"/>
          <w:szCs w:val="16"/>
          <w:u w:val="single" w:color="auto"/>
          <w:color w:val="auto"/>
        </w:rPr>
        <w:t>Descripton</w:t>
      </w:r>
    </w:p>
    <w:p>
      <w:pPr>
        <w:spacing w:after="0" w:line="211" w:lineRule="exact"/>
        <w:rPr>
          <w:sz w:val="20"/>
          <w:szCs w:val="20"/>
          <w:color w:val="auto"/>
        </w:rPr>
      </w:pPr>
    </w:p>
    <w:p>
      <w:pPr>
        <w:ind w:right="400" w:firstLine="515"/>
        <w:spacing w:after="0" w:line="233" w:lineRule="auto"/>
        <w:rPr>
          <w:sz w:val="20"/>
          <w:szCs w:val="20"/>
          <w:color w:val="auto"/>
        </w:rPr>
      </w:pPr>
      <w:r>
        <w:rPr>
          <w:rFonts w:ascii="Calibri" w:cs="Calibri" w:eastAsia="Calibri" w:hAnsi="Calibri"/>
          <w:sz w:val="16"/>
          <w:szCs w:val="16"/>
          <w:color w:val="auto"/>
        </w:rPr>
        <w:t>The Board of Directors (the “</w:t>
      </w:r>
      <w:r>
        <w:rPr>
          <w:rFonts w:ascii="Calibri" w:cs="Calibri" w:eastAsia="Calibri" w:hAnsi="Calibri"/>
          <w:sz w:val="16"/>
          <w:szCs w:val="16"/>
          <w:u w:val="single" w:color="auto"/>
          <w:color w:val="auto"/>
        </w:rPr>
        <w:t>Board</w:t>
      </w:r>
      <w:r>
        <w:rPr>
          <w:rFonts w:ascii="Calibri" w:cs="Calibri" w:eastAsia="Calibri" w:hAnsi="Calibri"/>
          <w:sz w:val="16"/>
          <w:szCs w:val="16"/>
          <w:color w:val="auto"/>
        </w:rPr>
        <w:t>”) of Mondelēz Internatonal, Inc. (the “</w:t>
      </w:r>
      <w:r>
        <w:rPr>
          <w:rFonts w:ascii="Calibri" w:cs="Calibri" w:eastAsia="Calibri" w:hAnsi="Calibri"/>
          <w:sz w:val="16"/>
          <w:szCs w:val="16"/>
          <w:u w:val="single" w:color="auto"/>
          <w:color w:val="auto"/>
        </w:rPr>
        <w:t>Company</w:t>
      </w:r>
      <w:r>
        <w:rPr>
          <w:rFonts w:ascii="Calibri" w:cs="Calibri" w:eastAsia="Calibri" w:hAnsi="Calibri"/>
          <w:sz w:val="16"/>
          <w:szCs w:val="16"/>
          <w:color w:val="auto"/>
        </w:rPr>
        <w:t xml:space="preserve">”) believes it is in the best interests of the Company and its shareholders to adopt the </w:t>
      </w:r>
      <w:r>
        <w:rPr>
          <w:rFonts w:ascii="Calibri" w:cs="Calibri" w:eastAsia="Calibri" w:hAnsi="Calibri"/>
          <w:sz w:val="16"/>
          <w:szCs w:val="16"/>
          <w:u w:val="single" w:color="auto"/>
          <w:color w:val="auto"/>
        </w:rPr>
        <w:t>Dodd-Frank Clawback Policy (the “Policy</w:t>
      </w:r>
      <w:r>
        <w:rPr>
          <w:rFonts w:ascii="Calibri" w:cs="Calibri" w:eastAsia="Calibri" w:hAnsi="Calibri"/>
          <w:sz w:val="16"/>
          <w:szCs w:val="16"/>
          <w:color w:val="auto"/>
        </w:rPr>
        <w:t>”). The Policy is designed to comply with the requirements of Listng Rule 5608 adopted by the Nasdaq Stock Market (“</w:t>
      </w:r>
      <w:r>
        <w:rPr>
          <w:rFonts w:ascii="Calibri" w:cs="Calibri" w:eastAsia="Calibri" w:hAnsi="Calibri"/>
          <w:sz w:val="16"/>
          <w:szCs w:val="16"/>
          <w:u w:val="single" w:color="auto"/>
          <w:color w:val="auto"/>
        </w:rPr>
        <w:t>Nasdaq</w:t>
      </w:r>
      <w:r>
        <w:rPr>
          <w:rFonts w:ascii="Calibri" w:cs="Calibri" w:eastAsia="Calibri" w:hAnsi="Calibri"/>
          <w:sz w:val="16"/>
          <w:szCs w:val="16"/>
          <w:color w:val="auto"/>
        </w:rPr>
        <w:t>”) to implement Rule 10D-1 under the Securites Exchange Act of 1934, as amended (collectvely, “</w:t>
      </w:r>
      <w:r>
        <w:rPr>
          <w:rFonts w:ascii="Calibri" w:cs="Calibri" w:eastAsia="Calibri" w:hAnsi="Calibri"/>
          <w:sz w:val="16"/>
          <w:szCs w:val="16"/>
          <w:u w:val="single" w:color="auto"/>
          <w:color w:val="auto"/>
        </w:rPr>
        <w:t>Rule 10D-1</w:t>
      </w:r>
      <w:r>
        <w:rPr>
          <w:rFonts w:ascii="Calibri" w:cs="Calibri" w:eastAsia="Calibri" w:hAnsi="Calibri"/>
          <w:sz w:val="16"/>
          <w:szCs w:val="16"/>
          <w:color w:val="auto"/>
        </w:rPr>
        <w:t>”). The Policy sets forth the circumstances under which the Company will recover certain incentve compensaton paid to the Executve Ofcers (as defned below) of the Company in connecton with certain fnancial restatements. This Policy shall be administered by the Commitee (as defned below) and the Company is authorized to take appropriate steps to implement this Policy with respect to incentve compensaton arrangements with its Executve Ofcers.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6"/>
          <w:szCs w:val="16"/>
          <w:u w:val="single" w:color="auto"/>
          <w:color w:val="auto"/>
        </w:rPr>
        <w:t>Defnitons</w:t>
      </w:r>
    </w:p>
    <w:p>
      <w:pPr>
        <w:spacing w:after="0" w:line="95" w:lineRule="exact"/>
        <w:rPr>
          <w:sz w:val="20"/>
          <w:szCs w:val="20"/>
          <w:color w:val="auto"/>
        </w:rPr>
      </w:pPr>
    </w:p>
    <w:p>
      <w:pPr>
        <w:ind w:left="780" w:hanging="516"/>
        <w:spacing w:after="0"/>
        <w:tabs>
          <w:tab w:leader="none" w:pos="780" w:val="left"/>
        </w:tabs>
        <w:numPr>
          <w:ilvl w:val="0"/>
          <w:numId w:val="99"/>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Commitee</w:t>
      </w:r>
      <w:r>
        <w:rPr>
          <w:rFonts w:ascii="Calibri" w:cs="Calibri" w:eastAsia="Calibri" w:hAnsi="Calibri"/>
          <w:sz w:val="16"/>
          <w:szCs w:val="16"/>
          <w:color w:val="auto"/>
        </w:rPr>
        <w:t>” means the People and Compensaton Commitee of the Board of Directors of the Company.</w:t>
      </w:r>
    </w:p>
    <w:p>
      <w:pPr>
        <w:spacing w:after="0" w:line="264" w:lineRule="exact"/>
        <w:rPr>
          <w:rFonts w:ascii="Calibri" w:cs="Calibri" w:eastAsia="Calibri" w:hAnsi="Calibri"/>
          <w:sz w:val="16"/>
          <w:szCs w:val="16"/>
          <w:color w:val="auto"/>
        </w:rPr>
      </w:pPr>
    </w:p>
    <w:p>
      <w:pPr>
        <w:ind w:left="780" w:right="500" w:hanging="516"/>
        <w:spacing w:after="0" w:line="252" w:lineRule="auto"/>
        <w:tabs>
          <w:tab w:leader="none" w:pos="783" w:val="left"/>
        </w:tabs>
        <w:numPr>
          <w:ilvl w:val="0"/>
          <w:numId w:val="99"/>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Covered Accountng Restatement</w:t>
      </w:r>
      <w:r>
        <w:rPr>
          <w:rFonts w:ascii="Calibri" w:cs="Calibri" w:eastAsia="Calibri" w:hAnsi="Calibri"/>
          <w:sz w:val="16"/>
          <w:szCs w:val="16"/>
          <w:color w:val="auto"/>
        </w:rPr>
        <w:t>” means an accountng restatement that the Company is required to prepare due to the material noncompliance of the Company with any fnancial reportng requirement under the securites laws, including any required accountng restatement to correct an error in</w:t>
      </w:r>
    </w:p>
    <w:p>
      <w:pPr>
        <w:spacing w:after="0" w:line="19" w:lineRule="exact"/>
        <w:rPr>
          <w:rFonts w:ascii="Calibri" w:cs="Calibri" w:eastAsia="Calibri" w:hAnsi="Calibri"/>
          <w:sz w:val="16"/>
          <w:szCs w:val="16"/>
          <w:color w:val="auto"/>
        </w:rPr>
      </w:pPr>
    </w:p>
    <w:p>
      <w:pPr>
        <w:ind w:left="780" w:right="460"/>
        <w:spacing w:after="0" w:line="255" w:lineRule="auto"/>
        <w:rPr>
          <w:rFonts w:ascii="Calibri" w:cs="Calibri" w:eastAsia="Calibri" w:hAnsi="Calibri"/>
          <w:sz w:val="16"/>
          <w:szCs w:val="16"/>
          <w:color w:val="auto"/>
        </w:rPr>
      </w:pPr>
      <w:r>
        <w:rPr>
          <w:rFonts w:ascii="Calibri" w:cs="Calibri" w:eastAsia="Calibri" w:hAnsi="Calibri"/>
          <w:sz w:val="16"/>
          <w:szCs w:val="16"/>
          <w:color w:val="auto"/>
        </w:rPr>
        <w:t>previously issued fnancial statements that is material to the previously issued fnancial restatements (i.e., a “Big R” restatement), or that would result in a material misstatement if the error were corrected in the current period or lef uncorrected in the current period (i.e., a “litle r” restatement). The Commitee shall take into consideraton any applicable interpretatons and clarifcatons of the Securites and Exchange Commission and Nasdaq regarding applicaton of Rule 10D-1 in determining whether an accountng restatement qualifes as a Covered Accountng Restatement for purposes of this Policy.</w:t>
      </w:r>
    </w:p>
    <w:p>
      <w:pPr>
        <w:spacing w:after="0" w:line="125" w:lineRule="exact"/>
        <w:rPr>
          <w:rFonts w:ascii="Calibri" w:cs="Calibri" w:eastAsia="Calibri" w:hAnsi="Calibri"/>
          <w:sz w:val="16"/>
          <w:szCs w:val="16"/>
          <w:color w:val="auto"/>
        </w:rPr>
      </w:pPr>
    </w:p>
    <w:p>
      <w:pPr>
        <w:ind w:left="780" w:right="200" w:hanging="516"/>
        <w:spacing w:after="0" w:line="252" w:lineRule="auto"/>
        <w:tabs>
          <w:tab w:leader="none" w:pos="781" w:val="left"/>
        </w:tabs>
        <w:numPr>
          <w:ilvl w:val="0"/>
          <w:numId w:val="99"/>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Covered Incentve-Based Compensaton</w:t>
      </w:r>
      <w:r>
        <w:rPr>
          <w:rFonts w:ascii="Calibri" w:cs="Calibri" w:eastAsia="Calibri" w:hAnsi="Calibri"/>
          <w:sz w:val="16"/>
          <w:szCs w:val="16"/>
          <w:color w:val="auto"/>
        </w:rPr>
        <w:t>” means any Incentve-Based Compensaton (i) received by a current or former Executve Ofcer afer beginning service as an Executve Ofcer, provided that the current or former Executve Ofcer served as an Executve Ofcer at any tme during the performance period</w:t>
      </w:r>
    </w:p>
    <w:p>
      <w:pPr>
        <w:spacing w:after="0" w:line="19" w:lineRule="exact"/>
        <w:rPr>
          <w:rFonts w:ascii="Calibri" w:cs="Calibri" w:eastAsia="Calibri" w:hAnsi="Calibri"/>
          <w:sz w:val="16"/>
          <w:szCs w:val="16"/>
          <w:color w:val="auto"/>
        </w:rPr>
      </w:pPr>
    </w:p>
    <w:p>
      <w:pPr>
        <w:ind w:left="780" w:right="220"/>
        <w:spacing w:after="0" w:line="251" w:lineRule="auto"/>
        <w:rPr>
          <w:rFonts w:ascii="Calibri" w:cs="Calibri" w:eastAsia="Calibri" w:hAnsi="Calibri"/>
          <w:sz w:val="16"/>
          <w:szCs w:val="16"/>
          <w:color w:val="auto"/>
        </w:rPr>
      </w:pPr>
      <w:r>
        <w:rPr>
          <w:rFonts w:ascii="Calibri" w:cs="Calibri" w:eastAsia="Calibri" w:hAnsi="Calibri"/>
          <w:sz w:val="16"/>
          <w:szCs w:val="16"/>
          <w:color w:val="auto"/>
        </w:rPr>
        <w:t>applicable to such Incentve-Based Compensaton and (ii) received on or afer October 2, 2023. For purposes of this defniton, Incentve-Based Compensaton is deemed to be “received” in the fscal year in which the Financial Reportng Measure included in the Incentve-Based Compensaton is atained or satsfed, regardless of whether the payment or grant occurs before or afer such fscal year.</w:t>
      </w:r>
    </w:p>
    <w:p>
      <w:pPr>
        <w:spacing w:after="0" w:line="237" w:lineRule="exact"/>
        <w:rPr>
          <w:rFonts w:ascii="Calibri" w:cs="Calibri" w:eastAsia="Calibri" w:hAnsi="Calibri"/>
          <w:sz w:val="16"/>
          <w:szCs w:val="16"/>
          <w:color w:val="auto"/>
        </w:rPr>
      </w:pPr>
    </w:p>
    <w:p>
      <w:pPr>
        <w:ind w:left="780" w:hanging="516"/>
        <w:spacing w:after="0"/>
        <w:tabs>
          <w:tab w:leader="none" w:pos="780" w:val="left"/>
        </w:tabs>
        <w:numPr>
          <w:ilvl w:val="0"/>
          <w:numId w:val="99"/>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Executve Ofcer</w:t>
      </w:r>
      <w:r>
        <w:rPr>
          <w:rFonts w:ascii="Calibri" w:cs="Calibri" w:eastAsia="Calibri" w:hAnsi="Calibri"/>
          <w:sz w:val="16"/>
          <w:szCs w:val="16"/>
          <w:color w:val="auto"/>
        </w:rPr>
        <w:t>” means any “executve ofcer” of the Company as defned under Rule 10D-1.</w:t>
      </w:r>
    </w:p>
    <w:p>
      <w:pPr>
        <w:spacing w:after="0" w:line="211" w:lineRule="exact"/>
        <w:rPr>
          <w:rFonts w:ascii="Calibri" w:cs="Calibri" w:eastAsia="Calibri" w:hAnsi="Calibri"/>
          <w:sz w:val="16"/>
          <w:szCs w:val="16"/>
          <w:color w:val="auto"/>
        </w:rPr>
      </w:pPr>
    </w:p>
    <w:p>
      <w:pPr>
        <w:ind w:left="780" w:right="740" w:hanging="516"/>
        <w:spacing w:after="0" w:line="252" w:lineRule="auto"/>
        <w:tabs>
          <w:tab w:leader="none" w:pos="774" w:val="left"/>
        </w:tabs>
        <w:numPr>
          <w:ilvl w:val="0"/>
          <w:numId w:val="99"/>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Financial Reportng Measure</w:t>
      </w:r>
      <w:r>
        <w:rPr>
          <w:rFonts w:ascii="Calibri" w:cs="Calibri" w:eastAsia="Calibri" w:hAnsi="Calibri"/>
          <w:sz w:val="16"/>
          <w:szCs w:val="16"/>
          <w:color w:val="auto"/>
        </w:rPr>
        <w:t>” means (i) any measure determined in accordance with accountng principles used in preparing the Company’s fnancial statements, whether presented within or outside of the Company’s fnancial statements, (ii) any measures derived wholly or in part from</w:t>
      </w:r>
    </w:p>
    <w:p>
      <w:pPr>
        <w:sectPr>
          <w:pgSz w:w="11900" w:h="16838" w:orient="portrait"/>
          <w:cols w:equalWidth="0" w:num="1">
            <w:col w:w="11280"/>
          </w:cols>
          <w:pgMar w:left="300" w:top="90" w:right="319" w:bottom="1440" w:gutter="0" w:footer="0" w:header="0"/>
        </w:sectPr>
      </w:pPr>
    </w:p>
    <w:bookmarkStart w:id="160" w:name="page161"/>
    <w:bookmarkEnd w:id="160"/>
    <w:p>
      <w:pPr>
        <w:ind w:left="9360"/>
        <w:spacing w:after="0"/>
        <w:rPr>
          <w:sz w:val="20"/>
          <w:szCs w:val="20"/>
          <w:color w:val="auto"/>
        </w:rPr>
      </w:pPr>
      <w:r>
        <w:rPr>
          <w:rFonts w:ascii="Calibri" w:cs="Calibri" w:eastAsia="Calibri" w:hAnsi="Calibri"/>
          <w:sz w:val="12"/>
          <w:szCs w:val="12"/>
          <w:color w:val="auto"/>
        </w:rPr>
        <w:t>Page 1 of 3</w:t>
      </w:r>
    </w:p>
    <w:p>
      <w:pPr>
        <w:sectPr>
          <w:pgSz w:w="11900" w:h="16838" w:orient="portrait"/>
          <w:cols w:equalWidth="0" w:num="1">
            <w:col w:w="9940"/>
          </w:cols>
          <w:pgMar w:left="1440" w:top="1209" w:right="519" w:bottom="1440" w:gutter="0" w:footer="0" w:header="0"/>
        </w:sectPr>
      </w:pPr>
    </w:p>
    <w:bookmarkStart w:id="161" w:name="page162"/>
    <w:bookmarkEnd w:id="161"/>
    <w:p>
      <w:pPr>
        <w:ind w:left="780"/>
        <w:spacing w:after="0"/>
        <w:rPr>
          <w:sz w:val="20"/>
          <w:szCs w:val="20"/>
          <w:color w:val="auto"/>
        </w:rPr>
      </w:pPr>
      <w:r>
        <w:rPr>
          <w:rFonts w:ascii="Calibri" w:cs="Calibri" w:eastAsia="Calibri" w:hAnsi="Calibri"/>
          <w:sz w:val="16"/>
          <w:szCs w:val="16"/>
          <w:color w:val="auto"/>
        </w:rPr>
        <w:t>such measures (including non-GAAP measures), and (iii) stock price, total shareholder return and relatve total shareholder return.</w:t>
      </w:r>
    </w:p>
    <w:p>
      <w:pPr>
        <w:spacing w:after="0" w:line="211" w:lineRule="exact"/>
        <w:rPr>
          <w:sz w:val="20"/>
          <w:szCs w:val="20"/>
          <w:color w:val="auto"/>
        </w:rPr>
      </w:pPr>
    </w:p>
    <w:p>
      <w:pPr>
        <w:ind w:left="780" w:right="200" w:hanging="576"/>
        <w:spacing w:after="0" w:line="255" w:lineRule="auto"/>
        <w:tabs>
          <w:tab w:leader="none" w:pos="780" w:val="left"/>
        </w:tabs>
        <w:numPr>
          <w:ilvl w:val="0"/>
          <w:numId w:val="100"/>
        </w:numPr>
        <w:rPr>
          <w:rFonts w:ascii="Calibri" w:cs="Calibri" w:eastAsia="Calibri" w:hAnsi="Calibri"/>
          <w:sz w:val="16"/>
          <w:szCs w:val="16"/>
          <w:color w:val="auto"/>
        </w:rPr>
      </w:pPr>
      <w:r>
        <w:rPr>
          <w:rFonts w:ascii="Calibri" w:cs="Calibri" w:eastAsia="Calibri" w:hAnsi="Calibri"/>
          <w:sz w:val="16"/>
          <w:szCs w:val="16"/>
          <w:color w:val="auto"/>
        </w:rPr>
        <w:t>"</w:t>
      </w:r>
      <w:r>
        <w:rPr>
          <w:rFonts w:ascii="Calibri" w:cs="Calibri" w:eastAsia="Calibri" w:hAnsi="Calibri"/>
          <w:sz w:val="16"/>
          <w:szCs w:val="16"/>
          <w:u w:val="single" w:color="auto"/>
          <w:color w:val="auto"/>
        </w:rPr>
        <w:t>Incentve-Based Compensaton</w:t>
      </w:r>
      <w:r>
        <w:rPr>
          <w:rFonts w:ascii="Calibri" w:cs="Calibri" w:eastAsia="Calibri" w:hAnsi="Calibri"/>
          <w:sz w:val="16"/>
          <w:szCs w:val="16"/>
          <w:color w:val="auto"/>
        </w:rPr>
        <w:t>” means any compensaton that is granted, earned or vested based wholly or in part on the atainment of any Financial Reportng Measure, which may include, but is not limited to, awards granted under the Company’s annual incentve plan as well as performance share units. For the avoidance of doubt, Incentve-Based Compensaton shall not include equity awards that are granted, earned, and vested solely based on contnued service and were not based on the atainment of any Financial Reportng Measure.</w:t>
      </w:r>
    </w:p>
    <w:p>
      <w:pPr>
        <w:spacing w:after="0" w:line="256"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u w:val="single" w:color="auto"/>
          <w:color w:val="auto"/>
        </w:rPr>
        <w:t>General Rules</w:t>
      </w:r>
    </w:p>
    <w:p>
      <w:pPr>
        <w:spacing w:after="0" w:line="243" w:lineRule="exact"/>
        <w:rPr>
          <w:sz w:val="20"/>
          <w:szCs w:val="20"/>
          <w:color w:val="auto"/>
        </w:rPr>
      </w:pPr>
    </w:p>
    <w:p>
      <w:pPr>
        <w:ind w:right="120" w:firstLine="516"/>
        <w:spacing w:after="0" w:line="258" w:lineRule="auto"/>
        <w:rPr>
          <w:sz w:val="20"/>
          <w:szCs w:val="20"/>
          <w:color w:val="auto"/>
        </w:rPr>
      </w:pPr>
      <w:r>
        <w:rPr>
          <w:rFonts w:ascii="Calibri" w:cs="Calibri" w:eastAsia="Calibri" w:hAnsi="Calibri"/>
          <w:sz w:val="16"/>
          <w:szCs w:val="16"/>
          <w:color w:val="auto"/>
        </w:rPr>
        <w:t>In the event the Company determines it is required to prepare a Covered Accountng Restatement, the Commitee shall review any Covered Incentve-Based Compensaton received by a current or former Executve Ofcer of the Company during the three completed fscal years (and any transiton period of less than nine months that is within or immediately following such three fscal years) preceding the earlier of the date that (i) the Company determines, or reasonably should have determined, such a Covered Accountng Restatement is required to be prepared or (ii) a court, regulator, or other legally authorized body orders the preparaton of a Covered Accountng Restatement (such period, the “</w:t>
      </w:r>
      <w:r>
        <w:rPr>
          <w:rFonts w:ascii="Calibri" w:cs="Calibri" w:eastAsia="Calibri" w:hAnsi="Calibri"/>
          <w:sz w:val="16"/>
          <w:szCs w:val="16"/>
          <w:u w:val="single" w:color="auto"/>
          <w:color w:val="auto"/>
        </w:rPr>
        <w:t>Clawback Recovery Period</w:t>
      </w:r>
      <w:r>
        <w:rPr>
          <w:rFonts w:ascii="Calibri" w:cs="Calibri" w:eastAsia="Calibri" w:hAnsi="Calibri"/>
          <w:sz w:val="16"/>
          <w:szCs w:val="16"/>
          <w:color w:val="auto"/>
        </w:rPr>
        <w:t>”). In the event the Commitee determines that the amount of any such Covered Incentve-Based Compensaton that was received exceeds the amount that otherwise would have been received had it been determined based on the restated results (such excess, the “</w:t>
      </w:r>
      <w:r>
        <w:rPr>
          <w:rFonts w:ascii="Calibri" w:cs="Calibri" w:eastAsia="Calibri" w:hAnsi="Calibri"/>
          <w:sz w:val="16"/>
          <w:szCs w:val="16"/>
          <w:u w:val="single" w:color="auto"/>
          <w:color w:val="auto"/>
        </w:rPr>
        <w:t>Erroneously Awarded Compensaton</w:t>
      </w:r>
      <w:r>
        <w:rPr>
          <w:rFonts w:ascii="Calibri" w:cs="Calibri" w:eastAsia="Calibri" w:hAnsi="Calibri"/>
          <w:sz w:val="16"/>
          <w:szCs w:val="16"/>
          <w:color w:val="auto"/>
        </w:rPr>
        <w:t>”), the amount of such Erroneously Awarded Compensaton shall be recovered on a pre-tax basis without any regard to taxes paid.</w:t>
      </w:r>
    </w:p>
    <w:p>
      <w:pPr>
        <w:spacing w:after="0" w:line="200" w:lineRule="exact"/>
        <w:rPr>
          <w:sz w:val="20"/>
          <w:szCs w:val="20"/>
          <w:color w:val="auto"/>
        </w:rPr>
      </w:pPr>
    </w:p>
    <w:p>
      <w:pPr>
        <w:spacing w:after="0" w:line="274" w:lineRule="exact"/>
        <w:rPr>
          <w:sz w:val="20"/>
          <w:szCs w:val="20"/>
          <w:color w:val="auto"/>
        </w:rPr>
      </w:pPr>
    </w:p>
    <w:p>
      <w:pPr>
        <w:ind w:right="460" w:firstLine="516"/>
        <w:spacing w:after="0" w:line="239" w:lineRule="auto"/>
        <w:rPr>
          <w:sz w:val="20"/>
          <w:szCs w:val="20"/>
          <w:color w:val="auto"/>
        </w:rPr>
      </w:pPr>
      <w:r>
        <w:rPr>
          <w:rFonts w:ascii="Calibri" w:cs="Calibri" w:eastAsia="Calibri" w:hAnsi="Calibri"/>
          <w:sz w:val="16"/>
          <w:szCs w:val="16"/>
          <w:color w:val="auto"/>
        </w:rPr>
        <w:t>For purposes of this Policy, Incentve-Based Compensaton is deemed to be “received” in the fscal year in which the Financial Reportng Measure included in the Incentve-Based Compensaton is atained or satsfed, regardless of whether the payment or grant occurs before or afer such fscal year.</w:t>
      </w:r>
    </w:p>
    <w:p>
      <w:pPr>
        <w:spacing w:after="0" w:line="64"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u w:val="single" w:color="auto"/>
          <w:color w:val="auto"/>
        </w:rPr>
        <w:t>Calculaton of Erroneously Awarded Compensaton</w:t>
      </w:r>
    </w:p>
    <w:p>
      <w:pPr>
        <w:spacing w:after="0" w:line="243" w:lineRule="exact"/>
        <w:rPr>
          <w:sz w:val="20"/>
          <w:szCs w:val="20"/>
          <w:color w:val="auto"/>
        </w:rPr>
      </w:pPr>
    </w:p>
    <w:p>
      <w:pPr>
        <w:ind w:right="140" w:firstLine="516"/>
        <w:spacing w:after="0" w:line="258" w:lineRule="auto"/>
        <w:rPr>
          <w:sz w:val="20"/>
          <w:szCs w:val="20"/>
          <w:color w:val="auto"/>
        </w:rPr>
      </w:pPr>
      <w:r>
        <w:rPr>
          <w:rFonts w:ascii="Calibri" w:cs="Calibri" w:eastAsia="Calibri" w:hAnsi="Calibri"/>
          <w:sz w:val="16"/>
          <w:szCs w:val="16"/>
          <w:color w:val="auto"/>
        </w:rPr>
        <w:t>In the event any Covered Incentve-Based Compensaton received during a Clawback Recovery Period has been granted in the form of equity or equity-based awards, the Erroneously Awarded Compensaton shall be calculated based on the number of shares received in excess of the number that should have been received had it been determined based on the restated results (or the corresponding value of such shares), as determined in accordance with Rule 10D-1.</w:t>
      </w:r>
    </w:p>
    <w:p>
      <w:pPr>
        <w:spacing w:after="0" w:line="79" w:lineRule="exact"/>
        <w:rPr>
          <w:sz w:val="20"/>
          <w:szCs w:val="20"/>
          <w:color w:val="auto"/>
        </w:rPr>
      </w:pPr>
    </w:p>
    <w:p>
      <w:pPr>
        <w:jc w:val="both"/>
        <w:ind w:right="460" w:firstLine="516"/>
        <w:spacing w:after="0" w:line="258" w:lineRule="auto"/>
        <w:rPr>
          <w:sz w:val="20"/>
          <w:szCs w:val="20"/>
          <w:color w:val="auto"/>
        </w:rPr>
      </w:pPr>
      <w:r>
        <w:rPr>
          <w:rFonts w:ascii="Calibri" w:cs="Calibri" w:eastAsia="Calibri" w:hAnsi="Calibri"/>
          <w:sz w:val="16"/>
          <w:szCs w:val="16"/>
          <w:color w:val="auto"/>
        </w:rPr>
        <w:t>In the event the Erroneously Awarded Compensaton is not able to be calculated directly from informaton in an accountng restatement (e.g., equity awards subject to total shareholder return or stock price measures), the Commitee shall use a reasonable estmate to determine the amount of such Erroneously Awarded Compensaton that shall be subject to recovery.</w:t>
      </w:r>
    </w:p>
    <w:p>
      <w:pPr>
        <w:spacing w:after="0" w:line="251" w:lineRule="exact"/>
        <w:rPr>
          <w:sz w:val="20"/>
          <w:szCs w:val="20"/>
          <w:color w:val="auto"/>
        </w:rPr>
      </w:pPr>
    </w:p>
    <w:p>
      <w:pPr>
        <w:jc w:val="both"/>
        <w:ind w:right="480" w:firstLine="516"/>
        <w:spacing w:after="0" w:line="239" w:lineRule="auto"/>
        <w:rPr>
          <w:sz w:val="20"/>
          <w:szCs w:val="20"/>
          <w:color w:val="auto"/>
        </w:rPr>
      </w:pPr>
      <w:r>
        <w:rPr>
          <w:rFonts w:ascii="Calibri" w:cs="Calibri" w:eastAsia="Calibri" w:hAnsi="Calibri"/>
          <w:sz w:val="16"/>
          <w:szCs w:val="16"/>
          <w:color w:val="auto"/>
        </w:rPr>
        <w:t>The Company will maintain and will provide to Nasdaq documentaton of all determinatons and actons taken in complying with this Policy, as required. Any determinatons made by the Commitee under this Policy shall be fnal and binding on all afected individuals.</w:t>
      </w:r>
    </w:p>
    <w:p>
      <w:pPr>
        <w:spacing w:after="0" w:line="29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Page 2 of 3</w:t>
      </w:r>
    </w:p>
    <w:p>
      <w:pPr>
        <w:sectPr>
          <w:pgSz w:w="11900" w:h="16838" w:orient="portrait"/>
          <w:cols w:equalWidth="0" w:num="1">
            <w:col w:w="11180"/>
          </w:cols>
          <w:pgMar w:left="360" w:top="1346" w:right="359" w:bottom="1440" w:gutter="0" w:footer="0" w:header="0"/>
        </w:sectPr>
      </w:pPr>
    </w:p>
    <w:bookmarkStart w:id="162" w:name="page163"/>
    <w:bookmarkEnd w:id="162"/>
    <w:p>
      <w:pPr>
        <w:jc w:val="center"/>
        <w:ind w:right="20"/>
        <w:spacing w:after="0"/>
        <w:rPr>
          <w:sz w:val="20"/>
          <w:szCs w:val="20"/>
          <w:color w:val="auto"/>
        </w:rPr>
      </w:pPr>
      <w:r>
        <w:rPr>
          <w:rFonts w:ascii="Calibri" w:cs="Calibri" w:eastAsia="Calibri" w:hAnsi="Calibri"/>
          <w:sz w:val="16"/>
          <w:szCs w:val="16"/>
          <w:u w:val="single" w:color="auto"/>
          <w:color w:val="auto"/>
        </w:rPr>
        <w:t>Method for Recovery</w:t>
      </w:r>
    </w:p>
    <w:p>
      <w:pPr>
        <w:spacing w:after="0" w:line="243" w:lineRule="exact"/>
        <w:rPr>
          <w:sz w:val="20"/>
          <w:szCs w:val="20"/>
          <w:color w:val="auto"/>
        </w:rPr>
      </w:pPr>
    </w:p>
    <w:p>
      <w:pPr>
        <w:ind w:right="240" w:firstLine="516"/>
        <w:spacing w:after="0" w:line="255" w:lineRule="auto"/>
        <w:rPr>
          <w:sz w:val="20"/>
          <w:szCs w:val="20"/>
          <w:color w:val="auto"/>
        </w:rPr>
      </w:pPr>
      <w:r>
        <w:rPr>
          <w:rFonts w:ascii="Calibri" w:cs="Calibri" w:eastAsia="Calibri" w:hAnsi="Calibri"/>
          <w:sz w:val="16"/>
          <w:szCs w:val="16"/>
          <w:color w:val="auto"/>
        </w:rPr>
        <w:t>The Commitee shall, in its discreton, determine the appropriate means for recovery of any Erroneously Awarded Compensaton, including by reducing future compensaton, the cancellaton of outstanding and future annual or long-term incentve compensaton, requiring repayment by the applicable Executve Ofcer, or such other means or combinaton of means as the Commitee determines to be appropriate. Any such recovery shall occur on a reasonably prompt basis (as determined in accordance with Listng Rule 5608 and Rule 10D-1).</w:t>
      </w:r>
    </w:p>
    <w:p>
      <w:pPr>
        <w:spacing w:after="0" w:line="255" w:lineRule="exact"/>
        <w:rPr>
          <w:sz w:val="20"/>
          <w:szCs w:val="20"/>
          <w:color w:val="auto"/>
        </w:rPr>
      </w:pPr>
    </w:p>
    <w:p>
      <w:pPr>
        <w:ind w:right="200" w:firstLine="516"/>
        <w:spacing w:after="0" w:line="260" w:lineRule="auto"/>
        <w:rPr>
          <w:sz w:val="20"/>
          <w:szCs w:val="20"/>
          <w:color w:val="auto"/>
        </w:rPr>
      </w:pPr>
      <w:r>
        <w:rPr>
          <w:rFonts w:ascii="Calibri" w:cs="Calibri" w:eastAsia="Calibri" w:hAnsi="Calibri"/>
          <w:sz w:val="16"/>
          <w:szCs w:val="16"/>
          <w:color w:val="auto"/>
        </w:rPr>
        <w:t>Recovery shall be required in all circumstances unless the Commitee determines that recovery is impractcable and not required in accordance with any applicable exceptons under Rule 10D-1. The Company shall not indemnify any Executve Ofcer against the loss of any compensaton pursuant to this Policy. In no event shall the Company be required to award any Executve Ofcer any additonal payments if the Covered Accountng Restatement would have resulted in a higher incentve compensaton payment.</w:t>
      </w:r>
    </w:p>
    <w:p>
      <w:pPr>
        <w:spacing w:after="0" w:line="26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u w:val="single" w:color="auto"/>
          <w:color w:val="auto"/>
        </w:rPr>
        <w:t>Non-Exclusive</w:t>
      </w:r>
    </w:p>
    <w:p>
      <w:pPr>
        <w:spacing w:after="0" w:line="233" w:lineRule="exact"/>
        <w:rPr>
          <w:sz w:val="20"/>
          <w:szCs w:val="20"/>
          <w:color w:val="auto"/>
        </w:rPr>
      </w:pPr>
    </w:p>
    <w:p>
      <w:pPr>
        <w:ind w:right="240" w:firstLine="516"/>
        <w:spacing w:after="0" w:line="261" w:lineRule="auto"/>
        <w:rPr>
          <w:sz w:val="20"/>
          <w:szCs w:val="20"/>
          <w:color w:val="auto"/>
        </w:rPr>
      </w:pPr>
      <w:r>
        <w:rPr>
          <w:rFonts w:ascii="Calibri" w:cs="Calibri" w:eastAsia="Calibri" w:hAnsi="Calibri"/>
          <w:sz w:val="16"/>
          <w:szCs w:val="16"/>
          <w:color w:val="auto"/>
        </w:rPr>
        <w:t>This Policy is in additon to any and all other rights the Company may have to pursue remedies against an employee or former employee in connecton with an accountng restatement or for misconduct or similar behavior in the course of employment by the Company, all of which are expressly retained by the Company. For the avoidance of doubt, any right of recovery under this Policy is in additon to, and not in lieu of, any other remedies or rights of recovery that may be available to the Company pursuant to the terms of the Company’s Compensaton Recoupment Policy, dated February 18, 2019, and any similar policy or provision in any employment agreement, equity award agreement or similar agreement or any other legal remedies available to the Company.</w:t>
      </w:r>
    </w:p>
    <w:p>
      <w:pPr>
        <w:spacing w:after="0" w:line="260"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u w:val="single" w:color="auto"/>
          <w:color w:val="auto"/>
        </w:rPr>
        <w:t>Amendment or Terminaton</w:t>
      </w:r>
    </w:p>
    <w:p>
      <w:pPr>
        <w:spacing w:after="0" w:line="115" w:lineRule="exact"/>
        <w:rPr>
          <w:sz w:val="20"/>
          <w:szCs w:val="20"/>
          <w:color w:val="auto"/>
        </w:rPr>
      </w:pPr>
    </w:p>
    <w:p>
      <w:pPr>
        <w:ind w:right="500" w:firstLine="516"/>
        <w:spacing w:after="0" w:line="239" w:lineRule="auto"/>
        <w:rPr>
          <w:sz w:val="20"/>
          <w:szCs w:val="20"/>
          <w:color w:val="auto"/>
        </w:rPr>
      </w:pPr>
      <w:r>
        <w:rPr>
          <w:rFonts w:ascii="Calibri" w:cs="Calibri" w:eastAsia="Calibri" w:hAnsi="Calibri"/>
          <w:sz w:val="16"/>
          <w:szCs w:val="16"/>
          <w:color w:val="auto"/>
        </w:rPr>
        <w:t>The Commitee may amend or terminate this Policy from tme to tme in its discreton, including as required to comply with any applicable law or regulaton and Rule 10D-1. Any such amendment will be binding on all afected individuals.</w:t>
      </w:r>
    </w:p>
    <w:p>
      <w:pPr>
        <w:spacing w:after="0" w:line="74"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u w:val="single" w:color="auto"/>
          <w:color w:val="auto"/>
        </w:rPr>
        <w:t>Successors</w:t>
      </w:r>
    </w:p>
    <w:p>
      <w:pPr>
        <w:spacing w:after="0" w:line="233" w:lineRule="exact"/>
        <w:rPr>
          <w:sz w:val="20"/>
          <w:szCs w:val="20"/>
          <w:color w:val="auto"/>
        </w:rPr>
      </w:pPr>
    </w:p>
    <w:p>
      <w:pPr>
        <w:ind w:right="900" w:firstLine="516"/>
        <w:spacing w:after="0" w:line="252" w:lineRule="auto"/>
        <w:rPr>
          <w:sz w:val="20"/>
          <w:szCs w:val="20"/>
          <w:color w:val="auto"/>
        </w:rPr>
      </w:pPr>
      <w:r>
        <w:rPr>
          <w:rFonts w:ascii="Calibri" w:cs="Calibri" w:eastAsia="Calibri" w:hAnsi="Calibri"/>
          <w:sz w:val="16"/>
          <w:szCs w:val="16"/>
          <w:color w:val="auto"/>
        </w:rPr>
        <w:t>This Policy shall be binding and enforceable against all the applicable Executve Ofcers, their benefciaries, heirs, executors, administrators, and other legal representatves.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Page 3 of 3</w:t>
      </w:r>
    </w:p>
    <w:p>
      <w:pPr>
        <w:sectPr>
          <w:pgSz w:w="11900" w:h="16838" w:orient="portrait"/>
          <w:cols w:equalWidth="0" w:num="1">
            <w:col w:w="11180"/>
          </w:cols>
          <w:pgMar w:left="360" w:top="1206" w:right="359" w:bottom="1440" w:gutter="0" w:footer="0" w:header="0"/>
        </w:sectPr>
      </w:pPr>
    </w:p>
    <w:bookmarkStart w:id="163" w:name="page164"/>
    <w:bookmarkEnd w:id="16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color w:val="auto"/>
        </w:rPr>
        <w:t>Exhibit 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1271905</wp:posOffset>
            </wp:positionV>
            <wp:extent cx="1309370" cy="4908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7">
                      <a:extLst>
                        <a:ext uri="{28A0092B-C50C-407E-A947-70E740481C1C}"/>
                      </a:extLst>
                    </a:blip>
                    <a:srcRect/>
                    <a:stretch>
                      <a:fillRect/>
                    </a:stretch>
                  </pic:blipFill>
                  <pic:spPr bwMode="auto">
                    <a:xfrm>
                      <a:off x="0" y="0"/>
                      <a:ext cx="1309370"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18, 2019</w:t>
      </w: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Compensation Recoupment Policy</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If, in the sole discretion of the Human Resources and Compensation Committee (“Committee”) of the Board of Directors based on an investigation</w:t>
      </w:r>
    </w:p>
    <w:p>
      <w:pPr>
        <w:spacing w:after="0" w:line="4" w:lineRule="exact"/>
        <w:rPr>
          <w:sz w:val="20"/>
          <w:szCs w:val="20"/>
          <w:color w:val="auto"/>
        </w:rPr>
      </w:pPr>
    </w:p>
    <w:p>
      <w:pPr>
        <w:ind w:left="20" w:right="160"/>
        <w:spacing w:after="0" w:line="227" w:lineRule="auto"/>
        <w:rPr>
          <w:sz w:val="20"/>
          <w:szCs w:val="20"/>
          <w:color w:val="auto"/>
        </w:rPr>
      </w:pPr>
      <w:r>
        <w:rPr>
          <w:rFonts w:ascii="Arial" w:cs="Arial" w:eastAsia="Arial" w:hAnsi="Arial"/>
          <w:sz w:val="16"/>
          <w:szCs w:val="16"/>
          <w:color w:val="auto"/>
        </w:rPr>
        <w:t>conducted by the Business Integrity group in accordance with the C-2 Investigations &amp; Speaking Up Policy, there has been Significant Misconduct (as defined below), then the Committee shall determine the extent, if any, to which the Incentive-Based Compensation of any Covered Executive involved in such misconduct should be recouped consistent with the provisions below.</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For purposes of this policy, the following definitions shall be used:</w:t>
      </w:r>
    </w:p>
    <w:p>
      <w:pPr>
        <w:spacing w:after="0" w:line="170" w:lineRule="exact"/>
        <w:rPr>
          <w:sz w:val="20"/>
          <w:szCs w:val="20"/>
          <w:color w:val="auto"/>
        </w:rPr>
      </w:pPr>
    </w:p>
    <w:p>
      <w:pPr>
        <w:ind w:left="460" w:hanging="443"/>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“Covered Executive” means any Mondelēz International (“Company”) employee at Salary Band G and above.</w:t>
      </w:r>
    </w:p>
    <w:p>
      <w:pPr>
        <w:spacing w:after="0" w:line="170" w:lineRule="exact"/>
        <w:rPr>
          <w:rFonts w:ascii="Arial" w:cs="Arial" w:eastAsia="Arial" w:hAnsi="Arial"/>
          <w:sz w:val="16"/>
          <w:szCs w:val="16"/>
          <w:color w:val="auto"/>
        </w:rPr>
      </w:pPr>
    </w:p>
    <w:p>
      <w:pPr>
        <w:ind w:left="20" w:right="320" w:hanging="3"/>
        <w:spacing w:after="0" w:line="253" w:lineRule="auto"/>
        <w:tabs>
          <w:tab w:leader="none" w:pos="46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“Executive Officer” means any executives of the Company subject to the reporting requirements of Section 16 of the Securities Exchange Act of 1934, as amended, as may be determined by the Company’s Board of Directors.</w:t>
      </w:r>
    </w:p>
    <w:p>
      <w:pPr>
        <w:spacing w:after="0" w:line="138" w:lineRule="exact"/>
        <w:rPr>
          <w:rFonts w:ascii="Arial" w:cs="Arial" w:eastAsia="Arial" w:hAnsi="Arial"/>
          <w:sz w:val="16"/>
          <w:szCs w:val="16"/>
          <w:color w:val="auto"/>
        </w:rPr>
      </w:pPr>
    </w:p>
    <w:p>
      <w:pPr>
        <w:ind w:left="20" w:right="380" w:hanging="3"/>
        <w:spacing w:after="0" w:line="253" w:lineRule="auto"/>
        <w:tabs>
          <w:tab w:leader="none" w:pos="4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“Incentive-Based Compensation” means incentive compensation granted or paid during the last three years including, but not limited to, annual performance bonuses (including any amounts deferred) and long-term incentive grants.</w:t>
      </w:r>
    </w:p>
    <w:p>
      <w:pPr>
        <w:spacing w:after="0" w:line="127" w:lineRule="exact"/>
        <w:rPr>
          <w:rFonts w:ascii="Arial" w:cs="Arial" w:eastAsia="Arial" w:hAnsi="Arial"/>
          <w:sz w:val="16"/>
          <w:szCs w:val="16"/>
          <w:color w:val="auto"/>
        </w:rPr>
      </w:pPr>
    </w:p>
    <w:p>
      <w:pPr>
        <w:ind w:left="20" w:right="460" w:hanging="3"/>
        <w:spacing w:after="0" w:line="253" w:lineRule="auto"/>
        <w:tabs>
          <w:tab w:leader="none" w:pos="4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“Recoupment” means the recapture, recovery, cancellation or forfeiture of compensation to, or similar actions regarding, a Covered Executive, whether or not such compensation already has been paid or has vested.</w:t>
      </w:r>
    </w:p>
    <w:p>
      <w:pPr>
        <w:spacing w:after="0" w:line="138" w:lineRule="exact"/>
        <w:rPr>
          <w:rFonts w:ascii="Arial" w:cs="Arial" w:eastAsia="Arial" w:hAnsi="Arial"/>
          <w:sz w:val="16"/>
          <w:szCs w:val="16"/>
          <w:color w:val="auto"/>
        </w:rPr>
      </w:pPr>
    </w:p>
    <w:p>
      <w:pPr>
        <w:ind w:left="180" w:hanging="163"/>
        <w:spacing w:after="0"/>
        <w:tabs>
          <w:tab w:leader="none" w:pos="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“Significant Misconduct” means conduct resulting in a violation of:</w:t>
      </w:r>
    </w:p>
    <w:p>
      <w:pPr>
        <w:spacing w:after="0" w:line="181" w:lineRule="exact"/>
        <w:rPr>
          <w:rFonts w:ascii="Arial" w:cs="Arial" w:eastAsia="Arial" w:hAnsi="Arial"/>
          <w:sz w:val="16"/>
          <w:szCs w:val="16"/>
          <w:color w:val="auto"/>
        </w:rPr>
      </w:pPr>
    </w:p>
    <w:p>
      <w:pPr>
        <w:ind w:left="520" w:hanging="245"/>
        <w:spacing w:after="0"/>
        <w:tabs>
          <w:tab w:leader="none" w:pos="520" w:val="left"/>
        </w:tabs>
        <w:numPr>
          <w:ilvl w:val="1"/>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Code of Conduct or Compliance Policy that causes significant financial or reputational harm to the Company, or</w:t>
      </w:r>
    </w:p>
    <w:p>
      <w:pPr>
        <w:spacing w:after="0" w:line="83" w:lineRule="exact"/>
        <w:rPr>
          <w:rFonts w:ascii="Times New Roman" w:cs="Times New Roman" w:eastAsia="Times New Roman" w:hAnsi="Times New Roman"/>
          <w:sz w:val="16"/>
          <w:szCs w:val="16"/>
          <w:color w:val="auto"/>
        </w:rPr>
      </w:pPr>
    </w:p>
    <w:p>
      <w:pPr>
        <w:ind w:left="540" w:right="1200" w:hanging="265"/>
        <w:spacing w:after="0" w:line="252" w:lineRule="auto"/>
        <w:tabs>
          <w:tab w:leader="none" w:pos="533" w:val="left"/>
        </w:tabs>
        <w:numPr>
          <w:ilvl w:val="1"/>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a legal requirement relating to the manufacturing, sales or marketing of the Company’s products that causes significant financial or reputational harm to the Company</w:t>
      </w:r>
    </w:p>
    <w:p>
      <w:pPr>
        <w:spacing w:after="0" w:line="214" w:lineRule="exact"/>
        <w:rPr>
          <w:sz w:val="20"/>
          <w:szCs w:val="20"/>
          <w:color w:val="auto"/>
        </w:rPr>
      </w:pPr>
    </w:p>
    <w:p>
      <w:pPr>
        <w:ind w:left="20" w:right="280" w:hanging="3"/>
        <w:spacing w:after="0" w:line="239" w:lineRule="auto"/>
        <w:tabs>
          <w:tab w:leader="none" w:pos="45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This policy applies to (i) any Covered Executive who was directly engaged in the Significant Misconduct, (ii) any Covered Executive who supervised a subordinate employee that engaged in the Significant Misconduct at issue, whose misconduct does not constitute an isolated occurrence and which the Covered Executive knew or should have known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60" w:top="112" w:right="31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February 18, 2019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was occurring, provided that the Incentive-Based Compensation of any Covered Executive will not be impacted if such employee was not involved in the</w:t>
      </w:r>
    </w:p>
    <w:p>
      <w:pPr>
        <w:spacing w:after="0" w:line="4" w:lineRule="exact"/>
        <w:rPr>
          <w:sz w:val="20"/>
          <w:szCs w:val="20"/>
          <w:color w:val="auto"/>
        </w:rPr>
      </w:pPr>
    </w:p>
    <w:p>
      <w:pPr>
        <w:ind w:right="180"/>
        <w:spacing w:after="0" w:line="227" w:lineRule="auto"/>
        <w:rPr>
          <w:sz w:val="20"/>
          <w:szCs w:val="20"/>
          <w:color w:val="auto"/>
        </w:rPr>
      </w:pPr>
      <w:r>
        <w:rPr>
          <w:rFonts w:ascii="Arial" w:cs="Arial" w:eastAsia="Arial" w:hAnsi="Arial"/>
          <w:sz w:val="16"/>
          <w:szCs w:val="16"/>
          <w:color w:val="auto"/>
        </w:rPr>
        <w:t>misconduct at issue or was not responsible for the supervision of an employee involved in the misconduct at issue, and (iii) all Covered Executives to the extent that a financial restatement is required due to incorrect filings based on a violation of the Company’s Code of Conduct or Compliance Policy that resulted in a financial benefit to Covered Executives through the incentive compensation plans.</w:t>
      </w:r>
    </w:p>
    <w:p>
      <w:pPr>
        <w:spacing w:after="0" w:line="139" w:lineRule="exact"/>
        <w:rPr>
          <w:sz w:val="20"/>
          <w:szCs w:val="20"/>
          <w:color w:val="auto"/>
        </w:rPr>
      </w:pPr>
    </w:p>
    <w:p>
      <w:pPr>
        <w:jc w:val="both"/>
        <w:ind w:left="80" w:right="160" w:hanging="3"/>
        <w:spacing w:after="0" w:line="239" w:lineRule="auto"/>
        <w:tabs>
          <w:tab w:leader="none" w:pos="51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determination by the Committee of whether to recoup Incentive-Based Compensation may be influenced by a variety of factors, including, but not limited to, (i) whether the underlying conduct was an isolated occurrence, (ii) feasibility and cost of implementation, (iii) legal and compliance factors, and (iv) whether other disciplinary actions against the Covered Executive have been taken.</w:t>
      </w:r>
    </w:p>
    <w:p>
      <w:pPr>
        <w:spacing w:after="0" w:line="137" w:lineRule="exact"/>
        <w:rPr>
          <w:rFonts w:ascii="Arial" w:cs="Arial" w:eastAsia="Arial" w:hAnsi="Arial"/>
          <w:sz w:val="16"/>
          <w:szCs w:val="16"/>
          <w:color w:val="auto"/>
        </w:rPr>
      </w:pPr>
    </w:p>
    <w:p>
      <w:pPr>
        <w:ind w:left="80" w:right="660" w:hanging="3"/>
        <w:spacing w:after="0" w:line="227" w:lineRule="auto"/>
        <w:tabs>
          <w:tab w:leader="none" w:pos="5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Committee determines that it is appropriate to recoup Incentive-Based Compensation from a Covered Executive under this policy, the Committee shall decide on</w:t>
      </w:r>
    </w:p>
    <w:p>
      <w:pPr>
        <w:ind w:left="80" w:right="160"/>
        <w:spacing w:after="0" w:line="227" w:lineRule="auto"/>
        <w:rPr>
          <w:rFonts w:ascii="Arial" w:cs="Arial" w:eastAsia="Arial" w:hAnsi="Arial"/>
          <w:sz w:val="16"/>
          <w:szCs w:val="16"/>
          <w:color w:val="auto"/>
        </w:rPr>
      </w:pPr>
      <w:r>
        <w:rPr>
          <w:rFonts w:ascii="Arial" w:cs="Arial" w:eastAsia="Arial" w:hAnsi="Arial"/>
          <w:sz w:val="16"/>
          <w:szCs w:val="16"/>
          <w:color w:val="auto"/>
        </w:rPr>
        <w:t>(i) the amount of Incentive-Based Compensation provided to the Covered Executive that is subject to recoupment and (ii) the method of recoupment, including whether to seek the return of Incentive-Based Compensation already paid or to withhold or otherwise recoup (totally or partially) compensation that has not vested or has not been paid.</w:t>
      </w:r>
    </w:p>
    <w:p>
      <w:pPr>
        <w:spacing w:after="0" w:line="138" w:lineRule="exact"/>
        <w:rPr>
          <w:rFonts w:ascii="Arial" w:cs="Arial" w:eastAsia="Arial" w:hAnsi="Arial"/>
          <w:sz w:val="16"/>
          <w:szCs w:val="16"/>
          <w:color w:val="auto"/>
        </w:rPr>
      </w:pPr>
    </w:p>
    <w:p>
      <w:pPr>
        <w:ind w:left="80" w:right="180" w:hanging="3"/>
        <w:spacing w:after="0" w:line="231" w:lineRule="auto"/>
        <w:tabs>
          <w:tab w:leader="none" w:pos="5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Committee may delegate to a management committee (comprising HR, Legal, and Business Integrity) the administration of this policy with respect to Covered Executives who are not Executive Officers of the Company. In the event of such delegation, the management committee shall report to the Committee on any occurrences where it would be appropriate for the Committee to determine whether the policy has been triggered. Management shall also provide a report to the Committee, at least annually, describing any recoupment determinations made under this policy.</w:t>
      </w:r>
    </w:p>
    <w:p>
      <w:pPr>
        <w:spacing w:after="0" w:line="140" w:lineRule="exact"/>
        <w:rPr>
          <w:rFonts w:ascii="Arial" w:cs="Arial" w:eastAsia="Arial" w:hAnsi="Arial"/>
          <w:sz w:val="16"/>
          <w:szCs w:val="16"/>
          <w:color w:val="auto"/>
        </w:rPr>
      </w:pPr>
    </w:p>
    <w:p>
      <w:pPr>
        <w:ind w:left="520" w:hanging="450"/>
        <w:spacing w:after="0"/>
        <w:tabs>
          <w:tab w:leader="none" w:pos="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Committee shall retain oversight responsibility for this policy.</w:t>
      </w:r>
    </w:p>
    <w:p>
      <w:pPr>
        <w:spacing w:after="0" w:line="170" w:lineRule="exact"/>
        <w:rPr>
          <w:rFonts w:ascii="Arial" w:cs="Arial" w:eastAsia="Arial" w:hAnsi="Arial"/>
          <w:sz w:val="16"/>
          <w:szCs w:val="16"/>
          <w:color w:val="auto"/>
        </w:rPr>
      </w:pPr>
    </w:p>
    <w:p>
      <w:pPr>
        <w:ind w:left="520" w:hanging="443"/>
        <w:spacing w:after="0"/>
        <w:tabs>
          <w:tab w:leader="none" w:pos="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Committee shall report to the full Board on any recoupment determination made with respect to an Executive Officer of the Company.</w:t>
      </w:r>
    </w:p>
    <w:p>
      <w:pPr>
        <w:spacing w:after="0" w:line="170" w:lineRule="exact"/>
        <w:rPr>
          <w:rFonts w:ascii="Arial" w:cs="Arial" w:eastAsia="Arial" w:hAnsi="Arial"/>
          <w:sz w:val="16"/>
          <w:szCs w:val="16"/>
          <w:color w:val="auto"/>
        </w:rPr>
      </w:pPr>
    </w:p>
    <w:p>
      <w:pPr>
        <w:ind w:left="80" w:right="540" w:hanging="3"/>
        <w:spacing w:after="0" w:line="253" w:lineRule="auto"/>
        <w:tabs>
          <w:tab w:leader="none" w:pos="5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Nothing in this policy is designed or intended to: (i) limit or restrict the Company or the Board of Directors from taking any disciplinary or legal action they deem appropriate; or (ii) conflict with any applicable laws or regulations.</w:t>
      </w:r>
    </w:p>
    <w:p>
      <w:pPr>
        <w:spacing w:after="0" w:line="127" w:lineRule="exact"/>
        <w:rPr>
          <w:rFonts w:ascii="Arial" w:cs="Arial" w:eastAsia="Arial" w:hAnsi="Arial"/>
          <w:sz w:val="16"/>
          <w:szCs w:val="16"/>
          <w:color w:val="auto"/>
        </w:rPr>
      </w:pPr>
    </w:p>
    <w:p>
      <w:pPr>
        <w:ind w:left="520" w:hanging="443"/>
        <w:spacing w:after="0"/>
        <w:tabs>
          <w:tab w:leader="none" w:pos="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Decisions made pursuant to this policy may be made in conjunction with, or separate and apart from, other Company recoupment programs.</w:t>
      </w:r>
    </w:p>
    <w:p>
      <w:pPr>
        <w:spacing w:after="0" w:line="170" w:lineRule="exact"/>
        <w:rPr>
          <w:rFonts w:ascii="Arial" w:cs="Arial" w:eastAsia="Arial" w:hAnsi="Arial"/>
          <w:sz w:val="16"/>
          <w:szCs w:val="16"/>
          <w:color w:val="auto"/>
        </w:rPr>
      </w:pPr>
    </w:p>
    <w:p>
      <w:pPr>
        <w:ind w:left="520" w:hanging="443"/>
        <w:spacing w:after="0"/>
        <w:tabs>
          <w:tab w:leader="none" w:pos="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This policy only applies to Incentive-Based Compensation granted or paid after the adoption of the policy.</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w:t>
      </w:r>
    </w:p>
    <w:sectPr>
      <w:pgSz w:w="11900" w:h="16838" w:orient="portrait"/>
      <w:cols w:equalWidth="0" w:num="1">
        <w:col w:w="11280"/>
      </w:cols>
      <w:pgMar w:left="3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lvl w:ilvl="1">
      <w:lvlJc w:val="left"/>
      <w:lvlText w:val="\endash "/>
      <w:numFmt w:val="bullet"/>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1)"/>
      <w:numFmt w:val="decimal"/>
      <w:start w:val="5"/>
    </w:lvl>
  </w:abstractNum>
  <w:abstractNum w:abstractNumId="18">
    <w:nsid w:val="10233C99"/>
    <w:multiLevelType w:val="hybridMultilevel"/>
    <w:lvl w:ilvl="0">
      <w:lvlJc w:val="left"/>
      <w:lvlText w:val="(%1)"/>
      <w:numFmt w:val="decimal"/>
      <w:start w:val="1"/>
    </w:lvl>
    <w:lvl w:ilvl="1">
      <w:lvlJc w:val="left"/>
      <w:lvlText w:val="•"/>
      <w:numFmt w:val="bullet"/>
      <w:start w:val="1"/>
    </w:lvl>
  </w:abstractNum>
  <w:abstractNum w:abstractNumId="19">
    <w:nsid w:val="3F6AB60F"/>
    <w:multiLevelType w:val="hybridMultilevel"/>
    <w:lvl w:ilvl="0">
      <w:lvlJc w:val="left"/>
      <w:lvlText w:val="(%1)"/>
      <w:numFmt w:val="decimal"/>
      <w:start w:val="3"/>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1"/>
    </w:lvl>
    <w:lvl w:ilvl="1">
      <w:lvlJc w:val="left"/>
      <w:lvlText w:val="•"/>
      <w:numFmt w:val="bullet"/>
      <w:start w:val="1"/>
    </w:lvl>
  </w:abstractNum>
  <w:abstractNum w:abstractNumId="24">
    <w:nsid w:val="310C50B3"/>
    <w:multiLevelType w:val="hybridMultilevel"/>
    <w:lvl w:ilvl="0">
      <w:lvlJc w:val="left"/>
      <w:lvlText w:val="(%1)"/>
      <w:numFmt w:val="decimal"/>
      <w:start w:val="1"/>
    </w:lvl>
    <w:lvl w:ilvl="1">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lvl w:ilvl="1">
      <w:lvlJc w:val="left"/>
      <w:lvlText w:val="•"/>
      <w:numFmt w:val="bullet"/>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16"/>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3"/>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
      <w:numFmt w:val="bullet"/>
      <w:start w:val="1"/>
    </w:lvl>
    <w:lvl w:ilvl="1">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decimal"/>
      <w:start w:val="2"/>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lowerLetter"/>
      <w:start w:val="2"/>
    </w:lvl>
  </w:abstractNum>
  <w:abstractNum w:abstractNumId="48">
    <w:nsid w:val="613EFDC5"/>
    <w:multiLevelType w:val="hybridMultilevel"/>
    <w:lvl w:ilvl="0">
      <w:lvlJc w:val="left"/>
      <w:lvlText w:val="%1"/>
      <w:numFmt w:val="decimal"/>
      <w:start w:val="101"/>
    </w:lvl>
    <w:lvl w:ilvl="1">
      <w:lvlJc w:val="left"/>
      <w:lvlText w:val="(%2)"/>
      <w:numFmt w:val="lowerRoman"/>
      <w:start w:val="3"/>
    </w:lvl>
  </w:abstractNum>
  <w:abstractNum w:abstractNumId="49">
    <w:nsid w:val="BF72B14"/>
    <w:multiLevelType w:val="hybridMultilevel"/>
    <w:lvl w:ilvl="0">
      <w:lvlJc w:val="left"/>
      <w:lvlText w:val="%1"/>
      <w:numFmt w:val="decimal"/>
      <w:start w:val="104"/>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56">
    <w:nsid w:val="68EB2F63"/>
    <w:multiLevelType w:val="hybridMultilevel"/>
    <w:lvl w:ilvl="0">
      <w:lvlJc w:val="left"/>
      <w:lvlText w:val="%1."/>
      <w:numFmt w:val="lowerLetter"/>
      <w:start w:val="2"/>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Roman"/>
      <w:start w:val="1"/>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upperLetter"/>
      <w:start w:val="17"/>
    </w:lvl>
  </w:abstractNum>
  <w:abstractNum w:abstractNumId="71">
    <w:nsid w:val="4C04A8AF"/>
    <w:multiLevelType w:val="hybridMultilevel"/>
    <w:lvl w:ilvl="0">
      <w:lvlJc w:val="left"/>
      <w:lvlText w:val="%1:"/>
      <w:numFmt w:val="upperLetter"/>
      <w:start w:val="17"/>
    </w:lvl>
  </w:abstractNum>
  <w:abstractNum w:abstractNumId="72">
    <w:nsid w:val="1716703B"/>
    <w:multiLevelType w:val="hybridMultilevel"/>
    <w:lvl w:ilvl="0">
      <w:lvlJc w:val="left"/>
      <w:lvlText w:val="%1:"/>
      <w:numFmt w:val="upperLetter"/>
      <w:start w:val="1"/>
    </w:lvl>
  </w:abstractNum>
  <w:abstractNum w:abstractNumId="73">
    <w:nsid w:val="14E17E33"/>
    <w:multiLevelType w:val="hybridMultilevel"/>
    <w:lvl w:ilvl="0">
      <w:lvlJc w:val="left"/>
      <w:lvlText w:val="%1:"/>
      <w:numFmt w:val="upperLetter"/>
      <w:start w:val="1"/>
    </w:lvl>
  </w:abstractNum>
  <w:abstractNum w:abstractNumId="74">
    <w:nsid w:val="3222E7CD"/>
    <w:multiLevelType w:val="hybridMultilevel"/>
    <w:lvl w:ilvl="0">
      <w:lvlJc w:val="left"/>
      <w:lvlText w:val="%1:"/>
      <w:numFmt w:val="upperLetter"/>
      <w:start w:val="17"/>
    </w:lvl>
  </w:abstractNum>
  <w:abstractNum w:abstractNumId="75">
    <w:nsid w:val="74DE0EE3"/>
    <w:multiLevelType w:val="hybridMultilevel"/>
    <w:lvl w:ilvl="0">
      <w:lvlJc w:val="left"/>
      <w:lvlText w:val="%1:"/>
      <w:numFmt w:val="upperLetter"/>
      <w:start w:val="1"/>
    </w:lvl>
  </w:abstractNum>
  <w:abstractNum w:abstractNumId="76">
    <w:nsid w:val="68EBC550"/>
    <w:multiLevelType w:val="hybridMultilevel"/>
    <w:lvl w:ilvl="0">
      <w:lvlJc w:val="left"/>
      <w:lvlText w:val="%1:"/>
      <w:numFmt w:val="upperLetter"/>
      <w:start w:val="17"/>
    </w:lvl>
  </w:abstractNum>
  <w:abstractNum w:abstractNumId="77">
    <w:nsid w:val="2DF6D648"/>
    <w:multiLevelType w:val="hybridMultilevel"/>
    <w:lvl w:ilvl="0">
      <w:lvlJc w:val="left"/>
      <w:lvlText w:val="%1:"/>
      <w:numFmt w:val="upperLetter"/>
      <w:start w:val="1"/>
    </w:lvl>
  </w:abstractNum>
  <w:abstractNum w:abstractNumId="78">
    <w:nsid w:val="46B7D447"/>
    <w:multiLevelType w:val="hybridMultilevel"/>
    <w:lvl w:ilvl="0">
      <w:lvlJc w:val="left"/>
      <w:lvlText w:val="%1:"/>
      <w:numFmt w:val="upperLetter"/>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upperLetter"/>
      <w:start w:val="17"/>
    </w:lvl>
  </w:abstractNum>
  <w:abstractNum w:abstractNumId="81">
    <w:nsid w:val="57FC4FBB"/>
    <w:multiLevelType w:val="hybridMultilevel"/>
    <w:lvl w:ilvl="0">
      <w:lvlJc w:val="left"/>
      <w:lvlText w:val="%1:"/>
      <w:numFmt w:val="upperLetter"/>
      <w:start w:val="1"/>
    </w:lvl>
  </w:abstractNum>
  <w:abstractNum w:abstractNumId="82">
    <w:nsid w:val="CC1016F"/>
    <w:multiLevelType w:val="hybridMultilevel"/>
    <w:lvl w:ilvl="0">
      <w:lvlJc w:val="left"/>
      <w:lvlText w:val="%1:"/>
      <w:numFmt w:val="upperLetter"/>
      <w:start w:val="17"/>
    </w:lvl>
  </w:abstractNum>
  <w:abstractNum w:abstractNumId="83">
    <w:nsid w:val="43F18422"/>
    <w:multiLevelType w:val="hybridMultilevel"/>
    <w:lvl w:ilvl="0">
      <w:lvlJc w:val="left"/>
      <w:lvlText w:val="%1:"/>
      <w:numFmt w:val="upperLetter"/>
      <w:start w:val="1"/>
    </w:lvl>
  </w:abstractNum>
  <w:abstractNum w:abstractNumId="84">
    <w:nsid w:val="60EF0119"/>
    <w:multiLevelType w:val="hybridMultilevel"/>
    <w:lvl w:ilvl="0">
      <w:lvlJc w:val="left"/>
      <w:lvlText w:val="%1:"/>
      <w:numFmt w:val="upperLetter"/>
      <w:start w:val="17"/>
    </w:lvl>
  </w:abstractNum>
  <w:abstractNum w:abstractNumId="85">
    <w:nsid w:val="26F324BA"/>
    <w:multiLevelType w:val="hybridMultilevel"/>
    <w:lvl w:ilvl="0">
      <w:lvlJc w:val="left"/>
      <w:lvlText w:val="%1:"/>
      <w:numFmt w:val="upperLetter"/>
      <w:start w:val="1"/>
    </w:lvl>
  </w:abstractNum>
  <w:abstractNum w:abstractNumId="86">
    <w:nsid w:val="7F01579B"/>
    <w:multiLevelType w:val="hybridMultilevel"/>
    <w:lvl w:ilvl="0">
      <w:lvlJc w:val="left"/>
      <w:lvlText w:val="%1:"/>
      <w:numFmt w:val="upperLetter"/>
      <w:start w:val="17"/>
    </w:lvl>
  </w:abstractNum>
  <w:abstractNum w:abstractNumId="87">
    <w:nsid w:val="49DA307D"/>
    <w:multiLevelType w:val="hybridMultilevel"/>
    <w:lvl w:ilvl="0">
      <w:lvlJc w:val="left"/>
      <w:lvlText w:val="%1:"/>
      <w:numFmt w:val="upperLetter"/>
      <w:start w:val="1"/>
    </w:lvl>
  </w:abstractNum>
  <w:abstractNum w:abstractNumId="88">
    <w:nsid w:val="7055A5F5"/>
    <w:multiLevelType w:val="hybridMultilevel"/>
    <w:lvl w:ilvl="0">
      <w:lvlJc w:val="left"/>
      <w:lvlText w:val="%1:"/>
      <w:numFmt w:val="upperLetter"/>
      <w:start w:val="17"/>
    </w:lvl>
  </w:abstractNum>
  <w:abstractNum w:abstractNumId="89">
    <w:nsid w:val="5FB8370B"/>
    <w:multiLevelType w:val="hybridMultilevel"/>
    <w:lvl w:ilvl="0">
      <w:lvlJc w:val="left"/>
      <w:lvlText w:val="%1:"/>
      <w:numFmt w:val="upperLetter"/>
      <w:start w:val="1"/>
    </w:lvl>
  </w:abstractNum>
  <w:abstractNum w:abstractNumId="90">
    <w:nsid w:val="50801EE1"/>
    <w:multiLevelType w:val="hybridMultilevel"/>
    <w:lvl w:ilvl="0">
      <w:lvlJc w:val="left"/>
      <w:lvlText w:val="%1:"/>
      <w:numFmt w:val="upperLetter"/>
      <w:start w:val="17"/>
    </w:lvl>
  </w:abstractNum>
  <w:abstractNum w:abstractNumId="91">
    <w:nsid w:val="488AC1A"/>
    <w:multiLevelType w:val="hybridMultilevel"/>
    <w:lvl w:ilvl="0">
      <w:lvlJc w:val="left"/>
      <w:lvlText w:val="%1:"/>
      <w:numFmt w:val="upperLetter"/>
      <w:start w:val="1"/>
    </w:lvl>
  </w:abstractNum>
  <w:abstractNum w:abstractNumId="92">
    <w:nsid w:val="5FB8011C"/>
    <w:multiLevelType w:val="hybridMultilevel"/>
    <w:lvl w:ilvl="0">
      <w:lvlJc w:val="left"/>
      <w:lvlText w:val="%1:"/>
      <w:numFmt w:val="upperLetter"/>
      <w:start w:val="17"/>
    </w:lvl>
  </w:abstractNum>
  <w:abstractNum w:abstractNumId="93">
    <w:nsid w:val="6AA78F7F"/>
    <w:multiLevelType w:val="hybridMultilevel"/>
    <w:lvl w:ilvl="0">
      <w:lvlJc w:val="left"/>
      <w:lvlText w:val="%1:"/>
      <w:numFmt w:val="upperLetter"/>
      <w:start w:val="1"/>
    </w:lvl>
  </w:abstractNum>
  <w:abstractNum w:abstractNumId="94">
    <w:nsid w:val="7672BD23"/>
    <w:multiLevelType w:val="hybridMultilevel"/>
    <w:lvl w:ilvl="0">
      <w:lvlJc w:val="left"/>
      <w:lvlText w:val="%1:"/>
      <w:numFmt w:val="upperLetter"/>
      <w:start w:val="17"/>
    </w:lvl>
  </w:abstractNum>
  <w:abstractNum w:abstractNumId="95">
    <w:nsid w:val="6FC75AF8"/>
    <w:multiLevelType w:val="hybridMultilevel"/>
    <w:lvl w:ilvl="0">
      <w:lvlJc w:val="left"/>
      <w:lvlText w:val="%1:"/>
      <w:numFmt w:val="upperLetter"/>
      <w:start w:val="1"/>
    </w:lvl>
  </w:abstractNum>
  <w:abstractNum w:abstractNumId="96">
    <w:nsid w:val="6A5F7029"/>
    <w:multiLevelType w:val="hybridMultilevel"/>
    <w:lvl w:ilvl="0">
      <w:lvlJc w:val="left"/>
      <w:lvlText w:val="%1."/>
      <w:numFmt w:val="decimal"/>
      <w:start w:val="1"/>
    </w:lvl>
    <w:lvl w:ilvl="1">
      <w:lvlJc w:val="left"/>
      <w:lvlText w:val="(%2)"/>
      <w:numFmt w:val="lowerLetter"/>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upperLetter"/>
      <w:start w:val="1"/>
    </w:lvl>
  </w:abstractNum>
  <w:abstractNum w:abstractNumId="99">
    <w:nsid w:val="73A1821B"/>
    <w:multiLevelType w:val="hybridMultilevel"/>
    <w:lvl w:ilvl="0">
      <w:lvlJc w:val="left"/>
      <w:lvlText w:val="(%1)"/>
      <w:numFmt w:val="upperLetter"/>
      <w:start w:val="6"/>
    </w:lvl>
  </w:abstractNum>
  <w:abstractNum w:abstractNumId="100">
    <w:nsid w:val="7DE67713"/>
    <w:multiLevelType w:val="hybridMultilevel"/>
    <w:lvl w:ilvl="0">
      <w:lvlJc w:val="left"/>
      <w:lvlText w:val="%1."/>
      <w:numFmt w:val="lowerRoman"/>
      <w:start w:val="1"/>
    </w:lvl>
    <w:lvl w:ilvl="1">
      <w:lvlJc w:val="left"/>
      <w:lvlText w:val="•"/>
      <w:numFmt w:val="bullet"/>
      <w:start w:val="1"/>
    </w:lvl>
  </w:abstractNum>
  <w:abstractNum w:abstractNumId="101">
    <w:nsid w:val="555C55B5"/>
    <w:multiLevelType w:val="hybridMultilevel"/>
    <w:lvl w:ilvl="0">
      <w:lvlJc w:val="left"/>
      <w:lvlText w:val="%1."/>
      <w:numFmt w:val="lowerLetter"/>
      <w:start w:val="2"/>
    </w:lvl>
  </w:abstractNum>
  <w:abstractNum w:abstractNumId="102">
    <w:nsid w:val="3FA62AC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jpe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jpe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jpeg"/><Relationship Id="rId344" Type="http://schemas.openxmlformats.org/officeDocument/2006/relationships/image" Target="media/image279.jpeg"/><Relationship Id="rId345" Type="http://schemas.openxmlformats.org/officeDocument/2006/relationships/image" Target="media/image280.png"/><Relationship Id="rId346" Type="http://schemas.openxmlformats.org/officeDocument/2006/relationships/image" Target="media/image281.png"/><Relationship Id="rId347" Type="http://schemas.openxmlformats.org/officeDocument/2006/relationships/image" Target="media/image282.jpeg"/><Relationship Id="rId348" Type="http://schemas.openxmlformats.org/officeDocument/2006/relationships/image" Target="media/image283.png"/><Relationship Id="rId349" Type="http://schemas.openxmlformats.org/officeDocument/2006/relationships/image" Target="media/image284.png"/><Relationship Id="rId350" Type="http://schemas.openxmlformats.org/officeDocument/2006/relationships/image" Target="media/image285.jpeg"/><Relationship Id="rId351" Type="http://schemas.openxmlformats.org/officeDocument/2006/relationships/image" Target="media/image286.jpeg"/><Relationship Id="rId352" Type="http://schemas.openxmlformats.org/officeDocument/2006/relationships/image" Target="media/image287.jpeg"/><Relationship Id="rId353" Type="http://schemas.openxmlformats.org/officeDocument/2006/relationships/image" Target="media/image288.jpeg"/><Relationship Id="rId354" Type="http://schemas.openxmlformats.org/officeDocument/2006/relationships/image" Target="media/image289.jpeg"/><Relationship Id="rId355" Type="http://schemas.openxmlformats.org/officeDocument/2006/relationships/image" Target="media/image290.jpeg"/><Relationship Id="rId356" Type="http://schemas.openxmlformats.org/officeDocument/2006/relationships/image" Target="media/image291.jpeg"/><Relationship Id="rId357" Type="http://schemas.openxmlformats.org/officeDocument/2006/relationships/image" Target="media/image292.jpeg"/><Relationship Id="rId358" Type="http://schemas.openxmlformats.org/officeDocument/2006/relationships/image" Target="media/image293.png"/><Relationship Id="rId359" Type="http://schemas.openxmlformats.org/officeDocument/2006/relationships/image" Target="media/image294.png"/><Relationship Id="rId360" Type="http://schemas.openxmlformats.org/officeDocument/2006/relationships/image" Target="media/image295.png"/><Relationship Id="rId361" Type="http://schemas.openxmlformats.org/officeDocument/2006/relationships/image" Target="media/image296.png"/><Relationship Id="rId362" Type="http://schemas.openxmlformats.org/officeDocument/2006/relationships/image" Target="media/image297.png"/><Relationship Id="rId363" Type="http://schemas.openxmlformats.org/officeDocument/2006/relationships/image" Target="media/image298.png"/><Relationship Id="rId364" Type="http://schemas.openxmlformats.org/officeDocument/2006/relationships/image" Target="media/image299.png"/><Relationship Id="rId365" Type="http://schemas.openxmlformats.org/officeDocument/2006/relationships/image" Target="media/image300.png"/><Relationship Id="rId366" Type="http://schemas.openxmlformats.org/officeDocument/2006/relationships/image" Target="media/image301.jpeg"/><Relationship Id="rId367" Type="http://schemas.openxmlformats.org/officeDocument/2006/relationships/image" Target="media/image302.jpeg"/><Relationship Id="rId277" Type="http://schemas.openxmlformats.org/officeDocument/2006/relationships/hyperlink" Target="https://www.sec.gov/Archives/edgar/data/1103982/000119312512411522/d418430dex21.htm" TargetMode="External"/><Relationship Id="rId278" Type="http://schemas.openxmlformats.org/officeDocument/2006/relationships/hyperlink" Target="https://www.sec.gov/Archives/edgar/data/1103982/000119312513073227/d456052dex23.htm" TargetMode="External"/><Relationship Id="rId279" Type="http://schemas.openxmlformats.org/officeDocument/2006/relationships/hyperlink" Target="https://www.sec.gov/Archives/edgar/data/1103982/000119312512411522/d418430dex103.htm" TargetMode="External"/><Relationship Id="rId280" Type="http://schemas.openxmlformats.org/officeDocument/2006/relationships/hyperlink" Target="https://www.sec.gov/Archives/edgar/data/1103982/000119312512411522/d418430dex104.htm" TargetMode="External"/><Relationship Id="rId281" Type="http://schemas.openxmlformats.org/officeDocument/2006/relationships/hyperlink" Target="https://www.sec.gov/Archives/edgar/data/1103982/000119312513207666/d512925dex31.htm" TargetMode="External"/><Relationship Id="rId282" Type="http://schemas.openxmlformats.org/officeDocument/2006/relationships/hyperlink" Target="https://www.sec.gov/Archives/edgar/data/1103982/000119312522267587/d320978dex31.htm" TargetMode="External"/><Relationship Id="rId283" Type="http://schemas.openxmlformats.org/officeDocument/2006/relationships/hyperlink" Target="https://www.sec.gov/Archives/edgar/data/1103982/000110398223000006/ex41_123122.htm" TargetMode="External"/><Relationship Id="rId284" Type="http://schemas.openxmlformats.org/officeDocument/2006/relationships/hyperlink" Target="https://www.sec.gov/Archives/edgar/data/1103982/000095013002002716/dex41.txt" TargetMode="External"/><Relationship Id="rId285" Type="http://schemas.openxmlformats.org/officeDocument/2006/relationships/hyperlink" Target="https://www.sec.gov/Archives/edgar/data/1103982/000119312517055858/d288385dex44.htm" TargetMode="External"/><Relationship Id="rId286" Type="http://schemas.openxmlformats.org/officeDocument/2006/relationships/hyperlink" Target="https://www.sec.gov/Archives/edgar/data/1103982/000119312519038074/d706206dex42.htm" TargetMode="External"/><Relationship Id="rId287" Type="http://schemas.openxmlformats.org/officeDocument/2006/relationships/hyperlink" Target="https://www.sec.gov/Archives/edgar/data/1103982/000119312520105325/d916110dex43.htm" TargetMode="External"/><Relationship Id="rId288" Type="http://schemas.openxmlformats.org/officeDocument/2006/relationships/hyperlink" Target="https://www.sec.gov/Archives/edgar/data/1103982/000119312516750814/d281401dex41.htm" TargetMode="External"/><Relationship Id="rId292" Type="http://schemas.openxmlformats.org/officeDocument/2006/relationships/hyperlink" Target="https://www.sec.gov/Archives/edgar/data/1103982/000119312519249830/d807102dex42.htm" TargetMode="External"/><Relationship Id="rId293" Type="http://schemas.openxmlformats.org/officeDocument/2006/relationships/hyperlink" Target="https://www.sec.gov/Archives/edgar/data/1103982/000119312519260755/d804026dex42.htm" TargetMode="External"/><Relationship Id="rId294" Type="http://schemas.openxmlformats.org/officeDocument/2006/relationships/hyperlink" Target="https://www.sec.gov/Archives/edgar/data/1103982/000119312520253361/d69877dex42.htm" TargetMode="External"/><Relationship Id="rId295" Type="http://schemas.openxmlformats.org/officeDocument/2006/relationships/hyperlink" Target="https://www.sec.gov/Archives/edgar/data/1103982/000119312521270208/d224864dex42.htm" TargetMode="External"/><Relationship Id="rId296" Type="http://schemas.openxmlformats.org/officeDocument/2006/relationships/hyperlink" Target="https://www.sec.gov/Archives/edgar/data/1103982/000119312521282494/d205090dex42.htm" TargetMode="External"/><Relationship Id="rId297" Type="http://schemas.openxmlformats.org/officeDocument/2006/relationships/hyperlink" Target="https://www.sec.gov/Archives/edgar/data/1103982/000119312522246483/d364250dex42.htm" TargetMode="External"/><Relationship Id="rId298" Type="http://schemas.openxmlformats.org/officeDocument/2006/relationships/hyperlink" Target="https://www.sec.gov/Archives/edgar/data/1103982/000110398224000027/ex_101.htm" TargetMode="External"/><Relationship Id="rId299" Type="http://schemas.openxmlformats.org/officeDocument/2006/relationships/hyperlink" Target="https://www.sec.gov/Archives/edgar/data/1103982/000119312522049955/d320598dex102.htm" TargetMode="External"/><Relationship Id="rId300" Type="http://schemas.openxmlformats.org/officeDocument/2006/relationships/hyperlink" Target="https://www.sec.gov/Archives/edgar/data/1103982/000119312523094173/d451281dex101.htm" TargetMode="External"/><Relationship Id="rId301" Type="http://schemas.openxmlformats.org/officeDocument/2006/relationships/hyperlink" Target="https://www.sec.gov/Archives/edgar/data/1103982/000119312512411522/d418430dex101.htm" TargetMode="External"/><Relationship Id="rId302" Type="http://schemas.openxmlformats.org/officeDocument/2006/relationships/hyperlink" Target="https://www.sec.gov/Archives/edgar/data/1103982/000119312517155252/d346910dex102.htm" TargetMode="External"/><Relationship Id="rId303" Type="http://schemas.openxmlformats.org/officeDocument/2006/relationships/hyperlink" Target="https://www.sec.gov/Archives/edgar/data/1103982/000110398224000092/ex101_63024.htm" TargetMode="External"/><Relationship Id="rId304" Type="http://schemas.openxmlformats.org/officeDocument/2006/relationships/hyperlink" Target="https://www.sec.gov/Archives/edgar/data/1103982/000110398224000071/ex43.htm" TargetMode="External"/><Relationship Id="rId305" Type="http://schemas.openxmlformats.org/officeDocument/2006/relationships/hyperlink" Target="https://www.sec.gov/Archives/edgar/data/1103982/000110398222000007/ex104_33122.htm" TargetMode="External"/><Relationship Id="rId306" Type="http://schemas.openxmlformats.org/officeDocument/2006/relationships/hyperlink" Target="https://www.sec.gov/Archives/edgar/data/1103982/000110398223000018/ex102_33123.htm" TargetMode="External"/><Relationship Id="rId307" Type="http://schemas.openxmlformats.org/officeDocument/2006/relationships/hyperlink" Target="https://www.sec.gov/Archives/edgar/data/1103982/000110398224000055/ex102_33124.htm" TargetMode="External"/><Relationship Id="rId308" Type="http://schemas.openxmlformats.org/officeDocument/2006/relationships/hyperlink" Target="https://www.sec.gov/Archives/edgar/data/1103982/000110398224000092/ex103_63024.htm" TargetMode="External"/><Relationship Id="rId309" Type="http://schemas.openxmlformats.org/officeDocument/2006/relationships/hyperlink" Target="https://www.sec.gov/Archives/edgar/data/1103982/000110398224000092/ex104_63024.htm" TargetMode="External"/><Relationship Id="rId313" Type="http://schemas.openxmlformats.org/officeDocument/2006/relationships/hyperlink" Target="https://www.sec.gov/Archives/edgar/data/1103982/000110398222000007/ex105_33122.htm" TargetMode="External"/><Relationship Id="rId314" Type="http://schemas.openxmlformats.org/officeDocument/2006/relationships/hyperlink" Target="https://www.sec.gov/Archives/edgar/data/1103982/000110398223000018/ex103_33123.htm" TargetMode="External"/><Relationship Id="rId315" Type="http://schemas.openxmlformats.org/officeDocument/2006/relationships/hyperlink" Target="https://www.sec.gov/Archives/edgar/data/1103982/000110398224000055/ex103_33124.htm" TargetMode="External"/><Relationship Id="rId316" Type="http://schemas.openxmlformats.org/officeDocument/2006/relationships/hyperlink" Target="https://www.sec.gov/Archives/edgar/data/1103982/000110398224000092/ex105_63024.htm" TargetMode="External"/><Relationship Id="rId317" Type="http://schemas.openxmlformats.org/officeDocument/2006/relationships/hyperlink" Target="https://www.sec.gov/Archives/edgar/data/1103982/000110398224000092/ex106_63024.htm" TargetMode="External"/><Relationship Id="rId318" Type="http://schemas.openxmlformats.org/officeDocument/2006/relationships/hyperlink" Target="https://www.sec.gov/Archives/edgar/data/1103982/000110398222000007/ex106_33122.htm" TargetMode="External"/><Relationship Id="rId319" Type="http://schemas.openxmlformats.org/officeDocument/2006/relationships/hyperlink" Target="https://www.sec.gov/Archives/edgar/data/1103982/000110398223000018/ex104_33123.htm" TargetMode="External"/><Relationship Id="rId320" Type="http://schemas.openxmlformats.org/officeDocument/2006/relationships/hyperlink" Target="https://www.sec.gov/Archives/edgar/data/1103982/000110398224000055/ex104_33124.htm" TargetMode="External"/><Relationship Id="rId321" Type="http://schemas.openxmlformats.org/officeDocument/2006/relationships/hyperlink" Target="https://www.sec.gov/Archives/edgar/data/1103982/000110398224000092/ex107_63024.htm" TargetMode="External"/><Relationship Id="rId322" Type="http://schemas.openxmlformats.org/officeDocument/2006/relationships/hyperlink" Target="https://www.sec.gov/Archives/edgar/data/1103982/000110398224000092/ex108_63024.htm" TargetMode="External"/><Relationship Id="rId323" Type="http://schemas.openxmlformats.org/officeDocument/2006/relationships/hyperlink" Target="https://www.sec.gov/Archives/edgar/data/1103982/000119312513073227/d456052dex1010.htm" TargetMode="External"/><Relationship Id="rId324" Type="http://schemas.openxmlformats.org/officeDocument/2006/relationships/hyperlink" Target="https://www.sec.gov/Archives/edgar/data/1103982/000110398219000005/a123118ex1026.htm" TargetMode="External"/><Relationship Id="rId325" Type="http://schemas.openxmlformats.org/officeDocument/2006/relationships/hyperlink" Target="https://www.sec.gov/Archives/edgar/data/1103982/000119312513073227/d456052dex1011.htm" TargetMode="External"/><Relationship Id="rId326" Type="http://schemas.openxmlformats.org/officeDocument/2006/relationships/hyperlink" Target="https://www.sec.gov/Archives/edgar/data/1103982/000110398219000005/a123118ex1028.htm" TargetMode="External"/><Relationship Id="rId327" Type="http://schemas.openxmlformats.org/officeDocument/2006/relationships/hyperlink" Target="https://www.sec.gov/Archives/edgar/data/1103982/000119312513073227/d456052dex1012.htm" TargetMode="External"/><Relationship Id="rId328" Type="http://schemas.openxmlformats.org/officeDocument/2006/relationships/hyperlink" Target="https://www.sec.gov/Archives/edgar/data/1103982/000119312513073227/d456052dex1013.htm" TargetMode="External"/><Relationship Id="rId329" Type="http://schemas.openxmlformats.org/officeDocument/2006/relationships/hyperlink" Target="https://www.sec.gov/Archives/edgar/data/1103982/000119312513073227/d456052dex1014.htm" TargetMode="External"/><Relationship Id="rId330" Type="http://schemas.openxmlformats.org/officeDocument/2006/relationships/hyperlink" Target="https://www.sec.gov/Archives/edgar/data/1103982/000119312513073227/d456052dex1015.htm" TargetMode="External"/><Relationship Id="rId331" Type="http://schemas.openxmlformats.org/officeDocument/2006/relationships/hyperlink" Target="https://www.sec.gov/Archives/edgar/data/1103982/000110398224000092/ex109_63024.htm" TargetMode="External"/><Relationship Id="rId335" Type="http://schemas.openxmlformats.org/officeDocument/2006/relationships/hyperlink" Target="https://www.sec.gov/Archives/edgar/data/1103982/000119312513073227/d456052dex1017.htm" TargetMode="External"/><Relationship Id="rId336" Type="http://schemas.openxmlformats.org/officeDocument/2006/relationships/hyperlink" Target="https://www.sec.gov/Archives/edgar/data/1103982/000119312513073227/d456052dex1018.htm" TargetMode="External"/><Relationship Id="rId337" Type="http://schemas.openxmlformats.org/officeDocument/2006/relationships/hyperlink" Target="https://www.sec.gov/Archives/edgar/data/1103982/000119312513073227/d456052dex1019.htm" TargetMode="External"/><Relationship Id="rId338" Type="http://schemas.openxmlformats.org/officeDocument/2006/relationships/hyperlink" Target="https://www.sec.gov/Archives/edgar/data/1103982/000119312517244953/d627607dex101.htm" TargetMode="External"/><Relationship Id="rId339" Type="http://schemas.openxmlformats.org/officeDocument/2006/relationships/hyperlink" Target="https://www.sec.gov/Archives/edgar/data/1103982/000119312518241085/d556751dex101.htm" TargetMode="External"/><Relationship Id="rId340" Type="http://schemas.openxmlformats.org/officeDocument/2006/relationships/hyperlink" Target="https://www.sec.gov/Archives/edgar/data/1103982/000110398219000010/a33119ex106.htm" TargetMode="External"/><Relationship Id="rId341" Type="http://schemas.openxmlformats.org/officeDocument/2006/relationships/hyperlink" Target="https://www.sec.gov/Archives/edgar/data/1103982/000110398220000006/a33120ex107.htm" TargetMode="External"/><Relationship Id="rId342" Type="http://schemas.openxmlformats.org/officeDocument/2006/relationships/hyperlink" Target="https://www.sec.gov/Archives/edgar/data/1103982/000119312509040798/dex1028.htm" TargetMode="External"/><Relationship Id="rId343" Type="http://schemas.openxmlformats.org/officeDocument/2006/relationships/hyperlink" Target="https://www.sec.gov/Archives/edgar/data/1103982/000119312518037332/d466496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2025-02-05T14:01:06Z</dcterms:created>
  <dcterms:modified xsi:type="dcterms:W3CDTF">2025-02-05T14:01:06Z</dcterms:modified>
</cp:coreProperties>
</file>