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2473.xml.htm"/>
      <w:bookmarkStart w:id="1" w:name="kswkform4_17873424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 de Put Dirk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MONDELEZ INTERNATIONAL,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905 WEST FULTON MARKET,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Mondelez International, Inc.</w:t>
              </w:r>
            </w:hyperlink>
            <w:r>
              <w:rPr/>
              <w:t xml:space="preserve"> [ </w:t>
            </w:r>
            <w:r>
              <w:rPr>
                <w:rFonts w:ascii="Times;serif" w:hAnsi="Times;serif"/>
                <w:color w:val="0000FF"/>
                <w:sz w:val="24"/>
                <w:shd w:fill="FFFFFF" w:val="clear"/>
              </w:rPr>
              <w:t>MDLZ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133,580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42.11</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1,460,068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133,580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64.08</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1,326,488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133,580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133,580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May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These shares were sold in multiple transactions at prices ranging from $64.00 to $64.16, inclusive. The reporting person undertakes to provide to Mondelez International, Inc., any security holder of Mondelez International, Inc., or the staff of the Securities and Exchange Commission, upon request, full information regarding the number of shares sold at each separate price within the range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Form 4 is being filed to report the exercise of stock options that became 100% exercisable on February 16, 2020, and expire on November 20,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Jamie L. East,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36137" TargetMode="External"/><Relationship Id="rId5" Type="http://schemas.openxmlformats.org/officeDocument/2006/relationships/hyperlink" Target="http://www.sec.gov/cgi-bin/browse-edgar?action=getcompany&amp;CIK=00011039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3910</Characters>
  <CharactersWithSpaces>4552</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