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Kuhn Volker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Mondelez International,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MDLZ</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MONDELEZ INTERNATIONAL, INC.</w:t>
      </w:r>
    </w:p>
    <w:p>
      <w:pPr>
        <w:spacing w:after="0" w:line="13"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905 WEST FULTON MARKET, SUITE 200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EVP and President, Europe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3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0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0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300" w:type="dxa"/>
            <w:vAlign w:val="bottom"/>
          </w:tcPr>
          <w:p>
            <w:pPr>
              <w:ind w:left="6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100" w:type="dxa"/>
        <w:tblCellMar>
          <w:top w:w="0" w:type="dxa"/>
          <w:left w:w="0" w:type="dxa"/>
          <w:bottom w:w="0" w:type="dxa"/>
          <w:right w:w="0" w:type="dxa"/>
        </w:tblCellMar>
      </w:tblPr>
      <w:tr>
        <w:trPr>
          <w:trHeight w:val="240"/>
        </w:trPr>
        <w:tc>
          <w:tcPr>
            <w:tcW w:w="28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w:t>
            </w:r>
          </w:p>
        </w:tc>
        <w:tc>
          <w:tcPr>
            <w:tcW w:w="112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03/17/2035</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0000FF"/>
              </w:rPr>
              <w:t>90,350</w:t>
            </w:r>
          </w:p>
        </w:tc>
        <w:tc>
          <w:tcPr>
            <w:tcW w:w="96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65.09</w:t>
            </w: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w w:val="82"/>
              </w:rPr>
              <w:t>D</w:t>
            </w:r>
          </w:p>
        </w:tc>
        <w:tc>
          <w:tcPr>
            <w:tcW w:w="0" w:type="dxa"/>
            <w:vAlign w:val="bottom"/>
          </w:tcPr>
          <w:p>
            <w:pPr>
              <w:spacing w:after="0"/>
              <w:rPr>
                <w:sz w:val="1"/>
                <w:szCs w:val="1"/>
                <w:color w:val="auto"/>
              </w:rPr>
            </w:pPr>
          </w:p>
        </w:tc>
      </w:tr>
      <w:tr>
        <w:trPr>
          <w:trHeight w:val="134"/>
        </w:trPr>
        <w:tc>
          <w:tcPr>
            <w:tcW w:w="28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Options vest in three annual installments as follows: 33% on March 17, 2026; 33% on March 17, 2027 and 34% on March 17, 2028.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Issa Yesufu, by Power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060" w:type="dxa"/>
            <w:vAlign w:val="bottom"/>
            <w:tcBorders>
              <w:top w:val="single" w:sz="8" w:color="auto"/>
              <w:bottom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Issa Yesufu and Mark Dunham, signing singly, the undersigned’s true and lawful attorney-in-fact to:</w:t>
      </w:r>
    </w:p>
    <w:p>
      <w:pPr>
        <w:spacing w:after="0" w:line="25" w:lineRule="exact"/>
        <w:rPr>
          <w:sz w:val="20"/>
          <w:szCs w:val="20"/>
          <w:color w:val="auto"/>
        </w:rPr>
      </w:pPr>
    </w:p>
    <w:p>
      <w:pPr>
        <w:jc w:val="both"/>
        <w:ind w:left="1080" w:hanging="540"/>
        <w:spacing w:after="0" w:line="256" w:lineRule="auto"/>
        <w:tabs>
          <w:tab w:leader="none" w:pos="107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6" w:lineRule="exact"/>
        <w:rPr>
          <w:rFonts w:ascii="Times New Roman" w:cs="Times New Roman" w:eastAsia="Times New Roman" w:hAnsi="Times New Roman"/>
          <w:sz w:val="22"/>
          <w:szCs w:val="22"/>
          <w:color w:val="auto"/>
        </w:rPr>
      </w:pPr>
    </w:p>
    <w:p>
      <w:pPr>
        <w:jc w:val="both"/>
        <w:ind w:left="1080" w:hanging="540"/>
        <w:spacing w:after="0" w:line="264" w:lineRule="auto"/>
        <w:tabs>
          <w:tab w:leader="none" w:pos="114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executive officer and/or director of Mondelez International, Inc. (the “Company”), Forms 3, 4 and 5 in accordance with Section 16(a) of the Securities Exchange Act of 1934 and the rules thereunder;</w:t>
      </w:r>
    </w:p>
    <w:p>
      <w:pPr>
        <w:spacing w:after="0" w:line="50" w:lineRule="exact"/>
        <w:rPr>
          <w:rFonts w:ascii="Times New Roman" w:cs="Times New Roman" w:eastAsia="Times New Roman" w:hAnsi="Times New Roman"/>
          <w:sz w:val="22"/>
          <w:szCs w:val="22"/>
          <w:color w:val="auto"/>
        </w:rPr>
      </w:pPr>
    </w:p>
    <w:p>
      <w:pPr>
        <w:jc w:val="both"/>
        <w:ind w:left="1080" w:hanging="540"/>
        <w:spacing w:after="0" w:line="264" w:lineRule="auto"/>
        <w:tabs>
          <w:tab w:leader="none" w:pos="107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50" w:lineRule="exact"/>
        <w:rPr>
          <w:rFonts w:ascii="Times New Roman" w:cs="Times New Roman" w:eastAsia="Times New Roman" w:hAnsi="Times New Roman"/>
          <w:sz w:val="22"/>
          <w:szCs w:val="22"/>
          <w:color w:val="auto"/>
        </w:rPr>
      </w:pPr>
    </w:p>
    <w:p>
      <w:pPr>
        <w:jc w:val="both"/>
        <w:ind w:left="1080" w:hanging="540"/>
        <w:spacing w:after="0" w:line="260" w:lineRule="auto"/>
        <w:tabs>
          <w:tab w:leader="none" w:pos="109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This Power of Attorney is effective January 1, 2025 and revokes all prior Powers of Attorney relating to reporting under Section 16 of the Securities Exchange Act of 1934 of the Company’s securities and the matters outlined above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or in a subsequently filed instrument.</w:t>
      </w:r>
    </w:p>
    <w:p>
      <w:pPr>
        <w:spacing w:after="0" w:line="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13th day of January, 2025.</w:t>
      </w:r>
    </w:p>
    <w:p>
      <w:pPr>
        <w:spacing w:after="0" w:line="200" w:lineRule="exact"/>
        <w:rPr>
          <w:sz w:val="20"/>
          <w:szCs w:val="20"/>
          <w:color w:val="auto"/>
        </w:rPr>
      </w:pPr>
    </w:p>
    <w:p>
      <w:pPr>
        <w:spacing w:after="0" w:line="245" w:lineRule="exact"/>
        <w:rPr>
          <w:sz w:val="20"/>
          <w:szCs w:val="20"/>
          <w:color w:val="auto"/>
        </w:rPr>
      </w:pPr>
    </w:p>
    <w:p>
      <w:pPr>
        <w:jc w:val="center"/>
        <w:ind w:right="6080"/>
        <w:spacing w:after="0"/>
        <w:rPr>
          <w:sz w:val="20"/>
          <w:szCs w:val="20"/>
          <w:color w:val="auto"/>
        </w:rPr>
      </w:pPr>
      <w:r>
        <w:rPr>
          <w:rFonts w:ascii="Times New Roman" w:cs="Times New Roman" w:eastAsia="Times New Roman" w:hAnsi="Times New Roman"/>
          <w:sz w:val="22"/>
          <w:szCs w:val="22"/>
          <w:color w:val="auto"/>
        </w:rPr>
        <w:t>/s/ Volker Kuhn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26670</wp:posOffset>
            </wp:positionV>
            <wp:extent cx="29444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44495" cy="9525"/>
                    </a:xfrm>
                    <a:prstGeom prst="rect">
                      <a:avLst/>
                    </a:prstGeom>
                    <a:noFill/>
                  </pic:spPr>
                </pic:pic>
              </a:graphicData>
            </a:graphic>
          </wp:anchor>
        </w:drawing>
      </w:r>
    </w:p>
    <w:p>
      <w:pPr>
        <w:spacing w:after="0" w:line="27" w:lineRule="exact"/>
        <w:rPr>
          <w:sz w:val="20"/>
          <w:szCs w:val="20"/>
          <w:color w:val="auto"/>
        </w:rPr>
      </w:pPr>
    </w:p>
    <w:p>
      <w:pPr>
        <w:jc w:val="center"/>
        <w:ind w:right="6080"/>
        <w:spacing w:after="0"/>
        <w:rPr>
          <w:sz w:val="20"/>
          <w:szCs w:val="20"/>
          <w:color w:val="auto"/>
        </w:rPr>
      </w:pPr>
      <w:r>
        <w:rPr>
          <w:rFonts w:ascii="Times New Roman" w:cs="Times New Roman" w:eastAsia="Times New Roman" w:hAnsi="Times New Roman"/>
          <w:sz w:val="22"/>
          <w:szCs w:val="22"/>
          <w:color w:val="auto"/>
        </w:rPr>
        <w:t>Signature</w:t>
      </w:r>
    </w:p>
    <w:p>
      <w:pPr>
        <w:spacing w:after="0" w:line="47" w:lineRule="exact"/>
        <w:rPr>
          <w:sz w:val="20"/>
          <w:szCs w:val="20"/>
          <w:color w:val="auto"/>
        </w:rPr>
      </w:pPr>
    </w:p>
    <w:p>
      <w:pPr>
        <w:jc w:val="center"/>
        <w:ind w:right="6080"/>
        <w:spacing w:after="0"/>
        <w:rPr>
          <w:sz w:val="20"/>
          <w:szCs w:val="20"/>
          <w:color w:val="auto"/>
        </w:rPr>
      </w:pPr>
      <w:r>
        <w:rPr>
          <w:rFonts w:ascii="Times New Roman" w:cs="Times New Roman" w:eastAsia="Times New Roman" w:hAnsi="Times New Roman"/>
          <w:sz w:val="22"/>
          <w:szCs w:val="22"/>
          <w:color w:val="auto"/>
        </w:rPr>
        <w:t>Volker Kuhn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45720</wp:posOffset>
            </wp:positionV>
            <wp:extent cx="2944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44495" cy="9525"/>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Print Name</w:t>
      </w:r>
    </w:p>
    <w:sectPr>
      <w:pgSz w:w="11900" w:h="16838" w:orient="portrait"/>
      <w:cols w:equalWidth="0" w:num="1">
        <w:col w:w="10940"/>
      </w:cols>
      <w:pgMar w:left="480" w:top="120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3780" TargetMode="External"/><Relationship Id="rId11" Type="http://schemas.openxmlformats.org/officeDocument/2006/relationships/hyperlink" Target="http://www.sec.gov/cgi-bin/browse-edgar?action=getcompany&amp;CIK=0001103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2025-04-03T15:23:25Z</dcterms:created>
  <dcterms:modified xsi:type="dcterms:W3CDTF">2025-04-03T15:23:25Z</dcterms:modified>
</cp:coreProperties>
</file>