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rPr>
          <w:sz w:val="20"/>
          <w:szCs w:val="20"/>
          <w:color w:val="auto"/>
        </w:rPr>
      </w:pPr>
      <w:r>
        <w:rPr>
          <w:rFonts w:ascii="Arial" w:cs="Arial" w:eastAsia="Arial" w:hAnsi="Arial"/>
          <w:sz w:val="18"/>
          <w:szCs w:val="18"/>
          <w:b w:val="1"/>
          <w:bCs w:val="1"/>
          <w:color w:val="auto"/>
        </w:rPr>
        <w:t>(Mark one)</w:t>
      </w:r>
    </w:p>
    <w:p>
      <w:pPr>
        <w:spacing w:after="0" w:line="125"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8"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7" w:lineRule="exact"/>
        <w:rPr>
          <w:rFonts w:ascii="MS PGothic" w:cs="MS PGothic" w:eastAsia="MS PGothic" w:hAnsi="MS PGothic"/>
          <w:sz w:val="14"/>
          <w:szCs w:val="14"/>
          <w:color w:val="auto"/>
        </w:rPr>
      </w:pPr>
    </w:p>
    <w:p>
      <w:pPr>
        <w:ind w:left="34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___________ to ______________</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760" w:type="dxa"/>
            <w:vAlign w:val="bottom"/>
          </w:tcPr>
          <w:p>
            <w:pPr>
              <w:spacing w:after="0"/>
              <w:rPr>
                <w:sz w:val="17"/>
                <w:szCs w:val="17"/>
                <w:color w:val="auto"/>
              </w:rPr>
            </w:pPr>
          </w:p>
        </w:tc>
        <w:tc>
          <w:tcPr>
            <w:tcW w:w="3580" w:type="dxa"/>
            <w:vAlign w:val="bottom"/>
            <w:gridSpan w:val="5"/>
          </w:tcPr>
          <w:p>
            <w:pPr>
              <w:jc w:val="center"/>
              <w:ind w:left="67"/>
              <w:spacing w:after="0"/>
              <w:rPr>
                <w:sz w:val="20"/>
                <w:szCs w:val="20"/>
                <w:color w:val="auto"/>
              </w:rPr>
            </w:pPr>
            <w:r>
              <w:rPr>
                <w:rFonts w:ascii="Arial" w:cs="Arial" w:eastAsia="Arial" w:hAnsi="Arial"/>
                <w:sz w:val="14"/>
                <w:szCs w:val="14"/>
                <w:b w:val="1"/>
                <w:bCs w:val="1"/>
                <w:color w:val="auto"/>
              </w:rPr>
              <w:t>COMMISSION FILE NUMBER 1-16483</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4"/>
        </w:trPr>
        <w:tc>
          <w:tcPr>
            <w:tcW w:w="3760" w:type="dxa"/>
            <w:vAlign w:val="bottom"/>
          </w:tcPr>
          <w:p>
            <w:pPr>
              <w:spacing w:after="0"/>
              <w:rPr>
                <w:sz w:val="24"/>
                <w:szCs w:val="24"/>
                <w:color w:val="auto"/>
              </w:rPr>
            </w:pPr>
          </w:p>
        </w:tc>
        <w:tc>
          <w:tcPr>
            <w:tcW w:w="3580" w:type="dxa"/>
            <w:vAlign w:val="bottom"/>
            <w:gridSpan w:val="5"/>
          </w:tcPr>
          <w:p>
            <w:pPr>
              <w:jc w:val="center"/>
              <w:ind w:left="67"/>
              <w:spacing w:after="0"/>
              <w:rPr>
                <w:sz w:val="20"/>
                <w:szCs w:val="20"/>
                <w:color w:val="auto"/>
              </w:rPr>
            </w:pPr>
            <w:r>
              <w:rPr>
                <w:rFonts w:ascii="Arial" w:cs="Arial" w:eastAsia="Arial" w:hAnsi="Arial"/>
                <w:sz w:val="25"/>
                <w:szCs w:val="25"/>
                <w:b w:val="1"/>
                <w:bCs w:val="1"/>
                <w:color w:val="auto"/>
              </w:rPr>
              <w:t>Mondelēz International, Inc.</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4040" w:type="dxa"/>
            <w:vAlign w:val="bottom"/>
            <w:gridSpan w:val="6"/>
          </w:tcPr>
          <w:p>
            <w:pPr>
              <w:jc w:val="center"/>
              <w:ind w:right="248"/>
              <w:spacing w:after="0"/>
              <w:rPr>
                <w:sz w:val="20"/>
                <w:szCs w:val="20"/>
                <w:color w:val="auto"/>
              </w:rPr>
            </w:pPr>
            <w:r>
              <w:rPr>
                <w:rFonts w:ascii="Arial" w:cs="Arial" w:eastAsia="Arial" w:hAnsi="Arial"/>
                <w:sz w:val="16"/>
                <w:szCs w:val="16"/>
                <w:color w:val="auto"/>
              </w:rPr>
              <w:t>(Exact name of registrant as specified in its charter)</w:t>
            </w: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rPr>
              <w:t>Virginia</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jc w:val="right"/>
              <w:ind w:right="2348"/>
              <w:spacing w:after="0"/>
              <w:rPr>
                <w:sz w:val="20"/>
                <w:szCs w:val="20"/>
                <w:color w:val="auto"/>
              </w:rPr>
            </w:pPr>
            <w:r>
              <w:rPr>
                <w:rFonts w:ascii="Arial" w:cs="Arial" w:eastAsia="Arial" w:hAnsi="Arial"/>
                <w:sz w:val="14"/>
                <w:szCs w:val="14"/>
                <w:b w:val="1"/>
                <w:bCs w:val="1"/>
                <w:color w:val="auto"/>
              </w:rPr>
              <w:t>52-2284372</w:t>
            </w:r>
          </w:p>
        </w:tc>
        <w:tc>
          <w:tcPr>
            <w:tcW w:w="0" w:type="dxa"/>
            <w:vAlign w:val="bottom"/>
          </w:tcPr>
          <w:p>
            <w:pPr>
              <w:spacing w:after="0"/>
              <w:rPr>
                <w:sz w:val="1"/>
                <w:szCs w:val="1"/>
                <w:color w:val="auto"/>
              </w:rPr>
            </w:pPr>
          </w:p>
        </w:tc>
      </w:tr>
      <w:tr>
        <w:trPr>
          <w:trHeight w:val="148"/>
        </w:trPr>
        <w:tc>
          <w:tcPr>
            <w:tcW w:w="3760" w:type="dxa"/>
            <w:vAlign w:val="bottom"/>
          </w:tcPr>
          <w:p>
            <w:pPr>
              <w:jc w:val="center"/>
              <w:ind w:left="1768"/>
              <w:spacing w:after="0" w:line="148" w:lineRule="exact"/>
              <w:rPr>
                <w:sz w:val="20"/>
                <w:szCs w:val="20"/>
                <w:color w:val="auto"/>
              </w:rPr>
            </w:pPr>
            <w:r>
              <w:rPr>
                <w:rFonts w:ascii="Arial" w:cs="Arial" w:eastAsia="Arial" w:hAnsi="Arial"/>
                <w:sz w:val="14"/>
                <w:szCs w:val="14"/>
                <w:color w:val="auto"/>
              </w:rPr>
              <w:t>(State or other jurisdiction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20" w:type="dxa"/>
            <w:vAlign w:val="bottom"/>
            <w:gridSpan w:val="2"/>
          </w:tcPr>
          <w:p>
            <w:pPr>
              <w:jc w:val="center"/>
              <w:ind w:right="2088"/>
              <w:spacing w:after="0" w:line="148"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4"/>
        </w:trPr>
        <w:tc>
          <w:tcPr>
            <w:tcW w:w="3760" w:type="dxa"/>
            <w:vAlign w:val="bottom"/>
          </w:tcPr>
          <w:p>
            <w:pPr>
              <w:jc w:val="center"/>
              <w:ind w:left="1788"/>
              <w:spacing w:after="0"/>
              <w:rPr>
                <w:sz w:val="20"/>
                <w:szCs w:val="20"/>
                <w:color w:val="auto"/>
              </w:rPr>
            </w:pPr>
            <w:r>
              <w:rPr>
                <w:rFonts w:ascii="Arial" w:cs="Arial" w:eastAsia="Arial" w:hAnsi="Arial"/>
                <w:sz w:val="14"/>
                <w:szCs w:val="14"/>
                <w:color w:val="auto"/>
              </w:rPr>
              <w:t>incorporation or organization)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20" w:type="dxa"/>
            <w:vAlign w:val="bottom"/>
            <w:gridSpan w:val="2"/>
          </w:tcPr>
          <w:p>
            <w:pPr>
              <w:jc w:val="center"/>
              <w:ind w:right="2108"/>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23"/>
        </w:trPr>
        <w:tc>
          <w:tcPr>
            <w:tcW w:w="7340" w:type="dxa"/>
            <w:vAlign w:val="bottom"/>
            <w:gridSpan w:val="6"/>
          </w:tcPr>
          <w:p>
            <w:pPr>
              <w:jc w:val="center"/>
              <w:ind w:right="1720"/>
              <w:spacing w:after="0"/>
              <w:rPr>
                <w:sz w:val="20"/>
                <w:szCs w:val="20"/>
                <w:color w:val="auto"/>
              </w:rPr>
            </w:pPr>
            <w:r>
              <w:rPr>
                <w:rFonts w:ascii="Arial" w:cs="Arial" w:eastAsia="Arial" w:hAnsi="Arial"/>
                <w:sz w:val="14"/>
                <w:szCs w:val="14"/>
                <w:b w:val="1"/>
                <w:bCs w:val="1"/>
                <w:color w:val="auto"/>
              </w:rPr>
              <w:t>905 West Fulton Market, Suite 200</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2180"/>
              <w:spacing w:after="0"/>
              <w:rPr>
                <w:sz w:val="20"/>
                <w:szCs w:val="20"/>
                <w:color w:val="auto"/>
              </w:rPr>
            </w:pPr>
            <w:r>
              <w:rPr>
                <w:rFonts w:ascii="Arial" w:cs="Arial" w:eastAsia="Arial" w:hAnsi="Arial"/>
                <w:sz w:val="14"/>
                <w:szCs w:val="14"/>
                <w:b w:val="1"/>
                <w:bCs w:val="1"/>
                <w:color w:val="auto"/>
              </w:rPr>
              <w:t>Chicago, Illinois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20" w:type="dxa"/>
            <w:vAlign w:val="bottom"/>
            <w:gridSpan w:val="2"/>
          </w:tcPr>
          <w:p>
            <w:pPr>
              <w:jc w:val="right"/>
              <w:ind w:right="2528"/>
              <w:spacing w:after="0"/>
              <w:rPr>
                <w:sz w:val="20"/>
                <w:szCs w:val="20"/>
                <w:color w:val="auto"/>
              </w:rPr>
            </w:pPr>
            <w:r>
              <w:rPr>
                <w:rFonts w:ascii="Arial" w:cs="Arial" w:eastAsia="Arial" w:hAnsi="Arial"/>
                <w:sz w:val="14"/>
                <w:szCs w:val="14"/>
                <w:b w:val="1"/>
                <w:bCs w:val="1"/>
                <w:color w:val="auto"/>
              </w:rPr>
              <w:t>60607</w:t>
            </w:r>
          </w:p>
        </w:tc>
        <w:tc>
          <w:tcPr>
            <w:tcW w:w="0" w:type="dxa"/>
            <w:vAlign w:val="bottom"/>
          </w:tcPr>
          <w:p>
            <w:pPr>
              <w:spacing w:after="0"/>
              <w:rPr>
                <w:sz w:val="1"/>
                <w:szCs w:val="1"/>
                <w:color w:val="auto"/>
              </w:rPr>
            </w:pPr>
          </w:p>
        </w:tc>
      </w:tr>
      <w:tr>
        <w:trPr>
          <w:trHeight w:val="194"/>
        </w:trPr>
        <w:tc>
          <w:tcPr>
            <w:tcW w:w="7340" w:type="dxa"/>
            <w:vAlign w:val="bottom"/>
            <w:gridSpan w:val="6"/>
          </w:tcPr>
          <w:p>
            <w:pPr>
              <w:jc w:val="center"/>
              <w:ind w:right="1720"/>
              <w:spacing w:after="0"/>
              <w:rPr>
                <w:sz w:val="20"/>
                <w:szCs w:val="20"/>
                <w:color w:val="auto"/>
              </w:rPr>
            </w:pPr>
            <w:r>
              <w:rPr>
                <w:rFonts w:ascii="Arial" w:cs="Arial" w:eastAsia="Arial" w:hAnsi="Arial"/>
                <w:sz w:val="14"/>
                <w:szCs w:val="14"/>
                <w:color w:val="auto"/>
              </w:rPr>
              <w:t>(Address of principal executive offices)</w:t>
            </w:r>
          </w:p>
        </w:tc>
        <w:tc>
          <w:tcPr>
            <w:tcW w:w="460" w:type="dxa"/>
            <w:vAlign w:val="bottom"/>
          </w:tcPr>
          <w:p>
            <w:pPr>
              <w:spacing w:after="0"/>
              <w:rPr>
                <w:sz w:val="16"/>
                <w:szCs w:val="16"/>
                <w:color w:val="auto"/>
              </w:rPr>
            </w:pPr>
          </w:p>
        </w:tc>
        <w:tc>
          <w:tcPr>
            <w:tcW w:w="3420" w:type="dxa"/>
            <w:vAlign w:val="bottom"/>
            <w:gridSpan w:val="2"/>
          </w:tcPr>
          <w:p>
            <w:pPr>
              <w:jc w:val="center"/>
              <w:ind w:right="210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38"/>
        </w:trPr>
        <w:tc>
          <w:tcPr>
            <w:tcW w:w="7800" w:type="dxa"/>
            <w:vAlign w:val="bottom"/>
            <w:gridSpan w:val="7"/>
          </w:tcPr>
          <w:p>
            <w:pPr>
              <w:jc w:val="center"/>
              <w:ind w:left="338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c>
          <w:tcPr>
            <w:tcW w:w="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60" w:type="dxa"/>
            <w:vAlign w:val="bottom"/>
            <w:vMerge w:val="restart"/>
          </w:tcPr>
          <w:p>
            <w:pPr>
              <w:jc w:val="center"/>
              <w:ind w:left="728"/>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Trading</w:t>
            </w:r>
          </w:p>
        </w:tc>
        <w:tc>
          <w:tcPr>
            <w:tcW w:w="3880" w:type="dxa"/>
            <w:vAlign w:val="bottom"/>
            <w:gridSpan w:val="3"/>
            <w:vMerge w:val="restart"/>
          </w:tcPr>
          <w:p>
            <w:pPr>
              <w:jc w:val="center"/>
              <w:ind w:right="6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6"/>
        </w:trPr>
        <w:tc>
          <w:tcPr>
            <w:tcW w:w="37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Class A Common Stock, no par value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w:t>
            </w:r>
          </w:p>
        </w:tc>
        <w:tc>
          <w:tcPr>
            <w:tcW w:w="460" w:type="dxa"/>
            <w:vAlign w:val="bottom"/>
          </w:tcPr>
          <w:p>
            <w:pPr>
              <w:spacing w:after="0"/>
              <w:rPr>
                <w:sz w:val="15"/>
                <w:szCs w:val="15"/>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189"/>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1.000% Notes due 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MDLZ22</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1.625% Notes due 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MDLZ23</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1.625% Notes due 2027</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MDLZ27</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2.375% Notes due 2035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MDLZ35</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4.500% Notes due 2035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MDLZ35A</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94"/>
        </w:trPr>
        <w:tc>
          <w:tcPr>
            <w:tcW w:w="3760" w:type="dxa"/>
            <w:vAlign w:val="bottom"/>
          </w:tcPr>
          <w:p>
            <w:pPr>
              <w:jc w:val="center"/>
              <w:ind w:left="748"/>
              <w:spacing w:after="0"/>
              <w:rPr>
                <w:sz w:val="20"/>
                <w:szCs w:val="20"/>
                <w:color w:val="auto"/>
              </w:rPr>
            </w:pPr>
            <w:r>
              <w:rPr>
                <w:rFonts w:ascii="Arial" w:cs="Arial" w:eastAsia="Arial" w:hAnsi="Arial"/>
                <w:sz w:val="14"/>
                <w:szCs w:val="14"/>
                <w:color w:val="auto"/>
              </w:rPr>
              <w:t>3.875% Notes due 2045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MDLZ45</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24"/>
        </w:trPr>
        <w:tc>
          <w:tcPr>
            <w:tcW w:w="7800" w:type="dxa"/>
            <w:vAlign w:val="bottom"/>
            <w:gridSpan w:val="7"/>
          </w:tcPr>
          <w:p>
            <w:pPr>
              <w:jc w:val="center"/>
              <w:ind w:left="3388"/>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660" w:type="dxa"/>
            <w:vAlign w:val="bottom"/>
          </w:tcPr>
          <w:p>
            <w:pPr>
              <w:spacing w:after="0"/>
              <w:rPr>
                <w:sz w:val="19"/>
                <w:szCs w:val="19"/>
                <w:color w:val="auto"/>
              </w:rPr>
            </w:pPr>
          </w:p>
        </w:tc>
        <w:tc>
          <w:tcPr>
            <w:tcW w:w="27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6"/>
        </w:trPr>
        <w:tc>
          <w:tcPr>
            <w:tcW w:w="7800" w:type="dxa"/>
            <w:vAlign w:val="bottom"/>
            <w:gridSpan w:val="7"/>
          </w:tcPr>
          <w:p>
            <w:pPr>
              <w:ind w:left="340"/>
              <w:spacing w:after="0" w:line="156"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60" w:type="dxa"/>
            <w:vAlign w:val="bottom"/>
          </w:tcPr>
          <w:p>
            <w:pPr>
              <w:ind w:left="120"/>
              <w:spacing w:after="0" w:line="156" w:lineRule="exact"/>
              <w:rPr>
                <w:sz w:val="20"/>
                <w:szCs w:val="20"/>
                <w:color w:val="auto"/>
              </w:rPr>
            </w:pPr>
            <w:r>
              <w:rPr>
                <w:rFonts w:ascii="Arial" w:cs="Arial" w:eastAsia="Arial" w:hAnsi="Arial"/>
                <w:sz w:val="14"/>
                <w:szCs w:val="14"/>
                <w:color w:val="auto"/>
              </w:rPr>
              <w:t>Yes x</w:t>
            </w:r>
          </w:p>
        </w:tc>
        <w:tc>
          <w:tcPr>
            <w:tcW w:w="2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460" w:type="dxa"/>
            <w:vAlign w:val="bottom"/>
            <w:gridSpan w:val="8"/>
          </w:tcPr>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760" w:type="dxa"/>
            <w:vAlign w:val="bottom"/>
          </w:tcPr>
          <w:p>
            <w:pPr>
              <w:ind w:left="16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ind w:right="120" w:firstLine="324"/>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 w:lineRule="exact"/>
        <w:rPr>
          <w:sz w:val="24"/>
          <w:szCs w:val="24"/>
          <w:color w:val="auto"/>
        </w:rPr>
      </w:pPr>
    </w:p>
    <w:p>
      <w:pPr>
        <w:ind w:right="640" w:firstLine="324"/>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ind w:right="18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jc w:val="center"/>
              <w:ind w:right="2548"/>
              <w:spacing w:after="0"/>
              <w:rPr>
                <w:sz w:val="20"/>
                <w:szCs w:val="20"/>
                <w:color w:val="auto"/>
              </w:rPr>
            </w:pPr>
            <w:r>
              <w:rPr>
                <w:rFonts w:ascii="Arial" w:cs="Arial" w:eastAsia="Arial" w:hAnsi="Arial"/>
                <w:sz w:val="14"/>
                <w:szCs w:val="14"/>
                <w:color w:val="auto"/>
                <w:w w:val="85"/>
              </w:rPr>
              <w:t>x</w:t>
            </w:r>
          </w:p>
        </w:tc>
        <w:tc>
          <w:tcPr>
            <w:tcW w:w="524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jc w:val="center"/>
              <w:ind w:right="2548"/>
              <w:spacing w:after="0" w:line="141" w:lineRule="exact"/>
              <w:rPr>
                <w:sz w:val="20"/>
                <w:szCs w:val="20"/>
                <w:color w:val="auto"/>
              </w:rPr>
            </w:pPr>
            <w:r>
              <w:rPr>
                <w:rFonts w:ascii="MS PGothic" w:cs="MS PGothic" w:eastAsia="MS PGothic" w:hAnsi="MS PGothic"/>
                <w:sz w:val="14"/>
                <w:szCs w:val="14"/>
                <w:color w:val="auto"/>
                <w:w w:val="99"/>
              </w:rPr>
              <w:t>☐</w:t>
            </w:r>
          </w:p>
        </w:tc>
        <w:tc>
          <w:tcPr>
            <w:tcW w:w="524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7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240" w:type="dxa"/>
            <w:vAlign w:val="bottom"/>
          </w:tcPr>
          <w:p>
            <w:pPr>
              <w:ind w:left="298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4" w:lineRule="exact"/>
        <w:rPr>
          <w:sz w:val="24"/>
          <w:szCs w:val="24"/>
          <w:color w:val="auto"/>
        </w:rPr>
      </w:pPr>
    </w:p>
    <w:p>
      <w:pPr>
        <w:ind w:right="520" w:firstLine="324"/>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24"/>
        <w:spacing w:after="0" w:line="15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8" w:lineRule="exact"/>
        <w:rPr>
          <w:sz w:val="24"/>
          <w:szCs w:val="24"/>
          <w:color w:val="auto"/>
        </w:rPr>
      </w:pPr>
    </w:p>
    <w:p>
      <w:pPr>
        <w:ind w:right="240" w:firstLine="324"/>
        <w:spacing w:after="0" w:line="24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2020, was $72.2 billion. At January 29, 2021, there were 1,412,114,559 shares of the registrant’s Class A Common Stock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460" w:firstLine="324"/>
        <w:spacing w:after="0" w:line="264"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19, 2021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305"/>
        </w:trPr>
        <w:tc>
          <w:tcPr>
            <w:tcW w:w="580" w:type="dxa"/>
            <w:vAlign w:val="bottom"/>
          </w:tcPr>
          <w:p>
            <w:pPr>
              <w:spacing w:after="0"/>
              <w:rPr>
                <w:sz w:val="24"/>
                <w:szCs w:val="24"/>
                <w:color w:val="auto"/>
              </w:rPr>
            </w:pPr>
          </w:p>
        </w:tc>
        <w:tc>
          <w:tcPr>
            <w:tcW w:w="9440" w:type="dxa"/>
            <w:vAlign w:val="bottom"/>
          </w:tcPr>
          <w:p>
            <w:pPr>
              <w:ind w:left="3600"/>
              <w:spacing w:after="0"/>
              <w:rPr>
                <w:sz w:val="20"/>
                <w:szCs w:val="20"/>
                <w:color w:val="auto"/>
              </w:rPr>
            </w:pPr>
            <w:r>
              <w:rPr>
                <w:rFonts w:ascii="Arial" w:cs="Arial" w:eastAsia="Arial" w:hAnsi="Arial"/>
                <w:sz w:val="22"/>
                <w:szCs w:val="22"/>
                <w:b w:val="1"/>
                <w:bCs w:val="1"/>
                <w:color w:val="auto"/>
              </w:rPr>
              <w:t>Mondelēz International, Inc.</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vMerge w:val="restart"/>
          </w:tcPr>
          <w:p>
            <w:pPr>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Part I –</w:t>
              </w:r>
            </w:hyperlink>
          </w:p>
        </w:tc>
        <w:tc>
          <w:tcPr>
            <w:tcW w:w="9440" w:type="dxa"/>
            <w:vAlign w:val="bottom"/>
          </w:tcPr>
          <w:p>
            <w:pPr>
              <w:spacing w:after="0"/>
              <w:rPr>
                <w:sz w:val="24"/>
                <w:szCs w:val="24"/>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9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1.</w:t>
            </w:r>
          </w:p>
        </w:tc>
        <w:tc>
          <w:tcPr>
            <w:tcW w:w="9440" w:type="dxa"/>
            <w:vAlign w:val="bottom"/>
          </w:tcPr>
          <w:p>
            <w:pPr>
              <w:ind w:left="54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Business</w:t>
              </w:r>
            </w:hyperlink>
          </w:p>
        </w:tc>
        <w:tc>
          <w:tcPr>
            <w:tcW w:w="118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3</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1A.</w:t>
            </w:r>
          </w:p>
        </w:tc>
        <w:tc>
          <w:tcPr>
            <w:tcW w:w="9440" w:type="dxa"/>
            <w:vAlign w:val="bottom"/>
          </w:tcPr>
          <w:p>
            <w:pPr>
              <w:ind w:left="540"/>
              <w:spacing w:after="0"/>
              <w:rPr>
                <w:rFonts w:ascii="Arial" w:cs="Arial" w:eastAsia="Arial" w:hAnsi="Arial"/>
                <w:sz w:val="14"/>
                <w:szCs w:val="14"/>
                <w:u w:val="single" w:color="auto"/>
                <w:color w:val="0000FF"/>
              </w:rPr>
            </w:pPr>
            <w:hyperlink w:anchor="page15">
              <w:r>
                <w:rPr>
                  <w:rFonts w:ascii="Arial" w:cs="Arial" w:eastAsia="Arial" w:hAnsi="Arial"/>
                  <w:sz w:val="14"/>
                  <w:szCs w:val="14"/>
                  <w:u w:val="single" w:color="auto"/>
                  <w:color w:val="0000FF"/>
                </w:rPr>
                <w:t>Risk Factors</w:t>
              </w:r>
            </w:hyperlink>
          </w:p>
        </w:tc>
        <w:tc>
          <w:tcPr>
            <w:tcW w:w="1180" w:type="dxa"/>
            <w:vAlign w:val="bottom"/>
          </w:tcPr>
          <w:p>
            <w:pPr>
              <w:jc w:val="right"/>
              <w:spacing w:after="0"/>
              <w:rPr>
                <w:rFonts w:ascii="Arial" w:cs="Arial" w:eastAsia="Arial" w:hAnsi="Arial"/>
                <w:sz w:val="14"/>
                <w:szCs w:val="14"/>
                <w:color w:val="auto"/>
              </w:rPr>
            </w:pPr>
            <w:hyperlink w:anchor="page15">
              <w:r>
                <w:rPr>
                  <w:rFonts w:ascii="Arial" w:cs="Arial" w:eastAsia="Arial" w:hAnsi="Arial"/>
                  <w:sz w:val="14"/>
                  <w:szCs w:val="14"/>
                  <w:color w:val="auto"/>
                </w:rPr>
                <w:t>13</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1B.</w:t>
            </w:r>
          </w:p>
        </w:tc>
        <w:tc>
          <w:tcPr>
            <w:tcW w:w="9440" w:type="dxa"/>
            <w:vAlign w:val="bottom"/>
          </w:tcPr>
          <w:p>
            <w:pPr>
              <w:ind w:left="540"/>
              <w:spacing w:after="0"/>
              <w:rPr>
                <w:rFonts w:ascii="Arial" w:cs="Arial" w:eastAsia="Arial" w:hAnsi="Arial"/>
                <w:sz w:val="14"/>
                <w:szCs w:val="14"/>
                <w:u w:val="single" w:color="auto"/>
                <w:color w:val="0000FF"/>
              </w:rPr>
            </w:pPr>
            <w:hyperlink w:anchor="page27">
              <w:r>
                <w:rPr>
                  <w:rFonts w:ascii="Arial" w:cs="Arial" w:eastAsia="Arial" w:hAnsi="Arial"/>
                  <w:sz w:val="14"/>
                  <w:szCs w:val="14"/>
                  <w:u w:val="single" w:color="auto"/>
                  <w:color w:val="0000FF"/>
                </w:rPr>
                <w:t>Unresolved Staff Comments</w:t>
              </w:r>
            </w:hyperlink>
          </w:p>
        </w:tc>
        <w:tc>
          <w:tcPr>
            <w:tcW w:w="118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25</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2.</w:t>
            </w:r>
          </w:p>
        </w:tc>
        <w:tc>
          <w:tcPr>
            <w:tcW w:w="9440" w:type="dxa"/>
            <w:vAlign w:val="bottom"/>
          </w:tcPr>
          <w:p>
            <w:pPr>
              <w:ind w:left="540"/>
              <w:spacing w:after="0"/>
              <w:rPr>
                <w:rFonts w:ascii="Arial" w:cs="Arial" w:eastAsia="Arial" w:hAnsi="Arial"/>
                <w:sz w:val="14"/>
                <w:szCs w:val="14"/>
                <w:u w:val="single" w:color="auto"/>
                <w:color w:val="0000FF"/>
              </w:rPr>
            </w:pPr>
            <w:hyperlink w:anchor="page27">
              <w:r>
                <w:rPr>
                  <w:rFonts w:ascii="Arial" w:cs="Arial" w:eastAsia="Arial" w:hAnsi="Arial"/>
                  <w:sz w:val="14"/>
                  <w:szCs w:val="14"/>
                  <w:u w:val="single" w:color="auto"/>
                  <w:color w:val="0000FF"/>
                </w:rPr>
                <w:t>Properties</w:t>
              </w:r>
            </w:hyperlink>
          </w:p>
        </w:tc>
        <w:tc>
          <w:tcPr>
            <w:tcW w:w="118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26</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3.</w:t>
            </w:r>
          </w:p>
        </w:tc>
        <w:tc>
          <w:tcPr>
            <w:tcW w:w="9440" w:type="dxa"/>
            <w:vAlign w:val="bottom"/>
          </w:tcPr>
          <w:p>
            <w:pPr>
              <w:ind w:left="540"/>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Legal Proceedings</w:t>
              </w:r>
            </w:hyperlink>
          </w:p>
        </w:tc>
        <w:tc>
          <w:tcPr>
            <w:tcW w:w="118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26</w:t>
              </w:r>
            </w:hyperlink>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Item 4.</w:t>
            </w:r>
          </w:p>
        </w:tc>
        <w:tc>
          <w:tcPr>
            <w:tcW w:w="9440" w:type="dxa"/>
            <w:vAlign w:val="bottom"/>
          </w:tcPr>
          <w:p>
            <w:pPr>
              <w:ind w:left="540"/>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Mine Safety Disclosures</w:t>
              </w:r>
            </w:hyperlink>
          </w:p>
        </w:tc>
        <w:tc>
          <w:tcPr>
            <w:tcW w:w="118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26</w:t>
              </w:r>
            </w:hyperlink>
          </w:p>
        </w:tc>
        <w:tc>
          <w:tcPr>
            <w:tcW w:w="0" w:type="dxa"/>
            <w:vAlign w:val="bottom"/>
          </w:tcPr>
          <w:p>
            <w:pPr>
              <w:spacing w:after="0"/>
              <w:rPr>
                <w:sz w:val="1"/>
                <w:szCs w:val="1"/>
                <w:color w:val="auto"/>
              </w:rPr>
            </w:pPr>
          </w:p>
        </w:tc>
      </w:tr>
      <w:tr>
        <w:trPr>
          <w:trHeight w:val="249"/>
        </w:trPr>
        <w:tc>
          <w:tcPr>
            <w:tcW w:w="580" w:type="dxa"/>
            <w:vAlign w:val="bottom"/>
          </w:tcPr>
          <w:p>
            <w:pPr>
              <w:spacing w:after="0"/>
              <w:rPr>
                <w:rFonts w:ascii="Arial" w:cs="Arial" w:eastAsia="Arial" w:hAnsi="Arial"/>
                <w:sz w:val="14"/>
                <w:szCs w:val="14"/>
                <w:b w:val="1"/>
                <w:bCs w:val="1"/>
                <w:u w:val="single" w:color="auto"/>
                <w:color w:val="0000FF"/>
              </w:rPr>
            </w:pPr>
            <w:hyperlink w:anchor="page28">
              <w:r>
                <w:rPr>
                  <w:rFonts w:ascii="Arial" w:cs="Arial" w:eastAsia="Arial" w:hAnsi="Arial"/>
                  <w:sz w:val="14"/>
                  <w:szCs w:val="14"/>
                  <w:b w:val="1"/>
                  <w:bCs w:val="1"/>
                  <w:u w:val="single" w:color="auto"/>
                  <w:color w:val="0000FF"/>
                </w:rPr>
                <w:t>Part II –</w:t>
              </w:r>
            </w:hyperlink>
          </w:p>
        </w:tc>
        <w:tc>
          <w:tcPr>
            <w:tcW w:w="9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r>
              <w:rPr>
                <w:rFonts w:ascii="Arial" w:cs="Arial" w:eastAsia="Arial" w:hAnsi="Arial"/>
                <w:sz w:val="14"/>
                <w:szCs w:val="14"/>
                <w:color w:val="auto"/>
              </w:rPr>
              <w:t>Item 5.</w:t>
            </w:r>
          </w:p>
        </w:tc>
        <w:tc>
          <w:tcPr>
            <w:tcW w:w="9440" w:type="dxa"/>
            <w:vAlign w:val="bottom"/>
          </w:tcPr>
          <w:p>
            <w:pPr>
              <w:ind w:left="540"/>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Market for Registrant’s Common Equity, Related Stockholder Matters</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660"/>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and Issuer Purchases of Equity Securities</w:t>
              </w:r>
            </w:hyperlink>
          </w:p>
        </w:tc>
        <w:tc>
          <w:tcPr>
            <w:tcW w:w="118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6.</w:t>
            </w:r>
          </w:p>
        </w:tc>
        <w:tc>
          <w:tcPr>
            <w:tcW w:w="9440" w:type="dxa"/>
            <w:vAlign w:val="bottom"/>
          </w:tcPr>
          <w:p>
            <w:pPr>
              <w:ind w:left="54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Selected Financial Data</w:t>
              </w:r>
            </w:hyperlink>
          </w:p>
        </w:tc>
        <w:tc>
          <w:tcPr>
            <w:tcW w:w="118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7.</w:t>
            </w:r>
          </w:p>
        </w:tc>
        <w:tc>
          <w:tcPr>
            <w:tcW w:w="9440" w:type="dxa"/>
            <w:vAlign w:val="bottom"/>
          </w:tcPr>
          <w:p>
            <w:pPr>
              <w:ind w:left="540"/>
              <w:spacing w:after="0"/>
              <w:rPr>
                <w:rFonts w:ascii="Arial" w:cs="Arial" w:eastAsia="Arial" w:hAnsi="Arial"/>
                <w:sz w:val="14"/>
                <w:szCs w:val="14"/>
                <w:u w:val="single" w:color="auto"/>
                <w:color w:val="0000FF"/>
              </w:rPr>
            </w:pPr>
            <w:hyperlink w:anchor="page32">
              <w:r>
                <w:rPr>
                  <w:rFonts w:ascii="Arial" w:cs="Arial" w:eastAsia="Arial" w:hAnsi="Arial"/>
                  <w:sz w:val="14"/>
                  <w:szCs w:val="14"/>
                  <w:u w:val="single" w:color="auto"/>
                  <w:color w:val="0000FF"/>
                </w:rPr>
                <w:t>Management’s Discussion and Analysis of Financial Condition and Results of Operations:</w:t>
              </w:r>
            </w:hyperlink>
          </w:p>
        </w:tc>
        <w:tc>
          <w:tcPr>
            <w:tcW w:w="1180" w:type="dxa"/>
            <w:vAlign w:val="bottom"/>
          </w:tcPr>
          <w:p>
            <w:pPr>
              <w:jc w:val="right"/>
              <w:spacing w:after="0"/>
              <w:rPr>
                <w:rFonts w:ascii="Arial" w:cs="Arial" w:eastAsia="Arial" w:hAnsi="Arial"/>
                <w:sz w:val="14"/>
                <w:szCs w:val="14"/>
                <w:color w:val="auto"/>
              </w:rPr>
            </w:pPr>
            <w:hyperlink w:anchor="page32">
              <w:r>
                <w:rPr>
                  <w:rFonts w:ascii="Arial" w:cs="Arial" w:eastAsia="Arial" w:hAnsi="Arial"/>
                  <w:sz w:val="14"/>
                  <w:szCs w:val="14"/>
                  <w:color w:val="auto"/>
                </w:rPr>
                <w:t>31</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Summary of Results</w:t>
              </w:r>
            </w:hyperlink>
          </w:p>
        </w:tc>
        <w:tc>
          <w:tcPr>
            <w:tcW w:w="118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35</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Financial Outlook</w:t>
              </w:r>
            </w:hyperlink>
          </w:p>
        </w:tc>
        <w:tc>
          <w:tcPr>
            <w:tcW w:w="1180" w:type="dxa"/>
            <w:vAlign w:val="bottom"/>
          </w:tcPr>
          <w:p>
            <w:pPr>
              <w:jc w:val="right"/>
              <w:spacing w:after="0"/>
              <w:rPr>
                <w:rFonts w:ascii="Arial" w:cs="Arial" w:eastAsia="Arial" w:hAnsi="Arial"/>
                <w:sz w:val="14"/>
                <w:szCs w:val="14"/>
                <w:color w:val="auto"/>
              </w:rPr>
            </w:pPr>
            <w:hyperlink w:anchor="page38">
              <w:r>
                <w:rPr>
                  <w:rFonts w:ascii="Arial" w:cs="Arial" w:eastAsia="Arial" w:hAnsi="Arial"/>
                  <w:sz w:val="14"/>
                  <w:szCs w:val="14"/>
                  <w:color w:val="auto"/>
                </w:rPr>
                <w:t>36</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40">
              <w:r>
                <w:rPr>
                  <w:rFonts w:ascii="Arial" w:cs="Arial" w:eastAsia="Arial" w:hAnsi="Arial"/>
                  <w:sz w:val="14"/>
                  <w:szCs w:val="14"/>
                  <w:u w:val="single" w:color="auto"/>
                  <w:color w:val="0000FF"/>
                </w:rPr>
                <w:t>Discussion and Analysis of Historical Results</w:t>
              </w:r>
            </w:hyperlink>
          </w:p>
        </w:tc>
        <w:tc>
          <w:tcPr>
            <w:tcW w:w="1180" w:type="dxa"/>
            <w:vAlign w:val="bottom"/>
          </w:tcPr>
          <w:p>
            <w:pPr>
              <w:jc w:val="right"/>
              <w:spacing w:after="0"/>
              <w:rPr>
                <w:rFonts w:ascii="Arial" w:cs="Arial" w:eastAsia="Arial" w:hAnsi="Arial"/>
                <w:sz w:val="14"/>
                <w:szCs w:val="14"/>
                <w:color w:val="auto"/>
              </w:rPr>
            </w:pPr>
            <w:hyperlink w:anchor="page40">
              <w:r>
                <w:rPr>
                  <w:rFonts w:ascii="Arial" w:cs="Arial" w:eastAsia="Arial" w:hAnsi="Arial"/>
                  <w:sz w:val="14"/>
                  <w:szCs w:val="14"/>
                  <w:color w:val="auto"/>
                </w:rPr>
                <w:t>39</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57">
              <w:r>
                <w:rPr>
                  <w:rFonts w:ascii="Arial" w:cs="Arial" w:eastAsia="Arial" w:hAnsi="Arial"/>
                  <w:sz w:val="14"/>
                  <w:szCs w:val="14"/>
                  <w:u w:val="single" w:color="auto"/>
                  <w:color w:val="0000FF"/>
                </w:rPr>
                <w:t>Critical Accounting Estimates</w:t>
              </w:r>
            </w:hyperlink>
          </w:p>
        </w:tc>
        <w:tc>
          <w:tcPr>
            <w:tcW w:w="118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Liquidity and Capital Resources</w:t>
              </w:r>
            </w:hyperlink>
          </w:p>
        </w:tc>
        <w:tc>
          <w:tcPr>
            <w:tcW w:w="118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59</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Commodity Trends</w:t>
              </w:r>
            </w:hyperlink>
          </w:p>
        </w:tc>
        <w:tc>
          <w:tcPr>
            <w:tcW w:w="1180" w:type="dxa"/>
            <w:vAlign w:val="bottom"/>
          </w:tcPr>
          <w:p>
            <w:pPr>
              <w:jc w:val="right"/>
              <w:spacing w:after="0"/>
              <w:rPr>
                <w:rFonts w:ascii="Arial" w:cs="Arial" w:eastAsia="Arial" w:hAnsi="Arial"/>
                <w:sz w:val="14"/>
                <w:szCs w:val="14"/>
                <w:color w:val="auto"/>
              </w:rPr>
            </w:pPr>
            <w:hyperlink w:anchor="page62">
              <w:r>
                <w:rPr>
                  <w:rFonts w:ascii="Arial" w:cs="Arial" w:eastAsia="Arial" w:hAnsi="Arial"/>
                  <w:sz w:val="14"/>
                  <w:szCs w:val="14"/>
                  <w:color w:val="auto"/>
                </w:rPr>
                <w:t>60</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Off-Balance Sheet Arrangements and Aggregate Contractual Obligations</w:t>
              </w:r>
            </w:hyperlink>
          </w:p>
        </w:tc>
        <w:tc>
          <w:tcPr>
            <w:tcW w:w="1180" w:type="dxa"/>
            <w:vAlign w:val="bottom"/>
          </w:tcPr>
          <w:p>
            <w:pPr>
              <w:jc w:val="right"/>
              <w:spacing w:after="0"/>
              <w:rPr>
                <w:rFonts w:ascii="Arial" w:cs="Arial" w:eastAsia="Arial" w:hAnsi="Arial"/>
                <w:sz w:val="14"/>
                <w:szCs w:val="14"/>
                <w:color w:val="auto"/>
              </w:rPr>
            </w:pPr>
            <w:hyperlink w:anchor="page62">
              <w:r>
                <w:rPr>
                  <w:rFonts w:ascii="Arial" w:cs="Arial" w:eastAsia="Arial" w:hAnsi="Arial"/>
                  <w:sz w:val="14"/>
                  <w:szCs w:val="14"/>
                  <w:color w:val="auto"/>
                </w:rPr>
                <w:t>60</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Equity and Dividends</w:t>
              </w:r>
            </w:hyperlink>
          </w:p>
        </w:tc>
        <w:tc>
          <w:tcPr>
            <w:tcW w:w="1180" w:type="dxa"/>
            <w:vAlign w:val="bottom"/>
          </w:tcPr>
          <w:p>
            <w:pPr>
              <w:jc w:val="right"/>
              <w:spacing w:after="0"/>
              <w:rPr>
                <w:rFonts w:ascii="Arial" w:cs="Arial" w:eastAsia="Arial" w:hAnsi="Arial"/>
                <w:sz w:val="14"/>
                <w:szCs w:val="14"/>
                <w:color w:val="auto"/>
              </w:rPr>
            </w:pPr>
            <w:hyperlink w:anchor="page63">
              <w:r>
                <w:rPr>
                  <w:rFonts w:ascii="Arial" w:cs="Arial" w:eastAsia="Arial" w:hAnsi="Arial"/>
                  <w:sz w:val="14"/>
                  <w:szCs w:val="14"/>
                  <w:color w:val="auto"/>
                </w:rPr>
                <w:t>62</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Non-GAAP Financial Measures</w:t>
              </w:r>
            </w:hyperlink>
          </w:p>
        </w:tc>
        <w:tc>
          <w:tcPr>
            <w:tcW w:w="1180" w:type="dxa"/>
            <w:vAlign w:val="bottom"/>
          </w:tcPr>
          <w:p>
            <w:pPr>
              <w:jc w:val="right"/>
              <w:spacing w:after="0"/>
              <w:rPr>
                <w:rFonts w:ascii="Arial" w:cs="Arial" w:eastAsia="Arial" w:hAnsi="Arial"/>
                <w:sz w:val="14"/>
                <w:szCs w:val="14"/>
                <w:color w:val="auto"/>
              </w:rPr>
            </w:pPr>
            <w:hyperlink w:anchor="page64">
              <w:r>
                <w:rPr>
                  <w:rFonts w:ascii="Arial" w:cs="Arial" w:eastAsia="Arial" w:hAnsi="Arial"/>
                  <w:sz w:val="14"/>
                  <w:szCs w:val="14"/>
                  <w:color w:val="auto"/>
                </w:rPr>
                <w:t>63</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7A.</w:t>
            </w:r>
          </w:p>
        </w:tc>
        <w:tc>
          <w:tcPr>
            <w:tcW w:w="9440" w:type="dxa"/>
            <w:vAlign w:val="bottom"/>
          </w:tcPr>
          <w:p>
            <w:pPr>
              <w:ind w:left="540"/>
              <w:spacing w:after="0"/>
              <w:rPr>
                <w:rFonts w:ascii="Arial" w:cs="Arial" w:eastAsia="Arial" w:hAnsi="Arial"/>
                <w:sz w:val="14"/>
                <w:szCs w:val="14"/>
                <w:u w:val="single" w:color="auto"/>
                <w:color w:val="0000FF"/>
              </w:rPr>
            </w:pPr>
            <w:hyperlink w:anchor="page71">
              <w:r>
                <w:rPr>
                  <w:rFonts w:ascii="Arial" w:cs="Arial" w:eastAsia="Arial" w:hAnsi="Arial"/>
                  <w:sz w:val="14"/>
                  <w:szCs w:val="14"/>
                  <w:u w:val="single" w:color="auto"/>
                  <w:color w:val="0000FF"/>
                </w:rPr>
                <w:t>Quantitative and Qualitative Disclosures about Market Risk</w:t>
              </w:r>
            </w:hyperlink>
          </w:p>
        </w:tc>
        <w:tc>
          <w:tcPr>
            <w:tcW w:w="1180" w:type="dxa"/>
            <w:vAlign w:val="bottom"/>
          </w:tcPr>
          <w:p>
            <w:pPr>
              <w:jc w:val="right"/>
              <w:spacing w:after="0"/>
              <w:rPr>
                <w:rFonts w:ascii="Arial" w:cs="Arial" w:eastAsia="Arial" w:hAnsi="Arial"/>
                <w:sz w:val="14"/>
                <w:szCs w:val="14"/>
                <w:color w:val="auto"/>
              </w:rPr>
            </w:pPr>
            <w:hyperlink w:anchor="page71">
              <w:r>
                <w:rPr>
                  <w:rFonts w:ascii="Arial" w:cs="Arial" w:eastAsia="Arial" w:hAnsi="Arial"/>
                  <w:sz w:val="14"/>
                  <w:szCs w:val="14"/>
                  <w:color w:val="auto"/>
                </w:rPr>
                <w:t>70</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8.</w:t>
            </w:r>
          </w:p>
        </w:tc>
        <w:tc>
          <w:tcPr>
            <w:tcW w:w="9440" w:type="dxa"/>
            <w:vAlign w:val="bottom"/>
          </w:tcPr>
          <w:p>
            <w:pPr>
              <w:ind w:left="540"/>
              <w:spacing w:after="0"/>
              <w:rPr>
                <w:rFonts w:ascii="Arial" w:cs="Arial" w:eastAsia="Arial" w:hAnsi="Arial"/>
                <w:sz w:val="14"/>
                <w:szCs w:val="14"/>
                <w:u w:val="single" w:color="auto"/>
                <w:color w:val="0000FF"/>
              </w:rPr>
            </w:pPr>
            <w:hyperlink w:anchor="page73">
              <w:r>
                <w:rPr>
                  <w:rFonts w:ascii="Arial" w:cs="Arial" w:eastAsia="Arial" w:hAnsi="Arial"/>
                  <w:sz w:val="14"/>
                  <w:szCs w:val="14"/>
                  <w:u w:val="single" w:color="auto"/>
                  <w:color w:val="0000FF"/>
                </w:rPr>
                <w:t>Financial Statements and Supplementary Data:</w:t>
              </w:r>
            </w:hyperlink>
          </w:p>
        </w:tc>
        <w:tc>
          <w:tcPr>
            <w:tcW w:w="1180" w:type="dxa"/>
            <w:vAlign w:val="bottom"/>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72</w:t>
              </w:r>
            </w:hyperlink>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74">
              <w:r>
                <w:rPr>
                  <w:rFonts w:ascii="Arial" w:cs="Arial" w:eastAsia="Arial" w:hAnsi="Arial"/>
                  <w:sz w:val="14"/>
                  <w:szCs w:val="14"/>
                  <w:u w:val="single" w:color="auto"/>
                  <w:color w:val="0000FF"/>
                </w:rPr>
                <w:t>Report of Independent Registered Public Accounting Firm</w:t>
              </w:r>
            </w:hyperlink>
          </w:p>
        </w:tc>
        <w:tc>
          <w:tcPr>
            <w:tcW w:w="1180" w:type="dxa"/>
            <w:vAlign w:val="bottom"/>
          </w:tcPr>
          <w:p>
            <w:pPr>
              <w:jc w:val="right"/>
              <w:spacing w:after="0"/>
              <w:rPr>
                <w:rFonts w:ascii="Arial" w:cs="Arial" w:eastAsia="Arial" w:hAnsi="Arial"/>
                <w:sz w:val="14"/>
                <w:szCs w:val="14"/>
                <w:color w:val="auto"/>
              </w:rPr>
            </w:pPr>
            <w:hyperlink w:anchor="page74">
              <w:r>
                <w:rPr>
                  <w:rFonts w:ascii="Arial" w:cs="Arial" w:eastAsia="Arial" w:hAnsi="Arial"/>
                  <w:sz w:val="14"/>
                  <w:szCs w:val="14"/>
                  <w:color w:val="auto"/>
                </w:rPr>
                <w:t>72</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76">
              <w:r>
                <w:rPr>
                  <w:rFonts w:ascii="Arial" w:cs="Arial" w:eastAsia="Arial" w:hAnsi="Arial"/>
                  <w:sz w:val="14"/>
                  <w:szCs w:val="14"/>
                  <w:u w:val="single" w:color="auto"/>
                  <w:color w:val="0000FF"/>
                </w:rPr>
                <w:t>Consolidated Statements of Earnings</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9440" w:type="dxa"/>
            <w:vAlign w:val="bottom"/>
          </w:tcPr>
          <w:p>
            <w:pPr>
              <w:ind w:left="1000"/>
              <w:spacing w:after="0"/>
              <w:rPr>
                <w:rFonts w:ascii="Arial" w:cs="Arial" w:eastAsia="Arial" w:hAnsi="Arial"/>
                <w:sz w:val="14"/>
                <w:szCs w:val="14"/>
                <w:u w:val="single" w:color="auto"/>
                <w:color w:val="0000FF"/>
              </w:rPr>
            </w:pPr>
            <w:hyperlink w:anchor="page76">
              <w:r>
                <w:rPr>
                  <w:rFonts w:ascii="Arial" w:cs="Arial" w:eastAsia="Arial" w:hAnsi="Arial"/>
                  <w:sz w:val="14"/>
                  <w:szCs w:val="14"/>
                  <w:u w:val="single" w:color="auto"/>
                  <w:color w:val="0000FF"/>
                </w:rPr>
                <w:t>for the Years Ended December 31, 2020, 2019 and 2018</w:t>
              </w:r>
            </w:hyperlink>
          </w:p>
        </w:tc>
        <w:tc>
          <w:tcPr>
            <w:tcW w:w="1180" w:type="dxa"/>
            <w:vAlign w:val="bottom"/>
          </w:tcPr>
          <w:p>
            <w:pPr>
              <w:jc w:val="right"/>
              <w:spacing w:after="0"/>
              <w:rPr>
                <w:rFonts w:ascii="Arial" w:cs="Arial" w:eastAsia="Arial" w:hAnsi="Arial"/>
                <w:sz w:val="14"/>
                <w:szCs w:val="14"/>
                <w:color w:val="auto"/>
              </w:rPr>
            </w:pPr>
            <w:hyperlink w:anchor="page76">
              <w:r>
                <w:rPr>
                  <w:rFonts w:ascii="Arial" w:cs="Arial" w:eastAsia="Arial" w:hAnsi="Arial"/>
                  <w:sz w:val="14"/>
                  <w:szCs w:val="14"/>
                  <w:color w:val="auto"/>
                </w:rPr>
                <w:t>75</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77">
              <w:r>
                <w:rPr>
                  <w:rFonts w:ascii="Arial" w:cs="Arial" w:eastAsia="Arial" w:hAnsi="Arial"/>
                  <w:sz w:val="14"/>
                  <w:szCs w:val="14"/>
                  <w:u w:val="single" w:color="auto"/>
                  <w:color w:val="0000FF"/>
                </w:rPr>
                <w:t>Consolidated Statements of Comprehensive Earnings</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1000"/>
              <w:spacing w:after="0"/>
              <w:rPr>
                <w:rFonts w:ascii="Arial" w:cs="Arial" w:eastAsia="Arial" w:hAnsi="Arial"/>
                <w:sz w:val="14"/>
                <w:szCs w:val="14"/>
                <w:u w:val="single" w:color="auto"/>
                <w:color w:val="0000FF"/>
              </w:rPr>
            </w:pPr>
            <w:hyperlink w:anchor="page77">
              <w:r>
                <w:rPr>
                  <w:rFonts w:ascii="Arial" w:cs="Arial" w:eastAsia="Arial" w:hAnsi="Arial"/>
                  <w:sz w:val="14"/>
                  <w:szCs w:val="14"/>
                  <w:u w:val="single" w:color="auto"/>
                  <w:color w:val="0000FF"/>
                </w:rPr>
                <w:t>for the Years Ended December 31, 2020, 2019 and 2018</w:t>
              </w:r>
            </w:hyperlink>
          </w:p>
        </w:tc>
        <w:tc>
          <w:tcPr>
            <w:tcW w:w="1180" w:type="dxa"/>
            <w:vAlign w:val="bottom"/>
          </w:tcPr>
          <w:p>
            <w:pPr>
              <w:jc w:val="right"/>
              <w:spacing w:after="0"/>
              <w:rPr>
                <w:rFonts w:ascii="Arial" w:cs="Arial" w:eastAsia="Arial" w:hAnsi="Arial"/>
                <w:sz w:val="14"/>
                <w:szCs w:val="14"/>
                <w:color w:val="auto"/>
              </w:rPr>
            </w:pPr>
            <w:hyperlink w:anchor="page77">
              <w:r>
                <w:rPr>
                  <w:rFonts w:ascii="Arial" w:cs="Arial" w:eastAsia="Arial" w:hAnsi="Arial"/>
                  <w:sz w:val="14"/>
                  <w:szCs w:val="14"/>
                  <w:color w:val="auto"/>
                </w:rPr>
                <w:t>76</w:t>
              </w:r>
            </w:hyperlink>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78">
              <w:r>
                <w:rPr>
                  <w:rFonts w:ascii="Arial" w:cs="Arial" w:eastAsia="Arial" w:hAnsi="Arial"/>
                  <w:sz w:val="14"/>
                  <w:szCs w:val="14"/>
                  <w:u w:val="single" w:color="auto"/>
                  <w:color w:val="0000FF"/>
                </w:rPr>
                <w:t>Consolidated Balance Sheets as of December 31, 2020 and 2019</w:t>
              </w:r>
            </w:hyperlink>
          </w:p>
        </w:tc>
        <w:tc>
          <w:tcPr>
            <w:tcW w:w="1180" w:type="dxa"/>
            <w:vAlign w:val="bottom"/>
          </w:tcPr>
          <w:p>
            <w:pPr>
              <w:jc w:val="right"/>
              <w:spacing w:after="0"/>
              <w:rPr>
                <w:rFonts w:ascii="Arial" w:cs="Arial" w:eastAsia="Arial" w:hAnsi="Arial"/>
                <w:sz w:val="14"/>
                <w:szCs w:val="14"/>
                <w:color w:val="auto"/>
              </w:rPr>
            </w:pPr>
            <w:hyperlink w:anchor="page78">
              <w:r>
                <w:rPr>
                  <w:rFonts w:ascii="Arial" w:cs="Arial" w:eastAsia="Arial" w:hAnsi="Arial"/>
                  <w:sz w:val="14"/>
                  <w:szCs w:val="14"/>
                  <w:color w:val="auto"/>
                </w:rPr>
                <w:t>77</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Consolidated Statements of Equity</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9440" w:type="dxa"/>
            <w:vAlign w:val="bottom"/>
          </w:tcPr>
          <w:p>
            <w:pPr>
              <w:ind w:left="1000"/>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for the Years Ended December 31, 2020, 2019 and 2018</w:t>
              </w:r>
            </w:hyperlink>
          </w:p>
        </w:tc>
        <w:tc>
          <w:tcPr>
            <w:tcW w:w="1180" w:type="dxa"/>
            <w:vAlign w:val="bottom"/>
          </w:tcPr>
          <w:p>
            <w:pPr>
              <w:jc w:val="right"/>
              <w:spacing w:after="0"/>
              <w:rPr>
                <w:rFonts w:ascii="Arial" w:cs="Arial" w:eastAsia="Arial" w:hAnsi="Arial"/>
                <w:sz w:val="14"/>
                <w:szCs w:val="14"/>
                <w:color w:val="auto"/>
              </w:rPr>
            </w:pPr>
            <w:hyperlink w:anchor="page79">
              <w:r>
                <w:rPr>
                  <w:rFonts w:ascii="Arial" w:cs="Arial" w:eastAsia="Arial" w:hAnsi="Arial"/>
                  <w:sz w:val="14"/>
                  <w:szCs w:val="14"/>
                  <w:color w:val="auto"/>
                </w:rPr>
                <w:t>78</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80">
              <w:r>
                <w:rPr>
                  <w:rFonts w:ascii="Arial" w:cs="Arial" w:eastAsia="Arial" w:hAnsi="Arial"/>
                  <w:sz w:val="14"/>
                  <w:szCs w:val="14"/>
                  <w:u w:val="single" w:color="auto"/>
                  <w:color w:val="0000FF"/>
                </w:rPr>
                <w:t>Consolidated Statements of Cash Flows</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9440" w:type="dxa"/>
            <w:vAlign w:val="bottom"/>
          </w:tcPr>
          <w:p>
            <w:pPr>
              <w:ind w:left="1000"/>
              <w:spacing w:after="0"/>
              <w:rPr>
                <w:rFonts w:ascii="Arial" w:cs="Arial" w:eastAsia="Arial" w:hAnsi="Arial"/>
                <w:sz w:val="14"/>
                <w:szCs w:val="14"/>
                <w:u w:val="single" w:color="auto"/>
                <w:color w:val="0000FF"/>
              </w:rPr>
            </w:pPr>
            <w:hyperlink w:anchor="page80">
              <w:r>
                <w:rPr>
                  <w:rFonts w:ascii="Arial" w:cs="Arial" w:eastAsia="Arial" w:hAnsi="Arial"/>
                  <w:sz w:val="14"/>
                  <w:szCs w:val="14"/>
                  <w:u w:val="single" w:color="auto"/>
                  <w:color w:val="0000FF"/>
                </w:rPr>
                <w:t>for the Years Ended December 31, 2020, 2019 and 2018</w:t>
              </w:r>
            </w:hyperlink>
          </w:p>
        </w:tc>
        <w:tc>
          <w:tcPr>
            <w:tcW w:w="1180" w:type="dxa"/>
            <w:vAlign w:val="bottom"/>
          </w:tcPr>
          <w:p>
            <w:pPr>
              <w:jc w:val="right"/>
              <w:spacing w:after="0"/>
              <w:rPr>
                <w:rFonts w:ascii="Arial" w:cs="Arial" w:eastAsia="Arial" w:hAnsi="Arial"/>
                <w:sz w:val="14"/>
                <w:szCs w:val="14"/>
                <w:color w:val="auto"/>
              </w:rPr>
            </w:pPr>
            <w:hyperlink w:anchor="page80">
              <w:r>
                <w:rPr>
                  <w:rFonts w:ascii="Arial" w:cs="Arial" w:eastAsia="Arial" w:hAnsi="Arial"/>
                  <w:sz w:val="14"/>
                  <w:szCs w:val="14"/>
                  <w:color w:val="auto"/>
                </w:rPr>
                <w:t>79</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440" w:type="dxa"/>
            <w:vAlign w:val="bottom"/>
          </w:tcPr>
          <w:p>
            <w:pPr>
              <w:ind w:left="88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Notes to Consolidated Financial Statements</w:t>
              </w:r>
            </w:hyperlink>
          </w:p>
        </w:tc>
        <w:tc>
          <w:tcPr>
            <w:tcW w:w="1180" w:type="dxa"/>
            <w:vAlign w:val="bottom"/>
          </w:tcPr>
          <w:p>
            <w:pPr>
              <w:jc w:val="right"/>
              <w:spacing w:after="0"/>
              <w:rPr>
                <w:rFonts w:ascii="Arial" w:cs="Arial" w:eastAsia="Arial" w:hAnsi="Arial"/>
                <w:sz w:val="14"/>
                <w:szCs w:val="14"/>
                <w:color w:val="auto"/>
              </w:rPr>
            </w:pPr>
            <w:hyperlink w:anchor="page81">
              <w:r>
                <w:rPr>
                  <w:rFonts w:ascii="Arial" w:cs="Arial" w:eastAsia="Arial" w:hAnsi="Arial"/>
                  <w:sz w:val="14"/>
                  <w:szCs w:val="14"/>
                  <w:color w:val="auto"/>
                </w:rPr>
                <w:t>80</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9.</w:t>
            </w:r>
          </w:p>
        </w:tc>
        <w:tc>
          <w:tcPr>
            <w:tcW w:w="9440" w:type="dxa"/>
            <w:vAlign w:val="bottom"/>
          </w:tcPr>
          <w:p>
            <w:pPr>
              <w:ind w:left="540"/>
              <w:spacing w:after="0"/>
              <w:rPr>
                <w:rFonts w:ascii="Arial" w:cs="Arial" w:eastAsia="Arial" w:hAnsi="Arial"/>
                <w:sz w:val="14"/>
                <w:szCs w:val="14"/>
                <w:u w:val="single" w:color="auto"/>
                <w:color w:val="0000FF"/>
              </w:rPr>
            </w:pPr>
            <w:hyperlink w:anchor="page132">
              <w:r>
                <w:rPr>
                  <w:rFonts w:ascii="Arial" w:cs="Arial" w:eastAsia="Arial" w:hAnsi="Arial"/>
                  <w:sz w:val="14"/>
                  <w:szCs w:val="14"/>
                  <w:u w:val="single" w:color="auto"/>
                  <w:color w:val="0000FF"/>
                </w:rPr>
                <w:t>Changes in and Disagreements with Accountants on Accounting and Financial Disclosure</w:t>
              </w:r>
            </w:hyperlink>
          </w:p>
        </w:tc>
        <w:tc>
          <w:tcPr>
            <w:tcW w:w="1180" w:type="dxa"/>
            <w:vAlign w:val="bottom"/>
          </w:tcPr>
          <w:p>
            <w:pPr>
              <w:jc w:val="right"/>
              <w:spacing w:after="0"/>
              <w:rPr>
                <w:rFonts w:ascii="Arial" w:cs="Arial" w:eastAsia="Arial" w:hAnsi="Arial"/>
                <w:sz w:val="14"/>
                <w:szCs w:val="14"/>
                <w:color w:val="auto"/>
              </w:rPr>
            </w:pPr>
            <w:hyperlink w:anchor="page132">
              <w:r>
                <w:rPr>
                  <w:rFonts w:ascii="Arial" w:cs="Arial" w:eastAsia="Arial" w:hAnsi="Arial"/>
                  <w:sz w:val="14"/>
                  <w:szCs w:val="14"/>
                  <w:color w:val="auto"/>
                </w:rPr>
                <w:t>131</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9A.</w:t>
            </w:r>
          </w:p>
        </w:tc>
        <w:tc>
          <w:tcPr>
            <w:tcW w:w="9440" w:type="dxa"/>
            <w:vAlign w:val="bottom"/>
          </w:tcPr>
          <w:p>
            <w:pPr>
              <w:ind w:left="540"/>
              <w:spacing w:after="0"/>
              <w:rPr>
                <w:rFonts w:ascii="Arial" w:cs="Arial" w:eastAsia="Arial" w:hAnsi="Arial"/>
                <w:sz w:val="14"/>
                <w:szCs w:val="14"/>
                <w:u w:val="single" w:color="auto"/>
                <w:color w:val="0000FF"/>
              </w:rPr>
            </w:pPr>
            <w:hyperlink w:anchor="page133">
              <w:r>
                <w:rPr>
                  <w:rFonts w:ascii="Arial" w:cs="Arial" w:eastAsia="Arial" w:hAnsi="Arial"/>
                  <w:sz w:val="14"/>
                  <w:szCs w:val="14"/>
                  <w:u w:val="single" w:color="auto"/>
                  <w:color w:val="0000FF"/>
                </w:rPr>
                <w:t>Controls and Procedures</w:t>
              </w:r>
            </w:hyperlink>
          </w:p>
        </w:tc>
        <w:tc>
          <w:tcPr>
            <w:tcW w:w="1180" w:type="dxa"/>
            <w:vAlign w:val="bottom"/>
          </w:tcPr>
          <w:p>
            <w:pPr>
              <w:jc w:val="right"/>
              <w:spacing w:after="0"/>
              <w:rPr>
                <w:rFonts w:ascii="Arial" w:cs="Arial" w:eastAsia="Arial" w:hAnsi="Arial"/>
                <w:sz w:val="14"/>
                <w:szCs w:val="14"/>
                <w:color w:val="auto"/>
              </w:rPr>
            </w:pPr>
            <w:hyperlink w:anchor="page133">
              <w:r>
                <w:rPr>
                  <w:rFonts w:ascii="Arial" w:cs="Arial" w:eastAsia="Arial" w:hAnsi="Arial"/>
                  <w:sz w:val="14"/>
                  <w:szCs w:val="14"/>
                  <w:color w:val="auto"/>
                </w:rPr>
                <w:t>131</w:t>
              </w:r>
            </w:hyperlink>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Item 9B.</w:t>
            </w:r>
          </w:p>
        </w:tc>
        <w:tc>
          <w:tcPr>
            <w:tcW w:w="9440" w:type="dxa"/>
            <w:vAlign w:val="bottom"/>
          </w:tcPr>
          <w:p>
            <w:pPr>
              <w:ind w:left="540"/>
              <w:spacing w:after="0"/>
              <w:rPr>
                <w:rFonts w:ascii="Arial" w:cs="Arial" w:eastAsia="Arial" w:hAnsi="Arial"/>
                <w:sz w:val="14"/>
                <w:szCs w:val="14"/>
                <w:u w:val="single" w:color="auto"/>
                <w:color w:val="0000FF"/>
              </w:rPr>
            </w:pPr>
            <w:hyperlink w:anchor="page134">
              <w:r>
                <w:rPr>
                  <w:rFonts w:ascii="Arial" w:cs="Arial" w:eastAsia="Arial" w:hAnsi="Arial"/>
                  <w:sz w:val="14"/>
                  <w:szCs w:val="14"/>
                  <w:u w:val="single" w:color="auto"/>
                  <w:color w:val="0000FF"/>
                </w:rPr>
                <w:t>Other Information</w:t>
              </w:r>
            </w:hyperlink>
          </w:p>
        </w:tc>
        <w:tc>
          <w:tcPr>
            <w:tcW w:w="118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238"/>
        </w:trPr>
        <w:tc>
          <w:tcPr>
            <w:tcW w:w="10020" w:type="dxa"/>
            <w:vAlign w:val="bottom"/>
            <w:gridSpan w:val="2"/>
          </w:tcPr>
          <w:p>
            <w:pPr>
              <w:spacing w:after="0"/>
              <w:rPr>
                <w:rFonts w:ascii="Arial" w:cs="Arial" w:eastAsia="Arial" w:hAnsi="Arial"/>
                <w:sz w:val="14"/>
                <w:szCs w:val="14"/>
                <w:b w:val="1"/>
                <w:bCs w:val="1"/>
                <w:u w:val="single" w:color="auto"/>
                <w:color w:val="0000FF"/>
              </w:rPr>
            </w:pPr>
            <w:hyperlink w:anchor="page134">
              <w:r>
                <w:rPr>
                  <w:rFonts w:ascii="Arial" w:cs="Arial" w:eastAsia="Arial" w:hAnsi="Arial"/>
                  <w:sz w:val="14"/>
                  <w:szCs w:val="14"/>
                  <w:b w:val="1"/>
                  <w:bCs w:val="1"/>
                  <w:u w:val="single" w:color="auto"/>
                  <w:color w:val="0000FF"/>
                </w:rPr>
                <w:t>Part III –</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10.</w:t>
            </w:r>
          </w:p>
        </w:tc>
        <w:tc>
          <w:tcPr>
            <w:tcW w:w="9440" w:type="dxa"/>
            <w:vAlign w:val="bottom"/>
          </w:tcPr>
          <w:p>
            <w:pPr>
              <w:ind w:left="540"/>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Directors, Executive Officers and Corporate Governance</w:t>
              </w:r>
            </w:hyperlink>
          </w:p>
        </w:tc>
        <w:tc>
          <w:tcPr>
            <w:tcW w:w="1180" w:type="dxa"/>
            <w:vAlign w:val="bottom"/>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Item 11.</w:t>
            </w:r>
          </w:p>
        </w:tc>
        <w:tc>
          <w:tcPr>
            <w:tcW w:w="9440" w:type="dxa"/>
            <w:vAlign w:val="bottom"/>
          </w:tcPr>
          <w:p>
            <w:pPr>
              <w:ind w:left="540"/>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Executive Compensation</w:t>
              </w:r>
            </w:hyperlink>
          </w:p>
        </w:tc>
        <w:tc>
          <w:tcPr>
            <w:tcW w:w="1180" w:type="dxa"/>
            <w:vAlign w:val="bottom"/>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r>
              <w:rPr>
                <w:rFonts w:ascii="Arial" w:cs="Arial" w:eastAsia="Arial" w:hAnsi="Arial"/>
                <w:sz w:val="14"/>
                <w:szCs w:val="14"/>
                <w:color w:val="auto"/>
              </w:rPr>
              <w:t>Item 12.</w:t>
            </w:r>
          </w:p>
        </w:tc>
        <w:tc>
          <w:tcPr>
            <w:tcW w:w="9440" w:type="dxa"/>
            <w:vAlign w:val="bottom"/>
          </w:tcPr>
          <w:p>
            <w:pPr>
              <w:ind w:left="540"/>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Security Ownership of Certain Beneficial Owners and Management</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9440" w:type="dxa"/>
            <w:vAlign w:val="bottom"/>
          </w:tcPr>
          <w:p>
            <w:pPr>
              <w:ind w:left="660"/>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and Related Stockholder Matters</w:t>
              </w:r>
            </w:hyperlink>
          </w:p>
        </w:tc>
        <w:tc>
          <w:tcPr>
            <w:tcW w:w="1180" w:type="dxa"/>
            <w:vAlign w:val="bottom"/>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color w:val="auto"/>
              </w:rPr>
              <w:t>Item 13.</w:t>
            </w:r>
          </w:p>
        </w:tc>
        <w:tc>
          <w:tcPr>
            <w:tcW w:w="9440" w:type="dxa"/>
            <w:vAlign w:val="bottom"/>
          </w:tcPr>
          <w:p>
            <w:pPr>
              <w:ind w:left="540"/>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Certain Relationships and Related Transactions, and Director Independence</w:t>
              </w:r>
            </w:hyperlink>
          </w:p>
        </w:tc>
        <w:tc>
          <w:tcPr>
            <w:tcW w:w="1180" w:type="dxa"/>
            <w:vAlign w:val="bottom"/>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Item 14.</w:t>
            </w:r>
          </w:p>
        </w:tc>
        <w:tc>
          <w:tcPr>
            <w:tcW w:w="9440" w:type="dxa"/>
            <w:vAlign w:val="bottom"/>
          </w:tcPr>
          <w:p>
            <w:pPr>
              <w:ind w:left="540"/>
              <w:spacing w:after="0"/>
              <w:rPr>
                <w:rFonts w:ascii="Arial" w:cs="Arial" w:eastAsia="Arial" w:hAnsi="Arial"/>
                <w:sz w:val="14"/>
                <w:szCs w:val="14"/>
                <w:u w:val="single" w:color="auto"/>
                <w:color w:val="0000FF"/>
              </w:rPr>
            </w:pPr>
            <w:hyperlink w:anchor="page135">
              <w:r>
                <w:rPr>
                  <w:rFonts w:ascii="Arial" w:cs="Arial" w:eastAsia="Arial" w:hAnsi="Arial"/>
                  <w:sz w:val="14"/>
                  <w:szCs w:val="14"/>
                  <w:u w:val="single" w:color="auto"/>
                  <w:color w:val="0000FF"/>
                </w:rPr>
                <w:t>Principal Accountant Fees and Services</w:t>
              </w:r>
            </w:hyperlink>
          </w:p>
        </w:tc>
        <w:tc>
          <w:tcPr>
            <w:tcW w:w="1180" w:type="dxa"/>
            <w:vAlign w:val="bottom"/>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238"/>
        </w:trPr>
        <w:tc>
          <w:tcPr>
            <w:tcW w:w="580" w:type="dxa"/>
            <w:vAlign w:val="bottom"/>
          </w:tcPr>
          <w:p>
            <w:pPr>
              <w:spacing w:after="0"/>
              <w:rPr>
                <w:rFonts w:ascii="Arial" w:cs="Arial" w:eastAsia="Arial" w:hAnsi="Arial"/>
                <w:sz w:val="14"/>
                <w:szCs w:val="14"/>
                <w:b w:val="1"/>
                <w:bCs w:val="1"/>
                <w:u w:val="single" w:color="auto"/>
                <w:color w:val="0000FF"/>
              </w:rPr>
            </w:pPr>
            <w:hyperlink w:anchor="page135">
              <w:r>
                <w:rPr>
                  <w:rFonts w:ascii="Arial" w:cs="Arial" w:eastAsia="Arial" w:hAnsi="Arial"/>
                  <w:sz w:val="14"/>
                  <w:szCs w:val="14"/>
                  <w:b w:val="1"/>
                  <w:bCs w:val="1"/>
                  <w:u w:val="single" w:color="auto"/>
                  <w:color w:val="0000FF"/>
                </w:rPr>
                <w:t>Part IV</w:t>
              </w:r>
            </w:hyperlink>
          </w:p>
        </w:tc>
        <w:tc>
          <w:tcPr>
            <w:tcW w:w="9440" w:type="dxa"/>
            <w:vAlign w:val="bottom"/>
          </w:tcPr>
          <w:p>
            <w:pPr>
              <w:spacing w:after="0"/>
              <w:rPr>
                <w:rFonts w:ascii="Arial" w:cs="Arial" w:eastAsia="Arial" w:hAnsi="Arial"/>
                <w:sz w:val="14"/>
                <w:szCs w:val="14"/>
                <w:b w:val="1"/>
                <w:bCs w:val="1"/>
                <w:u w:val="single" w:color="auto"/>
                <w:color w:val="0000FF"/>
              </w:rPr>
            </w:pPr>
            <w:hyperlink w:anchor="page135">
              <w:r>
                <w:rPr>
                  <w:rFonts w:ascii="Arial" w:cs="Arial" w:eastAsia="Arial" w:hAnsi="Arial"/>
                  <w:sz w:val="14"/>
                  <w:szCs w:val="14"/>
                  <w:b w:val="1"/>
                  <w:bCs w:val="1"/>
                  <w:u w:val="single" w:color="auto"/>
                  <w:color w:val="0000FF"/>
                </w:rPr>
                <w:t>–</w:t>
              </w:r>
            </w:hyperlink>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Item 15.</w:t>
            </w:r>
          </w:p>
        </w:tc>
        <w:tc>
          <w:tcPr>
            <w:tcW w:w="9440" w:type="dxa"/>
            <w:vAlign w:val="bottom"/>
          </w:tcPr>
          <w:p>
            <w:pPr>
              <w:ind w:left="540"/>
              <w:spacing w:after="0"/>
              <w:rPr>
                <w:rFonts w:ascii="Arial" w:cs="Arial" w:eastAsia="Arial" w:hAnsi="Arial"/>
                <w:sz w:val="14"/>
                <w:szCs w:val="14"/>
                <w:u w:val="single" w:color="auto"/>
                <w:color w:val="0000FF"/>
              </w:rPr>
            </w:pPr>
            <w:hyperlink w:anchor="page136">
              <w:r>
                <w:rPr>
                  <w:rFonts w:ascii="Arial" w:cs="Arial" w:eastAsia="Arial" w:hAnsi="Arial"/>
                  <w:sz w:val="14"/>
                  <w:szCs w:val="14"/>
                  <w:u w:val="single" w:color="auto"/>
                  <w:color w:val="0000FF"/>
                </w:rPr>
                <w:t>Exhibits and Financial Statement Schedules</w:t>
              </w:r>
            </w:hyperlink>
          </w:p>
        </w:tc>
        <w:tc>
          <w:tcPr>
            <w:tcW w:w="1180" w:type="dxa"/>
            <w:vAlign w:val="bottom"/>
          </w:tcPr>
          <w:p>
            <w:pPr>
              <w:jc w:val="right"/>
              <w:spacing w:after="0"/>
              <w:rPr>
                <w:rFonts w:ascii="Arial" w:cs="Arial" w:eastAsia="Arial" w:hAnsi="Arial"/>
                <w:sz w:val="14"/>
                <w:szCs w:val="14"/>
                <w:color w:val="auto"/>
              </w:rPr>
            </w:pPr>
            <w:hyperlink w:anchor="page136">
              <w:r>
                <w:rPr>
                  <w:rFonts w:ascii="Arial" w:cs="Arial" w:eastAsia="Arial" w:hAnsi="Arial"/>
                  <w:sz w:val="14"/>
                  <w:szCs w:val="14"/>
                  <w:color w:val="auto"/>
                </w:rPr>
                <w:t>134</w:t>
              </w:r>
            </w:hyperlink>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4"/>
                <w:szCs w:val="14"/>
                <w:color w:val="auto"/>
              </w:rPr>
              <w:t>Item 16.</w:t>
            </w:r>
          </w:p>
        </w:tc>
        <w:tc>
          <w:tcPr>
            <w:tcW w:w="9440" w:type="dxa"/>
            <w:vAlign w:val="bottom"/>
          </w:tcPr>
          <w:p>
            <w:pPr>
              <w:ind w:left="540"/>
              <w:spacing w:after="0"/>
              <w:rPr>
                <w:rFonts w:ascii="Arial" w:cs="Arial" w:eastAsia="Arial" w:hAnsi="Arial"/>
                <w:sz w:val="14"/>
                <w:szCs w:val="14"/>
                <w:u w:val="single" w:color="auto"/>
                <w:color w:val="0000FF"/>
              </w:rPr>
            </w:pPr>
            <w:hyperlink w:anchor="page140">
              <w:r>
                <w:rPr>
                  <w:rFonts w:ascii="Arial" w:cs="Arial" w:eastAsia="Arial" w:hAnsi="Arial"/>
                  <w:sz w:val="14"/>
                  <w:szCs w:val="14"/>
                  <w:u w:val="single" w:color="auto"/>
                  <w:color w:val="0000FF"/>
                </w:rPr>
                <w:t>Form 10-K Summary</w:t>
              </w:r>
            </w:hyperlink>
          </w:p>
        </w:tc>
        <w:tc>
          <w:tcPr>
            <w:tcW w:w="1180" w:type="dxa"/>
            <w:vAlign w:val="bottom"/>
          </w:tcPr>
          <w:p>
            <w:pPr>
              <w:jc w:val="right"/>
              <w:spacing w:after="0"/>
              <w:rPr>
                <w:rFonts w:ascii="Arial" w:cs="Arial" w:eastAsia="Arial" w:hAnsi="Arial"/>
                <w:sz w:val="14"/>
                <w:szCs w:val="14"/>
                <w:color w:val="auto"/>
              </w:rPr>
            </w:pPr>
            <w:hyperlink w:anchor="page140">
              <w:r>
                <w:rPr>
                  <w:rFonts w:ascii="Arial" w:cs="Arial" w:eastAsia="Arial" w:hAnsi="Arial"/>
                  <w:sz w:val="14"/>
                  <w:szCs w:val="14"/>
                  <w:color w:val="auto"/>
                </w:rPr>
                <w:t>138</w:t>
              </w:r>
            </w:hyperlink>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9440" w:type="dxa"/>
            <w:vAlign w:val="bottom"/>
          </w:tcPr>
          <w:p>
            <w:pPr>
              <w:ind w:left="540"/>
              <w:spacing w:after="0"/>
              <w:rPr>
                <w:rFonts w:ascii="Arial" w:cs="Arial" w:eastAsia="Arial" w:hAnsi="Arial"/>
                <w:sz w:val="14"/>
                <w:szCs w:val="14"/>
                <w:u w:val="single" w:color="auto"/>
                <w:color w:val="0000FF"/>
              </w:rPr>
            </w:pPr>
            <w:hyperlink w:anchor="page140">
              <w:r>
                <w:rPr>
                  <w:rFonts w:ascii="Arial" w:cs="Arial" w:eastAsia="Arial" w:hAnsi="Arial"/>
                  <w:sz w:val="14"/>
                  <w:szCs w:val="14"/>
                  <w:u w:val="single" w:color="auto"/>
                  <w:color w:val="0000FF"/>
                </w:rPr>
                <w:t>Signatures</w:t>
              </w:r>
            </w:hyperlink>
          </w:p>
        </w:tc>
        <w:tc>
          <w:tcPr>
            <w:tcW w:w="1180" w:type="dxa"/>
            <w:vAlign w:val="bottom"/>
          </w:tcPr>
          <w:p>
            <w:pPr>
              <w:jc w:val="right"/>
              <w:spacing w:after="0"/>
              <w:rPr>
                <w:rFonts w:ascii="Arial" w:cs="Arial" w:eastAsia="Arial" w:hAnsi="Arial"/>
                <w:sz w:val="14"/>
                <w:szCs w:val="14"/>
                <w:color w:val="auto"/>
              </w:rPr>
            </w:pPr>
            <w:hyperlink w:anchor="page140">
              <w:r>
                <w:rPr>
                  <w:rFonts w:ascii="Arial" w:cs="Arial" w:eastAsia="Arial" w:hAnsi="Arial"/>
                  <w:sz w:val="14"/>
                  <w:szCs w:val="14"/>
                  <w:color w:val="auto"/>
                </w:rPr>
                <w:t>139</w:t>
              </w:r>
            </w:hyperlink>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9440" w:type="dxa"/>
            <w:vAlign w:val="bottom"/>
          </w:tcPr>
          <w:p>
            <w:pPr>
              <w:ind w:left="540"/>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Valuation and Qualifying Accounts</w:t>
              </w:r>
            </w:hyperlink>
          </w:p>
        </w:tc>
        <w:tc>
          <w:tcPr>
            <w:tcW w:w="1180" w:type="dxa"/>
            <w:vAlign w:val="bottom"/>
          </w:tcPr>
          <w:p>
            <w:pPr>
              <w:jc w:val="right"/>
              <w:spacing w:after="0"/>
              <w:rPr>
                <w:rFonts w:ascii="Arial" w:cs="Arial" w:eastAsia="Arial" w:hAnsi="Arial"/>
                <w:sz w:val="14"/>
                <w:szCs w:val="14"/>
                <w:color w:val="auto"/>
              </w:rPr>
            </w:pPr>
            <w:r>
              <w:rPr>
                <w:rFonts w:ascii="Arial" w:cs="Arial" w:eastAsia="Arial" w:hAnsi="Arial"/>
                <w:sz w:val="14"/>
                <w:szCs w:val="14"/>
                <w:color w:val="auto"/>
              </w:rPr>
              <w:t>S-</w:t>
            </w:r>
            <w:hyperlink w:anchor="page141">
              <w:r>
                <w:rPr>
                  <w:rFonts w:ascii="Arial" w:cs="Arial" w:eastAsia="Arial" w:hAnsi="Arial"/>
                  <w:sz w:val="14"/>
                  <w:szCs w:val="14"/>
                  <w:color w:val="auto"/>
                </w:rPr>
                <w:t>1</w:t>
              </w:r>
            </w:hyperlink>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report contains a number of forward-looking statements. Words, and variations of words, such as “will,” “may,” “expect,” “would,” “could,” “might,” “plan,” “believe,” “estimate,” “anticipate,” “likely,” “drive,” “seek,” “aim,” “potential,” “project,” “objective,” “commitment,” “outlook” and similar expressions are intended to identify our forward-looking statements, including but not limited to statements about: the impact of the COVID-19 outbreak on consumer demand, costs, product mix, the availability of our products, our strategic initiatives, our and our partners’ global supply chains, operations and routes to market, and our financial results; our future performance, including our future revenue growth, profitability and earnings growth; our strategy to accelerate consumer-centric growth, drive operational excellence and create a winning growth culture; our leadership position in snacking; our ability to meet consumer needs and demand and identify innovation and renovation opportunities; the results of driving operational excellence; volatility in global consumer, commodity, currency and capital markets; price volatility and pricing actions; the cost environment and measures to address increased costs; our tax rate, tax positions, tax proceedings, transition tax liability and the impact of U.S. and Swiss tax reform on our future results; market share; the United Kingdom ("U.K.") withdrawal from the European Union ("E.U.") and its impact on our business and results, including in connection with disagreements on trade terms, increased costs or supply chain or distribution delays, or other disruptions or negative impacts; the costs of, timing of expenditures under and completion of our restructuring program; category growth; our effect on demand and our market position; consumer snacking behaviors; commodity prices and supply; our investments; research, development and innovation; political, business and economic conditions and volatility; the effect of the imposition of increased or new tariffs, quotas, trade barriers or similar restrictions on our sales or key commodities and potential changes in U.S. trade programs, trade relations, regulations, taxes or fiscal policies; currency exchange rates, controls and restrictions, volatility in foreign currencies and the effect of currency translation on our results of operations; the application of highly inflationary accounting for our Argentinean subsidiaries and the potential for and impacts from currency devaluation in other countries; our e-commerce channel strategies; manufacturing and distribution capacity; changes in laws and regulations, regulatory compliance and related costs;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obligations, expenses, contributions and assumptions; employee benefit plan expenses, obligations and assumptions; compensation expense; our human capital initiatives; our sustainability and mindful snacking strategies, goals and initiatives and the impacts of climate change; our ability to prevent and respond to cybersecurity breaches and disruptions; our liquidity, funding sources and uses of funding, including debt issuances and our use of commercial paper; our capital structure and liquidity, credit availability and our ability to raise capital, and the impact of market disruptions on us, our counterparties and our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share repurchases; dividends; long-term value for our shareholders; guarantees; compliance with our debt covenants; and our contractual and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and many of these risks and uncertainties are currently amplified by and may continue to be amplified by the COVID-19 outbreak. Important factors that could cause our actual results to differ materially from those described in our forward-looking statements include, but are not limited to, uncertainty about the magnitude, duration, geographic reach, impact on the global economy and related current and potential travel restrictions of the COVID-19 outbreak; the current, and uncertain future, impact of the COVID-19 outbreak on our business, growth, reputation, prospects, financial condition, operating results (including components of our financial results), cash flows and liquidity; risks from operating globally including in emerging markets; changes in currency exchange rates, controls and restrictions; volatility of commodity and other input costs; weakness in economic conditions; weakness in consumer spending; pricing actions; tax matters including changes in tax laws and rates,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customers, suppliers or distributors; legal, regulatory, tax or benefit law changes, claims or actions; the impact of climate change on our supply chain and operations;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and our liquidity;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4"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We are one of the world’s largest snack companies with global net revenues of $26.6 billion and net earnings of $3.6 billion in 2020. We make and sell primarily snacks, including biscuits (cookies, crackers and salted snacks), chocolate, gum &amp; candy, as well as various cheese</w:t>
      </w:r>
    </w:p>
    <w:p>
      <w:pPr>
        <w:spacing w:after="0" w:line="1" w:lineRule="exact"/>
        <w:rPr>
          <w:sz w:val="20"/>
          <w:szCs w:val="20"/>
          <w:color w:val="auto"/>
        </w:rPr>
      </w:pPr>
    </w:p>
    <w:p>
      <w:pPr>
        <w:ind w:right="300" w:firstLine="8"/>
        <w:spacing w:after="0" w:line="266" w:lineRule="auto"/>
        <w:tabs>
          <w:tab w:leader="none" w:pos="1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grocery and powdered beverage products. Our portfolio includes snack brands such as </w:t>
      </w:r>
      <w:r>
        <w:rPr>
          <w:rFonts w:ascii="Arial" w:cs="Arial" w:eastAsia="Arial" w:hAnsi="Arial"/>
          <w:sz w:val="18"/>
          <w:szCs w:val="18"/>
          <w:i w:val="1"/>
          <w:iCs w:val="1"/>
          <w:color w:val="auto"/>
        </w:rPr>
        <w:t>Cadbury,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Toblerone</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Oreo,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belVita </w:t>
      </w:r>
      <w:r>
        <w:rPr>
          <w:rFonts w:ascii="Arial" w:cs="Arial" w:eastAsia="Arial" w:hAnsi="Arial"/>
          <w:sz w:val="18"/>
          <w:szCs w:val="18"/>
          <w:color w:val="auto"/>
        </w:rPr>
        <w:t>and</w:t>
      </w:r>
      <w:r>
        <w:rPr>
          <w:rFonts w:ascii="Arial" w:cs="Arial" w:eastAsia="Arial" w:hAnsi="Arial"/>
          <w:sz w:val="18"/>
          <w:szCs w:val="18"/>
          <w:i w:val="1"/>
          <w:iCs w:val="1"/>
          <w:color w:val="auto"/>
        </w:rPr>
        <w:t xml:space="preserve"> LU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158750</wp:posOffset>
            </wp:positionV>
            <wp:extent cx="5863590" cy="2357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We aim to be the global leader in snacking by focusing on growth, execution and culture. In 2020, while the COVID-19 pandemic significantly affected economies, marketplaces, communities and businesses around the world, including ours, we prioritized our employees, customers and communities and largely continued to execute against our strategic priorities and positioned ourselves to emerge stronger. Please refer to our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discussion in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Our strategic plan builds on our strong foundations, including our unique portfolio of iconic global and local brands, our attractive global footprint, our market leadership in developed and emerging markets, our deep innovation, marketing and distribution capabilities, and our margin expansion in recent years that allows us to make ongoing investments in our brands and capabilities.</w:t>
      </w:r>
    </w:p>
    <w:p>
      <w:pPr>
        <w:spacing w:after="0" w:line="20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Our plan to drive long-term growth includes three strategic priorities: accelerating consumer-centric growth, driving operational excellence and creating a winning growth culture.</w:t>
      </w:r>
    </w:p>
    <w:p>
      <w:pPr>
        <w:spacing w:after="0" w:line="171" w:lineRule="exact"/>
        <w:rPr>
          <w:sz w:val="20"/>
          <w:szCs w:val="20"/>
          <w:color w:val="auto"/>
        </w:rPr>
      </w:pPr>
    </w:p>
    <w:p>
      <w:pPr>
        <w:ind w:left="660" w:right="10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As demands on consumers’ time increase and consumer eating habits evolve, we aim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snacking needs by providing the right snack, for the right moment, made the right way. We have developed innovative approaches to identify and address how consumers snack across different emotional and functional needs and occasions that we believe will allow us to meet their needs and identify new innovation and renovation opportunities. We plan to test, learn and scale new product offerings quickly to meet diverse and evolving local and global snacking demand. We believe our understanding of consumers’ behavior will continue to lead to our meeting more of their needs and the growing demand for snacks.</w:t>
      </w:r>
    </w:p>
    <w:p>
      <w:pPr>
        <w:spacing w:after="0" w:line="203" w:lineRule="exact"/>
        <w:rPr>
          <w:rFonts w:ascii="Arial" w:cs="Arial" w:eastAsia="Arial" w:hAnsi="Arial"/>
          <w:sz w:val="18"/>
          <w:szCs w:val="18"/>
          <w:color w:val="auto"/>
        </w:rPr>
      </w:pPr>
    </w:p>
    <w:p>
      <w:pPr>
        <w:ind w:left="660" w:right="20" w:hanging="328"/>
        <w:spacing w:after="0" w:line="26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Our operational excellence and continuous improvement plans include a special focus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consumer-facing areas of our business and optimizing our sales, marketing and customer service efforts. To drive productivity gains and cost improvements across our business, we also plan to continue leveraging our global shared services platform, driving greater efficiencies in our supply</w:t>
      </w:r>
    </w:p>
    <w:p>
      <w:pPr>
        <w:sectPr>
          <w:pgSz w:w="11900" w:h="16838" w:orient="portrait"/>
          <w:cols w:equalWidth="0" w:num="1">
            <w:col w:w="11200"/>
          </w:cols>
          <w:pgMar w:left="320" w:top="116" w:right="37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chain and continuing to utilize Zero-Based Budgeting across our operations. We expect the improvements and efficiencies we drive will fuel our growth and continue to expand profit dollars. At the same time, we are continuing our efforts to sustainably source key ingredients, reduce our end-to-end environmental impact and innovate our processes and packaging to reduce waste and promote recycling.</w:t>
      </w:r>
    </w:p>
    <w:p>
      <w:pPr>
        <w:spacing w:after="0" w:line="196"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becoming more agile, digital and local-consumer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We are giving our local teams more autonomy to drive commercial and innovation plans as they are closer to the needs and desires of consumers. We will continue to leverage the efficiency and scale of our regional operating units while empowering our local commercial operations to respond faster to changing consumer preferences and capitalize on growth opportunities. Our digital transformation program will also help to enable consumer demand and sales opportunities. We believe these operating and cultural shifts will help drive profitable top-line growth.</w:t>
      </w:r>
    </w:p>
    <w:p>
      <w:pPr>
        <w:spacing w:after="0" w:line="20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run our business with a long-term perspective, and we believe the successful delivery of our strategic plan will drive top- and bottom-line growth and enable us to create long-term value for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w:t>
      </w:r>
    </w:p>
    <w:p>
      <w:pPr>
        <w:spacing w:after="0" w:line="25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We sell our products in over 150 countries and have operations in approximately 80 countries, including 133 manufacturing and processing facilities across 45 countries. The portion of our net revenues generated outside the United States was 73.2% in 2020, 74.4% in 2019 and 75.3% in 2018. For more information on our U.S. and non-U.S. operations,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on our manufacturing and other facilities,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and risks related to our operations outside the 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also monitor our revenue growth across emerging and developed markets—</w:t>
      </w:r>
    </w:p>
    <w:p>
      <w:pPr>
        <w:spacing w:after="0" w:line="31" w:lineRule="exact"/>
        <w:rPr>
          <w:sz w:val="20"/>
          <w:szCs w:val="20"/>
          <w:color w:val="auto"/>
        </w:rPr>
      </w:pPr>
    </w:p>
    <w:p>
      <w:pPr>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Asia, Middle East and Africa (“AMEA”) region, excluding Australia, New Zealand and Japan; and the following countries from the Europe region: Russia, Ukraine, Turkey,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For a definition and reconciliation of segment operating income to consolidated pre-tax earnings as well as other information on our segments,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for each of the last three years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210"/>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r>
      <w:tr>
        <w:trPr>
          <w:trHeight w:val="209"/>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3,202</w:t>
            </w:r>
          </w:p>
        </w:tc>
      </w:tr>
      <w:tr>
        <w:trPr>
          <w:trHeight w:val="229"/>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10,122</w:t>
            </w:r>
          </w:p>
        </w:tc>
      </w:tr>
      <w:tr>
        <w:trPr>
          <w:trHeight w:val="230"/>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r>
      <w:tr>
        <w:trPr>
          <w:trHeight w:val="223"/>
        </w:trPr>
        <w:tc>
          <w:tcPr>
            <w:tcW w:w="69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25,938</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Our segment operating income for each of the last three years was: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For the Years Ended December 31,</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10"/>
        </w:trPr>
        <w:tc>
          <w:tcPr>
            <w:tcW w:w="2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1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4"/>
                <w:szCs w:val="14"/>
                <w:b w:val="1"/>
                <w:bCs w:val="1"/>
                <w:color w:val="auto"/>
              </w:rPr>
              <w:t>2018</w:t>
            </w:r>
          </w:p>
        </w:tc>
      </w:tr>
      <w:tr>
        <w:trPr>
          <w:trHeight w:val="209"/>
        </w:trPr>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 millions, except percentages)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11.1 %</w:t>
            </w: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46.9 %</w:t>
            </w: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23.0 %</w:t>
            </w:r>
          </w:p>
        </w:tc>
      </w:tr>
      <w:tr>
        <w:trPr>
          <w:trHeight w:val="223"/>
        </w:trPr>
        <w:tc>
          <w:tcPr>
            <w:tcW w:w="27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for items affecting the comparability of results and a review of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Categories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31"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Biscuits (including cookies, crackers and salted snacks)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During 2020, our segments contributed to our net revenues in the following product categories: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gridSpan w:val="8"/>
          </w:tcPr>
          <w:p>
            <w:pPr>
              <w:ind w:left="1220"/>
              <w:spacing w:after="0"/>
              <w:rPr>
                <w:sz w:val="20"/>
                <w:szCs w:val="20"/>
                <w:color w:val="auto"/>
              </w:rPr>
            </w:pPr>
            <w:r>
              <w:rPr>
                <w:rFonts w:ascii="Arial" w:cs="Arial" w:eastAsia="Arial" w:hAnsi="Arial"/>
                <w:sz w:val="14"/>
                <w:szCs w:val="14"/>
                <w:b w:val="1"/>
                <w:bCs w:val="1"/>
                <w:color w:val="auto"/>
              </w:rPr>
              <w:t>Percentage of 2020 Net Revenues by Product Category</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Segment</w:t>
            </w:r>
          </w:p>
        </w:tc>
        <w:tc>
          <w:tcPr>
            <w:tcW w:w="1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Biscuits</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Chocolate</w:t>
            </w:r>
          </w:p>
        </w:tc>
        <w:tc>
          <w:tcPr>
            <w:tcW w:w="152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rPr>
              <w:t>Gum &amp;</w:t>
            </w:r>
          </w:p>
        </w:tc>
        <w:tc>
          <w:tcPr>
            <w:tcW w:w="15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Beverages</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Cheese &amp; Grocery</w:t>
            </w:r>
          </w:p>
        </w:tc>
        <w:tc>
          <w:tcPr>
            <w:tcW w:w="14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96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auto"/>
              </w:rPr>
              <w:t>Candy</w:t>
            </w:r>
          </w:p>
        </w:tc>
        <w:tc>
          <w:tcPr>
            <w:tcW w:w="158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AMEA</w:t>
            </w:r>
          </w:p>
        </w:tc>
        <w:tc>
          <w:tcPr>
            <w:tcW w:w="14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144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48"/>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Within our product categories, classes of products that contributed 10% or more to consolidated net revenues were:</w:t>
      </w:r>
    </w:p>
    <w:p>
      <w:pPr>
        <w:spacing w:after="0" w:line="19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19050</wp:posOffset>
            </wp:positionV>
            <wp:extent cx="3068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Biscuits - Cookies and crackers</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Chocolate - Tablets, bars and other</w:t>
            </w:r>
          </w:p>
        </w:tc>
        <w:tc>
          <w:tcPr>
            <w:tcW w:w="5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r>
    </w:tbl>
    <w:p>
      <w:pPr>
        <w:spacing w:after="0" w:line="200" w:lineRule="exact"/>
        <w:rPr>
          <w:sz w:val="20"/>
          <w:szCs w:val="20"/>
          <w:color w:val="auto"/>
        </w:rPr>
      </w:pP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Demand for our products is generally balanced over the second and third quarters of the year and increases in the first and fourth quarters primarily because of holidays and other seasonal events. Depending on the timing of Easter, the holiday sales may shift between and affect net revenue in the first and second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 xml:space="preserve">We generally sell our products to supermarket chains, wholesalers, supercenters, club stores, mass merchandisers, distributors, convenience stores, gasoline stations, drug stores, value stores and other retail food outlets. No single customer accounted for 10% or more of our net revenues from continuing operations in 2020. Our five largest customers accounted for 17.5% and our ten largest customers accounted for 24.0% of net revenues from continuing operations in 2020. For a discussion of long-term demographics, consumer trends and demand, refer to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within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5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distribute our products through direct store delivery, company-owned and satellite warehouses, distribution centers and other facilities. We use the services of independent sales offices and agents in some of our international locations. Through our global e-commerce organization and capabilities, we pursue online growth with partners in key markets around the world, including both pure e-tailers and omni-channel retailers. We continue to invest in both talent and digital capabilities. Our e-commerce channel strategies play a critical role in our ambition to be the global leader in snacking.</w:t>
      </w:r>
    </w:p>
    <w:p>
      <w:pPr>
        <w:spacing w:after="0" w:line="20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digital and social media, on-air, print, outdoor and other product promotions; (ii) consumer sales incentives such as coupons and rebates; and (iii) trade promotions to support price features, displays and other merchandising of our products by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Innovation</w:t>
      </w:r>
    </w:p>
    <w:p>
      <w:pPr>
        <w:spacing w:after="0" w:line="2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innovation and new product development objectives include continuous improvement in food safety and quality, growth through new products, superior consumer satisfaction and reduced production costs. Our innovation efforts focus on anticipating consumer demands and adapting quickly to changing market trends. Mindful snacking and sustainability are a significant focus of our current research and development initiatives. Our initiatives aim to accelerate our growth and margin dollars by addressing consumer needs and market trends and leveraging scalable innovation platforms, sustainability programs and initiatives as well as breakthrough technologies. We are focusing our technical research and development resources at 12 innovation technical centers around the globe to drive growth, creativity, greater effectiveness, improved efficiency and accelerated project delivery.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competition in all aspects of our business. Competitors include large multinational as well as numerous local and regional companies. Some competitors have different profit objectives and investment time horizons than we do and therefore may approach pricing and promotional decisions differently. We compete based on product quality, brand recognition and loyalty, service, product innovation, taste, convenience, nutritional value, the ability to identify and satisfy consumer preferences, effectiveness of digital and other sales and marketing, routes to market and distribution networks, promotional activity and price. Growing our market share or introducing a new product requires substantial research, development, advertising and promotional expenditures. We believe these investments lead to better products and stronger brands for the consumer and support our growth and market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 number of external factors such as changing weather patterns and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0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Due to factors noted above, the costs of our principal raw materials can fluctuate. At this time, we believe there will continue to be an adequate supply of the raw materials we use and that they will generally remain available from numerous sources. However, we continue to monitor the long-term impacts of climate change and related factors that could affect the availability or cost of raw materials, packaging and energy. For additional information on our commodity costs, refer to the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section within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For information on our ongoing sustainability efforts and programs, refer to</w:t>
      </w:r>
      <w:r>
        <w:rPr>
          <w:rFonts w:ascii="Arial" w:cs="Arial" w:eastAsia="Arial" w:hAnsi="Arial"/>
          <w:sz w:val="18"/>
          <w:szCs w:val="18"/>
          <w:i w:val="1"/>
          <w:iCs w:val="1"/>
          <w:color w:val="auto"/>
        </w:rPr>
        <w:t xml:space="preserve"> Sustainability and Mindful Snacking </w:t>
      </w:r>
      <w:r>
        <w:rPr>
          <w:rFonts w:ascii="Arial" w:cs="Arial" w:eastAsia="Arial" w:hAnsi="Arial"/>
          <w:sz w:val="18"/>
          <w:szCs w:val="18"/>
          <w:color w:val="auto"/>
        </w:rPr>
        <w:t>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believe the strength of our workforce is one of the significant contributors to our success as a global company that leads with purpose. All our employees contribute to our success and are instrumental in driving strong financial performance. </w:t>
      </w:r>
      <w:r>
        <w:rPr>
          <w:rFonts w:ascii="Arial" w:cs="Arial" w:eastAsia="Arial" w:hAnsi="Arial"/>
          <w:sz w:val="18"/>
          <w:szCs w:val="18"/>
          <w:color w:val="333333"/>
        </w:rPr>
        <w:t>Attracting, developing and retaining the</w:t>
      </w:r>
      <w:r>
        <w:rPr>
          <w:rFonts w:ascii="Arial" w:cs="Arial" w:eastAsia="Arial" w:hAnsi="Arial"/>
          <w:sz w:val="18"/>
          <w:szCs w:val="18"/>
          <w:color w:val="auto"/>
        </w:rPr>
        <w:t xml:space="preserve"> </w:t>
      </w:r>
      <w:r>
        <w:rPr>
          <w:rFonts w:ascii="Arial" w:cs="Arial" w:eastAsia="Arial" w:hAnsi="Arial"/>
          <w:sz w:val="18"/>
          <w:szCs w:val="18"/>
          <w:color w:val="333333"/>
        </w:rPr>
        <w:t xml:space="preserve">best talent globally with the right skills to drive our success is central to our long-term growth strategy. </w:t>
      </w:r>
      <w:r>
        <w:rPr>
          <w:rFonts w:ascii="Arial" w:cs="Arial" w:eastAsia="Arial" w:hAnsi="Arial"/>
          <w:sz w:val="18"/>
          <w:szCs w:val="18"/>
          <w:color w:val="000000"/>
        </w:rPr>
        <w:t>At the end of 2020, our workforce</w:t>
      </w:r>
      <w:r>
        <w:rPr>
          <w:rFonts w:ascii="Arial" w:cs="Arial" w:eastAsia="Arial" w:hAnsi="Arial"/>
          <w:sz w:val="18"/>
          <w:szCs w:val="18"/>
          <w:color w:val="333333"/>
        </w:rPr>
        <w:t xml:space="preserve"> </w:t>
      </w:r>
      <w:r>
        <w:rPr>
          <w:rFonts w:ascii="Arial" w:cs="Arial" w:eastAsia="Arial" w:hAnsi="Arial"/>
          <w:sz w:val="18"/>
          <w:szCs w:val="18"/>
          <w:color w:val="000000"/>
        </w:rPr>
        <w:t>consisted of approximately 79,000, compared to approximately 80,000 at the end of 2019. At December 31, 2020, we had approximately 12,000 U.S. employees and approximately 67,000 employees outside the United States, with employees represented by labor unions or workers’ councils representing approximately 26% of our U.S. employees and approximately 63% of our employees outside the United States.</w:t>
      </w:r>
    </w:p>
    <w:p>
      <w:pPr>
        <w:spacing w:after="0" w:line="20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COVID-19 Response</w:t>
      </w:r>
      <w:r>
        <w:rPr>
          <w:rFonts w:ascii="Arial" w:cs="Arial" w:eastAsia="Arial" w:hAnsi="Arial"/>
          <w:sz w:val="18"/>
          <w:szCs w:val="18"/>
          <w:color w:val="auto"/>
        </w:rPr>
        <w:t>: We have been actively responding to the COVID-19 pandemic and its impact globally. Our highest priorities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be the safety of our employees and working with our employees and network of suppliers and customers to help maintain the global food supply chain. For more information on our COVID-19 workplace and community response, see our COVID-19 disclosures in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19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Workplace Safety</w:t>
      </w:r>
      <w:r>
        <w:rPr>
          <w:rFonts w:ascii="Arial" w:cs="Arial" w:eastAsia="Arial" w:hAnsi="Arial"/>
          <w:sz w:val="18"/>
          <w:szCs w:val="18"/>
          <w:color w:val="auto"/>
        </w:rPr>
        <w:t>: The health, well-being and safety of our employees, customers and communities is our highest priority. Every day we</w:t>
      </w:r>
      <w:r>
        <w:rPr>
          <w:rFonts w:ascii="Arial" w:cs="Arial" w:eastAsia="Arial" w:hAnsi="Arial"/>
          <w:sz w:val="18"/>
          <w:szCs w:val="18"/>
          <w:i w:val="1"/>
          <w:iCs w:val="1"/>
          <w:color w:val="auto"/>
        </w:rPr>
        <w:t xml:space="preserve"> </w:t>
      </w:r>
      <w:r>
        <w:rPr>
          <w:rFonts w:ascii="Arial" w:cs="Arial" w:eastAsia="Arial" w:hAnsi="Arial"/>
          <w:sz w:val="18"/>
          <w:szCs w:val="18"/>
          <w:color w:val="auto"/>
        </w:rPr>
        <w:t>strive to make all our employees, contractors and visitors feel safe. We foster safety leadership throughout the organization as part of our comprehensive health, safety and environment management. Through ongoing communications, capability building, defined standards and safety measures, we strive to improve our safety performance each year.</w:t>
      </w:r>
    </w:p>
    <w:p>
      <w:pPr>
        <w:spacing w:after="0" w:line="196"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i w:val="1"/>
          <w:iCs w:val="1"/>
          <w:color w:val="auto"/>
        </w:rPr>
        <w:t>Total Rewards</w:t>
      </w:r>
      <w:r>
        <w:rPr>
          <w:rFonts w:ascii="Arial" w:cs="Arial" w:eastAsia="Arial" w:hAnsi="Arial"/>
          <w:sz w:val="17"/>
          <w:szCs w:val="17"/>
          <w:color w:val="auto"/>
        </w:rPr>
        <w:t>: We are committed to equal pay for equal work, regardless of gender, race, ethnicity or other personal characteristics.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on that commitment, we benchmark and set pay ranges based on market data and consider various factors such as an employee’s role and experience, job location and performance. We also regularly review our compensation practices to promote fair and equitable pay.</w:t>
      </w:r>
    </w:p>
    <w:p>
      <w:pPr>
        <w:spacing w:after="0" w:line="17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With the support of an independent third-party expert in this field, we have conducted global total target cash (“TTC”) pay equity reviews for salaried employees comparing employees in the same pay grade within a country/area. Our last global analysis was in 2019 and encompassed 65 countries and over 32,000 employees. At the enterprise-wide level, our pay gap between male and female employees was less than 1% and decreasing through pay adjustments for employees identified during the review. In the United States, we also review TTC for salaried employees in the same pay grade by race/ethnicity (Asian, Black and Hispanic). The 2020 independent analysis found no systemic issues and no negative pay gap between non-white and white employees.</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foster a stronger sense of ownership and align the interests of employees with shareholders, we grant deferred stock units to eligible non-executive employees under our stock incentive program. Furthermore, to promote overall employee health and well-being, we provide access to medical and welfare benefits and offer programs to employees that support work-life balance as well as financial, physical and mental health resources. We also provide paid maternity and paternity time off for biological and adoptive parents.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continue to evolve our programs to meet our employees’ health and wellness needs, which we believe is essential to attract and retain employees.</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Diversity &amp; Inclusion</w:t>
      </w:r>
      <w:r>
        <w:rPr>
          <w:rFonts w:ascii="Arial" w:cs="Arial" w:eastAsia="Arial" w:hAnsi="Arial"/>
          <w:sz w:val="18"/>
          <w:szCs w:val="18"/>
          <w:color w:val="auto"/>
        </w:rPr>
        <w:t>: We seek to create and sustain an inclusive and safe workplace for all of our employees. We want to reflect the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consumers and maximize the power and potential of our employees around the world to deliver stronger business performance. At the end of 2020, women held 38% of global management roles (defined as Associate Director and above) and 34% of executive leadership roles (defined as the management leadership team plus one level below). In September 2020, we announced our goal to double Black representation in our U.S. management team by 2024. For our U.S. leadership, Black employees held 3.2% of management roles (defined as Associate Director and above) at the end of 2020.</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global employer, we recognize and value differences and are championing diversity and inclusion (“D&amp;I”) around the world. We are creating local and global opportunities to further racial equity and economic empowerment by expanding our D&amp;I initiatives across three key areas: colleagues, culture and communities. These opportunities include mobilizing our consumer-facing brands and leveraging our partnerships with agencies and advertising platforms to drive change, equity and inclusion. To further reinforce our commitment to D&amp;I, we have included specific D&amp;I metrics as a part of our strategic scorecard within our annual incentive plan for the CEO and other senior leaders. The scorecard is used consistently across the Company at both the corporate and region level and is linked directly to the three pillars of our strategy – growth, execution and culture.</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Talent Management: </w:t>
      </w:r>
      <w:r>
        <w:rPr>
          <w:rFonts w:ascii="Arial" w:cs="Arial" w:eastAsia="Arial" w:hAnsi="Arial"/>
          <w:sz w:val="18"/>
          <w:szCs w:val="18"/>
          <w:color w:val="auto"/>
        </w:rPr>
        <w:t>Maintaining a robust pipeline of talent is crucial to our ongoing success and is a key aspect of succession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across the organization. Our leadership and people teams are responsible for attracting and retaining top talent by facilitating an environment where employees feel supported and encouraged in their professional and personal development. Specifically, we promote employee development by reviewing strategic positions regularly and identifying potential internal candidates to fill those roles, evaluating job skill sets to identify competency gaps and creating developmental plans to facilitate employee professional growth. We commit to investing in our employees through training and development programs, on the job experiences, coaching, as well as tuition reimbursement for a majority of our employees in the United States to promote continued professional growth. Additionally, we understand the importance of maintaining competitive compensation, benefits and appropriate training that provides growth, developmental opportunities and multiple career paths within the Company.</w:t>
      </w:r>
    </w:p>
    <w:p>
      <w:pPr>
        <w:spacing w:after="0" w:line="20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 xml:space="preserve">Employee Engagement: </w:t>
      </w:r>
      <w:r>
        <w:rPr>
          <w:rFonts w:ascii="Arial" w:cs="Arial" w:eastAsia="Arial" w:hAnsi="Arial"/>
          <w:sz w:val="18"/>
          <w:szCs w:val="18"/>
          <w:color w:val="auto"/>
        </w:rPr>
        <w:t>We conduct confidential engagement surveys of our global workforce that are administered and analyzed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third-party. Aggregate survey results are reviewed by executive officers and the Board of Directors. We create action plans at global, business unit and functional levels as well as for individual managers with direct reports who participate in the survey. By acting on results both at an aggregate enterprise level and a department/business/work group level, and by analyzing our scores compared to both global and internal benchmarks, we have been able to enhance our culture and improve our overall engagement levels.</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High impact initiatives including flexible working and proactive support to our people throughout the pandemic have been and will continue to be important drivers of engagement. We also have focused capability building initiatives on agile ways of working and streamlining decision making processes to drive engagement. We are building a winning growth culture that more effectively leverages local commercial expertise and invests in talent and key capabilities. This enables the Company to move with greater speed and agility.</w:t>
      </w:r>
    </w:p>
    <w:p>
      <w:pPr>
        <w:spacing w:after="0" w:line="196"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For additional detail on D&amp;I, our workplace safety practices and measurements and workplace wellness, please see our 2020 Snacking Made Right report, which will be published on our website in May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Mindful Snacking</w:t>
      </w:r>
    </w:p>
    <w:p>
      <w:pPr>
        <w:spacing w:after="0" w:line="2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By living our purpose to empower people to snack right, we believe we can continue to have a positive impact on the lives of our consumers and the world around us. Our mindful snacking strategy aims to encourage consumers to snack with moderation through portion control offerings and labeling, and we continue to evolve our portfolio to meet consumers’ needs. We have been focused on sustainability for many years and we continue to enhance our sustainability goals and reporting.</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May 2020, we issued our 2019 Snacking Made Right report, which includes expanded reporting on environmental, social and governance (“ESG”) topics and highlights our progress toward our sustainability and nutrition-related goals. We also released an ESG disclosure data sheet that outlines our alignment with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Sustainability Accounting Standards Board (“SASB”) and Task Force on Climate-related Financial Disclosures (“TCFD”) reporting frameworks.</w:t>
      </w:r>
    </w:p>
    <w:p>
      <w:pPr>
        <w:spacing w:after="0" w:line="171"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also participate in the CDP Climate and Water annual disclosure survey and continue to work to reduce our carbon and water footprints. We are committed to continue this and other related work in the areas of sustainable resources and agriculture, mindful snacking, nutrition, community partnerships and safety of our products and people.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2025 sustainability and mindful snacking goals include:</w:t>
      </w:r>
    </w:p>
    <w:p>
      <w:pPr>
        <w:ind w:left="660" w:hanging="328"/>
        <w:spacing w:after="0" w:line="22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Minimizing food waste, end-to-end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and priority water usage by 2025</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Designing all packaging to be recyclable by 2025 to further reduce our environmental footprint</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Scaling our Cocoa Life sustainability program so that by 2025, Cocoa Life will produce 100% of the cocoa volume we require for our chocolate brands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portion control products to 20 percent of snacks net revenue by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portion amounts and mindful snacking information on all packages globally by 2025</w:t>
      </w:r>
    </w:p>
    <w:p>
      <w:pPr>
        <w:spacing w:after="0" w:line="23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Governance, Membership and Public Affairs Committee of our Board of Directors is responsible for overseeing our sustainable snacking and mindful snacking strategies. Our goals are part of our strategic planning process, and therefore, progress and key activities are regularly reported to the Board of Directors and the business leadership teams. Climate change,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energy, well-being and other sustainability matters are key focus areas in our strategy.</w:t>
      </w:r>
    </w:p>
    <w:p>
      <w:pPr>
        <w:spacing w:after="0" w:line="21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have been recognized for our ongoing economic, environmental and social contributions. Each year since we created Mondelēz International in 2012 we have been listed on the Dow Jones Sustainability Index (“DJSI”) – World and North American Indices. The DJSI selects the top 10% of global companies and top 20% of North American companies based on an extensive review of financial and sustainability programs within each industry. We are at the 97th percentile of our industry according to the latest DJSI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4"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recipes, technology and know-how) are material to our business.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renewable for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0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data privacy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are subject to periodic governmental and administrative review. In addition, increased attention to environmental and social issues in industry supply chains has led to developing different types of regulation in many countries. The lack of a harmonized approach can lead to uneven scrutiny or enforcement, which can impact our operations.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Examples of laws and regulations that affect our business include workplace safety regulations; selective food taxes; labeling requirements such as front-of-pack labeling based on nutrient profiles; sales or media and marketing restrictions such as those on promotions or advertising products with specified nutrient profiles on certain channels or platforms or during certain hours of the day; sanctions on sales or sourcing of raw materials; potential withdrawal of cross-border trade concessions as retaliation or imposition of new border barriers for other reasons; changes in the corporate tax policies of the United States and other countries; and packaging taxes. In addition, at least 25 countries in the European Union have implemented extended producer responsibility (“EPR”) policies as part of national packaging waste policies that make manufacturers responsible for the cost of recycling food and beverage packaging after consumers use it. These range from mandatory regulations to voluntary agreements between government and industry to voluntary industry initiatives. EPR policies are also being contemplated in other jurisdictions around the world, including certain states in the United States.</w:t>
      </w:r>
    </w:p>
    <w:p>
      <w:pPr>
        <w:spacing w:after="0" w:line="2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are also subject to legislation designed to reduce emissions from greenhouse gases, and many countries are considering introducing carbon taxes that could increase our production costs or those of our suppliers.</w:t>
      </w:r>
    </w:p>
    <w:p>
      <w:pPr>
        <w:spacing w:after="0" w:line="2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 xml:space="preserve">We continue to monitor developments in laws and regulations. Also refer to Note 1, </w:t>
      </w:r>
      <w:r>
        <w:rPr>
          <w:rFonts w:ascii="Arial" w:cs="Arial" w:eastAsia="Arial" w:hAnsi="Arial"/>
          <w:sz w:val="18"/>
          <w:szCs w:val="18"/>
          <w:i w:val="1"/>
          <w:iCs w:val="1"/>
          <w:color w:val="auto"/>
        </w:rPr>
        <w:t>Summary of Significant Accounting Policies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for additional information on government regulations and currency-related impacts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United Kingdom, Argentina and other countries.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5,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Age</w:t>
            </w:r>
          </w:p>
        </w:tc>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14"/>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Dirk Van de Put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8"/>
                <w:szCs w:val="18"/>
                <w:color w:val="auto"/>
              </w:rPr>
            </w:pPr>
          </w:p>
        </w:tc>
        <w:tc>
          <w:tcPr>
            <w:tcW w:w="7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Luca Zaramella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Paulette Alviti</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People Officer</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Maurizio Brusadelli</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Vinzenz P. Gruber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Europe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Robin S. Hargrove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Research, Development and Quality</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Sandra MacQuillan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Supply Chain Officer</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Gerhard W. Pleuhs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Corporate &amp; Legal Affairs and General Counsel (retiring April</w:t>
            </w:r>
          </w:p>
        </w:tc>
      </w:tr>
      <w:tr>
        <w:trPr>
          <w:trHeight w:val="243"/>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2021)</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Laura Stein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Corporate &amp; Legal Affairs</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Gustavo C. Valle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Latin America</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Henry Glendon (Glen) Walter IV</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297"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177"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i w:val="1"/>
          <w:iCs w:val="1"/>
          <w:color w:val="auto"/>
        </w:rPr>
        <w:t xml:space="preserve">Mr. Zaramella </w:t>
      </w:r>
      <w:r>
        <w:rPr>
          <w:rFonts w:ascii="Arial" w:cs="Arial" w:eastAsia="Arial" w:hAnsi="Arial"/>
          <w:sz w:val="18"/>
          <w:szCs w:val="18"/>
          <w:color w:val="auto"/>
        </w:rPr>
        <w:t>became Executive Vice President and Chief Financial Officer in August 2018. He previously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Ms. Alviti </w:t>
      </w:r>
      <w:r>
        <w:rPr>
          <w:rFonts w:ascii="Arial" w:cs="Arial" w:eastAsia="Arial" w:hAnsi="Arial"/>
          <w:sz w:val="18"/>
          <w:szCs w:val="18"/>
          <w:color w:val="auto"/>
        </w:rPr>
        <w:t>became Executive Vice President and Chief Human Resources Officer (now Executive Vice President and Chief People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2018. Before joining Mondelēz International, Ms. Alviti served as Senior Vice President and Chief Human Resources Officer of Foot Locker, Inc., a leading global retailer of athletically inspired shoes and apparel, from June 2013 to May 2018. Prior to that, Ms. Alviti spent 17 years at PepsiCo, Inc., a global snack and beverage company, in various leadership roles, including Senior Vice President and Chief Human Resources Officer Asia, Middle East, Africa.</w:t>
      </w:r>
    </w:p>
    <w:p>
      <w:pPr>
        <w:spacing w:after="0" w:line="20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Asia Pacific, Middle East and Africa in October 2016. He previously served as President Biscuits Business, South East Asia, Japan and Sales Asia Pacific from September 2015 to December 2015, President Markets and Sales Asia Pacific from September 2014 to September 2015 and President United Kingdom, Ireland and Nordics from September 2012 to August 2014. Prior to that, Mr. Brusadelli held various positions of increasing responsibility. Mr. Brusadelli joined Mondelēz International in 1993.</w:t>
      </w:r>
    </w:p>
    <w:p>
      <w:pPr>
        <w:spacing w:after="0" w:line="202"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i w:val="1"/>
          <w:iCs w:val="1"/>
          <w:color w:val="auto"/>
        </w:rPr>
        <w:t xml:space="preserve">Mr. Gruber </w:t>
      </w:r>
      <w:r>
        <w:rPr>
          <w:rFonts w:ascii="Arial" w:cs="Arial" w:eastAsia="Arial" w:hAnsi="Arial"/>
          <w:sz w:val="17"/>
          <w:szCs w:val="17"/>
          <w:color w:val="auto"/>
        </w:rPr>
        <w:t>became Executive Vice President and President, Europe in January 2019. He previously served as President, Western Europe</w:t>
      </w:r>
      <w:r>
        <w:rPr>
          <w:rFonts w:ascii="Arial" w:cs="Arial" w:eastAsia="Arial" w:hAnsi="Arial"/>
          <w:sz w:val="17"/>
          <w:szCs w:val="17"/>
          <w:i w:val="1"/>
          <w:iCs w:val="1"/>
          <w:color w:val="auto"/>
        </w:rPr>
        <w:t xml:space="preserve"> </w:t>
      </w:r>
      <w:r>
        <w:rPr>
          <w:rFonts w:ascii="Arial" w:cs="Arial" w:eastAsia="Arial" w:hAnsi="Arial"/>
          <w:sz w:val="17"/>
          <w:szCs w:val="17"/>
          <w:color w:val="auto"/>
        </w:rPr>
        <w:t>from October 2016 to December 2018 and President, Chocolate, Europe from August 2011 to September 2016. Mr. Gruber was formerly employed by Mondelēz International, in various capacities, from 1989 until 2000 and resumed his employment in September 2007.</w:t>
      </w:r>
    </w:p>
    <w:p>
      <w:pPr>
        <w:spacing w:after="0" w:line="78" w:lineRule="exact"/>
        <w:rPr>
          <w:sz w:val="20"/>
          <w:szCs w:val="20"/>
          <w:color w:val="auto"/>
        </w:rPr>
      </w:pPr>
    </w:p>
    <w:p>
      <w:pPr>
        <w:jc w:val="both"/>
        <w:ind w:right="540"/>
        <w:spacing w:after="0" w:line="271" w:lineRule="auto"/>
        <w:rPr>
          <w:sz w:val="20"/>
          <w:szCs w:val="20"/>
          <w:color w:val="auto"/>
        </w:rPr>
      </w:pPr>
      <w:r>
        <w:rPr>
          <w:rFonts w:ascii="Arial" w:cs="Arial" w:eastAsia="Arial" w:hAnsi="Arial"/>
          <w:sz w:val="18"/>
          <w:szCs w:val="18"/>
          <w:i w:val="1"/>
          <w:iCs w:val="1"/>
          <w:color w:val="auto"/>
        </w:rPr>
        <w:t xml:space="preserve">Mr. Hargrove </w:t>
      </w:r>
      <w:r>
        <w:rPr>
          <w:rFonts w:ascii="Arial" w:cs="Arial" w:eastAsia="Arial" w:hAnsi="Arial"/>
          <w:sz w:val="18"/>
          <w:szCs w:val="18"/>
          <w:color w:val="auto"/>
        </w:rPr>
        <w:t>became Executive Vice President, Research, Development, Quality and Innovation in April 2015 and as of January 2019</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Executive Vice President, Research, Development and Quality. Prior to that, he served as Senior Vice President, Research, Development &amp; Quality for Mondelēz Europe from January 2013 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March 2015. Before joining Mondelēz International, Mr. Hargrove worked at PepsiCo, Inc., a global snack and beverage company, for 19 years in a variety of leadership positions, most recently as Senior Vice President, Research and Development, Europe from December 2006 to December 2012.</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Ms. MacQuillan </w:t>
      </w:r>
      <w:r>
        <w:rPr>
          <w:rFonts w:ascii="Arial" w:cs="Arial" w:eastAsia="Arial" w:hAnsi="Arial"/>
          <w:sz w:val="18"/>
          <w:szCs w:val="18"/>
          <w:color w:val="auto"/>
        </w:rPr>
        <w:t>became Executive Vice President, Integrated Supply Chain (now Executive Vice President and Chief Supply Chain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2019. Before joining Mondelēz International, Ms. MacQuillan served as Chief Supply Chain Officer and Senior Vice President, Supply Chain, at Kimberly-Clark Corporation, a global manufacturer of personal care consumer products, from April 2015 to June 2019. Prior to that, Ms. MacQuillan spent more than 20 years at Mars, Incorporated, a global manufacturer of confectionery, pet food and other food products, in various leadership roles, including Global Vice President, Supply for Mars Global Petcare.</w:t>
      </w:r>
    </w:p>
    <w:p>
      <w:pPr>
        <w:spacing w:after="0" w:line="20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 xml:space="preserve">Mr. Pleuhs </w:t>
      </w:r>
      <w:r>
        <w:rPr>
          <w:rFonts w:ascii="Arial" w:cs="Arial" w:eastAsia="Arial" w:hAnsi="Arial"/>
          <w:sz w:val="18"/>
          <w:szCs w:val="18"/>
          <w:color w:val="auto"/>
        </w:rPr>
        <w:t>became Executive Vice President and General Counsel in April 2012 and as of May 2019 serves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&amp; Legal Affairs and General Counsel. In this role, Mr. Pleuhs oversees the legal, compliance, security, corporate and governance affairs functions within Mondelēz International. He has served in various positions of increasing responsibility since joining Mondelēz International in 1990. Mr. Pleuhs has a law degree from the University of Kiel, Germany and is licensed to practice law in Germany and admitted as house counsel in Illinois. Mr. Pleuhs will retire from Mondelēz International in April 2021.</w:t>
      </w:r>
    </w:p>
    <w:p>
      <w:pPr>
        <w:spacing w:after="0" w:line="19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i w:val="1"/>
          <w:iCs w:val="1"/>
          <w:color w:val="auto"/>
        </w:rPr>
        <w:t xml:space="preserve">Ms. Stein </w:t>
      </w:r>
      <w:r>
        <w:rPr>
          <w:rFonts w:ascii="Arial" w:cs="Arial" w:eastAsia="Arial" w:hAnsi="Arial"/>
          <w:sz w:val="18"/>
          <w:szCs w:val="18"/>
          <w:color w:val="auto"/>
        </w:rPr>
        <w:t>became Executive Vice President, General Counsel, Corporate &amp; Legal Affairs on January 11, 2021. Before joining Mondelēz</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Ms. Stein spent 15 years at The Clorox Company, a multinational manufacturer and marketer of consumer and professional products, most recently as Executive Vice President – General Counsel and Corporate Affairs from February 2016 to December 2020. She also served as Executive Vice President – General Counsel from February 2015 to February 2016 and as Senior Vice President – General Counsel from January 2005 to February 2015.</w:t>
      </w:r>
    </w:p>
    <w:p>
      <w:pPr>
        <w:spacing w:after="0" w:line="20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 xml:space="preserve">Mr. Valle </w:t>
      </w:r>
      <w:r>
        <w:rPr>
          <w:rFonts w:ascii="Arial" w:cs="Arial" w:eastAsia="Arial" w:hAnsi="Arial"/>
          <w:sz w:val="18"/>
          <w:szCs w:val="18"/>
          <w:color w:val="auto"/>
        </w:rPr>
        <w:t>became Executive Vice President and President, Latin America in February 2020. Before joining Mondelēz International, Mr. Valle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Executive Officer of Axia Plus, LLC, a management consulting firm, from February 2018 to January 2020. Prior to that he spent more than 20 years at Groupe Danone SA, a multinational provider of packaged water, dairy and baby food products, in a variety of leadership positions, most recently as Executive Vice President, Dairy Division Worldwide, from January 2015 to January 2018, and Vice President Dairy Division Europe, from January 2014 until December 2014.</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Mr. Walter </w:t>
      </w:r>
      <w:r>
        <w:rPr>
          <w:rFonts w:ascii="Arial" w:cs="Arial" w:eastAsia="Arial" w:hAnsi="Arial"/>
          <w:sz w:val="18"/>
          <w:szCs w:val="18"/>
          <w:color w:val="auto"/>
        </w:rPr>
        <w:t>became Executive Vice President and President, North America in November 2017. Before joining Mondelēz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Mr. Walter worked at The Coca-Cola Company, a global beverage company, in a variety of leadership positions, most recently as Chief Executive Officer of Coca-Cola Industries China from February 2014 to October 2017 and President and Chief Operating Officer of Cola-Cola Refreshments in North America from January 2013 to February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905 West Fulton Market, Suite 200, Chicago, IL 60607.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addition, we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requesting a copy by writing to: Corporate Secretary, Mondelēz International, Inc., 905 West Fulton Market, Suite 200, Chicago, IL 60607.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www.sec.gov or our website: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54"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Global or regional health pandemics or epidemics, including COVID-19, could negatively impact our business operations, financial performance and results of operations.</w:t>
      </w:r>
    </w:p>
    <w:p>
      <w:pPr>
        <w:spacing w:after="0" w:line="1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and financial results could be negatively impacted by the outbreak of COVID-19 or other pandemics or epidemics. The severity, magnitude and duration of the current COVID-19 pandemic is uncertain, rapidly changing and hard to predict. In 2020, COVID-19 significantly impacted economic activity and markets around the world, and it could negatively impact our business in numerous ways, including but not limited to those outlined below:</w:t>
      </w:r>
    </w:p>
    <w:p>
      <w:pPr>
        <w:spacing w:after="0" w:line="196" w:lineRule="exact"/>
        <w:rPr>
          <w:sz w:val="20"/>
          <w:szCs w:val="20"/>
          <w:color w:val="auto"/>
        </w:rPr>
      </w:pPr>
    </w:p>
    <w:p>
      <w:pPr>
        <w:ind w:left="660" w:right="18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outbreak has resulted and could continue to result in lower revenues in some of our emerging market countries that have a higher concentration of traditional trade outlets (such as small family-run stores), as well as in our travel retail (such as international duty-free stores) and foodservice businesses. We are unable to predict how long these trends will continue or whether they will worsen.</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sales of some of our products for in-home consumption in some markets and channels, such as the United States and some European markets and modern trade, increased in 2020. We are unable to predict how long this sustained demand will last or how significant it will be.</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outbreak has disrupted and could materially disrupt our global supply chain, operations and routes to market or those of our suppliers, their suppliers, or our co-manufacturers or distributors. The outbreak has also necessitated increased expenditures to secure the safety and effectiveness of our personnel and operations. Disruptions or our failure to effectively respond to them could increase product or distribution costs or cause delays in delivering or an inability to deliver products to our customers. For example, we experienced temporary disruptions in operations in some of our emerging markets such as India and Nigeria in the first half of 2020.</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outbreak for a sustained period of time could result in delays or modifications to our strategic plans and initiatives and hinder our ability to achieve our objective to reduce our operating cost structure in both our supply chain and overhead costs through our Simplify to Grow Program.</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Illness, travel restrictions, absenteeism or other workforce disruptions have affected and could materially negatively affect our supply chain, manufacturing, distribution or other business processes.</w:t>
      </w:r>
    </w:p>
    <w:p>
      <w:pPr>
        <w:ind w:left="660" w:right="1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regulatory responses to pandemics could negatively impact our business. Mandatory lockdowns or other restrictions on operations in some countries temporarily disrupted our ability to distribute our products in some markets. Continuation or expansion of these disruptions could materially adversely impact our operations and results.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Commodity costs have become more volatile due to the COVID-19 outbreak. We expect continued commodity cost volatility, and our commodity hedging activities cannot fully offset this volatility.</w:t>
      </w:r>
    </w:p>
    <w:p>
      <w:pPr>
        <w:ind w:left="660" w:right="28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Initially during the COVID-19 outbreak, the U.S. dollar appreciated materially against other currencies in the countries in which we operate, resulting in currency translation losses. If the U.S. dollar were to appreciate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again against some or all of those same currencies, the resulting currency translation losses, along with currency transaction losses, could adversely affect our reported results of operations and financial condition.</w:t>
      </w:r>
    </w:p>
    <w:p>
      <w:pPr>
        <w:ind w:left="660" w:right="60" w:hanging="328"/>
        <w:spacing w:after="0" w:line="25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outbreak initially increased volatility and pricing in the capital markets and commercial paper markets, and volatility may increase again as COVID-19 evolves. We might not be able to continue to access preferred sources of liquidity when we would like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and other impacts of the COVID-19 or other global or regional health pandemics or epidemics could have the effect of heightening many of the other risks described in the risk factors below, including but not limited to those relating to our reputation, brands, consumer preferences, supply chain, product sales, results of operations or financial condition. We might not be able to predict or respond to all impacts on a timely basis to prevent near- or long-term adverse impacts to our results. The ultimate impact of these disruptions also depends on events beyond our knowledge or control, including the duration and severity of the COVID-19 and other outbreaks and actions taken by parties other than us to respond to them. Any of these disruptions could have a negative impact on our business operations, financial performance and results of operations, which impact could be material. Additionally, COVID-19 may also materially adversely affect our operating results and financial position in a manner that is not currently known to us or that we do not currently consider to present significant risks to our operations.</w:t>
      </w:r>
    </w:p>
    <w:p>
      <w:pPr>
        <w:spacing w:after="0" w:line="206"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color w:val="auto"/>
        </w:rPr>
        <w:t>We operate in a highly competitive industry and we face risks related to the execution of our strategy and our timely response to channel shifts and pricing and other competitive pressures.</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food and snacking industry is highly competitive. Our principal competitors include food, snack and beverage companies that operate in multiple geographic areas and numerous local and regional companies. Failure to effectively respond to challenges from our competitors could adversely affect our business.</w:t>
      </w:r>
    </w:p>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Competitor and customer pressures require that we timely and effectively respond to changes in distribution channels and technological developments that may require changes in our prices. These pressures could affect our ability to increase prices in response to commodity and other cost increases. Failure to effectively and timely assess new or developing trends, technological advancements or changes in distribution methods and set proper pricing or effective trade incentives will negatively impact our operating results, achievement of our strategic and financial goals and our ability to capitalize on new revenue or value-producing opportunities. The rapid growth of some channels, in particular in e-commerce which has expanded significantly following the outbreak of COVID-19, may impact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protect or increase revenues, market share and brand significance. These expenditures may not be successful, including those related to our e-commerce and other technology-focused efforts, and might not result in trade and consumer acceptance of our efforts, which could materially and adversely affect our product sales, financial condition, results of operations and cash flows. These new distribution channels as well as growing opportunities to utilize external manufacturers lower barriers to entry and allow smaller competitors to more effectively gain market share. Additionally, if we reduce prices but cannot increase sales volumes, or our labor or other costs increase but we cannot increase prices to offset those changes, our financial condition and results of operations will suffer.</w:t>
      </w:r>
    </w:p>
    <w:p>
      <w:pPr>
        <w:spacing w:after="0" w:line="21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During 2020, we continued to operate under our strategy, which focuses on accelerating consumer-centric and volume-driven growth, operational excellence driven by cost discipline and continuous operational improvement including in areas like sales execution, and building a winning growth culture with a “local first” commercial approach. Failure to achieve these objectives or effectively operate under our strategy in a way that minimizes disruptions to our business could materially and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Promoting and protecting our reputation and brand image and health is essential to our business success.</w:t>
      </w:r>
    </w:p>
    <w:p>
      <w:pPr>
        <w:spacing w:after="0" w:line="254"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Our success depends on our ability to maintain and enhance our brands, expand to new geographies and new distribution platforms, including e-commerce, and evolve our portfolio with new product offerings that meet consumer expectations.</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seek to strengthen our brands through investments in our product quality, product renovation, innovation and marketing investments, including consumer-relevant advertising, digital transformation and consumer promotions. Failure to effectively address the continuing global focus on consumer-centric well-being, including changing consumer acceptance of certain ingredients, nutritional expectations of our products, and the sustainability of our ingredients, our supply chain and our packaging could adversely affect our brands. Increased negative attention from the media, governments, shareholders and other stakeholders in these areas as well as on the role of food marketing and other environmental, social or governance practices could adversely affect our brand image. Undue caution or inaction on our part in addressing these challenges and trends could weaken our competitive position. Such pressures could also lead to stricter regulations, industry self-regulation that is unevenly adopted among companies, and increased focus on food and snacking marketing practices. Increasing legal or regulatory restrictions on our labeling, advertising and consumer promotions, such as age-based restrictions on sales of products with certain nutritional profiles enacted in some states in Mexico and other restrictions being considered in the United Kingdom, or our response to those restrictions, could limit our efforts to maintain, extend and expand our brands. Moreover, adverse publicity, regulatory developments or legal action against us, our employees or our licensees related to product quality and safety, where and how we manufacture our products, environmental risks, human and workplace rights across our supply chain,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influencers or group affiliations, could also subject us to negative publicity.</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limit how and to whom we market our products. These restrictions may limit our brand renovation, innovation, marketing and promotion plans, particularly as social media and the communications environment continue to evolve. Negative posts or comments about Mondelēz International, our brands or our employees on social media or web sites (whether factual or not) or security breaches related to use of our social media accounts and failure to respond effectively to these posts, comments or activities could damage our reputation and brand image across the various regions in which we operate. Our brands may be associated with or appear alongside harmful content before these platforms or our own social media monitoring can detect this risk to our brand health.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Failure to successfully maintain and enhance our reputation and brand health could materially and adversely affect our company and product brands as well as our product sales, financial condition, results of operations and cash flows.</w:t>
      </w:r>
    </w:p>
    <w:p>
      <w:pPr>
        <w:spacing w:after="0" w:line="206"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b w:val="1"/>
          <w:bCs w:val="1"/>
          <w:color w:val="auto"/>
        </w:rPr>
        <w:t>We must correctly predict, identify and interpret changes in consumer preferences and demand and offer new and improved products that meet those changes.</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and interpret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e-commerce for consumers. Our success relies upon managing this complexity to promote and bring our products to consumers effectively. Moreover, weak economic conditions, recession, equity market volatility or other factors, such as global or local pandemics and severe or unusual weather events, affect consumer preferences and demand, such as the increased demand for biscuits and decreased demand for gum since the start of the COVID-19 pandemic. Failure to offer products that appeal to consumers or to correctly judge consumer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color w:val="auto"/>
        </w:rPr>
        <w:t>demand for our products will impact our ability to meet our growth targets, and our sales and market share could decrease and our profitability could suffer.</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When we do not accurately predict which shifts in consumer preferences or category trends will be long-term or fail to introduce new and improved products to satisfy changing preferences, our sales can be adversely affected. In addition, because of our varied and geographically diverse consumer base, we must be responsive to local consumer needs, including with respect to when and how consumers snack and their desire for premium or value offerings, provide an array of products that satisfy the broad spectrum of consumer preferences and use marketing and advertising to reach consumers at the right time with the right message. Failure to expand our product offerings successfully across product categories, rapidly develop products in faster growing and more profitable categories or reach consumers in efficient and effective ways leveraging data and analytics could cause demand for our products to decrease and our profitability to suffer.</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Negative perceptions concerning the health, environmental and social implications of certain food products, ingredients, packaging materials, sourcing or production methods could influence consumer preferences and acceptance of some of our products and marketing programs. For example, consumers have increasingly focused on well-being, including reducing sodium and added sugar consumption, as well as the source and authenticity of the foods they consume. Continuing to expand our well-being offerings and refining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and other activities to respond to these regional preferences. We might be unsuccessful in our efforts to effectively respond to changing consumer preferences and social expectations. Continued negative perceptions or failure to satisfy consumer preferences could materially and adversely affect our reputation, brands, product sales, financial condition, results of operations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a global company and generated 73.2% of our 2020 net revenues, 74.4% of our 2019 net revenues and 75.3% of our 2018 net revenues outside the United States. We manufacture and market our products in over 150 countries and have operations in approximately 80 countries. Therefore, we are subject to risks inherent in global operations. Those risks include:</w:t>
      </w:r>
    </w:p>
    <w:p>
      <w:pPr>
        <w:spacing w:after="0" w:line="2" w:lineRule="exact"/>
        <w:rPr>
          <w:sz w:val="20"/>
          <w:szCs w:val="20"/>
          <w:color w:val="auto"/>
        </w:rPr>
      </w:pPr>
    </w:p>
    <w:p>
      <w:pPr>
        <w:ind w:left="660" w:right="1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ind w:left="660" w:right="2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quotas, trade barriers, price floors or similar restrictions on our sales or key commodities like cocoa, potential changes in U.S. trade programs and trade relations with other countries, or regulations, taxes or policies that might negatively affect our sales or profitability;</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human rights laws and a variety of other local, national and multinational regulations and laws in multiple regimes;</w:t>
      </w:r>
    </w:p>
    <w:p>
      <w:pPr>
        <w:ind w:left="660" w:right="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developing markets such as Argentina, Brazil, China, India, Mexico, Russia, Ukraine, Turkey, Egypt, Nigeria, South Africa and Pakistan as well as in developed markets such as the United Kingdom and countries within the European Union. This includes events like applying highly inflationary accounting as we did for our Argentinean subsidiaries beginning in July 2018;</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or other limits on our ability to import raw materials or finished product into various countries or repatriate cash from outside the United States;</w:t>
      </w:r>
    </w:p>
    <w:p>
      <w:pPr>
        <w:ind w:left="660" w:right="2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sovereign risk, such as default by or deterioration in the economies and credit ratings of governments, particularly in our Latin America and AMEA regions;</w:t>
      </w:r>
    </w:p>
    <w:p>
      <w:pPr>
        <w:ind w:left="660" w:right="2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or inconsistencies in local regulations and laws, the uncertainty of enforcement of remedies in non-U.S. jurisdictions, and foreign ownership restrictions and the potential for nationalization or expropriation of property or other resources;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addition, political and economic changes or volatility, geopolitical regional conflicts, terrorist activity, political unrest, civil strife, acts of war, government shutdowns, travel or immigration restrictions, tariffs and other trade restrictions, public health risks or pandemics including COVID-19, public corruption, expropriation and other economic or political uncertainties, including inaccuracies in our assumptions about these factors,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Continued instability in the banking and governmental sectors of certain countries or the dynamics and uncertainties associated with the transition period following the United Kingdom’s exit from the European Union (“Brexit”) could have a negative effect on our business. (See below and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 Financial Outlook – Brexit </w:t>
      </w:r>
      <w:r>
        <w:rPr>
          <w:rFonts w:ascii="Arial" w:cs="Arial" w:eastAsia="Arial" w:hAnsi="Arial"/>
          <w:sz w:val="18"/>
          <w:szCs w:val="18"/>
          <w:color w:val="auto"/>
        </w:rPr>
        <w:t>for more information.)</w:t>
      </w:r>
    </w:p>
    <w:p>
      <w:pPr>
        <w:spacing w:after="0" w:line="208" w:lineRule="exact"/>
        <w:rPr>
          <w:sz w:val="20"/>
          <w:szCs w:val="20"/>
          <w:color w:val="auto"/>
        </w:rPr>
      </w:pPr>
    </w:p>
    <w:p>
      <w:pPr>
        <w:ind w:right="40"/>
        <w:spacing w:after="0" w:line="323" w:lineRule="auto"/>
        <w:rPr>
          <w:sz w:val="20"/>
          <w:szCs w:val="20"/>
          <w:color w:val="auto"/>
        </w:rPr>
      </w:pPr>
      <w:r>
        <w:rPr>
          <w:rFonts w:ascii="Arial" w:cs="Arial" w:eastAsia="Arial" w:hAnsi="Arial"/>
          <w:sz w:val="17"/>
          <w:szCs w:val="17"/>
          <w:color w:val="auto"/>
        </w:rPr>
        <w:t>All of these factors could result in increased costs or decreased revenues and could materially and adversely affect our product sales, financial condition, results of operations, cash flows, and our relationships with customers, suppliers and employees in the short or long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Russia, Argentina, the Middle East, Africa, Southeast Asia and Ukraine.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and results of operations.</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 manage associated political, economic and regulatory risks could adversely affect our product sales, financial condition, results of operations and cash flows.</w:t>
      </w:r>
    </w:p>
    <w:p>
      <w:pPr>
        <w:spacing w:after="0" w:line="194" w:lineRule="exact"/>
        <w:rPr>
          <w:sz w:val="20"/>
          <w:szCs w:val="20"/>
          <w:color w:val="auto"/>
        </w:rPr>
      </w:pPr>
    </w:p>
    <w:p>
      <w:pPr>
        <w:ind w:right="420"/>
        <w:spacing w:after="0" w:line="303"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breaches and other business disruptions.</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use information technology and third-party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amount of services important to conducting our business, including a number of accounting, internal control, human resources and computing functions.</w:t>
      </w: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Continuity of business applications and services has been, and may in the future be, disrupted by events such as infection by viruses or malware, including the June 2017 malware incident that affected a significant portion of our global sales, distribution and financial networks (the “malware incident”); other cybersecurity attacks; issues with or errors in systems’ maintenance or security; power outages; hardware or software failures; denial of service attacks; telecommunication failures; natural disasters; terrorist attacks; and other catastrophic occurrences. Our use of new and emerging technologies such as cloud-based services and mobile applications continues to evolve, presenting new and additional risks in managing access to our data, relying on third-parties to manage and safeguard data, ensuring access to our systems and availability of third-party systems.</w:t>
      </w:r>
    </w:p>
    <w:p>
      <w:pPr>
        <w:spacing w:after="0" w:line="20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Cybersecurity breaches of our or third-party systems, whether from circumvention of security systems, denial-of-service attacks or other cyberattacks such as hacking, phishing attacks, computer viruses, ransomware or malware, employee or insider error, malfeasance, social engineering, physical breaches or other actions may cause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confidential information belonging to us or our employees, customers, consumers, partners, suppliers, or governmental or regulatory authorities to be misused or breached. These risks could be magnified given the increased number of employees, contractors and others working outside of offices during the COVID-19 pandemic. When risks such as these materialize, the need for us to coordinate with various third-party service providers and for third-party service providers to coordinate amongst themselves might increase challenges and costs to resolve related issues. Additionally, new initiatives, such as those related to e-commerce and direct sales, that increase the amount of confidential information that we process and maintain increase our potential exposure from a cybersecurity breach. If our controls, disaster recovery and business continuity plans or those of our third-party providers do not effectively respond to or resolve the issues related to any such disruptions in a timely manner, our product sales, financial condition and results of operations may be materially and adversely affected, and we might experience delays in reporting our financial results, loss of intellectual property and damage to our reputation or brands.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continue to devote focused resources to network security, backup and disaster recovery, enhanced training and other security measures to protect our systems and data, such as advanced email protection to reduce the likelihood of credential thefts and electronic fraud attempts. We also focus on enhancing the monitoring and detection of threats in our environment, including but not limited to the manufacturing environment and operational technologies, as well as adjusting information security controls based on the updated threat. However, security measures cannot provide absolute security or guarantee that we will be successful in preventing or responding to every breach or disruption on a timely basis. Due to the constantly evolving and complex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regularly transfer data across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jurisdiction to jurisdiction and may create inconsistent or conflicting requirements. The European Union’s General Data Protection Regulation (“GDPR”), which has greatly increased the jurisdictional reach of E.U. law and became effective in May 2018, added a broad array of requirements for handling personal data including the public disclosure of significant data breaches, and imposes substantial penalties for non-compliance of up to 4% of global annual revenue for the preceding financial year in addition to potential restrictions on data transfer and processing. The California Consumer Privacy Act (“CCPA”), which became effective in January 2020, imposed new responsibilities on us for the handling, disclosure and deletion of personal information for consumers who reside in California. The CCPA permits California to assess potentially significant fines for violating CCPA and creates a right for individuals to bring class action suits seeking damages for violations. In addition, the California Privacy Rights Act ballot initiative passed in November 2020 will create a new agency dedicated to data privacy that will be required to implement more stringent privacy regulations by January 1, 2023. Our efforts to comply with GDPR, CCPA and other privacy and data protection laws may impose significant costs and challenges that are likely to increase over time, and we could incur substantial penalties or be subject to litigation related to violation of existing or future data privacy laws and regulations.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unanticipated business disruptions.</w:t>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manufacture and source products and materials on a global scale. We utilize an integrated supply chain – a complex network of suppliers and material needs, owned and leased manufacturing locations, co-manufacturing locations, distribution networks, shared service delivery centers and information systems that support our ability to provide our products to our customers consistently. Factors that are hard to predict or beyond our control, like weather (including any potential effects of climate change), natural disasters, water availability, supply and commodity shortages, terrorism, political unrest, cybersecurity breaches, generalized labor unrest, government shutdowns or health pandemics such as COVID-19 could damage or disrupt our operations or those of our suppliers, their suppliers, or our co-manufacturers or distributors. Failure to effectively prepare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as we experienced in connection with the malware incident, and the quality and safety of our products might be negatively affected. The occurrence of a material or extended disruption may cause us to lose our customers’ or business partners’ confidence or suffer damage to our reputation, and long-term consumer demand for our products could decline.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Some risks are difficult or impossible to insure through the insurance programs we use to transfer many of these risks, and the timing of insurance recoveries may not match the timing of our financial loss. In addition, we are subject to risk related to our own execution. This includes risk of disruption caused by operational error including fire, explosion or accidental contamination as well as our inability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results of operations and cash flows.</w:t>
      </w:r>
    </w:p>
    <w:p>
      <w:pPr>
        <w:spacing w:after="0" w:line="203" w:lineRule="exact"/>
        <w:rPr>
          <w:sz w:val="20"/>
          <w:szCs w:val="20"/>
          <w:color w:val="auto"/>
        </w:rPr>
      </w:pPr>
    </w:p>
    <w:p>
      <w:pPr>
        <w:ind w:right="600"/>
        <w:spacing w:after="0" w:line="303"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product packaging materials, natural gas, fuel and electricity for our factories and warehouses, and we also incur expenses in connection with the transportation and delivery of our products. Costs of raw materials, other supplies and services and energy are volatile and fluctuate due to conditions that are difficult to predict. These conditions include global competition for resources, currency fluctuations, geopolitical conditions or conflicts, tariffs or other trade barriers, government intervention to introduce living income premiums or similar requirements such as those announced in 2019 in two of the main cocoa-growing countries, severe weather, the potential longer-term consequences of climate change on agricultural productivity, crop disease or pests, water risk, health pandemics including COVID-19, forest fires, consumer or industrial demand, and changes in governmental environmental or trade policy and regulations, alternative energy and agricultural programs. Increased government intervention and consumer or activist responses caused by increased focus on climate change, 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 Although we monitor our exposure to commodity prices and hedge against input price increases, we cannot fully hedge against changes in commodity costs, and our hedging strategies may not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higher input, packaging and transportation costs, may result in lower sales volumes, while decreases in input costs could require us to lower our prices and thereby affect our revenues, profits or margins. Likewise, constraints in the supply or availability of key commodities and necessary services such as transportation may limit our ability to grow our net revenues and earnings. If our mitigation activities are not effective, if we are unable to price to cover increased costs or must reduce our prices, or if we are limited by supply or distribution constraints, our financial condition, results of operations and cash flows can be materially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evaluate a variety of potential strategic transactions, including acquisitions, divestitures, joint ventures, equity method investments and other strategic alliances that could further our strategic business objectives. We may not successfully identify, complete or manage the risks presented by these strategic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realize the full extent of the benefits, cost savings or synergies presented by strategic transactions; effectively implement control environment processes with employees joining us as a result of a transaction;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0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operations and infrastructures; identify and eliminate, as appropriate, redundant and underperforming operations and assets; manage inefficiencies associated with the integration of operations; and coordinate timely and ongoing compliance with antitrust and competition laws in the United States, the European Union and other jurisdictions. Joint ventures and similar strategic alliances pose additional risks, as we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Strategic alliances we have entered into include our investments in JDE Peet's N.V. and Keurig Dr Pepper Inc.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 recognize an alliance relationship that could expose the business to higher risk or make the venture not as productive as expected.</w:t>
      </w:r>
    </w:p>
    <w:p>
      <w:pPr>
        <w:spacing w:after="0" w:line="20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materially and adversely affect our business, product sales, financial condition, results of operations and 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might adversely impact our supply chain or our operations.</w:t>
      </w:r>
    </w:p>
    <w:p>
      <w:pPr>
        <w:spacing w:after="0" w:line="2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Scientific evidence collected by the Intergovernmental Panel on Climate Change demonstrates that carbon dioxide and other greenhouse gases in the atmosphere have caused and will in the future cause changes in weather patterns around the globe. These changes are expected to increase the frequency of extreme weather events and natural disasters and affect water availability and quality. These impacts increase risks for the global food production and distribution system. Decreased agricultural productivity caused by climate change might limit the availability of the commodities we purchase and use. These include cocoa, which is a critical raw material for our chocolate and biscuit portfolios that is particularly sensitive to changes in climate, as well as other raw materials such as wheat, vegetable oils, sugar, nuts and dairy. Localized weather events such as floods, severe storms or water shortages that are partially caused or exacerbated by climate change are physical risks that might disrupt our business operations or those of our suppliers, their suppliers, or our co-manufacturers or distributors.</w:t>
      </w:r>
    </w:p>
    <w:p>
      <w:pPr>
        <w:spacing w:after="0" w:line="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Concern about climate change might result in new legal and regulatory requirements to reduce or mitigate the effects of climate change. These changes could increase our operating costs for things like energy or packaging through taxes or regulations, including payments under extended producer responsibility policies. Concern about climate change might cause consumer preferences to switch away from products or ingredients considered to have high climate change impact. Furthermore, we might fail to effectively address increased attention from the media, shareholders, activists and other stakeholders on climate change and related environmental sustainability matters, including deforestation, land use, water use and packaging, including plastic. Finally, the fact that consumers are exposed to rising temperatures could affect demand for our products, such as decreased demand we have experienced for chocolate during periods when temperatures are warmer.</w:t>
      </w:r>
    </w:p>
    <w:p>
      <w:pPr>
        <w:spacing w:after="0" w:line="9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Taken together these risks could materially and adversely affect our ability to meet the needs of our customers, reputation, product sales, financial condition, results of operations and cash flows.</w:t>
      </w:r>
    </w:p>
    <w:p>
      <w:pPr>
        <w:spacing w:after="0" w:line="169"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Retail customers, such as supermarkets, discounters, e-commerce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and has increased further in response to the COVID-19 pandemic. The emergence of alternative online retail channels, such as direct to consumer and e-business to business, may adversely affect our relationships with our large retail and wholesale customers.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Consumers may not buy our products when they perceive little difference between the quality or value of our products and those of retailer or other economy brands.</w:t>
      </w:r>
    </w:p>
    <w:p>
      <w:pPr>
        <w:spacing w:after="0" w:line="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When consumers prefer or otherwise choose to purchase the retailer or other economy brands, we can lose market share or sales volumes, or we may need to shift our product mix to lower margin offerings.</w:t>
      </w:r>
    </w:p>
    <w:p>
      <w:pPr>
        <w:spacing w:after="0" w:line="194"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190"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Failure to effectively respond to retail consolidation, increasing retail power and competition from retailer and other economy brands could materially and adversely affect our reputation, brands, product sales,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and distributors.</w:t>
      </w:r>
    </w:p>
    <w:p>
      <w:pPr>
        <w:spacing w:after="0" w:line="25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During 2020, our five largest customers accounted for 17.5%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significant customers could result in a material reduction in sales or change in the mix of products we sell to a significant customer. This could materially and adversely affect our product sales, financial condition, results of operations and cash flows.</w:t>
      </w:r>
    </w:p>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Disputes with significant suppliers or distributors, including disputes related to pricing or performance, could adversely affect our ability to supply or deliver products to our customers or operate our business and could materially and adversely affect our product sales, financial condition and results of operations. In addition, the financial condition of our significant customers, suppliers and distributors are affected by events that are largely beyond our control such as the COVID-19 pandemic. Deterioration in the financial condition of significant customers, suppliers or distributors could materially and adversely affect our product sales, financial condition, results of operations and cash flows.</w:t>
      </w:r>
    </w:p>
    <w:p>
      <w:pPr>
        <w:spacing w:after="0" w:line="185" w:lineRule="exact"/>
        <w:rPr>
          <w:sz w:val="20"/>
          <w:szCs w:val="20"/>
          <w:color w:val="auto"/>
        </w:rPr>
      </w:pPr>
    </w:p>
    <w:p>
      <w:pPr>
        <w:ind w:right="660"/>
        <w:spacing w:after="0" w:line="303"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effectively manage changes in our workforce and respond to shifts in labor availability.</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must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Unplanned or increased turnover of employees with key capabilities, failure to attract and develop personnel with key emerging capabilities such as e-commerce and digital marketing skills, or failure to develop adequate succession plans for leadership positions or to hire and retain a workforce with the skills and in the locations we need to operate and grow our business could deplete our institutional knowledge base and erode our competitiveness. We could face unforeseen challenges in the availability of labor, such as we have experienced since the outbreak of COVID-19. Changes in our operating model and business processes, including building a winning growth culture, implementing our “local first” commercial approach, utilizing our global shared services capability and reconfiguring our supply chain, could lead to operational challenges and changes in the skills we require to achieve our business goals. Failure to achieve a more diverse workforce and leadership team, compensate our employees competitively and fairly or maintain a safe and inclusive environment could affect our reputation and also result in lower performance and an inability to retain valuable employees.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must address changes in, and that affect, our workforce and satisfy the legal requirements associated with how we manage and compensate our employees. This includes our management of employees represented by labor unions or workers’ councils, who represent approximately 63% of our 67,000 employees outside the United States and approximately 26% of our 12,000 U.S. employees. Strikes, work stoppages or other forms of labor unrest by our employees or those of our suppliers or distributors, or situations like the renegotiation of collective bargaining agreements, could cause disruptions to our supply chain, manufacturing or distribution processes. Changes in immigration laws and policies, including in connection with Brexit, or restrictions such as those imposed in connection with the COVID-19 pandemic could also make it more difficult for us to recruit or relocate skilled employees.</w:t>
      </w:r>
    </w:p>
    <w:p>
      <w:pPr>
        <w:spacing w:after="0" w:line="20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These risks could materially and adversely affect our reputation, ability to meet the needs of our customers, product sales,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2"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color w:val="auto"/>
        </w:rPr>
        <w:t>We face risks related to complying with changes in and inconsistencies among laws and regulations in many countries in which we operate.</w:t>
      </w:r>
    </w:p>
    <w:p>
      <w:pPr>
        <w:spacing w:after="0" w:line="15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activities around the world are highly regulated and subject to government oversight. Various laws and regulations govern food production, packaging and waste management, storage, distribution, sales, advertising, labeling and marketing, as well as intellectual property, competition, antitrust, trade, labor, tax and environmental matters, privacy, data protection, and health and safety practices. Government authorities regularly change laws and regulations as well as their interpretations of existing laws and regulations. Our failure to comply with existing laws and regulations, or to make changes necessary to comply with new or revised laws and regulations or evolving interpretations and application of existing laws and regulations, could materially and adversely affect our product sales, financial condition, results of operations and cash flows. For instance, our financial condition, results of operations and cash flows could be negatively affected by the regulatory and economic impact of changes in the corporate tax policies of the United States and other countries; trade relations among the United States and other countries, including China, Mexico and the European Union; and changes within the European Union such as Brexit.</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connection with Brexit, on December 24, 2020, the European Union and the United Kingdom reached an agreement on a new trade arrangement that became effective on January 1, 2021. Main trade provisions include the continuation of no tariffs or quotas on trade between the U.K. and E.U. so long as we meet prescribed trade terms. We will also need to meet product and labeling standards for both the U.K. and E.U. The U.K. may also set its own trade policies with countries such as the United States, Australia and New Zealand that currently do not have free trade agreements with the E.U. Cross-border trade between the U.K. and E.U. will be subject to new customs regulations, documentation and reviews. We anticipate increased shipping costs and near-term delays because of the need for ongoing customs inspections and related procedures. Our supply chain in this market relies on imports of raw and packaging materials as well as finished goods. Volatility in foreign currencies and other markets may also arise as the U.K. and E.U. work though the new trade arrangements. Once the new rules are formalized, there could be other near- or long-term negative impacts. Any disagreements on trade terms or supply chain or distribution delays or other disruptions could negatively affect our U.K. business. (See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 Financial Outlook – Brexit </w:t>
      </w:r>
      <w:r>
        <w:rPr>
          <w:rFonts w:ascii="Arial" w:cs="Arial" w:eastAsia="Arial" w:hAnsi="Arial"/>
          <w:sz w:val="18"/>
          <w:szCs w:val="18"/>
          <w:color w:val="auto"/>
        </w:rPr>
        <w:t>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These risks could be heightened in light of increased pressure on our suppliers from the COVID-19 pandemic. On-site quality audits of third parties such as suppliers, external manufacturers and trademark licensees have been limited by travel restrictions and heightened safety protocols in light of COVID-19, and remote audits do not fully offset risks from the inability to conduct on-site audits.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also suffer losses when our products or operations or those of our suppliers violate applicable laws or regulations, or when our or our suppliers’ products cause injury, illness or death. In addition, our marketing could face claims of false or deceptive advertising or other criticism. A significant product liability claim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results of operations and cash flows, and we could incur significant expense responding to such a claim.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legal or tax claims or other regulatory enforcement actions.</w:t>
      </w:r>
    </w:p>
    <w:p>
      <w:pPr>
        <w:spacing w:after="0" w:line="2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large snack food company operating in highly regulated environments and constantly evolving legal, tax and regulatory frameworks around the world. Consequently, we are subject to greater risk of litigation, legal or tax claims or other regulatory enforcement actions. We have implemented policies and procedures designed to promote compliance with existing laws and regulations; however, there can be no assurance that we maintain effective control environment processes, including in connection with our global shared services capability. Actions by our employees, contractors or agents in violation of our policies and procedures could lead to violations, unintentional or otherwise, of laws and regulations. When litigation, legal or tax claims or regulatory enforcement actions arise out of our failure or alleged failure to comply with applicable laws, regulations or controls, we could be subject to civil and criminal penalties that could materially and adversely affect our reputation, product sales, financial condition, results of operations and cash flows. Even if a claim is unsuccessful, without merit or not pursued to completion, the cost of responding to such a claim, including expenses and management time, could adversely affect us. Furthermore, as a result of the COVID-19 pandemic, there may be investigations, legal claims or litigation against us relating to our actions or decisions in response to the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w:t>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controls sufficient to provide reasonable assurance with respect to the preparation and fair presentation of our financial statements, including in connection with controls executed for us by third parties, we might fail to timely detect any misappropriation of corporate assets or inappropriate allocation or use of funds and could be unable to file accurate financial reports on a timely basis. As a result, our reputation, results of operations and stock price could be materially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adequately protecting our valuable intellectual property rights.</w:t>
      </w:r>
    </w:p>
    <w:p>
      <w:pPr>
        <w:spacing w:after="0" w:line="25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copyrights, registered designs, proprietary trade secrets, recipes, technology, know-how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third-party nondisclosure and assignment agreements and policing of third-party misuses and infringement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 and financial condition.</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be unaware of potential third-party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 Any of these occurrences could materially and adversely affect our reputation, brand health, ability to introduce new products or improve the quality of existing products, product sales,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2"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We face risks related to tax matters, including changes in tax laws and rates, disagreements with taxing authorities and imposition of new taxes.</w:t>
      </w:r>
    </w:p>
    <w:p>
      <w:pPr>
        <w:spacing w:after="0" w:line="1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December 2017, the United States enacted tax reform legislation (“U.S. tax reform”). The legislation implements many new U.S. domestic and international tax provisions. The Internal Revenue Service (“IRS”), the U.S. Treasury Department and numerous state governments issued additional guidance during 2018, 2019 and 2020. We have factored the original 2017 legislation as well as the additional guidance into our 2017 through 2020 financial results of operations as applicable. As of January 2021, there is a new president of the United States, and his campaign included proposed changes to U.S. tax legislation. Adoption of new U.S. tax rules could have a material adverse effect on us.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tax legislation enacted by foreign jurisdictions could significantly affect our ongoing operations. For example, during the third quarter of 2019, Swiss Federal and Zurich Cantonal events took place that resulted in enacted tax law changes under U.S. GAAP (“Swiss tax reform”). The new legislation is intended to replace certain preferential tax regimes with a new set of internationally accepted measures. We will continue to monitor Swiss tax reform for any additional interpretative guidance that could result in changes to the amounts we have recorded. Further, foreign tax authorities could impose rate changes along with additional corporate tax provisions that would disallow or tax perceived base erosion or profit shifting payments or subject us to new types of taxes such as digital taxes. Aspects of U.S. tax reform may lead foreign jurisdictions to respond by enacting additional tax legislation that is unfavorable to us.</w:t>
      </w:r>
    </w:p>
    <w:p>
      <w:pPr>
        <w:spacing w:after="0" w:line="203"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Adverse changes in the underlying profitability or financial outlook of our operations in several jurisdictions could lead to changes in the realizability of our deferred tax assets and result in a charge to our income tax provision. Additionally, changes in tax laws in the U.S. or in other countries where we have significant operations could materially affect deferred tax assets and liabilities and our income tax provision.</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income tax provision,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December 31, 2020, we sold our products in over 150 countries and had operations in approximately 80 countries. Consequently, a significant portion of our business is exposed to currency exchange rate fluctuations. Our financial results and capital ratios are sensitive to movements in currency exchange rates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political uncertainty, inflation and limited hedging opportunities.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results of operations and cash flows, and our relationships with customers, suppliers and employees in the short or long-term.</w:t>
      </w:r>
    </w:p>
    <w:p>
      <w:pPr>
        <w:spacing w:after="0" w:line="210" w:lineRule="exact"/>
        <w:rPr>
          <w:sz w:val="20"/>
          <w:szCs w:val="20"/>
          <w:color w:val="auto"/>
        </w:rPr>
      </w:pPr>
    </w:p>
    <w:p>
      <w:pPr>
        <w:ind w:right="800"/>
        <w:spacing w:after="0" w:line="335" w:lineRule="auto"/>
        <w:rPr>
          <w:sz w:val="20"/>
          <w:szCs w:val="20"/>
          <w:color w:val="auto"/>
        </w:rPr>
      </w:pPr>
      <w:r>
        <w:rPr>
          <w:rFonts w:ascii="Arial" w:cs="Arial" w:eastAsia="Arial" w:hAnsi="Arial"/>
          <w:sz w:val="17"/>
          <w:szCs w:val="17"/>
          <w:b w:val="1"/>
          <w:bCs w:val="1"/>
          <w:color w:val="auto"/>
        </w:rPr>
        <w:t>Weak financial performance, downgrades in our credit ratings, illiquid global capital markets and volatile global economic conditions could limit our access to the global capital markets, reduce our liquidity and increase our borrowing costs.</w:t>
      </w:r>
    </w:p>
    <w:p>
      <w:pPr>
        <w:spacing w:after="0" w:line="13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liquidity of the overall global capital markets and the state of the global economy, including the food industry, could affect our access to, and the availability or cost of, financing on acceptable terms and conditions and our ability to pay dividends in the future. There can be no assurance that we will have access to the global capital markets on terms we find acceptable.</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196"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and results of operations.</w:t>
      </w:r>
    </w:p>
    <w:p>
      <w:pPr>
        <w:spacing w:after="0" w:line="169"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color w:val="auto"/>
        </w:rPr>
        <w:t>Volatility in the equity markets, interest rates, our participation in multiemployer pension plans and other factors could increase our costs relating to our employees’ pensions.</w:t>
      </w:r>
    </w:p>
    <w:p>
      <w:pPr>
        <w:spacing w:after="0" w:line="154"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We sponsor defined benefit pension plans for a number of our employees throughout the world and also contribute to other employees’ pensions under defined benefit plans that we do not sponsor. At the end of 2020, the projected benefit obligation of the defined benefit pension plans we sponsor was $13.5 billion and plan assets were $12.9 billion.</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these company-sponsored pension plans and recognize further increases in our net periodic pension cost.</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such as the withdrawal liability we are paying in connection with our complete withdrawal from the Bakery and Confectionery Union and Industry International Pension Fund in 2018. This kind of withdrawal liability will generally increase if there is also a mass withdrawal of other participating employers or if the plan terminates.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03"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A significant increase in our pension benefit obligations or funding requirements could curtail our ability to invest in the business and adversely affect our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December 31, 2020, we had approximately 133 manufacturing and processing facilities in 45 countries and 111 distribution centers and depots worldwide that we owned or leased. During 2020, the number of manufacturing facilities increased by 7 and the number of distribution facilities increased by 1 due in part to our acquisition of Give &amp; Go in 2020.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60" w:type="dxa"/>
            <w:vAlign w:val="bottom"/>
          </w:tcPr>
          <w:p>
            <w:pPr>
              <w:spacing w:after="0"/>
              <w:rPr>
                <w:sz w:val="16"/>
                <w:szCs w:val="16"/>
                <w:color w:val="auto"/>
              </w:rPr>
            </w:pPr>
          </w:p>
        </w:tc>
        <w:tc>
          <w:tcPr>
            <w:tcW w:w="374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7360" w:type="dxa"/>
            <w:vAlign w:val="bottom"/>
          </w:tcPr>
          <w:p>
            <w:pPr>
              <w:spacing w:after="0"/>
              <w:rPr>
                <w:sz w:val="12"/>
                <w:szCs w:val="12"/>
                <w:color w:val="auto"/>
              </w:rPr>
            </w:pPr>
          </w:p>
        </w:tc>
        <w:tc>
          <w:tcPr>
            <w:tcW w:w="21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Number of</w:t>
            </w: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w:t>
            </w:r>
          </w:p>
        </w:tc>
      </w:tr>
      <w:tr>
        <w:trPr>
          <w:trHeight w:val="135"/>
        </w:trPr>
        <w:tc>
          <w:tcPr>
            <w:tcW w:w="7360" w:type="dxa"/>
            <w:vAlign w:val="bottom"/>
          </w:tcPr>
          <w:p>
            <w:pPr>
              <w:spacing w:after="0"/>
              <w:rPr>
                <w:sz w:val="11"/>
                <w:szCs w:val="11"/>
                <w:color w:val="auto"/>
              </w:rPr>
            </w:pPr>
          </w:p>
        </w:tc>
        <w:tc>
          <w:tcPr>
            <w:tcW w:w="2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Manufacturing</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Distribution</w:t>
            </w:r>
          </w:p>
        </w:tc>
      </w:tr>
      <w:tr>
        <w:trPr>
          <w:trHeight w:val="175"/>
        </w:trPr>
        <w:tc>
          <w:tcPr>
            <w:tcW w:w="7360" w:type="dxa"/>
            <w:vAlign w:val="bottom"/>
          </w:tcPr>
          <w:p>
            <w:pPr>
              <w:spacing w:after="0"/>
              <w:rPr>
                <w:sz w:val="15"/>
                <w:szCs w:val="15"/>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Facilities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Facilities</w:t>
            </w:r>
          </w:p>
        </w:tc>
      </w:tr>
      <w:tr>
        <w:trPr>
          <w:trHeight w:val="223"/>
        </w:trPr>
        <w:tc>
          <w:tcPr>
            <w:tcW w:w="7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AMEA</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Excludes our deconsolidated Venezuela operations. Refer to Note 1, </w:t>
      </w:r>
      <w:r>
        <w:rPr>
          <w:rFonts w:ascii="Arial" w:cs="Arial" w:eastAsia="Arial" w:hAnsi="Arial"/>
          <w:sz w:val="16"/>
          <w:szCs w:val="16"/>
          <w:i w:val="1"/>
          <w:iCs w:val="1"/>
          <w:color w:val="auto"/>
        </w:rPr>
        <w:t>Summary of Significant Accounting Policies, for</w:t>
      </w:r>
      <w:r>
        <w:rPr>
          <w:rFonts w:ascii="Arial" w:cs="Arial" w:eastAsia="Arial" w:hAnsi="Arial"/>
          <w:sz w:val="16"/>
          <w:szCs w:val="16"/>
          <w:color w:val="auto"/>
        </w:rPr>
        <w:t xml:space="preserve">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 xml:space="preserve">Information regarding legal proceedings is available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are proud members of the Standard and Poor's 500 and Nasdaq 100. Our Common Stock is listed on The Nasdaq Global Select Market under the symbol “MDLZ.” At January 29, 2021, there were 43,367 holders of record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139065</wp:posOffset>
            </wp:positionV>
            <wp:extent cx="4937760" cy="2880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30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5"/>
        </w:trPr>
        <w:tc>
          <w:tcPr>
            <w:tcW w:w="6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Peer Group</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The Kraft Heinz Company, Nestlé S.A., PepsiCo, Inc., The Procter &amp; Gamble Company and Unilever PLC. The Kraft Heinz Company performance history is included for 2016 through 2020 only as the company was formed in 2015.</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2020 was: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 Paid</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1"/>
                <w:szCs w:val="11"/>
                <w:color w:val="auto"/>
              </w:rPr>
            </w:pPr>
          </w:p>
        </w:tc>
        <w:tc>
          <w:tcPr>
            <w:tcW w:w="1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1"/>
                <w:szCs w:val="11"/>
                <w:color w:val="auto"/>
              </w:rPr>
            </w:pPr>
          </w:p>
        </w:tc>
        <w:tc>
          <w:tcPr>
            <w:tcW w:w="1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5"/>
        </w:trPr>
        <w:tc>
          <w:tcPr>
            <w:tcW w:w="3860" w:type="dxa"/>
            <w:vAlign w:val="bottom"/>
            <w:gridSpan w:val="2"/>
            <w:vMerge w:val="continue"/>
          </w:tcPr>
          <w:p>
            <w:pPr>
              <w:spacing w:after="0"/>
              <w:rPr>
                <w:sz w:val="15"/>
                <w:szCs w:val="15"/>
                <w:color w:val="auto"/>
              </w:rPr>
            </w:pPr>
          </w:p>
        </w:tc>
        <w:tc>
          <w:tcPr>
            <w:tcW w:w="1760" w:type="dxa"/>
            <w:vAlign w:val="bottom"/>
          </w:tcPr>
          <w:p>
            <w:pPr>
              <w:jc w:val="right"/>
              <w:ind w:right="356"/>
              <w:spacing w:after="0" w:line="176"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center"/>
              <w:ind w:right="260"/>
              <w:spacing w:after="0" w:line="176"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5"/>
              </w:rPr>
              <w:t xml:space="preserve">Programs </w:t>
            </w:r>
            <w:r>
              <w:rPr>
                <w:rFonts w:ascii="Arial" w:cs="Arial" w:eastAsia="Arial" w:hAnsi="Arial"/>
                <w:sz w:val="18"/>
                <w:szCs w:val="18"/>
                <w:b w:val="1"/>
                <w:bCs w:val="1"/>
                <w:color w:val="auto"/>
                <w:w w:val="95"/>
                <w:vertAlign w:val="superscript"/>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95"/>
              <w:spacing w:after="0" w:line="176"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November 1-30, 2020</w:t>
            </w:r>
          </w:p>
        </w:tc>
        <w:tc>
          <w:tcPr>
            <w:tcW w:w="1760" w:type="dxa"/>
            <w:vAlign w:val="bottom"/>
          </w:tcPr>
          <w:p>
            <w:pPr>
              <w:jc w:val="right"/>
              <w:spacing w:after="0"/>
              <w:rPr>
                <w:sz w:val="20"/>
                <w:szCs w:val="20"/>
                <w:color w:val="auto"/>
              </w:rPr>
            </w:pPr>
            <w:r>
              <w:rPr>
                <w:rFonts w:ascii="Arial" w:cs="Arial" w:eastAsia="Arial" w:hAnsi="Arial"/>
                <w:sz w:val="18"/>
                <w:szCs w:val="18"/>
                <w:color w:val="auto"/>
              </w:rPr>
              <w:t>5,488,346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5,454,165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155"/>
        </w:trPr>
        <w:tc>
          <w:tcPr>
            <w:tcW w:w="386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For the Quarter Ended</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12,252,837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3"/>
                <w:szCs w:val="13"/>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12,153,459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December 31, 2020</w:t>
            </w:r>
          </w:p>
        </w:tc>
        <w:tc>
          <w:tcPr>
            <w:tcW w:w="1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300" w:hanging="332"/>
        <w:spacing w:after="0" w:line="261"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units that vested, totaling 60,320 shares, 34,181 shares and 4,877 shares for the fiscal months of October, November and December 2020, respectively.</w:t>
      </w:r>
    </w:p>
    <w:p>
      <w:pPr>
        <w:spacing w:after="0" w:line="198" w:lineRule="exact"/>
        <w:rPr>
          <w:rFonts w:ascii="Arial" w:cs="Arial" w:eastAsia="Arial" w:hAnsi="Arial"/>
          <w:sz w:val="16"/>
          <w:szCs w:val="16"/>
          <w:color w:val="auto"/>
        </w:rPr>
      </w:pPr>
    </w:p>
    <w:p>
      <w:pPr>
        <w:ind w:left="340" w:right="280" w:hanging="332"/>
        <w:spacing w:after="0" w:line="254"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Dollar values stated in millions. 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$6.0 billion on August 6, 2013 (cumulatively including amounts authorized on March 12, 2013) and the lesser of 40 million shares and $1.2 billion on March 12, 2013. Since the program inception on March 12, 2013 through December 31, 2020, we have repurchased $17.9 billion, and as of December 31, 2020, we had $5.8 billion share repurchase authorization remaining. See related information in Note 13,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and in </w:t>
      </w:r>
      <w:r>
        <w:rPr>
          <w:rFonts w:ascii="Arial" w:cs="Arial" w:eastAsia="Arial" w:hAnsi="Arial"/>
          <w:sz w:val="16"/>
          <w:szCs w:val="16"/>
          <w:i w:val="1"/>
          <w:iCs w:val="1"/>
          <w:color w:val="auto"/>
        </w:rPr>
        <w:t>Management's Discussion and Analysis of Financial Condition and Results of Operations – Equity and</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Dividends</w:t>
      </w:r>
      <w:r>
        <w:rPr>
          <w:rFonts w:ascii="Arial" w:cs="Arial" w:eastAsia="Arial" w:hAnsi="Arial"/>
          <w:sz w:val="16"/>
          <w:szCs w:val="16"/>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International,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Financial Data – Five Year Review </w:t>
      </w:r>
      <w:r>
        <w:rPr>
          <w:rFonts w:ascii="Arial" w:cs="Arial" w:eastAsia="Arial" w:hAnsi="Arial"/>
          <w:sz w:val="10"/>
          <w:szCs w:val="10"/>
          <w:b w:val="1"/>
          <w:bCs w:val="1"/>
          <w:color w:val="auto"/>
        </w:rPr>
        <w:t>(1)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gridSpan w:val="5"/>
          </w:tcPr>
          <w:p>
            <w:pPr>
              <w:jc w:val="right"/>
              <w:ind w:right="331"/>
              <w:spacing w:after="0"/>
              <w:rPr>
                <w:sz w:val="20"/>
                <w:szCs w:val="20"/>
                <w:color w:val="auto"/>
              </w:rPr>
            </w:pPr>
            <w:r>
              <w:rPr>
                <w:rFonts w:ascii="Arial" w:cs="Arial" w:eastAsia="Arial" w:hAnsi="Arial"/>
                <w:sz w:val="14"/>
                <w:szCs w:val="14"/>
                <w:b w:val="1"/>
                <w:bCs w:val="1"/>
                <w:color w:val="auto"/>
              </w:rPr>
              <w:t>(in millions, except per share and employee data)</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Continuing Operations </w:t>
            </w:r>
            <w:r>
              <w:rPr>
                <w:rFonts w:ascii="Arial" w:cs="Arial" w:eastAsia="Arial" w:hAnsi="Arial"/>
                <w:sz w:val="21"/>
                <w:szCs w:val="21"/>
                <w:b w:val="1"/>
                <w:bCs w:val="1"/>
                <w:color w:val="auto"/>
                <w:vertAlign w:val="superscript"/>
              </w:rPr>
              <w:t>(2)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revenues</w:t>
            </w:r>
          </w:p>
        </w:tc>
        <w:tc>
          <w:tcPr>
            <w:tcW w:w="218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26,581</w:t>
            </w:r>
          </w:p>
        </w:tc>
        <w:tc>
          <w:tcPr>
            <w:tcW w:w="3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25,868</w:t>
            </w:r>
          </w:p>
        </w:tc>
        <w:tc>
          <w:tcPr>
            <w:tcW w:w="4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25,938</w:t>
            </w:r>
          </w:p>
        </w:tc>
        <w:tc>
          <w:tcPr>
            <w:tcW w:w="4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25,896</w:t>
            </w:r>
          </w:p>
        </w:tc>
        <w:tc>
          <w:tcPr>
            <w:tcW w:w="4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Earnings from continuing operations,</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c>
          <w:tcPr>
            <w:tcW w:w="3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3,944</w:t>
            </w: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3,331</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2,813</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of taxes</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4"/>
          </w:tcPr>
          <w:p>
            <w:pPr>
              <w:spacing w:after="0" w:line="176" w:lineRule="exact"/>
              <w:rPr>
                <w:sz w:val="20"/>
                <w:szCs w:val="20"/>
                <w:color w:val="auto"/>
              </w:rPr>
            </w:pPr>
            <w:r>
              <w:rPr>
                <w:rFonts w:ascii="Arial" w:cs="Arial" w:eastAsia="Arial" w:hAnsi="Arial"/>
                <w:sz w:val="18"/>
                <w:szCs w:val="18"/>
                <w:color w:val="auto"/>
              </w:rPr>
              <w:t>Net earnings attributable to</w:t>
            </w:r>
          </w:p>
        </w:tc>
        <w:tc>
          <w:tcPr>
            <w:tcW w:w="30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3,555</w:t>
            </w:r>
          </w:p>
        </w:tc>
        <w:tc>
          <w:tcPr>
            <w:tcW w:w="360" w:type="dxa"/>
            <w:vAlign w:val="bottom"/>
          </w:tcPr>
          <w:p>
            <w:pPr>
              <w:spacing w:after="0"/>
              <w:rPr>
                <w:sz w:val="15"/>
                <w:szCs w:val="15"/>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3,929</w:t>
            </w:r>
          </w:p>
        </w:tc>
        <w:tc>
          <w:tcPr>
            <w:tcW w:w="40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3,317</w:t>
            </w:r>
          </w:p>
        </w:tc>
        <w:tc>
          <w:tcPr>
            <w:tcW w:w="40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2,799</w:t>
            </w: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Mondelēz International</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Per share, 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4"/>
          </w:tcPr>
          <w:p>
            <w:pPr>
              <w:ind w:left="120"/>
              <w:spacing w:after="0"/>
              <w:rPr>
                <w:sz w:val="20"/>
                <w:szCs w:val="20"/>
                <w:color w:val="auto"/>
              </w:rPr>
            </w:pPr>
            <w:r>
              <w:rPr>
                <w:rFonts w:ascii="Arial" w:cs="Arial" w:eastAsia="Arial" w:hAnsi="Arial"/>
                <w:sz w:val="18"/>
                <w:szCs w:val="18"/>
                <w:color w:val="auto"/>
              </w:rPr>
              <w:t>Per share, diluted</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4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Cash Flow and Financial Position </w:t>
            </w:r>
            <w:r>
              <w:rPr>
                <w:rFonts w:ascii="Arial" w:cs="Arial" w:eastAsia="Arial" w:hAnsi="Arial"/>
                <w:sz w:val="21"/>
                <w:szCs w:val="21"/>
                <w:b w:val="1"/>
                <w:bCs w:val="1"/>
                <w:color w:val="auto"/>
                <w:vertAlign w:val="superscript"/>
              </w:rPr>
              <w:t>(3)</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3,964</w:t>
            </w:r>
          </w:p>
        </w:tc>
        <w:tc>
          <w:tcPr>
            <w:tcW w:w="3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3,965</w:t>
            </w:r>
          </w:p>
        </w:tc>
        <w:tc>
          <w:tcPr>
            <w:tcW w:w="4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3,948</w:t>
            </w:r>
          </w:p>
        </w:tc>
        <w:tc>
          <w:tcPr>
            <w:tcW w:w="4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9,026</w:t>
            </w:r>
          </w:p>
        </w:tc>
        <w:tc>
          <w:tcPr>
            <w:tcW w:w="3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8,733</w:t>
            </w:r>
          </w:p>
        </w:tc>
        <w:tc>
          <w:tcPr>
            <w:tcW w:w="4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8,482</w:t>
            </w:r>
          </w:p>
        </w:tc>
        <w:tc>
          <w:tcPr>
            <w:tcW w:w="4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8,677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67,810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64,515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62,618</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62,907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17,276</w:t>
            </w:r>
          </w:p>
        </w:tc>
        <w:tc>
          <w:tcPr>
            <w:tcW w:w="3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14,207</w:t>
            </w:r>
          </w:p>
        </w:tc>
        <w:tc>
          <w:tcPr>
            <w:tcW w:w="4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12,532</w:t>
            </w:r>
          </w:p>
        </w:tc>
        <w:tc>
          <w:tcPr>
            <w:tcW w:w="4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12,972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Mondelēz International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27,578</w:t>
            </w: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27,241</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25,526</w:t>
            </w:r>
          </w:p>
        </w:tc>
        <w:tc>
          <w:tcPr>
            <w:tcW w:w="4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25,945</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Shares outstanding at year end </w:t>
            </w:r>
            <w:r>
              <w:rPr>
                <w:rFonts w:ascii="Arial" w:cs="Arial" w:eastAsia="Arial" w:hAnsi="Arial"/>
                <w:sz w:val="21"/>
                <w:szCs w:val="21"/>
                <w:color w:val="auto"/>
                <w:vertAlign w:val="superscript"/>
              </w:rPr>
              <w:t>(4)</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1,419</w:t>
            </w:r>
          </w:p>
        </w:tc>
        <w:tc>
          <w:tcPr>
            <w:tcW w:w="3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1,435</w:t>
            </w:r>
          </w:p>
        </w:tc>
        <w:tc>
          <w:tcPr>
            <w:tcW w:w="4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1,451</w:t>
            </w:r>
          </w:p>
        </w:tc>
        <w:tc>
          <w:tcPr>
            <w:tcW w:w="4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1,488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Per Share and Other Data</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Book value per shares outstanding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18.98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21"/>
                <w:szCs w:val="21"/>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Common Stock closing price at year end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55.08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40.03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42.80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79,000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80,000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83,000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right="20" w:hanging="332"/>
        <w:spacing w:after="0" w:line="250"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selected financial data should be read in conjunction with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our consolidated financial statements and related notes included elsewhere in this Annual Report on Form 10-K and Annual Reports on Form 10-K for earlier periods. During 2020, we moved to a quarter lag for recording Jacobs Douwe Egberts ("JDE") and JDE Peet's N.V. ("JDE Peet's") results and we recast all prior periods since the inception of our investment in JDE in 2015 on the same quarter lag basis. Please see Note 7, </w:t>
      </w:r>
      <w:r>
        <w:rPr>
          <w:rFonts w:ascii="Arial" w:cs="Arial" w:eastAsia="Arial" w:hAnsi="Arial"/>
          <w:sz w:val="16"/>
          <w:szCs w:val="16"/>
          <w:i w:val="1"/>
          <w:iCs w:val="1"/>
          <w:color w:val="auto"/>
        </w:rPr>
        <w:t>Equity Method</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w:t>
      </w:r>
      <w:r>
        <w:rPr>
          <w:rFonts w:ascii="Arial" w:cs="Arial" w:eastAsia="Arial" w:hAnsi="Arial"/>
          <w:sz w:val="16"/>
          <w:szCs w:val="16"/>
          <w:color w:val="auto"/>
        </w:rPr>
        <w:t>, for more information. During 2018, we adopted the new revenue recognition accounting standard update, and it did not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on any reported periods. During 2019, we adopted the new lease accounting standard and related updates. Please also refer to our previously filed Annual Reports on Form 10-K for additional information. A significant portion of our business is exposed to currency exchange rate fluctuation as a large portion of our assets, liabilities, revenue and expenses must be translated into U.S. dollars for reporting purposes. Refer to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for a discussion of operating results on a constant currency basis where</w:t>
      </w:r>
      <w:r>
        <w:rPr>
          <w:rFonts w:ascii="Arial" w:cs="Arial" w:eastAsia="Arial" w:hAnsi="Arial"/>
          <w:sz w:val="16"/>
          <w:szCs w:val="16"/>
          <w:i w:val="1"/>
          <w:iCs w:val="1"/>
          <w:color w:val="auto"/>
        </w:rPr>
        <w:t xml:space="preserve"> </w:t>
      </w:r>
      <w:r>
        <w:rPr>
          <w:rFonts w:ascii="Arial" w:cs="Arial" w:eastAsia="Arial" w:hAnsi="Arial"/>
          <w:sz w:val="16"/>
          <w:szCs w:val="16"/>
          <w:color w:val="auto"/>
        </w:rPr>
        <w:t>noted.</w:t>
      </w:r>
    </w:p>
    <w:p>
      <w:pPr>
        <w:spacing w:after="0" w:line="185" w:lineRule="exact"/>
        <w:rPr>
          <w:rFonts w:ascii="Arial" w:cs="Arial" w:eastAsia="Arial" w:hAnsi="Arial"/>
          <w:sz w:val="16"/>
          <w:szCs w:val="16"/>
          <w:color w:val="auto"/>
        </w:rPr>
      </w:pPr>
    </w:p>
    <w:p>
      <w:pPr>
        <w:ind w:left="340" w:hanging="332"/>
        <w:spacing w:after="0" w:line="248"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Significant items impacting the comparability of our results from continuing operations include: the Simplify to Grow Program; costs associated with JDE Peet's transaction in 2020, gain/loss on equity method investment transactions in 2016-2020; other divestitures and sales of property in 2016-2020; acquisitions in 2016 and 2018-2020; losses on debt extinguishment in 2016-2018 and 2020; debt tender offers completed in 2016, 2018 and 2020; the remeasurement of net monetary position in Argentina in 2018-2020; impairment charges related to intangible assets in 2016-2020; losses or gains related to interest rate swaps in 2016 and 2018-2020; impacts from the resolution of tax matters in 2017-2018; impacts from pension participation changes in 2018-2020; CEO transition remuneration in 2017-2019; malware incident incremental expenses in 2017; and our provision for income taxes in all years, including the U.S. tax reform discrete net tax benefits or expenses in primarily 2017-2018 and Swiss tax reform net impacts in 2019. Please refer to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Note 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Note 6, </w:t>
      </w:r>
      <w:r>
        <w:rPr>
          <w:rFonts w:ascii="Arial" w:cs="Arial" w:eastAsia="Arial" w:hAnsi="Arial"/>
          <w:sz w:val="16"/>
          <w:szCs w:val="16"/>
          <w:i w:val="1"/>
          <w:iCs w:val="1"/>
          <w:color w:val="auto"/>
        </w:rPr>
        <w:t>Goodwill and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Note 7,</w:t>
      </w:r>
      <w:r>
        <w:rPr>
          <w:rFonts w:ascii="Arial" w:cs="Arial" w:eastAsia="Arial" w:hAnsi="Arial"/>
          <w:sz w:val="16"/>
          <w:szCs w:val="16"/>
          <w:i w:val="1"/>
          <w:iCs w:val="1"/>
          <w:color w:val="auto"/>
        </w:rPr>
        <w:t xml:space="preserve"> Equity Method Investments</w:t>
      </w:r>
      <w:r>
        <w:rPr>
          <w:rFonts w:ascii="Arial" w:cs="Arial" w:eastAsia="Arial" w:hAnsi="Arial"/>
          <w:sz w:val="16"/>
          <w:szCs w:val="16"/>
          <w:color w:val="auto"/>
        </w:rPr>
        <w:t>; Note 8,</w:t>
      </w:r>
      <w:r>
        <w:rPr>
          <w:rFonts w:ascii="Arial" w:cs="Arial" w:eastAsia="Arial" w:hAnsi="Arial"/>
          <w:sz w:val="16"/>
          <w:szCs w:val="16"/>
          <w:i w:val="1"/>
          <w:iCs w:val="1"/>
          <w:color w:val="auto"/>
        </w:rPr>
        <w:t xml:space="preserve"> Restructuring Program</w:t>
      </w:r>
      <w:r>
        <w:rPr>
          <w:rFonts w:ascii="Arial" w:cs="Arial" w:eastAsia="Arial" w:hAnsi="Arial"/>
          <w:sz w:val="16"/>
          <w:szCs w:val="16"/>
          <w:color w:val="auto"/>
        </w:rPr>
        <w:t>; Note 9,</w:t>
      </w:r>
      <w:r>
        <w:rPr>
          <w:rFonts w:ascii="Arial" w:cs="Arial" w:eastAsia="Arial" w:hAnsi="Arial"/>
          <w:sz w:val="16"/>
          <w:szCs w:val="16"/>
          <w:i w:val="1"/>
          <w:iCs w:val="1"/>
          <w:color w:val="auto"/>
        </w:rPr>
        <w:t xml:space="preserve"> Debt and Borrowing Arrangements</w:t>
      </w:r>
      <w:r>
        <w:rPr>
          <w:rFonts w:ascii="Arial" w:cs="Arial" w:eastAsia="Arial" w:hAnsi="Arial"/>
          <w:sz w:val="16"/>
          <w:szCs w:val="16"/>
          <w:color w:val="auto"/>
        </w:rPr>
        <w:t>; Note 10,</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11, </w:t>
      </w:r>
      <w:r>
        <w:rPr>
          <w:rFonts w:ascii="Arial" w:cs="Arial" w:eastAsia="Arial" w:hAnsi="Arial"/>
          <w:sz w:val="16"/>
          <w:szCs w:val="16"/>
          <w:i w:val="1"/>
          <w:iCs w:val="1"/>
          <w:color w:val="auto"/>
        </w:rPr>
        <w:t>Benefit Plans</w:t>
      </w:r>
      <w:r>
        <w:rPr>
          <w:rFonts w:ascii="Arial" w:cs="Arial" w:eastAsia="Arial" w:hAnsi="Arial"/>
          <w:sz w:val="16"/>
          <w:szCs w:val="16"/>
          <w:color w:val="auto"/>
        </w:rPr>
        <w:t xml:space="preserv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Note 16,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and our Annual Reports on Form 10-K for earlier periods for additional information regarding items affecting comparability of our results from continuing operations.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340" w:hanging="332"/>
        <w:spacing w:after="0" w:line="255"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Items impacting comparability primarily relate to and acquisitions and divestitures during 2016-2020 and the Keurig and JDE coffee business transactions in 2016. Please 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and our previously filed Annual Reports on Form 10-K for additional information.</w:t>
      </w: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13, </w:t>
      </w:r>
      <w:r>
        <w:rPr>
          <w:rFonts w:ascii="Arial" w:cs="Arial" w:eastAsia="Arial" w:hAnsi="Arial"/>
          <w:sz w:val="16"/>
          <w:szCs w:val="16"/>
          <w:i w:val="1"/>
          <w:iCs w:val="1"/>
          <w:color w:val="auto"/>
        </w:rPr>
        <w:t>Capital Stock</w:t>
      </w:r>
      <w:r>
        <w:rPr>
          <w:rFonts w:ascii="Arial" w:cs="Arial" w:eastAsia="Arial" w:hAnsi="Arial"/>
          <w:sz w:val="16"/>
          <w:szCs w:val="16"/>
          <w:color w:val="auto"/>
        </w:rPr>
        <w:t>, for additional information on our share repurchase program activity.</w:t>
      </w:r>
    </w:p>
    <w:p>
      <w:pPr>
        <w:spacing w:after="0" w:line="5" w:lineRule="exact"/>
        <w:rPr>
          <w:rFonts w:ascii="Arial" w:cs="Arial" w:eastAsia="Arial" w:hAnsi="Arial"/>
          <w:sz w:val="16"/>
          <w:szCs w:val="16"/>
          <w:color w:val="auto"/>
        </w:rPr>
      </w:pPr>
    </w:p>
    <w:p>
      <w:pPr>
        <w:ind w:left="340" w:right="140" w:hanging="332"/>
        <w:spacing w:after="0" w:line="265"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Equity and Dividends</w:t>
      </w:r>
      <w:r>
        <w:rPr>
          <w:rFonts w:ascii="Arial" w:cs="Arial" w:eastAsia="Arial" w:hAnsi="Arial"/>
          <w:sz w:val="16"/>
          <w:szCs w:val="16"/>
          <w:color w:val="auto"/>
        </w:rPr>
        <w:t xml:space="preserve"> section within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for information on our dividends.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115" w:right="10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4"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around the world.</w:t>
      </w:r>
    </w:p>
    <w:p>
      <w:pPr>
        <w:spacing w:after="0" w:line="17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detailed information on our business and strategy, refer to Item 1, </w:t>
      </w:r>
      <w:r>
        <w:rPr>
          <w:rFonts w:ascii="Arial" w:cs="Arial" w:eastAsia="Arial" w:hAnsi="Arial"/>
          <w:sz w:val="18"/>
          <w:szCs w:val="18"/>
          <w:i w:val="1"/>
          <w:iCs w:val="1"/>
          <w:color w:val="auto"/>
        </w:rPr>
        <w:t>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have been actively monitoring the outbreak of COVID -19 and its impact globally. Our highest priorities continue to be the safety of our employees and working with our employees and network of suppliers and customers to help maintain the global food supply chain.</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2020, we experienced a significant increase in demand and revenue growth in certain markets as consumers increased their food purchases for in-home consumption. Results were particularly strong in modern trade (such as large grocery supermarkets and retail chains) and e-commerce, and especially for categories such as biscuits. Other parts of our business were negatively affected by mandated lockdowns and other related restrictions including some of our emerging markets with a greater concentration of traditional trade (such as small family-run stores) as well as our world travel retail (such as international duty-free stores) and foodservice businesses. During the second quarter especially, lockdowns and other related measures or restrictions had a negative impact on emerging markets with a greater concentration of traditional trade due to store closures (particularly in our Latin America region as well as parts of our AMEA region) as well as in categories like gum and candy, which are more traditionally purchased and consumed out of home. In the second half of the year, demand grew in both developed and emerging markets as the negative impacts of COVID-19 during the second quarter subsided and a number of our key markets returned to higher growth. A sharp reduction in global travel continues to negatively impact our world travel retail business, and lower out-of-home consumption continues to negatively impact our foodservice business as well as sales of our gum and candy products. During 2020, we also experienced temporary disruptions in operations in some of our emerging markets that were not material to our consolidated results. We discuss these and other impacts of COVID-19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are working remotely whenever possible. For employees who are unable to work remotely, we have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At a local level, we have also provided additional flexibility and support to employees in our manufacturing facilities, distribution and logistics operations and sales organization.</w:t>
      </w:r>
    </w:p>
    <w:p>
      <w:pPr>
        <w:spacing w:after="0" w:line="2" w:lineRule="exact"/>
        <w:rPr>
          <w:rFonts w:ascii="Arial" w:cs="Arial" w:eastAsia="Arial" w:hAnsi="Arial"/>
          <w:sz w:val="18"/>
          <w:szCs w:val="18"/>
          <w:color w:val="auto"/>
        </w:rPr>
      </w:pPr>
    </w:p>
    <w:p>
      <w:pPr>
        <w:ind w:left="660" w:right="60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been hiring frontline employees in the U.S. and other locations to meet additional marketplace demand and promote uninterrupted functioning of our manufacturing, distribution and sales network.</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right="240" w:hanging="328"/>
        <w:spacing w:after="0" w:line="32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increased our $15 million global commitment to assist those most impacted by COVID-19 to approximately $28 million to date. We have been supporting local and global organizations that are responding to food instability and providing emergency relief.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is to maintain the availability of our products to meet the needs of our consumers. In response to increased demand, we have increased production and, to date, we have not experienced material disruptions in our supply chain or operations:</w:t>
      </w:r>
    </w:p>
    <w:p>
      <w:pPr>
        <w:spacing w:after="0" w:line="1" w:lineRule="exact"/>
        <w:rPr>
          <w:sz w:val="20"/>
          <w:szCs w:val="20"/>
          <w:color w:val="auto"/>
        </w:rPr>
      </w:pPr>
    </w:p>
    <w:p>
      <w:pPr>
        <w:ind w:left="660" w:right="1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were able to leverage learnings from our timely response to the initial outbreak in China, and we put in place procedures across our supply chain to help mitigate the risk that our manufacturing sites will experience material closures or disruptions.</w:t>
      </w:r>
    </w:p>
    <w:p>
      <w:pPr>
        <w:ind w:left="660" w:right="4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been able to continue to source raw ingredients, packaging, energy and transportation and deliver our products to our customers.</w:t>
      </w:r>
    </w:p>
    <w:p>
      <w:pPr>
        <w:ind w:left="660" w:right="3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not experienced material disruptions in our workforce; however, mandatory and voluntary stay-at-home restrictions have resulted in increased levels of absenteeism.</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Commodity costs have become more volatile due to the COVID-19 outbreak. Although we monitor our exposure to commodity prices and hedge against input price increases, we cannot fully hedge against changes in commodity costs, and our hedging strategies may not protect us from increases in specific raw material costs. We anticipate continued commodity cost volatility as the pandemic continues.</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experienced temporary disruptions in operations in some of our emerging markets. The disruptions were not material to our consolidated results for 2020. In the future, the ongoing COVID-19 outbreak could disrupt our global supply chain, operations and routes to market or those of our suppliers, their suppliers, or our co-manufacturers or distributors. These disruptions or our failure to effectively respond to them could increase product or distribution costs, prices and potentially affect the availability of our products.</w:t>
      </w:r>
    </w:p>
    <w:p>
      <w:pPr>
        <w:ind w:left="660" w:right="5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2020 net revenue and net earnings in U.S. dollars were negatively affected by currency translation losses from a generally stronger U.S. dollar relative to other currencies in the countries in which we operate.</w:t>
      </w:r>
    </w:p>
    <w:p>
      <w:pPr>
        <w:ind w:left="660" w:right="8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second quarter of 2020, we incurred higher operating costs primarily for labor, customer service and logistics, security, personal protective equipment and cleaning. In the second half of 2020, our spending in these areas was significantly less but still above pre-COVID levels. We continued to incur higher costs in these areas in response to the ongoing pandemic as we worked to protect our employees and deliver our products timely and safely to our customers. Most other aspects of our global supply chain and operations did not change materially during 2020. While we have not had material disruptions to date, we do not know whether or how our supply chain or operations may be negatively affected if the pandemic persists for an extended period or worsens. As we respond to this evolving situation, we intend to continue to execute on our strategic operating plans. However, disruptions, higher operating costs or uncertainties like those noted above could result in delays or modifications to our plans and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over the last several years and months have strengthened our ability to operate through current conditions:</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2019, we generated $4.0 billion of cash from operations, or $3.0 billion after deducting capital expenditures.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2020, we generated $4.0 billion of cash from operations, or $3.1 billion after capital expenditures. Also, as of December 31, 2020, we had $3.6 billion of cash and cash equivalents on hand.</w:t>
      </w:r>
    </w:p>
    <w:p>
      <w:pPr>
        <w:ind w:left="660" w:right="1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During 2020, we also received cash of €350 million ($394 million) from our participation in the JDE Peet's public share offerings and $2,094 million from our participation in the KDP secondary offering and subsequent KDP share sales (see additional information below and in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precautionary measure, in March, we also suspended our share repurchase program, which was reinstated during our fourth quarter.</w:t>
      </w:r>
    </w:p>
    <w:p>
      <w:pPr>
        <w:ind w:left="660" w:right="12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various legislatively authorized tax payment deferral mechanisms available for income tax, indirect tax (such as value-added tax) and payroll tax in a number of jurisdictions, we were able to defer certain of these tax payments, which provided a cash benefit that reverses when the payments come due. Some of these payments were made in the fourth quarter of 2020; the remainder will come due in 2021 and 2022. The benefits associated with the deferral of these tax payments were not material to our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right="2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our current available cash and access to financing markets, we do not anticipate any issue funding our next long-term debt maturities of approximately $1.5 billion in October 2021 and approximately $0.3 billion in December 2021 and after paying approximately $0.8 billion of maturing debt in January 2021.</w:t>
      </w:r>
    </w:p>
    <w:p>
      <w:pPr>
        <w:spacing w:after="0" w:line="2" w:lineRule="exact"/>
        <w:rPr>
          <w:rFonts w:ascii="Arial" w:cs="Arial" w:eastAsia="Arial" w:hAnsi="Arial"/>
          <w:sz w:val="18"/>
          <w:szCs w:val="18"/>
          <w:color w:val="auto"/>
        </w:rPr>
      </w:pPr>
    </w:p>
    <w:p>
      <w:pPr>
        <w:ind w:left="660" w:right="12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We also have access to short-term and long-term financing markets and have actively utilized these markets in 2020. During the initial outbreak of COVID-19 in March, we put supplemental short-term credit facilities in place, which we have since retired in full. We also continued to utilize the commercial paper markets in the United States and Europe for flexible, low-cost, short-term financing. We also issued additional long-term debt several times in 2020 due to favorable market conditions and opportunities to shift a portion of our funding mix from short-term debt to long-term debt at a low cost. We continue to have $6.0 billion of undrawn credit facilities as well as other forms of short-term and long-term financing options available (refer to the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section and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We have been, and we expect to continue to be, in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debt covenants.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9" w:lineRule="exact"/>
        <w:rPr>
          <w:sz w:val="20"/>
          <w:szCs w:val="20"/>
          <w:color w:val="auto"/>
        </w:rPr>
      </w:pPr>
    </w:p>
    <w:p>
      <w:pPr>
        <w:ind w:left="660" w:right="100" w:hanging="328"/>
        <w:spacing w:after="0" w:line="24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evaluated the realizability of our assets and whether there are any impairment indicators. We reviewed our receivables, inventory, right-of-use lease assets, long-lived assets, equity method and other long-term investments, deferred tax assets, goodwill and intangible assets.</w:t>
      </w:r>
    </w:p>
    <w:p>
      <w:pPr>
        <w:ind w:left="660" w:right="80" w:hanging="328"/>
        <w:spacing w:after="0" w:line="22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connection with the ongoing pandemic, we identified a decline in demand for certain of our brands, primarily in the gum category, that prompted additional evaluation of our indefinite-life intangible assets during the second quarter of 2020 in addition to our annual testing in the third quarter of 2020. In connection with the testing, we concluded that eight brands were impaired and we recorded $144 million of impairment charges in 2020. While we did not identify impairment triggers for other brands, there continues to be significant uncertainty due to the pandemic. If brand earnings expectations are not met or specific valuation factors outside of our control, such as discount rates, change significantly, then a brand or brands could become impaired in the future. 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details on our intangible asset impairment evaluation.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and implementation activities were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continue to monitor the quality of our assets and our overall financial position over coming quarters.</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continue to maintain oversight over our core process controls through our centralized shared service model, and our key controls are operating as designed.</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some of the initial impacts of the pandemic on our business moderated in the second half of 2020, the business and economic environment remains uncertain and additional impacts may arise that we cannot currently anticipate. Barring material business disruptions or other negative developments, we expect to continue to meet the demand of consumers for our snacks, food and beverage products. However, the elevated consumer demand we experienced primarily in some of our developed market countries in 2020 may not continue. We are unable to predict how long this sustained demand will last or how significant it will be. We expect the COVID-19 outbreak to result in lower revenues primarily in some of our emerging market countries that have a higher concentration of traditional trade outlets (such as small family-run stores), our gum and candy categories (which are more instant consumption in nature), as well as our world travel retail (such as international duty-free stores) and foodservice businesses. As we continue to proactively manage our business in response to the evolving impacts of the pandemic, we continue to communicate with and support our employees and customers; monitor and take steps to further safeguard our supply chain, operations, technology and assets; protect our liquidity and financial position; work toward our strategic priorities and monitor our financial performance as we seek to position the Company to withstand the current uncertainty related to this pandemic.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KDP and JDE Peet's Equity Method Investment Transactions</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2018, we recorded a pre-tax gain of $778 million (or $586 million after-tax). In connection with the KDP transaction, in the third quarter of 2018, we changed our accounting principle to reflect our share of Keurig's historical and KDP's ongoing earnings on a one-quarter lag basis for all periods presented while we continue to record dividends when cash is received.</w:t>
      </w:r>
    </w:p>
    <w:p>
      <w:pPr>
        <w:spacing w:after="0" w:line="20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During 2019, we recognized a $23 million pre-tax gain related to the impact of a KDP acquisition that decreased our ownership interest from 13.8% to 13.6%.</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 Subsequently, on August 3, 2020, we sold approximately 14.1 million shares and on September 9, 2020, we sold approximately 12.5 million shares, which in the aggregate reduced our KDP ownership interest to 11.2% of total outstanding shares. During the third quarter of 2020, we received $777 million of proceeds and recorded pre-tax gains of $335 million (or $258 million after tax). On November 17, 2020, we sold approximately 40.0 million shares, which reduced our ownership interest by 2.8% to 8.4%. We received $1,132 million of proceeds and recorded a pre-tax gain of $459 million (or $350 million after tax) during the fourth quarter of 2020. The cash taxes associated with the KDP share sales were paid in 2020.</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of 2020, retaining a 22.9% ownership interest in JDE Peet's. We received €350 million ($394 million) of total proceeds from the sales of JDE Peet's shares and we recorded a preliminary pre-tax gain of $121 million during the second quarter of 2020. We also incurred a $261 million tax expense that is payable in 2020 and 2021. During the third quarter of 2020, we increased our preliminary gain by $10 million to $131 million. During the fourth quarter of 2020, we reduced our tax expense by $ 11 million to $250 million. Consistent with our accounting for KDP and in connection with JDE Peet's becoming a public company, during the second quarter of 2020, we changed our accounting principle to reflect our share of JDE historical results and JDE Peet's ongoing results on a one-quarter lag basis while we continue to record dividends when cash is received. We determined a lag was preferable as it enables us to continue to report our quarterly and annual results on a timely basis and to record our share of JDE Peet's ongoing results once JDE Peet's has publicly reported its results. This change was applied retrospectively to all periods presented.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and U.S. Tax Reform</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 / Cantonal events, our position is the enactment of Swiss tax reform for U.S. GAAP purposes was met as of September 30, 2019, and we recorded the impacts in the third quarter 2019. The net impact was a benefit of $ 767 million, which consisted of a $769 million reduction in deferred tax expense from an allowed step-up of intangible assets for tax purposes and remeasurement of our deferred tax balances, partially offset by a $ 2 million indirect tax impact in selling, general and administrative expenses. The ongoing impacts of these Swiss tax reform law changes became effective January 1, 2020.</w:t>
      </w:r>
    </w:p>
    <w:p>
      <w:pPr>
        <w:spacing w:after="0" w:line="208"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On December 22, 2017, the United States enacted tax reform legislation ("U.S. tax reform") that included a broad range of business tax provisions and a one-time transition tax on accumulated foreign earnings and profits.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our annual effective tax rates and Swiss and U.S. tax reform.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 Withdrawal</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2018, we executed a complete withdrawal from the Bakery and Confectionery Union and Industry International Pension Fund (the "Fund") and recorded a $429 million estimated withdrawal liability. On July 11, 2019, we received an undiscounted withdrawal liability assessment from the Fund totaling $526 million requiring pro-rata monthly payments over 20 years. We began making monthly payments during the third quarter of 2019. Within selling, general and administrative expenses, we recorded a $35 million ($26 million net of tax) adjustment related to the discounted withdrawal liability. Within interest and other expense, net, we recorded accreted interest on the long-term liability of</w:t>
      </w:r>
    </w:p>
    <w:p>
      <w:pPr>
        <w:spacing w:after="0" w:line="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$11 million in 2020, $12 million in 2019 and $6 million in 2018. As of December 31, 2020, the remaining discounted withdrawal liability was $375 million, with $14 million recorded in other current liabilities and $361 million recorded in long-term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6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revenues were approximately $26.6 billion in 2020 and $25.9 billion in 2019, an increase of 2.8% in 2020 and a decrease of</w:t>
      </w:r>
    </w:p>
    <w:p>
      <w:pPr>
        <w:spacing w:after="0" w:line="31" w:lineRule="exact"/>
        <w:rPr>
          <w:rFonts w:ascii="Arial" w:cs="Arial" w:eastAsia="Arial" w:hAnsi="Arial"/>
          <w:sz w:val="18"/>
          <w:szCs w:val="18"/>
          <w:color w:val="auto"/>
        </w:rPr>
      </w:pPr>
    </w:p>
    <w:p>
      <w:pPr>
        <w:ind w:left="660"/>
        <w:spacing w:after="0" w:line="250" w:lineRule="auto"/>
        <w:rPr>
          <w:rFonts w:ascii="Arial" w:cs="Arial" w:eastAsia="Arial" w:hAnsi="Arial"/>
          <w:sz w:val="18"/>
          <w:szCs w:val="18"/>
          <w:color w:val="auto"/>
        </w:rPr>
      </w:pPr>
      <w:r>
        <w:rPr>
          <w:rFonts w:ascii="Arial" w:cs="Arial" w:eastAsia="Arial" w:hAnsi="Arial"/>
          <w:sz w:val="18"/>
          <w:szCs w:val="18"/>
          <w:color w:val="auto"/>
        </w:rPr>
        <w:t>0.3% in 2019. In 2020, net revenues were significantly impacted by the COVID-19 outbreak and response. In developed markets, particularly North America, demand for our products, primarily biscuits and chocolate, grew significantly as consumers increased their food purchases for in-home consumption. In some of our emerging markets, where we have a greater concentration of traditional trade, as well as in our gum and candy, world travel retail and foodservice businesses, where we sell products that are typically consumed away from home, net revenues were negatively affected by mandated lockdowns and other related restrictions. In the second half of the year the negative impacts we experienced from COVID-19, particularly during the second quarter, subsided, resulting in a return to revenue growth across a number of our key markets.</w:t>
      </w:r>
    </w:p>
    <w:p>
      <w:pPr>
        <w:spacing w:after="0" w:line="2" w:lineRule="exact"/>
        <w:rPr>
          <w:rFonts w:ascii="Arial" w:cs="Arial" w:eastAsia="Arial" w:hAnsi="Arial"/>
          <w:sz w:val="18"/>
          <w:szCs w:val="18"/>
          <w:color w:val="auto"/>
        </w:rPr>
      </w:pPr>
    </w:p>
    <w:p>
      <w:pPr>
        <w:jc w:val="both"/>
        <w:ind w:left="1300" w:right="120" w:hanging="324"/>
        <w:spacing w:after="0" w:line="250" w:lineRule="auto"/>
        <w:rPr>
          <w:rFonts w:ascii="Arial" w:cs="Arial" w:eastAsia="Arial" w:hAnsi="Arial"/>
          <w:sz w:val="18"/>
          <w:szCs w:val="18"/>
          <w:color w:val="auto"/>
        </w:rPr>
      </w:pPr>
      <w:r>
        <w:rPr>
          <w:rFonts w:ascii="Arial" w:cs="Arial" w:eastAsia="Arial" w:hAnsi="Arial"/>
          <w:sz w:val="18"/>
          <w:szCs w:val="18"/>
          <w:color w:val="auto"/>
        </w:rPr>
        <w:t>– Net revenue increased in 2020, driven by higher net pricing, favorable volume/mix and incremental net revenues from our acquisitions of Give &amp; Go in 2020 and Perfect Snacks in 2019. These items were partially offset by the significant impact of unfavorable currency translation, as the U.S. dollar strengthened against most currencies in which we operate compared to exchange rates in the prior year, as well as the May 28, 2019 divestiture of most of our cheese business in the Middle East and Africa.</w:t>
      </w:r>
    </w:p>
    <w:p>
      <w:pPr>
        <w:spacing w:after="0" w:line="1" w:lineRule="exact"/>
        <w:rPr>
          <w:rFonts w:ascii="Arial" w:cs="Arial" w:eastAsia="Arial" w:hAnsi="Arial"/>
          <w:sz w:val="18"/>
          <w:szCs w:val="18"/>
          <w:color w:val="auto"/>
        </w:rPr>
      </w:pPr>
    </w:p>
    <w:p>
      <w:pPr>
        <w:ind w:left="1300" w:right="80" w:hanging="324"/>
        <w:spacing w:after="0" w:line="258" w:lineRule="auto"/>
        <w:rPr>
          <w:rFonts w:ascii="Arial" w:cs="Arial" w:eastAsia="Arial" w:hAnsi="Arial"/>
          <w:sz w:val="18"/>
          <w:szCs w:val="18"/>
          <w:color w:val="auto"/>
        </w:rPr>
      </w:pPr>
      <w:r>
        <w:rPr>
          <w:rFonts w:ascii="Arial" w:cs="Arial" w:eastAsia="Arial" w:hAnsi="Arial"/>
          <w:sz w:val="18"/>
          <w:szCs w:val="18"/>
          <w:color w:val="auto"/>
        </w:rPr>
        <w:t>– Net revenue decreased in 2019, driven by the impact of unfavorable currency translation and the impact of the divestiture of most of our cheese business in the Middle East and Africa. Net revenues were positively affected by higher net pricing and favorable volume/mix, as well as our acquisitions of Perfect Snacks in 2019 and Tate's Bake Shop in 2018.</w:t>
      </w:r>
    </w:p>
    <w:p>
      <w:pPr>
        <w:spacing w:after="0" w:line="201" w:lineRule="exact"/>
        <w:rPr>
          <w:rFonts w:ascii="Arial" w:cs="Arial" w:eastAsia="Arial" w:hAnsi="Arial"/>
          <w:sz w:val="18"/>
          <w:szCs w:val="18"/>
          <w:color w:val="auto"/>
        </w:rPr>
      </w:pPr>
    </w:p>
    <w:p>
      <w:pPr>
        <w:ind w:left="660" w:right="4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Organic Net Revenue increased 3.7% to $26.8 billion in 2020 and increased 4.1% to $26.9 billion in 2019. While Organic Net Revenue in 2020 was impacted by the COVID-19 outbreak and response described above, Organic Net Revenue increased in both 2020 and 2019 due to higher net pricing and favorable volume/mix.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decreased 8.2% to $2.47 in 2020 and increased 20.6% to $2.69 in 2019.</w:t>
      </w:r>
    </w:p>
    <w:p>
      <w:pPr>
        <w:spacing w:after="0" w:line="31" w:lineRule="exact"/>
        <w:rPr>
          <w:rFonts w:ascii="Arial" w:cs="Arial" w:eastAsia="Arial" w:hAnsi="Arial"/>
          <w:sz w:val="18"/>
          <w:szCs w:val="18"/>
          <w:color w:val="auto"/>
        </w:rPr>
      </w:pPr>
    </w:p>
    <w:p>
      <w:pPr>
        <w:ind w:left="1300" w:right="20" w:hanging="324"/>
        <w:spacing w:after="0" w:line="250" w:lineRule="auto"/>
        <w:rPr>
          <w:rFonts w:ascii="Arial" w:cs="Arial" w:eastAsia="Arial" w:hAnsi="Arial"/>
          <w:sz w:val="18"/>
          <w:szCs w:val="18"/>
          <w:color w:val="auto"/>
        </w:rPr>
      </w:pPr>
      <w:r>
        <w:rPr>
          <w:rFonts w:ascii="Arial" w:cs="Arial" w:eastAsia="Arial" w:hAnsi="Arial"/>
          <w:sz w:val="18"/>
          <w:szCs w:val="18"/>
          <w:color w:val="auto"/>
        </w:rPr>
        <w:t>– Diluted EPS decreased in 2020 primarily driven by lapping the prior-year benefit from Swiss tax reform, costs associated with the JDE Peet's transaction, loss on debt extinguishment, higher intangible asset impairment charges, unfavorable year-over-year mark-to-market impacts from currency and commodity derivatives, lapping a prior-year gain on divestiture, lapping the prior-year benefit from pension participation changes and the unfavorable impact on net earnings from divestitures. These factors were partially offset by gains on equity method investment transactions, higher Adjusted EPS, favorable change from the resolution of tax matters (a benefit in 2020 as compared to an expense in 2019), lower Simplify to Grow program costs and lower losses related to interest rate swaps.</w:t>
      </w:r>
    </w:p>
    <w:p>
      <w:pPr>
        <w:spacing w:after="0" w:line="2" w:lineRule="exact"/>
        <w:rPr>
          <w:rFonts w:ascii="Arial" w:cs="Arial" w:eastAsia="Arial" w:hAnsi="Arial"/>
          <w:sz w:val="18"/>
          <w:szCs w:val="18"/>
          <w:color w:val="auto"/>
        </w:rPr>
      </w:pPr>
    </w:p>
    <w:p>
      <w:pPr>
        <w:ind w:left="1300" w:right="20" w:hanging="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 Diluted EPS increased in 2019 primarily driven by the benefit from Swiss tax reform, lapping the prior-year impact from pension participation changes, operating gains, lower Simplify to Grow program costs, an increase in equity method investment earnings, lapping the prior-year loss on debt extinguishment, fewer shares outstanding, a gain on divestiture, lower interest expense and a benefit from current-year pension participation changes, partially offset by lapping the prior-year gain on equity method investment transactions, unfavorable currency translation, a loss related to interest rate swaps, the expense from the resolution of tax matters in 2019 and an unfavorable year-over-year change in mark-to-market impacts from currency and commodity derivatives. See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appearing later in this section for further details.</w:t>
      </w:r>
    </w:p>
    <w:p>
      <w:pPr>
        <w:spacing w:after="0" w:line="210"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EPS increased 5.3% to $2.59 in 2020 and increased 4.2% to $2.46 in 2019. On a constant currency basis, Adjusted EPS increased 6.5% to $2.62 in 2020 and increased 11.0% to $2.62 in 2019.</w:t>
      </w:r>
    </w:p>
    <w:p>
      <w:pPr>
        <w:ind w:left="1300" w:right="180" w:hanging="324"/>
        <w:spacing w:after="0" w:line="250" w:lineRule="auto"/>
        <w:rPr>
          <w:rFonts w:ascii="Arial" w:cs="Arial" w:eastAsia="Arial" w:hAnsi="Arial"/>
          <w:sz w:val="18"/>
          <w:szCs w:val="18"/>
          <w:color w:val="auto"/>
        </w:rPr>
      </w:pPr>
      <w:r>
        <w:rPr>
          <w:rFonts w:ascii="Arial" w:cs="Arial" w:eastAsia="Arial" w:hAnsi="Arial"/>
          <w:sz w:val="18"/>
          <w:szCs w:val="18"/>
          <w:color w:val="auto"/>
        </w:rPr>
        <w:t>– For 2020, operating gains, an increase in benefit plan non-service income and fewer shares outstanding, partially offset by unfavorable currency translation and a decrease in equity method investment earnings drove the Adjusted EPS growth.</w:t>
      </w:r>
    </w:p>
    <w:p>
      <w:pPr>
        <w:ind w:left="1300" w:right="120" w:hanging="324"/>
        <w:spacing w:after="0" w:line="266" w:lineRule="auto"/>
        <w:rPr>
          <w:rFonts w:ascii="Arial" w:cs="Arial" w:eastAsia="Arial" w:hAnsi="Arial"/>
          <w:sz w:val="18"/>
          <w:szCs w:val="18"/>
          <w:color w:val="auto"/>
        </w:rPr>
      </w:pPr>
      <w:r>
        <w:rPr>
          <w:rFonts w:ascii="Arial" w:cs="Arial" w:eastAsia="Arial" w:hAnsi="Arial"/>
          <w:sz w:val="18"/>
          <w:szCs w:val="18"/>
          <w:color w:val="auto"/>
        </w:rPr>
        <w:t>– For 2019, operating gains, increased equity method investment earnings, fewer shares outstanding, lower interest expense and lower taxes, partially offset by unfavorable currency translation drove the Adjusted EPS growth.</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right="160"/>
        <w:spacing w:after="0" w:line="271"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 We continue to monitor and respond to the COVID -19 outbreak. While its full impact is not yet known, it has had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negative effect on economic conditions globally and could have a material negative effect on our business and results in the future, particularly if there are significant adverse changes to consumer demand or significant disruptions to the supply, production or distribution of our products or the credit or financial stability of our customers and other business partners. An economic or credit crisis could occur and impair credit availability and our ability to raise capital when needed. A disruption in the financial markets may also have a negative effect on our derivative counterparties and could also impair our banking or other business partners, on whom we rely for access to capital and as counterparties for a number of our derivative contracts. Any of these and other developments could materially harm our business, results of operations and financial condition. We will continue to prioritize the safety of our employees and consumers. As we manage operations during the pandemic, we may continue to incur increased labor, customer service, logistics and other costs. As consumer demand for our products evolves, we could see continued shifts in product mix that could have a negative impact on our results. As discussed in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 and Significant Items Affecting Comparability</w:t>
      </w:r>
      <w:r>
        <w:rPr>
          <w:rFonts w:ascii="Arial" w:cs="Arial" w:eastAsia="Arial" w:hAnsi="Arial"/>
          <w:sz w:val="18"/>
          <w:szCs w:val="18"/>
          <w:color w:val="auto"/>
        </w:rPr>
        <w:t>, we are working to mitigate any negative impacts to our business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outbreak, but we may not be able to fully predict or respond to all impacts on a timely basis to prevent near- and long-term adverse impacts to our results.</w:t>
      </w:r>
    </w:p>
    <w:p>
      <w:pPr>
        <w:spacing w:after="0" w:line="21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While gum and candy category growth was down due to less on-the-go consumption, the overall snack category continued to grow in 2020, in part due to increased consumer demand for snacks purchases for in-home consumption during the COVID-19 outbreak. As part of our strategic plan, we seek to drive category growth by leveraging our local and consumer-focused commercial approach, making investments in our brand and snacks portfolio, building strong routes to market in both emerging and developed markets and improving our availability across multiple channels. We believe these actions will help drive demand in our categories and strengthen our positions across markets.</w:t>
      </w:r>
    </w:p>
    <w:p>
      <w:pPr>
        <w:spacing w:after="0" w:line="20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i w:val="1"/>
          <w:iCs w:val="1"/>
          <w:color w:val="auto"/>
        </w:rPr>
        <w:t xml:space="preserve">Long-Term Demographics and Consumer Trends </w:t>
      </w:r>
      <w:r>
        <w:rPr>
          <w:rFonts w:ascii="Arial" w:cs="Arial" w:eastAsia="Arial" w:hAnsi="Arial"/>
          <w:sz w:val="17"/>
          <w:szCs w:val="17"/>
          <w:color w:val="auto"/>
        </w:rPr>
        <w:t>– Snack food consumption is highly correlated to GDP growth, urbanization of populations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rising discretionary income levels associated with a growing middle class, particularly in emerging markets. Our recent research underscores the growth of snacking worldwide and how behavior, sentiment and routines surrounding food are being reshaped by COVID-</w:t>
      </w:r>
    </w:p>
    <w:p>
      <w:pPr>
        <w:spacing w:after="0" w:line="1"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Snacking, which was already increasing among consumers, has accelerated further in 2020 as consumers spend more time at home,</w:t>
      </w:r>
    </w:p>
    <w:p>
      <w:pPr>
        <w:spacing w:after="0" w:line="9" w:lineRule="exact"/>
        <w:rPr>
          <w:rFonts w:ascii="Arial" w:cs="Arial" w:eastAsia="Arial" w:hAnsi="Arial"/>
          <w:sz w:val="18"/>
          <w:szCs w:val="18"/>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according to the second annual </w:t>
      </w:r>
      <w:r>
        <w:rPr>
          <w:rFonts w:ascii="Arial" w:cs="Arial" w:eastAsia="Arial" w:hAnsi="Arial"/>
          <w:sz w:val="18"/>
          <w:szCs w:val="18"/>
          <w:i w:val="1"/>
          <w:iCs w:val="1"/>
          <w:color w:val="auto"/>
        </w:rPr>
        <w:t>State of Snacking</w:t>
      </w:r>
      <w:r>
        <w:rPr>
          <w:rFonts w:ascii="Arial" w:cs="Arial" w:eastAsia="Arial" w:hAnsi="Arial"/>
          <w:sz w:val="18"/>
          <w:szCs w:val="18"/>
          <w:color w:val="auto"/>
        </w:rPr>
        <w:t xml:space="preserve"> report, commissioned by Mondelēz International and issued in November 2020. The report was conducted in conjunction with consumer poll specialist The Harris Poll and summarizes the findings from interviews with thousands of consumers across 12 countries. The report shows that consumers see snacking as an important source of comfort, connection and community, especially during the past year. For many, snacking offers moments of satisfaction and peace, with a majority of respondents noting it has helped distract them from a challenging year.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operations, including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Some emerging markets have greater political, economic and currency volatility and greater vulnerability to infrastructure and labor disruptions. Volatility in these markets affects demand for and the costs of our products and requires frequent changes in how we operate our business. As further discussed in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above and in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volatility in global consumer, commodity, currency and capital markets increased significantly during 2020 and is expected to continue until the COVID-19 outbreak is largely resolved. See also below for a discussion of Brexit as well as Argentina, which was designated a highly inflationary economy in 2018. In addition, the imposition of increased or new tariffs, quotas, trade barriers or similar restrictions on our sales or key commodities and potential changes in U.S. trade programs, trade relations, regulations, taxes or fiscal policies might negatively affect our sales or profitability. To help mitigate adverse effects of ongoing volatility across markets, we aim to protect profitability through the management of costs (including hedging) and pricing as well as targeted investments in our brands and new routes to market.</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We operate in highly competitive markets that include global, regional and local competitors. Our advantaged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new digital and other sales and marketing initiatives, product innovation and high standards of product quality. We also continue to optimize our manufacturing and other operations and invest in our brands through ongoing research and development, advertising, marketing and consumer promotions.</w:t>
      </w:r>
    </w:p>
    <w:p>
      <w:pPr>
        <w:spacing w:after="0" w:line="20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Our net revenue growth and profitability may be affected as we adjust prices to address new conditions. We adjust our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based on a number of variables including demand, the competitive environment and changes in our product input costs. We generally have increased prices in response to higher commodity costs, currency and other market factors. In 2021, we anticipate changing market conditions to continue to impact pricing. Price changes may affect net revenues or market share in the near term as the market adjusts to changes in input costs and other market conditions.</w:t>
      </w:r>
    </w:p>
    <w:p>
      <w:pPr>
        <w:spacing w:after="0" w:line="20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costs. We manage these costs through cost saving and productivity initiatives, sourcing and hedging programs, pricing actions, refinancing and tax planning. To remain competitive on our operating structure, we continue to work on programs to expand our profitability, such as our Simplify to Grow Program, which is designed to bring about significant reductions in our operating cost structure in both our supply chain and overhead costs.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 We continue to monitor existing and potential future tax reform. During the third quarter of 2019, we recorded the impact of Swiss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and we will continue to monitor for any additional interpretative guidance that could result in changes to the amounts we have recorded. In the United States, while the 2017 U.S. tax reform reduced the U.S. corporate tax rate and included some beneficial provisions, other provisions have, and will continue to have, an adverse effect on our results.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 As a global company with 73.2% of our net revenues generated outside the United States, we are continually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global economic conditions and currency movements. While we hedge significant forecasted currency exchange transactions as well as currency translation impacts from certain net assets of our non-U.S. operations, including the United Kingdom, we cannot fully predict or eliminate all adverse impacts arising from changes in currency exchange rates on our consolidated financial results. To partially offset currency translation impacts arising from our overseas operations, we enter into net investment hedges primarily in the form of local currency-denominated debt, cross-currency swaps and other financial instruments. While we work to mitigate our exposure to currency risks, factors such as continued global and local market volatility, actions by foreign governments, political uncertainty, limited hedging opportunities and other factors could lead to unfavorable currency impacts in the future and could adversely affect our results of operations or financial position. See additional discussion of Brexit and Argentina below and refer also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for additional information on how we manage</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and related risks. As currency movements can make comparison of year-over-year operating performance challenging, we isolate the impact of currency and also report growth on a constant currency basis, holding prior-year currency exchange rates constant, so that prior-year and current-year results can be compared on a consistent basis.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 On December 24, 2020, the European Union and the United Kingdom reached an agreement on a new trade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became effective on January 1, 2021. Main trade provisions include the continuation of no tariffs or quotas on trade between the U.K. and E.U. so long as we meet prescribed trade terms. We will also need to meet product and labeling standards for both the U.K. and E.U. and we have already begun to introduce these changes gradually. The U.K. may also set its own trade policies with countries such as the United States, Australia and New Zealand that currently do not have free trade agreements with the E.U. Cross-border trade between the U.K. and E.U. will be subject to new customs regulations, documentation and reviews. To date, we have not experienced significant delays at U.K.-E.U. border crossings, however, we anticipate increased shipping costs and near-term delays because of the need for ongoing customs inspections and related procedures. Our supply chain in this market relies on imports of raw and packaging materials as well as finished goods. Volatility in foreign currencies and other markets may also arise as the U.K. and E.U. work though the new trade arrangements. Once the new rules are formalized, there could be other near- or long-term negative impacts. We have been taking protective measures to limit disruptions to our supply chain and sales to limit potential negative impacts on our results of operations, financial condition and cash flows. We continue to increase our resources in customer service &amp; logistics as well as in our factories and on our customs support teams. We are adapting our systems and processes for new and increased customs transactions. We continue to enhance resilience plans to aid in dealing with anticipated border delays. We are working to address new regulatory requirements such as packaging changes. Also, we continue to closely monitor and manage our inventory levels of imported raw materials, packaging and finished goods in the U.K. Any disagreements on trade terms or supply chain or distribution delays or other disruptions could negatively affect our U.K. business. In 2020, we generated 9.0% of our net revenues in the U.K.</w:t>
      </w:r>
    </w:p>
    <w:p>
      <w:pPr>
        <w:spacing w:after="0" w:line="206"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Summary of Significant Accounting Policies – Currency Translation and Highly Inflationary Accounting, </w:t>
      </w:r>
      <w:r>
        <w:rPr>
          <w:rFonts w:ascii="Arial" w:cs="Arial" w:eastAsia="Arial" w:hAnsi="Arial"/>
          <w:sz w:val="18"/>
          <w:szCs w:val="18"/>
          <w:color w:val="auto"/>
        </w:rPr>
        <w:t>on July 1, 2018, we began to apply highly inflationary accounting for our Argentinean subsidiaries. As a result, we recorded a</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loss of $9 million in 2020, a remeasurement gain of $4 million in 2019 and a remeasurement loss of $11 million in 2018 within selling, general and administrative expenses related to the revaluation of the Argentinean peso denominated net monetary position over these periods. The mix of monetary assets and liabilities and the exchange rate to convert Argentinean pesos to U.S. dollars could change over time, so it is difficult to predict the overall impact of the Argentina highly inflationary accounting on future net earnings.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Financing Costs </w:t>
      </w:r>
      <w:r>
        <w:rPr>
          <w:rFonts w:ascii="Arial" w:cs="Arial" w:eastAsia="Arial" w:hAnsi="Arial"/>
          <w:sz w:val="18"/>
          <w:szCs w:val="18"/>
          <w:color w:val="auto"/>
        </w:rPr>
        <w:t>– We regularly evaluate our variable and fixed-rate debt. We continue to use low-cost, short- and long-term debt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ongoing working capital, capital expenditures and other investments, dividends and share repurchases. We continued to secure low-cost short and long-term debt during 2020. We continue to use interest rate swaps and other financial instruments to manage our exposure to interest rate and cash flow variability, protect the value of our existing currency assets and liabilities and protect the value of our debt. We also enter into cross-currency interest rate swaps and forwards to hedge our non-U.S. net investments against adverse movements in exchange rates. Our net investment hedge derivative contracts have had and are expected to have a favorable impact and reduce some of the financing costs and related currency impacts within our interest costs.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 on our debt and derivative activity.</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 We continue to devote focused resources to network security, backup and disaster recovery, enhanced training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security measures to protect our systems and data. We also focus on enhancing the monitoring and detection of threats in our environment, including but not limited to the manufacturing environment and operational technologies, as well as adjusting information security controls based on updated threats. While we have taken a number of security measures to protect our systems and data, security measures cannot provide absolute certainty or guarantee that we will be successful in preventing or responding to every breach or disruption on a timely basis.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09"/>
        </w:trPr>
        <w:tc>
          <w:tcPr>
            <w:tcW w:w="5160" w:type="dxa"/>
            <w:vAlign w:val="bottom"/>
          </w:tcPr>
          <w:p>
            <w:pPr>
              <w:spacing w:after="0"/>
              <w:rPr>
                <w:sz w:val="18"/>
                <w:szCs w:val="18"/>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See Note</w:t>
            </w: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8"/>
                <w:szCs w:val="18"/>
                <w:color w:val="auto"/>
              </w:rPr>
            </w:pPr>
          </w:p>
        </w:tc>
        <w:tc>
          <w:tcPr>
            <w:tcW w:w="1140" w:type="dxa"/>
            <w:vAlign w:val="bottom"/>
          </w:tcPr>
          <w:p>
            <w:pPr>
              <w:jc w:val="center"/>
              <w:ind w:right="291"/>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8"/>
                <w:szCs w:val="18"/>
                <w:color w:val="auto"/>
              </w:rPr>
            </w:pPr>
          </w:p>
        </w:tc>
        <w:tc>
          <w:tcPr>
            <w:tcW w:w="9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top w:val="single" w:sz="8" w:color="auto"/>
            </w:tcBorders>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8</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(156)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(316)</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Implementation Charges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(68)</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gains from derivatives </w:t>
            </w:r>
            <w:r>
              <w:rPr>
                <w:rFonts w:ascii="Arial" w:cs="Arial" w:eastAsia="Arial" w:hAnsi="Arial"/>
                <w:sz w:val="23"/>
                <w:szCs w:val="23"/>
                <w:b w:val="1"/>
                <w:bCs w:val="1"/>
                <w:color w:val="auto"/>
                <w:vertAlign w:val="superscript"/>
              </w:rPr>
              <w:t>(1)</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10</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Acquisition and divestiture-related costs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2</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integration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w:t>
            </w: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Divestiture-related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Net gain on divestiture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associated with JDE Peet's transaction</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7</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11</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(429)</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resolution of tax matters </w:t>
            </w:r>
            <w:r>
              <w:rPr>
                <w:rFonts w:ascii="Arial" w:cs="Arial" w:eastAsia="Arial" w:hAnsi="Arial"/>
                <w:sz w:val="23"/>
                <w:szCs w:val="23"/>
                <w:b w:val="1"/>
                <w:bCs w:val="1"/>
                <w:color w:val="auto"/>
                <w:vertAlign w:val="superscript"/>
              </w:rPr>
              <w:t>(1)</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14</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11</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3"/>
                <w:szCs w:val="23"/>
                <w:b w:val="1"/>
                <w:bCs w:val="1"/>
                <w:color w:val="auto"/>
                <w:vertAlign w:val="superscript"/>
              </w:rPr>
              <w:t>(2)</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(Loss)/gain related to interest rate swaps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9 &amp; 10</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on debt extinguishment</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9</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Swiss tax reform net impacts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767</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tax reform discrete net tax impacts</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Gain/(loss) on equity method</w:t>
            </w:r>
          </w:p>
        </w:tc>
        <w:tc>
          <w:tcPr>
            <w:tcW w:w="1860" w:type="dxa"/>
            <w:vAlign w:val="bottom"/>
            <w:gridSpan w:val="3"/>
          </w:tcPr>
          <w:p>
            <w:pPr>
              <w:jc w:val="center"/>
              <w:ind w:right="440"/>
              <w:spacing w:after="0" w:line="176" w:lineRule="exact"/>
              <w:rPr>
                <w:sz w:val="20"/>
                <w:szCs w:val="20"/>
                <w:color w:val="auto"/>
              </w:rPr>
            </w:pPr>
            <w:r>
              <w:rPr>
                <w:rFonts w:ascii="Arial" w:cs="Arial" w:eastAsia="Arial" w:hAnsi="Arial"/>
                <w:sz w:val="18"/>
                <w:szCs w:val="18"/>
                <w:color w:val="auto"/>
              </w:rPr>
              <w:t>Note 7</w:t>
            </w:r>
          </w:p>
        </w:tc>
        <w:tc>
          <w:tcPr>
            <w:tcW w:w="1160" w:type="dxa"/>
            <w:vAlign w:val="bottom"/>
          </w:tcPr>
          <w:p>
            <w:pPr>
              <w:jc w:val="right"/>
              <w:ind w:right="212"/>
              <w:spacing w:after="0" w:line="176" w:lineRule="exact"/>
              <w:rPr>
                <w:sz w:val="20"/>
                <w:szCs w:val="20"/>
                <w:color w:val="auto"/>
              </w:rPr>
            </w:pPr>
            <w:r>
              <w:rPr>
                <w:rFonts w:ascii="Arial" w:cs="Arial" w:eastAsia="Arial" w:hAnsi="Arial"/>
                <w:sz w:val="18"/>
                <w:szCs w:val="18"/>
                <w:color w:val="auto"/>
              </w:rPr>
              <w:t>989</w:t>
            </w:r>
          </w:p>
        </w:tc>
        <w:tc>
          <w:tcPr>
            <w:tcW w:w="380" w:type="dxa"/>
            <w:vAlign w:val="bottom"/>
          </w:tcPr>
          <w:p>
            <w:pPr>
              <w:spacing w:after="0"/>
              <w:rPr>
                <w:sz w:val="15"/>
                <w:szCs w:val="15"/>
                <w:color w:val="auto"/>
              </w:rPr>
            </w:pPr>
          </w:p>
        </w:tc>
        <w:tc>
          <w:tcPr>
            <w:tcW w:w="1140" w:type="dxa"/>
            <w:vAlign w:val="bottom"/>
          </w:tcPr>
          <w:p>
            <w:pPr>
              <w:jc w:val="right"/>
              <w:ind w:right="151"/>
              <w:spacing w:after="0" w:line="176" w:lineRule="exact"/>
              <w:rPr>
                <w:sz w:val="20"/>
                <w:szCs w:val="20"/>
                <w:color w:val="auto"/>
              </w:rPr>
            </w:pPr>
            <w:r>
              <w:rPr>
                <w:rFonts w:ascii="Arial" w:cs="Arial" w:eastAsia="Arial" w:hAnsi="Arial"/>
                <w:sz w:val="18"/>
                <w:szCs w:val="18"/>
                <w:color w:val="auto"/>
              </w:rPr>
              <w:t>(2)</w:t>
            </w:r>
          </w:p>
        </w:tc>
        <w:tc>
          <w:tcPr>
            <w:tcW w:w="520" w:type="dxa"/>
            <w:vAlign w:val="bottom"/>
          </w:tcPr>
          <w:p>
            <w:pPr>
              <w:spacing w:after="0"/>
              <w:rPr>
                <w:sz w:val="15"/>
                <w:szCs w:val="15"/>
                <w:color w:val="auto"/>
              </w:rPr>
            </w:pPr>
          </w:p>
        </w:tc>
        <w:tc>
          <w:tcPr>
            <w:tcW w:w="980" w:type="dxa"/>
            <w:vAlign w:val="bottom"/>
          </w:tcPr>
          <w:p>
            <w:pPr>
              <w:jc w:val="right"/>
              <w:ind w:right="151"/>
              <w:spacing w:after="0" w:line="176" w:lineRule="exact"/>
              <w:rPr>
                <w:sz w:val="20"/>
                <w:szCs w:val="20"/>
                <w:color w:val="auto"/>
              </w:rPr>
            </w:pPr>
            <w:r>
              <w:rPr>
                <w:rFonts w:ascii="Arial" w:cs="Arial" w:eastAsia="Arial" w:hAnsi="Arial"/>
                <w:sz w:val="18"/>
                <w:szCs w:val="18"/>
                <w:color w:val="auto"/>
              </w:rPr>
              <w:t>778</w:t>
            </w:r>
          </w:p>
        </w:tc>
      </w:tr>
      <w:tr>
        <w:trPr>
          <w:trHeight w:val="230"/>
        </w:trPr>
        <w:tc>
          <w:tcPr>
            <w:tcW w:w="5160" w:type="dxa"/>
            <w:vAlign w:val="bottom"/>
          </w:tcPr>
          <w:p>
            <w:pPr>
              <w:ind w:left="180"/>
              <w:spacing w:after="0" w:line="230" w:lineRule="exact"/>
              <w:rPr>
                <w:sz w:val="20"/>
                <w:szCs w:val="20"/>
                <w:color w:val="auto"/>
              </w:rPr>
            </w:pPr>
            <w:r>
              <w:rPr>
                <w:rFonts w:ascii="Arial" w:cs="Arial" w:eastAsia="Arial" w:hAnsi="Arial"/>
                <w:sz w:val="18"/>
                <w:szCs w:val="18"/>
                <w:b w:val="1"/>
                <w:bCs w:val="1"/>
                <w:color w:val="auto"/>
              </w:rPr>
              <w:t xml:space="preserve">investment transactions </w:t>
            </w:r>
            <w:r>
              <w:rPr>
                <w:rFonts w:ascii="Arial" w:cs="Arial" w:eastAsia="Arial" w:hAnsi="Arial"/>
                <w:sz w:val="23"/>
                <w:szCs w:val="23"/>
                <w:b w:val="1"/>
                <w:bCs w:val="1"/>
                <w:color w:val="auto"/>
                <w:vertAlign w:val="superscript"/>
              </w:rPr>
              <w:t>(3)</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(4)</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r>
      <w:tr>
        <w:trPr>
          <w:trHeight w:val="25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tcPr>
          <w:p>
            <w:pPr>
              <w:jc w:val="right"/>
              <w:spacing w:after="0"/>
              <w:rPr>
                <w:sz w:val="20"/>
                <w:szCs w:val="20"/>
                <w:color w:val="auto"/>
              </w:rPr>
            </w:pPr>
            <w:r>
              <w:rPr>
                <w:rFonts w:ascii="Arial" w:cs="Arial" w:eastAsia="Arial" w:hAnsi="Arial"/>
                <w:sz w:val="18"/>
                <w:szCs w:val="18"/>
                <w:color w:val="auto"/>
              </w:rPr>
              <w:t>36.2 %</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0.1 %</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27.2 %</w:t>
            </w:r>
          </w:p>
        </w:tc>
      </w:tr>
    </w:tbl>
    <w:p>
      <w:pPr>
        <w:spacing w:after="0" w:line="20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impacts recorded in operating income and interest expense and other, net.</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additional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Gain/(loss) on equity method investment transactions is recorded outside pre-tax operating results on the consolidated statement of earnings.</w:t>
      </w:r>
    </w:p>
    <w:p>
      <w:pPr>
        <w:spacing w:after="0" w:line="5" w:lineRule="exact"/>
        <w:rPr>
          <w:rFonts w:ascii="Arial" w:cs="Arial" w:eastAsia="Arial" w:hAnsi="Arial"/>
          <w:sz w:val="16"/>
          <w:szCs w:val="16"/>
          <w:color w:val="auto"/>
        </w:rPr>
      </w:pPr>
    </w:p>
    <w:p>
      <w:pPr>
        <w:ind w:left="340" w:right="540" w:hanging="332"/>
        <w:spacing w:after="0" w:line="265"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2020 with 2019 and 2019 with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67"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26,581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25,868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3,853</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3,843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3,569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3,944</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3,555</w:t>
            </w:r>
          </w:p>
        </w:tc>
        <w:tc>
          <w:tcPr>
            <w:tcW w:w="440" w:type="dxa"/>
            <w:vAlign w:val="bottom"/>
          </w:tcPr>
          <w:p>
            <w:pPr>
              <w:spacing w:after="0"/>
              <w:rPr>
                <w:sz w:val="15"/>
                <w:szCs w:val="15"/>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3,929</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$713 million (2.8%) to $26,581 million in 2020, and Organic Net Revenue increased $960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(3.7%) to $26,773 million. Developed markets net revenue increased 8.0% and developed markets Organic Net Revenue increased 4.5%. Emerging markets net revenues decreased 6.0%, including an unfavorable currency impact, and emerging markets Organic Net Revenue increased 2.3%. The underlying changes in net revenues and Organic Net Revenue are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revenues (by percentage point)</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Total change in net revenues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 the following items affecting comparability:</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140"/>
              <w:spacing w:after="0"/>
              <w:rPr>
                <w:sz w:val="20"/>
                <w:szCs w:val="20"/>
                <w:color w:val="auto"/>
              </w:rPr>
            </w:pPr>
            <w:r>
              <w:rPr>
                <w:rFonts w:ascii="Arial" w:cs="Arial" w:eastAsia="Arial" w:hAnsi="Arial"/>
                <w:sz w:val="18"/>
                <w:szCs w:val="18"/>
                <w:color w:val="auto"/>
              </w:rPr>
              <w:t>Unfavorable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2.4 pp</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divestiture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pp</w:t>
            </w:r>
          </w:p>
        </w:tc>
        <w:tc>
          <w:tcPr>
            <w:tcW w:w="0" w:type="dxa"/>
            <w:vAlign w:val="bottom"/>
          </w:tcPr>
          <w:p>
            <w:pPr>
              <w:spacing w:after="0"/>
              <w:rPr>
                <w:sz w:val="1"/>
                <w:szCs w:val="1"/>
                <w:color w:val="auto"/>
              </w:rPr>
            </w:pPr>
          </w:p>
        </w:tc>
      </w:tr>
      <w:tr>
        <w:trPr>
          <w:trHeight w:val="230"/>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acquisitions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(1.7)pp</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Higher net pricing</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4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volume/mix</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pp</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4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revenues were higher in developed markets, particularly North America, where due to the COVID-19 outbreak and response, demand for our products, primarily biscuits and chocolate, grew significantly as consumers increased their food purchases for in-home consumption. However, our gum and candy categories as well as our world travel retail and foodservice businesses were negatively impacted by COVID-</w:t>
      </w:r>
    </w:p>
    <w:p>
      <w:pPr>
        <w:spacing w:after="0" w:line="2" w:lineRule="exact"/>
        <w:rPr>
          <w:sz w:val="20"/>
          <w:szCs w:val="20"/>
          <w:color w:val="auto"/>
        </w:rPr>
      </w:pPr>
    </w:p>
    <w:p>
      <w:pPr>
        <w:ind w:right="20" w:firstLine="8"/>
        <w:spacing w:after="0" w:line="255"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emerging markets, where we have a greater concentration of traditional trade, several markets were challenged by COVID-19 impacts, particularly those with significant gum and candy portfolios. Overall, as the negative impacts of COVID-19 experienced in the first half of the year subsided in the second half of the year, revenue growth began to recover in a number of our key emerging markets, though overall emerging markets net revenues declined due to unfavorable currency impacts.</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revenue increase of 2.8% was driven by our underlying Organic Net Revenue growth of 3.7% and the impact of acquisitions, mostly offset by unfavorable currency and the impact of a prior-year divestiture. Organic Net Revenue growth was driven by higher net pricing and favorable volume/mix. Higher net pricing in all regions except Europe was due to the benefit of carryover pricing from 2019 as well as the effects of input cost-driven pricing actions taken during 2020. Favorable volume/mix in North America and Europe, partially offset by unfavorable volume/mix in Latin America and AMEA, included strong volume gains tempered by unfavorable mix reflecting shifts in consumer purchases in response to the COVID-19 outbreak. The April 1, 2020 acquisition of Give &amp; Go added incremental net revenues of $390 million and the July 16, 2019 acquisition of a majority interest in Perfect Snacks added incremental net revenues of $55 million in 2020. Unfavorable currency impacts decreased net revenues by $637</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million, due primarily to the strength of the U.S. dollar relative to most currencies, including the Brazilian real, Argentinean peso, Russian ruble, Mexican peso, Indian rupee, South African rand and Turkish lira, partially offset by the strength of several currencies relative to the U.S. dollar, including the euro, Philippine peso, British pound sterling, Egyptian pound and Swedish krona. The impact of the May 28, 2019 divestiture of most of our cheese business in the Middle East and Africa resulted in a year-over-year decline in net revenues of $55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6" w:right="5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$10 million (0.3%) to $3,853 million in 2020, Adjusted Operating Income increased $ 137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(3.2%) to $4,401 million and Adjusted Operating Income on a constant currency basis increased $196 million (4.6%) to $4,460 million due to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Operating</w:t>
            </w:r>
          </w:p>
        </w:tc>
        <w:tc>
          <w:tcPr>
            <w:tcW w:w="17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7780" w:type="dxa"/>
            <w:vAlign w:val="bottom"/>
          </w:tcPr>
          <w:p>
            <w:pPr>
              <w:spacing w:after="0"/>
              <w:rPr>
                <w:sz w:val="15"/>
                <w:szCs w:val="15"/>
                <w:color w:val="auto"/>
              </w:rPr>
            </w:pPr>
          </w:p>
        </w:tc>
        <w:tc>
          <w:tcPr>
            <w:tcW w:w="1060" w:type="dxa"/>
            <w:vAlign w:val="bottom"/>
            <w:tcBorders>
              <w:bottom w:val="single" w:sz="8" w:color="auto"/>
            </w:tcBorders>
          </w:tcPr>
          <w:p>
            <w:pPr>
              <w:jc w:val="center"/>
              <w:ind w:left="438"/>
              <w:spacing w:after="0"/>
              <w:rPr>
                <w:sz w:val="20"/>
                <w:szCs w:val="20"/>
                <w:color w:val="auto"/>
              </w:rPr>
            </w:pPr>
            <w:r>
              <w:rPr>
                <w:rFonts w:ascii="Arial" w:cs="Arial" w:eastAsia="Arial" w:hAnsi="Arial"/>
                <w:sz w:val="14"/>
                <w:szCs w:val="14"/>
                <w:b w:val="1"/>
                <w:bCs w:val="1"/>
                <w:color w:val="auto"/>
              </w:rPr>
              <w:t>Income</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2019</w:t>
            </w:r>
          </w:p>
        </w:tc>
        <w:tc>
          <w:tcPr>
            <w:tcW w:w="1060" w:type="dxa"/>
            <w:vAlign w:val="bottom"/>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3,843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(9)</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1060" w:type="dxa"/>
            <w:vAlign w:val="bottom"/>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4,264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net pricing</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rPr>
              <w:t>Higher input costs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Favorable volume/mix</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Higher selling, general and administrative expenses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VAT-related settlements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Unfavorable currency translation</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3.2 %</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1060" w:type="dxa"/>
            <w:vAlign w:val="bottom"/>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4,401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(10)</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2020</w:t>
            </w:r>
          </w:p>
        </w:tc>
        <w:tc>
          <w:tcPr>
            <w:tcW w:w="106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intangible asset impairments.</w:t>
      </w:r>
    </w:p>
    <w:p>
      <w:pPr>
        <w:spacing w:after="0" w:line="5" w:lineRule="exact"/>
        <w:rPr>
          <w:rFonts w:ascii="Arial" w:cs="Arial" w:eastAsia="Arial" w:hAnsi="Arial"/>
          <w:sz w:val="16"/>
          <w:szCs w:val="16"/>
          <w:color w:val="auto"/>
        </w:rPr>
      </w:pPr>
    </w:p>
    <w:p>
      <w:pPr>
        <w:ind w:left="340" w:right="460" w:hanging="332"/>
        <w:spacing w:after="0" w:line="246"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jc w:val="both"/>
        <w:ind w:left="340" w:right="260" w:hanging="332"/>
        <w:spacing w:after="0" w:line="256"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340" w:right="800" w:hanging="332"/>
        <w:spacing w:after="0" w:line="259" w:lineRule="auto"/>
        <w:tabs>
          <w:tab w:leader="none" w:pos="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Swiss tax reform.</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for more information on the JDE Peet's transaction.</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2020, we realized higher net pricing and favorable volume/mix, which was largely offset by increased input costs. Higher net pricing, which included the carryover impact of pricing actions taken in 2019 as well as the effects of input cost-driven pricing actions taken during 2020, was reflected in all regions except Europe. Favorable volume/mix was driven by North America and Europe, which was partially offset by unfavorable volume/mix in Latin America and AMEA. The increase in input costs was driven by higher raw material costs, partially offset by lower manufacturing costs driven by productivity net of incremental COVID-19 related costs. Higher raw material costs were in part due to higher currency exchange transaction costs on imported materials, as well as higher cocoa, dairy, sugar, energy, packaging, nuts, grains and other ingredients costs, partially offset by lower costs for oils.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selling, general and administrative expenses decreased $38 million from 2019, due to a number of factors noted in the table above, including in part, a favorable currency impact related to expenses, favorable change from the resolution of tax matters (a benefit in 2020 as compared to an expense in 2019), lower implementation costs incurred for the Simplify to Grow Program, lapping prior-year value-added tax (“VAT”) related settlements, lapping prior-year CEO transition remuneration and lapping the prior-year divestiture. These decreases were partially offset by the impact of acquisitions, costs associated with the JDE Peet's transaction, lapping the benefit from prior-year pension participation changes, unfavorable change in remeasurement of net monetary position in Argentina (remeasurement loss in 2020 as compared to a remeasurement gain in 2019) and higher acquisition-related costs. Excluding these factors, selling, general and administrative expenses increased $77 million from 2019. The increase was driven primarily by higher advertising and consumer promotion costs, partially offset by lower overhead spending net of incremental COVID-19 related costs.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recorded an expense of $11 million from a VAT-related settlement in Latin America in 2019. Unfavorable currency changes decreased operating income by $59 million due primarily to the strength of the U.S. dollar relative to most currencies, including the Brazilian real, Russian ruble, Indian rupee, Swiss franc, South African rand and Turkish Lira, partially offset by the strength of several currencies relative to the U.S. dollar, including the euro, Egyptian pound, Philippine peso, British pound sterling and Swedish krona.</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margin decreased from 14.9% in 2019 to 14.5% in 2020. The decrease in operating income margin was driven primarily by the year-over-year unfavorable change in mark-to-market gains/(losses) from currency and commodity hedging activities, higher intangible asset impairment charges, costs associated with the JDE Peet's transaction, lapping the prior-year gain on a divestiture and lapping the benefit from prior-year pension participation changes, partially offset by the favorable impact from the resolution of tax matters and lower costs for the Simplify to Grow Program. Adjusted Operating Income margin increased from 16.5% in 2019 to 16.6% in 2020. The increase in Adjusted Operating Income margin was driven primarily by higher pricing, lower manufacturing costs reflecting productivity net of incremental COVD-19 costs, and selling, general and administrative cost leverage, mostly offset by higher raw material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$3,555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decreased by $374 million (9.5%) in 2020. Diluted EPS attributable to Mondelēz International was $2.47 in 2020, down $0.22 (8.2%) from 2019. Adjusted EPS was $2.59 in 2020, up $0.13 (5.3%) from 2019. Adjusted EPS on a constant currency basis was $2.62 in 2020, up $0.16 (6.5%) from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Diluted EPS</w:t>
            </w:r>
          </w:p>
        </w:tc>
      </w:tr>
      <w:tr>
        <w:trPr>
          <w:trHeight w:val="142"/>
        </w:trPr>
        <w:tc>
          <w:tcPr>
            <w:tcW w:w="9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2.69</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0.24</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0.03</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(0.03)</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0.05</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0.08</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(0.53)</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on equity method investment transaction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rPr>
              <w:t>0.03</w:t>
            </w:r>
          </w:p>
        </w:tc>
      </w:tr>
      <w:tr>
        <w:trPr>
          <w:trHeight w:val="223"/>
        </w:trPr>
        <w:tc>
          <w:tcPr>
            <w:tcW w:w="9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center"/>
              <w:ind w:left="870"/>
              <w:spacing w:after="0"/>
              <w:rPr>
                <w:sz w:val="20"/>
                <w:szCs w:val="20"/>
                <w:color w:val="auto"/>
              </w:rPr>
            </w:pPr>
            <w:r>
              <w:rPr>
                <w:rFonts w:ascii="Arial" w:cs="Arial" w:eastAsia="Arial" w:hAnsi="Arial"/>
                <w:sz w:val="18"/>
                <w:szCs w:val="18"/>
                <w:b w:val="1"/>
                <w:bCs w:val="1"/>
                <w:color w:val="auto"/>
              </w:rPr>
              <w:t>2.46</w:t>
            </w:r>
          </w:p>
        </w:tc>
      </w:tr>
      <w:tr>
        <w:trPr>
          <w:trHeight w:val="229"/>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0.08</w:t>
            </w:r>
          </w:p>
        </w:tc>
      </w:tr>
      <w:tr>
        <w:trPr>
          <w:trHeight w:val="229"/>
        </w:trPr>
        <w:tc>
          <w:tcPr>
            <w:tcW w:w="9440" w:type="dxa"/>
            <w:vAlign w:val="bottom"/>
          </w:tcPr>
          <w:p>
            <w:pPr>
              <w:ind w:left="400"/>
              <w:spacing w:after="0"/>
              <w:rPr>
                <w:sz w:val="20"/>
                <w:szCs w:val="20"/>
                <w:color w:val="auto"/>
              </w:rPr>
            </w:pPr>
            <w:r>
              <w:rPr>
                <w:rFonts w:ascii="Arial" w:cs="Arial" w:eastAsia="Arial" w:hAnsi="Arial"/>
                <w:sz w:val="18"/>
                <w:szCs w:val="18"/>
                <w:color w:val="auto"/>
              </w:rPr>
              <w:t>Decrease in equity method investment net earnings</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VAT-related settlements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benefit plan non-service income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0.04</w:t>
            </w:r>
          </w:p>
        </w:tc>
      </w:tr>
      <w:tr>
        <w:trPr>
          <w:trHeight w:val="230"/>
        </w:trPr>
        <w:tc>
          <w:tcPr>
            <w:tcW w:w="944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3"/>
                <w:szCs w:val="23"/>
                <w:color w:val="auto"/>
                <w:vertAlign w:val="superscript"/>
              </w:rPr>
              <w:t>(8)</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rPr>
              <w:t>0.03</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2.62</w:t>
            </w:r>
          </w:p>
        </w:tc>
      </w:tr>
      <w:tr>
        <w:trPr>
          <w:trHeight w:val="230"/>
        </w:trPr>
        <w:tc>
          <w:tcPr>
            <w:tcW w:w="9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7"/>
              </w:rPr>
              <w:t>(0.03)</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2.59</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(0.20)</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(0.08)</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(0.20)</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(9)</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(0.10)</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0.55</w:t>
            </w:r>
          </w:p>
        </w:tc>
      </w:tr>
      <w:tr>
        <w:trPr>
          <w:trHeight w:val="230"/>
        </w:trPr>
        <w:tc>
          <w:tcPr>
            <w:tcW w:w="944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7"/>
              </w:rPr>
              <w:t>(0.06)</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2.47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appearing later in this section.</w:t>
      </w:r>
    </w:p>
    <w:p>
      <w:pPr>
        <w:spacing w:after="0" w:line="25" w:lineRule="exact"/>
        <w:rPr>
          <w:rFonts w:ascii="Arial" w:cs="Arial" w:eastAsia="Arial" w:hAnsi="Arial"/>
          <w:sz w:val="16"/>
          <w:szCs w:val="16"/>
          <w:color w:val="auto"/>
        </w:rPr>
      </w:pPr>
    </w:p>
    <w:p>
      <w:pPr>
        <w:ind w:left="340" w:right="560" w:hanging="332"/>
        <w:spacing w:after="0" w:line="246"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table above and the related footnotes for more information. Within earnings per share, taxes related to the JDE Peet's transaction are included in costs associated with the JDE Peet's transaction.</w:t>
      </w:r>
    </w:p>
    <w:p>
      <w:pPr>
        <w:ind w:left="340" w:hanging="332"/>
        <w:spacing w:after="0" w:line="246"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interest rate swaps no longer designated as cash flow hedges.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impacts of Swiss and U.S. tax reform.</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gains and losses on equity method investment transactions.</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our proportionate share of significant operating and non-operating items recorded by our JDE Peet's and KDP equity method investees, such as acquisition and divestiture-related costs and restructuring program costs.</w:t>
      </w:r>
    </w:p>
    <w:p>
      <w:pPr>
        <w:ind w:left="340" w:right="80" w:hanging="332"/>
        <w:spacing w:after="0" w:line="246"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for more information on our equity compensation programs and share repurchase program and Note 17,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for earnings per share weighted-average share information.</w:t>
      </w: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6" w:right="51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67"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25,868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25,938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3,843</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3,312</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3,944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3,331</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3,929</w:t>
            </w:r>
          </w:p>
        </w:tc>
        <w:tc>
          <w:tcPr>
            <w:tcW w:w="440" w:type="dxa"/>
            <w:vAlign w:val="bottom"/>
          </w:tcPr>
          <w:p>
            <w:pPr>
              <w:spacing w:after="0"/>
              <w:rPr>
                <w:sz w:val="15"/>
                <w:szCs w:val="15"/>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3,317</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$70 million (0.3%) to $25,868 million in 2019, and Organic Net Revenue increased $1,067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(4.1%) to $26,879 million. Emerging markets net revenues increased 0.2%, including an unfavorable currency impact, and emerging markets Organic Net Revenue increased 7.7%. The underlying changes in net revenues and Organic Net Revenue are detailed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revenues (by percentage point)</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Total change in net revenues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(0.3) %</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 the following items affecting comparability:</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140"/>
              <w:spacing w:after="0"/>
              <w:rPr>
                <w:sz w:val="20"/>
                <w:szCs w:val="20"/>
                <w:color w:val="auto"/>
              </w:rPr>
            </w:pPr>
            <w:r>
              <w:rPr>
                <w:rFonts w:ascii="Arial" w:cs="Arial" w:eastAsia="Arial" w:hAnsi="Arial"/>
                <w:sz w:val="18"/>
                <w:szCs w:val="18"/>
                <w:color w:val="auto"/>
              </w:rPr>
              <w:t>Unfavorable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4.5 pp</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divestiture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pp</w:t>
            </w:r>
          </w:p>
        </w:tc>
        <w:tc>
          <w:tcPr>
            <w:tcW w:w="0" w:type="dxa"/>
            <w:vAlign w:val="bottom"/>
          </w:tcPr>
          <w:p>
            <w:pPr>
              <w:spacing w:after="0"/>
              <w:rPr>
                <w:sz w:val="1"/>
                <w:szCs w:val="1"/>
                <w:color w:val="auto"/>
              </w:rPr>
            </w:pPr>
          </w:p>
        </w:tc>
      </w:tr>
      <w:tr>
        <w:trPr>
          <w:trHeight w:val="229"/>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acquisitions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(0.4)pp</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0"/>
                <w:szCs w:val="10"/>
                <w:b w:val="1"/>
                <w:bCs w:val="1"/>
                <w:color w:val="auto"/>
              </w:rPr>
              <w:t>(1)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Higher net pricing</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2.2 pp</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volume/mix</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Net revenue decrease of 0.3% was driven by unfavorable currency and the impact of a divestiture, partially offset by our underlying Organic Net Revenue growth of 4.1% and the impact of acquisitions. Unfavorable currency impacts decreased net revenues by $1,154 million, due primarily to the strength of the U.S. dollar relative to most currencies, including the Argentinean peso, euro, Brazilian real, British pound sterling, Australian dollar, Chinese yuan, Indian rupee, Turkish lira and South African rand. The impact of the divestiture of most of our cheese business in the Middle East and Africa on May 28, 2019 resulted in a year-over-year decline in net revenues of $71 million. Our underlying Organic Net Revenue growth was driven by higher net pricing and favorable volume/mix. Net pricing was up, which includes the benefit of carryover pricing from 2018 as well as the effects of input cost-driven pricing actions taken during 2019. Higher net pricing was reflected in Latin America, North America and AMEA as net pricing in Europe was flat. Favorable volume/mix was reflected in Europe and AMEA, partially offset by unfavorable volume/mix in Latin America and North America. The July 16, 2019 acquisition of a majority interest in Perfect Snacks added net revenues of $53 million and the June 7, 2018 acquisition of Tate’s Bake Shop added incremental net revenues of $35 million in 2019.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$531 million (16.0%) to $3,843 million in 2019. Adjusted Operating Income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(0.9%) to $4,264 million and Adjusted Operating Income on a constant currency basis increased $189 million (4.4%) to $4,491 million due to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60" w:type="dxa"/>
            <w:vAlign w:val="bottom"/>
          </w:tcPr>
          <w:p>
            <w:pPr>
              <w:jc w:val="center"/>
              <w:ind w:left="458"/>
              <w:spacing w:after="0"/>
              <w:rPr>
                <w:sz w:val="20"/>
                <w:szCs w:val="20"/>
                <w:color w:val="auto"/>
              </w:rPr>
            </w:pPr>
            <w:r>
              <w:rPr>
                <w:rFonts w:ascii="Arial" w:cs="Arial" w:eastAsia="Arial" w:hAnsi="Arial"/>
                <w:sz w:val="14"/>
                <w:szCs w:val="14"/>
                <w:b w:val="1"/>
                <w:bCs w:val="1"/>
                <w:color w:val="auto"/>
              </w:rPr>
              <w:t>Operating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7300" w:type="dxa"/>
            <w:vAlign w:val="bottom"/>
          </w:tcPr>
          <w:p>
            <w:pPr>
              <w:spacing w:after="0"/>
              <w:rPr>
                <w:sz w:val="15"/>
                <w:szCs w:val="15"/>
                <w:color w:val="auto"/>
              </w:rPr>
            </w:pPr>
          </w:p>
        </w:tc>
        <w:tc>
          <w:tcPr>
            <w:tcW w:w="1260" w:type="dxa"/>
            <w:vAlign w:val="bottom"/>
            <w:tcBorders>
              <w:bottom w:val="single" w:sz="8" w:color="auto"/>
            </w:tcBorders>
          </w:tcPr>
          <w:p>
            <w:pPr>
              <w:jc w:val="center"/>
              <w:ind w:left="478"/>
              <w:spacing w:after="0"/>
              <w:rPr>
                <w:sz w:val="20"/>
                <w:szCs w:val="20"/>
                <w:color w:val="auto"/>
              </w:rPr>
            </w:pPr>
            <w:r>
              <w:rPr>
                <w:rFonts w:ascii="Arial" w:cs="Arial" w:eastAsia="Arial" w:hAnsi="Arial"/>
                <w:sz w:val="14"/>
                <w:szCs w:val="14"/>
                <w:b w:val="1"/>
                <w:bCs w:val="1"/>
                <w:color w:val="auto"/>
              </w:rPr>
              <w:t>Income</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2018</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3,312</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(6)</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(6)</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4,302</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rPr>
                <w:sz w:val="20"/>
                <w:szCs w:val="20"/>
                <w:color w:val="auto"/>
              </w:rPr>
            </w:pPr>
            <w:r>
              <w:rPr>
                <w:rFonts w:ascii="Arial" w:cs="Arial" w:eastAsia="Arial" w:hAnsi="Arial"/>
                <w:sz w:val="18"/>
                <w:szCs w:val="18"/>
                <w:color w:val="auto"/>
              </w:rPr>
              <w:t>Higher net pricing</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input costs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rPr>
                <w:sz w:val="20"/>
                <w:szCs w:val="20"/>
                <w:color w:val="auto"/>
              </w:rPr>
            </w:pPr>
            <w:r>
              <w:rPr>
                <w:rFonts w:ascii="Arial" w:cs="Arial" w:eastAsia="Arial" w:hAnsi="Arial"/>
                <w:sz w:val="18"/>
                <w:szCs w:val="18"/>
                <w:color w:val="auto"/>
              </w:rPr>
              <w:t>Favorable volume/mix</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selling, general and administrative expenses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rPr>
                <w:sz w:val="20"/>
                <w:szCs w:val="20"/>
                <w:color w:val="auto"/>
              </w:rPr>
            </w:pPr>
            <w:r>
              <w:rPr>
                <w:rFonts w:ascii="Arial" w:cs="Arial" w:eastAsia="Arial" w:hAnsi="Arial"/>
                <w:sz w:val="18"/>
                <w:szCs w:val="18"/>
                <w:color w:val="auto"/>
              </w:rPr>
              <w:t>VAT-related settlement</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Unfavorable currency translation</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1260" w:type="dxa"/>
            <w:vAlign w:val="bottom"/>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4,264</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(6)</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(6)</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(10)</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2019</w:t>
            </w:r>
          </w:p>
        </w:tc>
        <w:tc>
          <w:tcPr>
            <w:tcW w:w="1260" w:type="dxa"/>
            <w:vAlign w:val="bottom"/>
            <w:tcBorders>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3,843</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16.0 %</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intangible asset impairments.</w:t>
      </w:r>
    </w:p>
    <w:p>
      <w:pPr>
        <w:spacing w:after="0" w:line="5" w:lineRule="exact"/>
        <w:rPr>
          <w:rFonts w:ascii="Arial" w:cs="Arial" w:eastAsia="Arial" w:hAnsi="Arial"/>
          <w:sz w:val="16"/>
          <w:szCs w:val="16"/>
          <w:color w:val="auto"/>
        </w:rPr>
      </w:pPr>
    </w:p>
    <w:p>
      <w:pPr>
        <w:ind w:left="340" w:right="460" w:hanging="332"/>
        <w:spacing w:after="0" w:line="246"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ind w:left="340" w:right="600" w:hanging="332"/>
        <w:spacing w:after="0" w:line="265"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Refer to our Annual Report on Form 10-K for the year ended December 31, 2018 for more information on the acquisition of a biscuit business in Vietnam.</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340" w:right="60" w:hanging="332"/>
        <w:spacing w:after="0" w:line="259"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more information on the July 16, 2019 acquisition of a majority interest in Perfect Snacks, the May 28, 2019 divestiture of most of our cheese business in the Middle East and Africa and the June 7, 2018 acquisition of Tate's Bake Shop.</w:t>
      </w:r>
    </w:p>
    <w:p>
      <w:pPr>
        <w:ind w:left="340" w:right="820" w:hanging="332"/>
        <w:spacing w:after="0" w:line="246"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Swiss tax reform.</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2019, we realized higher net pricing, which was partially offset by increased input costs. Higher net pricing, which included the carryover impact of pricing actions taken in 2018 as well as the effects of input cost-driven pricing actions taken during 2019, was reflected in Latin America, North America and AMEA as net pricing in Europe was flat.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energy, dairy, grains, cocoa and oils costs, partially offset by lower costs for sugar and nuts. Favorable volume/mix was driven by Europe and AMEA, which was partially offset by unfavorable volume/mix in Latin America and North America.</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selling, general and administrative expenses decreased $339 million from 2018, due to a number of factors noted in the table above, including in part, the lapping of the prior-year impact from pension participation changes, favorable currency impact, the benefit from current-year pension participation changes, favorable change in remeasurement of net monetary position in Argentina (remeasurement gain in 2019 as compared to a remeasurement loss in 2018), the lapping of a prior-year expense from the resolution of a tax matter, lower CEO transition remuneration and lower acquisition-related costs. These decreases were partially offset by the expenses from the resolution of tax matters in 2019, higher implementation costs incurred for the Simplify to Grow program, the impact of acquisitions, the lapping of a benefit from a prior-year VAT-related settlement, a VAT cost settlement in 2019 and higher divestiture-related costs. Excluding these factors, selling, general and administrative expenses increased $173 million from 2018. The increase was driven primarily by higher overheads reflecting route-to-market investments and higher advertising and consumer promotion costs.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recorded an expense of $11 million from a VAT-related settlement in Latin America in 2019 and a benefit of $ 21 million from a VAT-related settlement in Latin America in 2018. Unfavorable currency changes decreased operating income by $227 million due primarily to the strength of the U.S. dollar relative to most currencies, including the euro, Argentinean peso, British pound sterling, Brazilian real, Australian dollar, Chinese yuan and Indian rupee.</w:t>
      </w:r>
    </w:p>
    <w:p>
      <w:pPr>
        <w:spacing w:after="0" w:line="19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income margin increased from 12.8% in 2018 to 14.9% in 2019. The increase in operating income margin was driven primarily by the lapping of the prior-year impact from pension participation changes, lower Simplify to Grow Program costs, a gain on divestiture, the benefit from current-year pension participation changes, the lapping of a prior-year expense from the resolution of a tax matter and lower CEO transition remuneration, partially offset by the expenses from the resolution of tax matters in 2019 and the year-over-year unfavorable change in mark-to-market gains/(losses) from currency and commodity hedging activities. Adjusted Operating Income margin decreased from 16.7% in 2018 to 16.5% in 2019. The decrease in Adjusted Operating Income margin was driven primarily by higher raw material costs, mostly offset by higher pricing and lower manufacturing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r>
        <w:rPr>
          <w:rFonts w:ascii="Arial" w:cs="Arial" w:eastAsia="Arial" w:hAnsi="Arial"/>
          <w:sz w:val="18"/>
          <w:szCs w:val="18"/>
          <w:i w:val="1"/>
          <w:iCs w:val="1"/>
          <w:color w:val="auto"/>
        </w:rPr>
        <w:t xml:space="preserve"> </w:t>
      </w:r>
      <w:r>
        <w:rPr>
          <w:rFonts w:ascii="Arial" w:cs="Arial" w:eastAsia="Arial" w:hAnsi="Arial"/>
          <w:sz w:val="18"/>
          <w:szCs w:val="18"/>
          <w:color w:val="auto"/>
        </w:rPr>
        <w:t>$3,929 million increased by $ 612 million (18.5%) in 2019. Diluted EPS attributable to Mondelēz International was $2.69 in 2019, up $0.46 (20.6%) from 2018. Adjusted EPS was $2.46 in 2019, up $0.10 (4.2%) from 2018. Adjusted EPS on a constant currency basis was $2.62 in 2019, up $0.26 (11.0%) from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Diluted EPS</w:t>
            </w:r>
          </w:p>
        </w:tc>
      </w:tr>
      <w:tr>
        <w:trPr>
          <w:trHeight w:val="236"/>
        </w:trPr>
        <w:tc>
          <w:tcPr>
            <w:tcW w:w="9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 (3)</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Gain related to interest rate swaps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(5)</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1"/>
                <w:szCs w:val="21"/>
                <w:color w:val="auto"/>
                <w:vertAlign w:val="superscript"/>
              </w:rPr>
              <w:t>(8)</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9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r>
      <w:tr>
        <w:trPr>
          <w:trHeight w:val="229"/>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9440" w:type="dxa"/>
            <w:vAlign w:val="bottom"/>
          </w:tcPr>
          <w:p>
            <w:pPr>
              <w:ind w:left="400"/>
              <w:spacing w:after="0"/>
              <w:rPr>
                <w:sz w:val="20"/>
                <w:szCs w:val="20"/>
                <w:color w:val="auto"/>
              </w:rPr>
            </w:pPr>
            <w:r>
              <w:rPr>
                <w:rFonts w:ascii="Arial" w:cs="Arial" w:eastAsia="Arial" w:hAnsi="Arial"/>
                <w:sz w:val="18"/>
                <w:szCs w:val="18"/>
                <w:color w:val="auto"/>
              </w:rPr>
              <w:t>Increase in equity method investment net earnings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29"/>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VAT-related settlements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(9)</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(10)</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(11)</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r>
      <w:tr>
        <w:trPr>
          <w:trHeight w:val="230"/>
        </w:trPr>
        <w:tc>
          <w:tcPr>
            <w:tcW w:w="9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on equity method investment transactions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(8)</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r>
      <w:tr>
        <w:trPr>
          <w:trHeight w:val="21"/>
        </w:trPr>
        <w:tc>
          <w:tcPr>
            <w:tcW w:w="9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appearing later in this section.</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table above and the related footnotes for more information.</w:t>
      </w:r>
    </w:p>
    <w:p>
      <w:pPr>
        <w:spacing w:after="0" w:line="5" w:lineRule="exact"/>
        <w:rPr>
          <w:rFonts w:ascii="Arial" w:cs="Arial" w:eastAsia="Arial" w:hAnsi="Arial"/>
          <w:sz w:val="16"/>
          <w:szCs w:val="16"/>
          <w:color w:val="auto"/>
        </w:rPr>
      </w:pPr>
    </w:p>
    <w:p>
      <w:pPr>
        <w:ind w:left="340" w:hanging="332"/>
        <w:spacing w:after="0" w:line="256"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interest rate swaps no longer designated as cash flow hedges.</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impacts of U.S. and Swiss tax reform.</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gains and losses on equity method investment transactions.</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Excludes the currency impact on interest expense related to our non-U.S. dollar-denominated debt which is included in currency translation.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items affecting income taxes.</w:t>
      </w:r>
    </w:p>
    <w:p>
      <w:pPr>
        <w:spacing w:after="0" w:line="5" w:lineRule="exact"/>
        <w:rPr>
          <w:rFonts w:ascii="Arial" w:cs="Arial" w:eastAsia="Arial" w:hAnsi="Arial"/>
          <w:sz w:val="16"/>
          <w:szCs w:val="16"/>
          <w:color w:val="auto"/>
        </w:rPr>
      </w:pPr>
    </w:p>
    <w:p>
      <w:pPr>
        <w:ind w:left="340" w:right="100" w:hanging="332"/>
        <w:spacing w:after="0" w:line="265" w:lineRule="auto"/>
        <w:tabs>
          <w:tab w:leader="none" w:pos="3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for more information on our equity compensation programs and share repurchase program and Note 17,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6" w:right="5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0"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Europe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25,938</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76"/>
        </w:trPr>
        <w:tc>
          <w:tcPr>
            <w:tcW w:w="5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10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(mark-to-market impacts)</w:t>
            </w:r>
          </w:p>
        </w:tc>
        <w:tc>
          <w:tcPr>
            <w:tcW w:w="10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gain on divestiture</w:t>
            </w:r>
          </w:p>
        </w:tc>
        <w:tc>
          <w:tcPr>
            <w:tcW w:w="10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6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31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2,477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150"/>
        </w:trPr>
        <w:tc>
          <w:tcPr>
            <w:tcW w:w="4540" w:type="dxa"/>
            <w:vAlign w:val="bottom"/>
          </w:tcPr>
          <w:p>
            <w:pPr>
              <w:spacing w:after="0"/>
              <w:rPr>
                <w:sz w:val="13"/>
                <w:szCs w:val="13"/>
                <w:color w:val="auto"/>
              </w:rPr>
            </w:pPr>
          </w:p>
        </w:tc>
        <w:tc>
          <w:tcPr>
            <w:tcW w:w="3200" w:type="dxa"/>
            <w:vAlign w:val="bottom"/>
            <w:gridSpan w:val="4"/>
          </w:tcPr>
          <w:p>
            <w:pPr>
              <w:jc w:val="right"/>
              <w:ind w:right="819"/>
              <w:spacing w:after="0" w:line="150"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3,018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revenues decreased $ 541 million (17.9%), due to unfavorable currency (18.1 pp) and unfavorable volume/mix (7.5 pp), partially offset by higher net pricing (7.7 pp). Unfavorable currency impacts were due primarily to the strength of the U.S. dollar relative to most currencies in the region including the Brazilian real, Argentinean peso and Mexican peso. Unfavorable volume/mix was due to the negative volume impact from the COVID-19 outbreak as well as the impact of pricing-related elasticity. Unfavorable volume/mix was driven by declines in gum and candy, partially offset by gains in cheese &amp; grocery, chocolate, refreshment beverages and biscuits. Higher net pricing was reflected across all categories, driven primarily by Argentina, Brazil and Mexico.</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Segment operating income decreased $152 million (44.6%), primarily due to higher raw material costs, unfavorable volume/mix, unfavorable currency, higher other selling, general and administrative expenses (net of lapping the expense of VAT-related settlements in 2019) and an unfavorable change in remeasurement of net monetary position in Argentina (remeasurement loss in 2020 as compared to a remeasurement gain in 2019). These unfavorable items were partially offset by higher net pricing, lower manufacturing costs (net of incremental COVID-19 related costs), lower costs incurred for the Simplify to Grow Program and higher benefits from the resolution of a tax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5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Net revenues decreased $ 184 million (5.7%), due to unfavorable currency (13.5 pp) and unfavorable volume/mix (2.1 pp), partially offset by higher net pricing (9.9 pp). Unfavorable currency impacts were due primarily to the strength of the U.S. dollar relative to most currencies in the region including the Argentinean peso and Brazilian real. Unfavorable volume/mix was due to the impact of pricing-related elasticity, and was driven by declines in refreshment beverages, candy, cheese &amp; grocery and chocolate, partially offset by gains in biscuits and gum. Higher net pricing was reflected across all categories, driven primarily by Argentina, Brazil and Mexico.</w:t>
      </w:r>
    </w:p>
    <w:p>
      <w:pPr>
        <w:spacing w:after="0" w:line="20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Segment operating income decreased $69 million (16.8%), primarily due to higher raw material costs, unfavorable currency, unfavorable volume/mix, the lapping of the 2018 benefit from the resolution of a Brazilian indirect tax matter of $26 million, higher manufacturing costs and higher other selling, general and administrative expenses (including lapping the benefit from a VAT-related settlement in 2018 and the expense of a VAT-related settlement in 2019). These unfavorable items were partially offset by higher net pricing, lower costs incurred for the Simplify to Grow Program, favorable change in remeasurement of net monetary position in Argentina (remeasurement gain in 2019 as compared to a remeasurement loss in 2018) and lower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6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31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821</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18.8 %</w:t>
            </w:r>
          </w:p>
        </w:tc>
      </w:tr>
      <w:tr>
        <w:trPr>
          <w:trHeight w:val="150"/>
        </w:trPr>
        <w:tc>
          <w:tcPr>
            <w:tcW w:w="4540" w:type="dxa"/>
            <w:vAlign w:val="bottom"/>
          </w:tcPr>
          <w:p>
            <w:pPr>
              <w:spacing w:after="0"/>
              <w:rPr>
                <w:sz w:val="13"/>
                <w:szCs w:val="13"/>
                <w:color w:val="auto"/>
              </w:rPr>
            </w:pPr>
          </w:p>
        </w:tc>
        <w:tc>
          <w:tcPr>
            <w:tcW w:w="3200" w:type="dxa"/>
            <w:vAlign w:val="bottom"/>
            <w:gridSpan w:val="4"/>
          </w:tcPr>
          <w:p>
            <w:pPr>
              <w:jc w:val="right"/>
              <w:ind w:right="819"/>
              <w:spacing w:after="0" w:line="150"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691</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702</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revenues decreased $30 million (0.5%), due to unfavorable currency (1.3 pp), the impact of a divestiture (0.9 pp) and unfavorable volume/mix (0.6 pp), partially offset by higher net pricing (2.3 pp). Unfavorable currency impacts were due to the strength of the U.S. dollar relative to several currencies in the region, including the Indian rupee, South African rand, Australian dollar and Pakistan rupee, partially offset by the strength of several currencies relative to the U.S. dollar, including the Philippine peso, Egyptian pound, Japanese yen and Chinese yuan. The May 28, 2019 divestiture of most of our cheese business in the Middle East and Africa resulted in a year-over-year decline in net revenues of $55 million. Unfavorable volume/mix was due to unfavorable product mix as overall higher volume was tempered by the negative volume impact from COVID-19 related lockdowns impacting our traditional trade markets. Unfavorable volume/mix was driven by declines in gum, chocolate, candy and refreshment beverages, partially offset by gains in biscuits and cheese &amp; grocery. Higher net pricing was driven by chocolate, biscuits, refreshment beverages and cheese &amp; grocery, partially offset by lower net pricing in candy and gum.</w:t>
      </w:r>
    </w:p>
    <w:p>
      <w:pPr>
        <w:spacing w:after="0" w:line="204"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Segment operating income increased $130 million (18.8%), primarily due to higher net pricing, lapping prior-year expenses from the resolution of tax matters in India totaling $87 million, lower manufacturing costs (net of incremental COVID-19 related costs), lower other selling, general and administrative expenses, lower intangible asset impairment charges and lower costs incurred for the Simplify to Grow Program. These favorable items were partially offset by higher raw material costs, unfavorable volume/mix, unfavorable currency and the impact of the prior-year divestiture.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revenues increased $ 41 million (0.7%), due to favorable volume/mix (3.6 pp) and higher net pricing (1.7 pp), mostly offset by unfavorable currency (3.3 pp) and the impact of a divestiture (1.3 pp). Favorable volume/mix was driven by gains across all categories except refreshment beverages and candy. Higher net pricing was reflected across all categories. Unfavorable currency impacts were due to the strength of the U.S. dollar relative to several currencies in the region, including the Australian dollar, Chinese yuan, Indian rupee and South African rand. The divestiture of most of our cheese business in the Middle East and Africa on May 28, 2019, resulted in a year-over-year decline in net revenues of $71 million.</w:t>
      </w:r>
    </w:p>
    <w:p>
      <w:pPr>
        <w:spacing w:after="0" w:line="204"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Segment operating income decreased $11 million (1.6%), primarily due to higher raw material costs, expenses from the resolution of tax matters in India totaling $87 million, higher advertising and consumer promotion costs, unfavorable currency, higher other selling, general and administrative expenses, the impact of the divestiture and higher intangible asset impairment charges. These unfavorable items were partially offset by lower manufacturing costs, higher net pricing, lower costs incurred for the Simplify to Grow Program and favorable volume/mix.</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62" w:lineRule="exact"/>
        <w:rPr>
          <w:sz w:val="20"/>
          <w:szCs w:val="20"/>
          <w:color w:val="auto"/>
        </w:rPr>
      </w:pPr>
    </w:p>
    <w:p>
      <w:pPr>
        <w:jc w:val="center"/>
        <w:ind w:left="1040"/>
        <w:spacing w:after="0"/>
        <w:rPr>
          <w:sz w:val="20"/>
          <w:szCs w:val="20"/>
          <w:color w:val="auto"/>
        </w:rPr>
      </w:pPr>
      <w:r>
        <w:rPr>
          <w:rFonts w:ascii="Arial" w:cs="Arial" w:eastAsia="Arial" w:hAnsi="Arial"/>
          <w:sz w:val="14"/>
          <w:szCs w:val="14"/>
          <w:b w:val="1"/>
          <w:bCs w:val="1"/>
          <w:color w:val="auto"/>
        </w:rPr>
        <w:t>For the Years Ended</w:t>
      </w:r>
    </w:p>
    <w:p>
      <w:pPr>
        <w:jc w:val="center"/>
        <w:ind w:left="10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3"/>
        </w:trPr>
        <w:tc>
          <w:tcPr>
            <w:tcW w:w="45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10,207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1,775</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1,732</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150"/>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40" w:type="dxa"/>
            <w:vAlign w:val="bottom"/>
            <w:gridSpan w:val="3"/>
          </w:tcPr>
          <w:p>
            <w:pPr>
              <w:jc w:val="right"/>
              <w:ind w:right="839"/>
              <w:spacing w:after="0" w:line="150"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5"/>
        </w:trPr>
        <w:tc>
          <w:tcPr>
            <w:tcW w:w="4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8"/>
                <w:szCs w:val="18"/>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9,972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1,732</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revenues increased $ 235 million (2.4%), due to favorable volume/mix (2.8 pp), partially offset by lower net pricing (0.3 pp) and unfavorable currency (0.1 pp). Favorable volume/mix due to overall higher volume was tempered by the net impact from the COVID-19 outbreak, as overall increased food purchases for in-home consumption were partially offset by a negative volume impact on our world travel retail and foodservice businesses due to lockdowns and other restrictions. Favorable volume/mix was driven by gains in chocolate, cheese &amp; grocery, biscuits and refreshment beverages, partially offset by declines in candy and gum. Lower net pricing was driven by biscuits and chocolate, partially offset by higher net pricing in cheese &amp; grocery, candy, gum and refreshment beverages. Unfavorable currency impacts reflected the strength of the U.S. dollar relative to several currencies in the region, including the Russian ruble, Turkish lira, Norwegian krone and Ukrainian hryvnya mostly offset by the strength of several currencies in the region relative to the U.S. dollar, primarily the euro, British pound sterling, Swedish krona and Swiss franc.</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Segment operating income increased $43 million (2.5%), primarily due to favorable volume/mix, lower costs incurred for the Simplify to Grow Program and lower advertising and consumer promotion costs. These favorable items were partially offset by higher raw material costs, lower net pricing, higher intangible asset impairment charges, higher other selling, general and administrative expenses and unfavorable currency.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revenues decreased $150 million (1.5%), due to unfavorable currency (5.2 pp), partially offset by favorable volume/mix (3.7 pp), as net pricing was flat. Unfavorable currency impacts reflected the strength of the U.S. dollar relative to most currencies in the region, primarily the euro, British pound sterling, Turkish lira and Swedish krona. Favorable volume/mix was driven by gains across all categories except gum. Net pricing was flat as higher net pricing in gum and candy was offset by lower net pricing in all other categories.</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Segment operating income decreased $2 million (0.1%), primarily due to unfavorable currency, higher raw material costs and higher advertising and consumer promotion costs. These unfavorable items were mostly offset by favorable volume/mix, lower manufacturing costs and lower intangible asset impairment charges.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62" w:lineRule="exact"/>
        <w:rPr>
          <w:sz w:val="20"/>
          <w:szCs w:val="20"/>
          <w:color w:val="auto"/>
        </w:rPr>
      </w:pPr>
    </w:p>
    <w:p>
      <w:pPr>
        <w:jc w:val="center"/>
        <w:ind w:left="1040"/>
        <w:spacing w:after="0"/>
        <w:rPr>
          <w:sz w:val="20"/>
          <w:szCs w:val="20"/>
          <w:color w:val="auto"/>
        </w:rPr>
      </w:pPr>
      <w:r>
        <w:rPr>
          <w:rFonts w:ascii="Arial" w:cs="Arial" w:eastAsia="Arial" w:hAnsi="Arial"/>
          <w:sz w:val="14"/>
          <w:szCs w:val="14"/>
          <w:b w:val="1"/>
          <w:bCs w:val="1"/>
          <w:color w:val="auto"/>
        </w:rPr>
        <w:t>For the Years Ended</w:t>
      </w:r>
    </w:p>
    <w:p>
      <w:pPr>
        <w:jc w:val="center"/>
        <w:ind w:left="1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31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5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8,157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1,587</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150"/>
        </w:trPr>
        <w:tc>
          <w:tcPr>
            <w:tcW w:w="4540" w:type="dxa"/>
            <w:vAlign w:val="bottom"/>
          </w:tcPr>
          <w:p>
            <w:pPr>
              <w:spacing w:after="0"/>
              <w:rPr>
                <w:sz w:val="13"/>
                <w:szCs w:val="13"/>
                <w:color w:val="auto"/>
              </w:rPr>
            </w:pPr>
          </w:p>
        </w:tc>
        <w:tc>
          <w:tcPr>
            <w:tcW w:w="3200" w:type="dxa"/>
            <w:vAlign w:val="bottom"/>
            <w:gridSpan w:val="4"/>
          </w:tcPr>
          <w:p>
            <w:pPr>
              <w:jc w:val="right"/>
              <w:ind w:right="819"/>
              <w:spacing w:after="0" w:line="150"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7,108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1,451</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70.9 %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revenues increased $1,049 million (14.8%), due to favorable volume/mix (6.3 pp), the impact of acquisitions (6.3 pp) and higher net pricing (2.3 pp), partially offset by unfavorable currency (0.1 pp). Favorable volume/mix, in part due to the positive volume impact from COVID-19 as consumers increased their food purchases for in-home consumption, was driven by gains in biscuits, partially offset by declines in gum, chocolate and candy. The April 1, 2020 acquisition of Give &amp; Go added incremental net revenues of $390 million and the July 16, 2019 acquisition of a majority interest in Perfect Snacks added net revenues of $55 million in 2020. Higher net pricing was driven by biscuits, chocolate and candy, partially offset by lower net pricing in gum. Unfavorable currency impact was due to the strength of the U.S. dollar relative to the Canadian dollar.</w:t>
      </w:r>
    </w:p>
    <w:p>
      <w:pPr>
        <w:spacing w:after="0" w:line="203"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Segment operating income increased $136 million (9.4%), primarily due to favorable volume/mix, higher net pricing and the impact of acquisitions. These favorable items were partially offset by higher advertising and consumer promotion costs, intangible asset impairment charges, higher other selling, general and administrative expenses (including incremental COVID-19 related costs), higher raw material costs, lapping the benefit from prior-year pension participation changes and higher costs incurred for the Simplify to Grow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Net revenues increased $ 223 million (3.2%), due to higher net pricing (2.3 pp) and the impact of acquisitions (1.3 pp), partially offset by unfavorable currency (0.3 pp) and unfavorable volume/mix (0.1 pp). Higher net pricing was reflected across all categories except chocolate. The July 16, 2019 acquisition of a majority interest in Perfect Snacks added net revenues of $53 million and the June 7, 2018 acquisition of Tate’s Bake Shop added incremental net revenues of $35 million in 2019. Unfavorable currency impact was due to the strength of the U.S. dollar relative to the Canadian dollar. Unfavorable volume/mix was driven by declines in gum, chocolate and candy, mostly offset by favorable volume/mix in biscuits.</w:t>
      </w: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Segment operating income increased $602 million (70.9%), primarily due to lapping prior-year pension participation changes, higher net pricing, lower manufacturing costs, lower costs incurred for the Simplify to Grow Program, benefit from current-year pension participation changes, lapping prior-year intangible asset impairment charges and the impact from the acquisitions of Perfect Snacks and Tate's Bake Shop. These favorable items were partially offset by higher raw material costs, higher other selling, general and administrative expenses and unfavorable volume/mix.</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r>
        <w:rPr>
          <w:rFonts w:ascii="Arial" w:cs="Arial" w:eastAsia="Arial" w:hAnsi="Arial"/>
          <w:sz w:val="18"/>
          <w:szCs w:val="18"/>
          <w:color w:val="auto"/>
        </w:rPr>
        <w:t>:</w:t>
      </w:r>
    </w:p>
    <w:p>
      <w:pPr>
        <w:spacing w:after="0" w:line="3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6.1% to discount the projected cash flows of those operations. For our Latin America and AMEA reporting units, we used a risk-rated discount rate of 9.1%. Estimating the fair value of individual reporting units requires us to make assumptions and estimates regarding our future plans and industry and economic conditions based on available information. Given the uncertainty of the global economic environment and the impact of COVID-19, those estimates could be significantly different than future performance. If the carrying value of a reporting unit’s net assets exceeds its fair value, we would recognize an impairment charge for the amount by which the carrying value exceeds the reporting unit fair value.</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2020, 2019 and 2018, there were no impairments of goodwill. In connection with our 2020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19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estimated fair value, the asset is impaired and its carrying value is reduced to the estimated fair value.</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2020, we recorded $144 million of intangible asset impairment charges related to eight brands. We recorded charges related to gum, chocolate, biscuits and candy brands of $83 million in North America, $ 53 million in Europe, $5 million in AMEA and $ 3 million in Latin America. The impairment charges were calculated as the excess of the carrying value over the estimated fair value of the intangible assets on a global basis and were recorded within asset impairment and exit costs. We use several accepted valuation methods, including relief of royalty, excess earnings and excess margin, that utilize estimates of future sales, earnings growth rates, royalty rates and discount rates in determining a brand's global fair value. We also identified nine brands, including the eight impaired brands, with $753 million of aggregate book value as of December 31, 2020 that each had a fair value in excess of book value of 10% or less. We continue to monitor our brand performance, particularly in light of the significant uncertainty due to the COVID -19 pandemic and related impacts to our business. If the brand earnings expectations are not met or specific valuation factors outside of our control, such as discount rates, change significantly, then a brand or brands could become impaired in the future. In 2019, we recorded charges related to gum, chocolate, biscuits and candy brands of $39 million in Europe, $ 15 million in AMEA and $ 3 million in Latin America. In 2018, we recorded charges related to gum, chocolate, biscuits and candy brands of $45 million in Europe, $14 million in North America and $9 million in AMEA.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06"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1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While we do not anticipate further changes in the 2020 assumptions for our U.S. and non-U.S. pension and postretirement health care plans, as a sensitivity measure, a fifty-basis point change in our discount rates or the expected rate of return on plan assets would have the following effects, increase/(decrease), on our annual benefit plan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right="319"/>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11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Fifty-Basis-Point</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Fifty-Basis-Point</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Increase</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Increase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vMerge w:val="restart"/>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center"/>
              <w:ind w:left="639"/>
              <w:spacing w:after="0"/>
              <w:rPr>
                <w:sz w:val="20"/>
                <w:szCs w:val="20"/>
                <w:color w:val="auto"/>
              </w:rPr>
            </w:pPr>
            <w:r>
              <w:rPr>
                <w:rFonts w:ascii="Arial" w:cs="Arial" w:eastAsia="Arial" w:hAnsi="Arial"/>
                <w:sz w:val="18"/>
                <w:szCs w:val="18"/>
                <w:color w:val="auto"/>
                <w:w w:val="99"/>
              </w:rPr>
              <w:t>(35)</w:t>
            </w:r>
          </w:p>
        </w:tc>
        <w:tc>
          <w:tcPr>
            <w:tcW w:w="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costs</w:t>
            </w:r>
          </w:p>
        </w:tc>
        <w:tc>
          <w:tcPr>
            <w:tcW w:w="110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Effect of change in expected rate of return on</w:t>
            </w:r>
          </w:p>
        </w:tc>
        <w:tc>
          <w:tcPr>
            <w:tcW w:w="11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center"/>
              <w:ind w:left="639"/>
              <w:spacing w:after="0"/>
              <w:rPr>
                <w:sz w:val="20"/>
                <w:szCs w:val="20"/>
                <w:color w:val="auto"/>
              </w:rPr>
            </w:pPr>
            <w:r>
              <w:rPr>
                <w:rFonts w:ascii="Arial" w:cs="Arial" w:eastAsia="Arial" w:hAnsi="Arial"/>
                <w:sz w:val="18"/>
                <w:szCs w:val="18"/>
                <w:color w:val="auto"/>
                <w:w w:val="99"/>
              </w:rPr>
              <w:t>(54)</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plan assets on pension costs</w:t>
            </w:r>
          </w:p>
        </w:tc>
        <w:tc>
          <w:tcPr>
            <w:tcW w:w="11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ind w:left="6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health care costs</w:t>
            </w:r>
          </w:p>
        </w:tc>
        <w:tc>
          <w:tcPr>
            <w:tcW w:w="1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accordance with obligations we have under collective bargaining agreements, we participate in multiemployer pension plans. In 2017, the only individually significant multiemployer plan we contributed to was the Bakery and Confectionery Union and Industry International Pension Fund. Our obligation to contribute to the Fund arose with respect to 8 collective bargaining agreements covering most of our employees represented by the Bakery, Confectionery, Tobacco and Grain Millers Union. All of those collective bargaining agreements expired in 2016. In 2018, we executed a complete withdrawal from the Fund and recorded a $429 million estimated withdrawal liability. On July 11, 2019, we received an undiscounted withdrawal liability assessment from the Fund totaling $526 million requiring pro-rata monthly payments over 20 years and we recorded a $35 million final adjustment to reduce our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withdrawal liability as of June 30, 2019. We began making monthly payments during the third quarter of 2019. As of December 31, 2020, the remaining discounted withdrawal liability was $375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additional information on our employee benefit plans in Note 11,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189"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 and historical income tax provisions. The outcome of these final determinations could have a material effect on our provision for income taxes, net earnings or cash flows in the period in which the determination is made.</w:t>
      </w:r>
    </w:p>
    <w:p>
      <w:pPr>
        <w:spacing w:after="0" w:line="204"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impacts from Swiss and U.S. tax reform in our financial statements, as well as additional information on our effective tax rate, current and deferred taxes, valuation allowances and unrecognized tax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9"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In light of the current uncertainty in the global markets related to the COVID-19 pandemic,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As a precautionary measure and to preserve financial flexibility, we temporarily increased our credit facility borrowing capacity in 2020. In the third quarter of 2020, we completed the retirement of this incremental short-term borrowing capacity and have returned our credit facility available capacity to pre-COVID-19 levels.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additional details. In connection with COVID-19 and various legislatively authorized tax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deferral mechanisms available for income tax, indirect tax (such as value-added tax) and payroll tax in a number of jurisdictions, we were able to defer certain of these tax payments, which provided a cash benefit that reverses when the payments come due. Some of these payments were made in the fourth quarter of 2020; the remainder will come due in 2021 and 2022. The benefits associated with the deferral of these payments were not material. We expect to continue to utilize our commercial paper program and international credit lines as needed, and we secured and continue to evaluate long-term debt issuances to meet our short- and longer-term funding requirements. We also use intercompany loans with our international subsidiaries to improve financial flexibility. Overall, we do not expect any negative effects to our funding sources that would have a material effect on our liquidity; however, if a serious economic or credit market crisis ensues, it could have a material adverse effect on our liquidity,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Operating activities provided net cash of $3,964 million in 2020, $3,965 million in 2019 and $3,948 million in 2018. Net cash provided by operating activities was largely flat in 2020 relative to 2019 as higher cash tax payments in 2020 (primarily related to sales of KDP and JDE Peet's shares and the resolution of several indirect tax matters under a tax amnesty program in India) and the payment of costs associated with the JDE Peet's transaction in 2020 were largely offset by working capital improvements. The increase in net cash provided by operating activities in 2019 relative to 2018 was due primarily to higher earnings, increased distributions from equity method investments and lower pension contributions, partially offset by increased working capital requirements including higher tax payments.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provided by investing activities was $500 million in 2020, compared to net cash used in investing activities of $960 million in 2019 and $1,224 million in 2018. The increase in net cash provided by investing activities in 2020 relative to 2019 was primarily due to cash received from the sale of shares in the JDE Peet's and KDP offerings and lower capital expenditures, partially offset by cash paid to acquire a majority interest in Give &amp; Go. The decrease in net cash used in investing activities in 2019 relative to 2018 was primarily due to less cash expended for acquisitions in 2019 than in 2018, lower capital expenditures and the 2019 cash proceeds from the divestiture of primarily our cheese business in the Middle East and Africa, partially offset by lower cash received as a result of the settlement and replacement of several net investment hedge derivative contracts and cash paid to settle our forward-starting interest rate swaps.</w:t>
      </w:r>
    </w:p>
    <w:p>
      <w:pPr>
        <w:spacing w:after="0" w:line="20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expenditures were $863 million in 2020, $925 million in 2019 and $1,095 million in 2018. We continue to make capital expenditures primarily to modernize manufacturing facilities and support new product and productivity initiatives. We expect 2021 capital expenditures to be up to $1.0 billion, including capital expenditures in connection with our Simplify to Grow Program. We expect to continue to fund these expenditures with cash from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financing activities was $ 2,215 million in 2020, $2,787 million in 2019 and $2,329 million in 2018. The decrease in net cash used in financing activities in 2020 relative to 2019 was primarily due to higher net debt issuances and lower share repurchases, partially offset by higher dividends paid and lower proceeds from stock option exercises in 2020. The increase in net cash used in financing activities in 2019 relative to 2018 was primarily due to lower net debt issuances and higher dividends paid in 2019, partially offset by lower share repurchases.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From time to time we refinance long-term and short-term debt.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recent tender offers, debt issuances and maturities.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One of our subsidiaries, Mondelez International Holdings Netherlands B.V. (“MIHN”), has outstanding debt. Refer to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The operations held by MIHN generated approximately 71.8% (or $19.1 billion) of the $26.6 billion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 during fiscal year 2020 and represented approximately 76.2% (or $21.1 billion) of the $27.7 billion of net assets as of December 31, 2020.</w:t>
      </w:r>
    </w:p>
    <w:p>
      <w:pPr>
        <w:spacing w:after="0" w:line="196"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During December 2020, our Board of Directors approved a new $6.0 billion long-term financing authority to replace the prior $8.0 billion authority. As of December 31, 2020, we had $6.0 billion of long-term financing authority remaining.</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January 2021, we repaid approximately $0.8 billion of maturing debt. In the next 12 months, we expect to repay approximately $1.8 billion of maturing long-term debt including: $1.5 billion in October 2021 and $0.3 billion in December 2021. We expect to fund these repayments with cash on hand, as well as short-term and long-term debt.</w:t>
      </w:r>
    </w:p>
    <w:p>
      <w:pPr>
        <w:spacing w:after="0" w:line="1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Our total debt was $ 20.0 billion at December 31, 2020 and $18.4 billion at December 31, 2019. Our debt-to-capitalization ratio was 0.42 at December 31, 2020 and 0.40 at December 31, 2019. At December 31, 2020, the weighted-average term of our outstanding long-term debt was 7.4 years. Our average daily commercial borrowings were $2.3 billion in 2020, $4.1 billion in 2019 and $4.5 billion in 2018. We had no commercial paper borrowings outstanding at December 31, 2020 and $ 2.6 billion outstanding as of December 31, 2019. We expect to continue to use cash or commercial paper to finance various short-term financing needs. As of December 31, 2020, we continued to be in compliance with our debt covenants.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2020, the primary drivers of the increase in our aggregate commodity costs were higher currency exchange transaction costs on imported materials, as well as increased costs for cocoa, dairy, sugar, energy, packaging, nuts, grains and other ingredients costs, partially offset by lower costs for oils.</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expect price volatility and a higher aggregate cost environment to continue in 2021. While the costs of our principal raw materials fluctuate, we believe there will continue to be an adequate supply of the raw materials we use and that they will generally remain available from numerous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arrangements other than the contractual obligations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As discussed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December 31, 2020, we had no material third-party guarantees recorded on our consolidated balance sheet.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Guarantees do not have, and we do not expect them to have, a material effect on our liquidity.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Payments Due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2022-23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2024-25</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2026 and Thereafter</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Inventory and production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U.S. tax reform transition liability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Multiemployer pension plan</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withdrawal liability </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3"/>
                <w:szCs w:val="23"/>
                <w:color w:val="auto"/>
                <w:vertAlign w:val="superscript"/>
              </w:rPr>
              <w:t>(7)</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340" w:right="240" w:hanging="332"/>
        <w:spacing w:after="0" w:line="255"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include the expected cash payments of our long-term debt, including the current portion and excluding finance leases, which are presented separately in the table above. The amounts also exclude $94 million of net unamortized non-cash bond premiums, discounts, bank fees and mark-to-market adjustments related to our interest rate swaps recorded in total debt.</w:t>
      </w:r>
    </w:p>
    <w:p>
      <w:pPr>
        <w:ind w:left="340" w:right="140" w:hanging="332"/>
        <w:spacing w:after="0" w:line="246"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represent the expected cash payments of our interest expense on our long-term debt. Interest calculated on our non-U.S. dollar denominated debt was forecasted using currency exchange rates as of December 31, 2020.</w:t>
      </w: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exclude imputed interest on finance leases of $20 million.</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Purchase obligations for inventory and production costs (such as raw materials, indirect materials and supplies, packaging, co-manufacturing arrangements, storage and distribution) are 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specifies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2" w:lineRule="exact"/>
        <w:rPr>
          <w:rFonts w:ascii="Arial" w:cs="Arial" w:eastAsia="Arial" w:hAnsi="Arial"/>
          <w:sz w:val="16"/>
          <w:szCs w:val="16"/>
          <w:color w:val="auto"/>
        </w:rPr>
      </w:pPr>
    </w:p>
    <w:p>
      <w:pPr>
        <w:ind w:left="340" w:right="380" w:hanging="332"/>
        <w:spacing w:after="0" w:line="246"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 connection with U.S. tax reform, we estimate paying a total $1.3 billion transition tax liability through 2026. As of December 31, 2020, the amount outstanding was $0.9 billion. See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additional information on U.S. tax reform and its impact on our financial statements.</w:t>
      </w:r>
    </w:p>
    <w:p>
      <w:pPr>
        <w:ind w:left="340" w:right="20" w:hanging="332"/>
        <w:spacing w:after="0" w:line="246"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During 2018, we executed a complete withdrawal liability from our most individually significant multiemployer pension plan. On July 11, 2019, we received an undiscounted withdrawal liability assessment from the Fund totaling $526 million requiring pro-rata monthly payments over 20 years through 2039. See Note 11, </w:t>
      </w:r>
      <w:r>
        <w:rPr>
          <w:rFonts w:ascii="Arial" w:cs="Arial" w:eastAsia="Arial" w:hAnsi="Arial"/>
          <w:sz w:val="16"/>
          <w:szCs w:val="16"/>
          <w:i w:val="1"/>
          <w:iCs w:val="1"/>
          <w:color w:val="auto"/>
        </w:rPr>
        <w:t>Benefit Plans,</w:t>
      </w:r>
      <w:r>
        <w:rPr>
          <w:rFonts w:ascii="Arial" w:cs="Arial" w:eastAsia="Arial" w:hAnsi="Arial"/>
          <w:sz w:val="16"/>
          <w:szCs w:val="16"/>
          <w:color w:val="auto"/>
        </w:rPr>
        <w:t xml:space="preserve"> for additional information on our multiemployer pension plan withdrawal liability.</w:t>
      </w:r>
    </w:p>
    <w:p>
      <w:pPr>
        <w:spacing w:after="0" w:line="1" w:lineRule="exact"/>
        <w:rPr>
          <w:rFonts w:ascii="Arial" w:cs="Arial" w:eastAsia="Arial" w:hAnsi="Arial"/>
          <w:sz w:val="16"/>
          <w:szCs w:val="16"/>
          <w:color w:val="auto"/>
        </w:rPr>
      </w:pPr>
    </w:p>
    <w:p>
      <w:pPr>
        <w:ind w:left="340" w:right="40" w:hanging="332"/>
        <w:spacing w:after="0" w:line="249"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long-term liabilities in the table above include the long-term liabilities and any current portion of these obligations. We have included the estimated future benefit payments for our postretirement health care plans through December 31, 2030 of $172 million. We are unable to reliably estimate the timing of the payments beyond 2030; as such, they are excluded from the above table. There are also another $18 million of various other long-term liabilities that are expected to be paid over the next 5 years. In addition, the following long-term liabilities included on the consolidated balance sheet are excluded from the table above: accrued pension costs, unrecognized tax benefits, insurance accruals and other accruals. As of December 31, 2020, our unrecognized tax benefit, including associated interest and penalties, classified as a long-term payable is $515 million. We currently expect to make approximately $236 million in contributions to our pension plans in 2021.</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2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 Plans</w:t>
      </w:r>
      <w:r>
        <w:rPr>
          <w:rFonts w:ascii="Arial" w:cs="Arial" w:eastAsia="Arial" w:hAnsi="Arial"/>
          <w:sz w:val="18"/>
          <w:szCs w:val="18"/>
          <w:color w:val="auto"/>
        </w:rPr>
        <w:t>, to the consolidated financial statements for more information on our stock plans and grant activity during 2018-2020.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to the consolidated financial statements and Item 5, </w:t>
      </w:r>
      <w:r>
        <w:rPr>
          <w:rFonts w:ascii="Arial" w:cs="Arial" w:eastAsia="Arial" w:hAnsi="Arial"/>
          <w:sz w:val="18"/>
          <w:szCs w:val="18"/>
          <w:i w:val="1"/>
          <w:iCs w:val="1"/>
          <w:color w:val="auto"/>
        </w:rPr>
        <w:t>Market for Registrant’s Common Equity,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 Matters and Issuer Purchases of Equity Securities – Issuer Purchases of Equity Securities, </w:t>
      </w:r>
      <w:r>
        <w:rPr>
          <w:rFonts w:ascii="Arial" w:cs="Arial" w:eastAsia="Arial" w:hAnsi="Arial"/>
          <w:sz w:val="18"/>
          <w:szCs w:val="18"/>
          <w:color w:val="auto"/>
        </w:rPr>
        <w:t>for more information on our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w:t>
      </w:r>
    </w:p>
    <w:p>
      <w:pPr>
        <w:spacing w:after="0" w:line="20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31, 2020, our Board of Director has authorized share repurchases up to $23.7 billion through December 31, 2023. Under this program, we have repurchased approximately $17.9 billion of shares through December 31, 2020 ($1.4 billion in 2020, $ 1.5 billion in 2019, $2.0 billion in 2018, $2.2 billion in 2017, $2.6 billion in 2016, $3.6 billion in 2015, $1.9 billion in 2014 and $2.7 billion in 2013), at a weighted-average cost of $40.57 per share.</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paid dividends of $1,678 million in 2020, $1,542 million in 2019 and $1,359 million in 2018. On July 28, 2020, the Finance Committee, with authorization delegated from our Board of Directors, declared a quarterly cash dividend of $0.315 per share of Class A Common Stock, an increase of 11 percent, which would be $1.26 per common share on an annualized basis. In 2019, our quarterly cash dividend increased from $0.26 to $0.285 per share of Class A Common Stock, an increase of 10 percent, and in 2018, our quarterly cash dividend increased from $ 0.22 to $ 0.26 per share of Class A Common Stock, an increase of 18 percent.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6"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For U.S. income tax purposes only, the Company has determined that 100% of the distributions paid to its shareholders in 2020 are characterized as a qualified dividend paid from U.S. earnings and profits. Shareholders should consult their tax advisors for a full understanding of the tax consequences of the receipt of dividends.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10-K.</w:t>
      </w:r>
    </w:p>
    <w:p>
      <w:pPr>
        <w:spacing w:after="0" w:line="204" w:lineRule="exact"/>
        <w:rPr>
          <w:sz w:val="20"/>
          <w:szCs w:val="20"/>
          <w:color w:val="auto"/>
        </w:rPr>
      </w:pPr>
    </w:p>
    <w:p>
      <w:pPr>
        <w:jc w:val="both"/>
        <w:ind w:right="60"/>
        <w:spacing w:after="0" w:line="233"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60" w:hanging="328"/>
        <w:spacing w:after="0" w:line="215"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and developed markets.</w:t>
      </w:r>
    </w:p>
    <w:p>
      <w:pPr>
        <w:ind w:left="1020" w:right="140" w:hanging="324"/>
        <w:spacing w:after="0" w:line="250" w:lineRule="auto"/>
        <w:tabs>
          <w:tab w:leader="none" w:pos="10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1020" w:right="540" w:hanging="324"/>
        <w:spacing w:after="0" w:line="250" w:lineRule="auto"/>
        <w:tabs>
          <w:tab w:leader="none" w:pos="10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ind w:left="660" w:right="140" w:hanging="328"/>
        <w:spacing w:after="0" w:line="20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Swiss tax reform impacts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and costs associated with the JDE Peet's transaction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4" w:lineRule="exact"/>
        <w:rPr>
          <w:rFonts w:ascii="Arial" w:cs="Arial" w:eastAsia="Arial" w:hAnsi="Arial"/>
          <w:sz w:val="18"/>
          <w:szCs w:val="18"/>
          <w:color w:val="auto"/>
        </w:rPr>
      </w:pPr>
    </w:p>
    <w:p>
      <w:pPr>
        <w:ind w:left="660" w:right="60" w:hanging="328"/>
        <w:spacing w:after="0" w:line="245"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equity method investment transactions; net earnings from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Similarly, within Adjusted EPS, our equity method investment net earnings exclude our proportionate share of our investees’ significant operating and non-operating items </w:t>
      </w:r>
      <w:r>
        <w:rPr>
          <w:rFonts w:ascii="Arial" w:cs="Arial" w:eastAsia="Arial" w:hAnsi="Arial"/>
          <w:sz w:val="22"/>
          <w:szCs w:val="22"/>
          <w:color w:val="auto"/>
          <w:vertAlign w:val="superscript"/>
        </w:rPr>
        <w:t>(11)</w:t>
      </w:r>
      <w:r>
        <w:rPr>
          <w:rFonts w:ascii="Arial" w:cs="Arial" w:eastAsia="Arial" w:hAnsi="Arial"/>
          <w:sz w:val="17"/>
          <w:szCs w:val="17"/>
          <w:color w:val="auto"/>
        </w:rPr>
        <w:t xml:space="preserve">. We also evaluate growth in our Adjusted EPS on a constant currency basis </w:t>
      </w:r>
      <w:r>
        <w:rPr>
          <w:rFonts w:ascii="Arial" w:cs="Arial" w:eastAsia="Arial" w:hAnsi="Arial"/>
          <w:sz w:val="22"/>
          <w:szCs w:val="22"/>
          <w:color w:val="auto"/>
          <w:vertAlign w:val="superscript"/>
        </w:rPr>
        <w:t>(3)</w:t>
      </w:r>
      <w:r>
        <w:rPr>
          <w:rFonts w:ascii="Arial" w:cs="Arial" w:eastAsia="Arial" w:hAnsi="Arial"/>
          <w:sz w:val="17"/>
          <w:szCs w:val="17"/>
          <w:color w:val="auto"/>
        </w:rPr>
        <w:t>.</w:t>
      </w:r>
    </w:p>
    <w:p>
      <w:pPr>
        <w:spacing w:after="0" w:line="153" w:lineRule="exact"/>
        <w:rPr>
          <w:sz w:val="20"/>
          <w:szCs w:val="20"/>
          <w:color w:val="auto"/>
        </w:rPr>
      </w:pPr>
    </w:p>
    <w:p>
      <w:pPr>
        <w:ind w:left="980" w:right="40" w:hanging="324"/>
        <w:spacing w:after="0" w:line="250" w:lineRule="auto"/>
        <w:tabs>
          <w:tab w:leader="none" w:pos="992"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When items no longer impact our current or future presentation of non-GAAP operating results, we remove these items from our non-GAAP definitions. During 2020, we added to the non-GAAP definitions the exclusion of costs associated with the JDE Peet's transaction. 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and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JDE Peet's transaction.</w:t>
      </w:r>
    </w:p>
    <w:p>
      <w:pPr>
        <w:ind w:left="980" w:right="80" w:hanging="324"/>
        <w:spacing w:after="0" w:line="241" w:lineRule="auto"/>
        <w:tabs>
          <w:tab w:leader="none" w:pos="992"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information on acquisitions and divestitures impacting the comparability of our results.</w:t>
      </w:r>
    </w:p>
    <w:p>
      <w:pPr>
        <w:spacing w:after="0" w:line="1" w:lineRule="exact"/>
        <w:rPr>
          <w:rFonts w:ascii="Arial" w:cs="Arial" w:eastAsia="Arial" w:hAnsi="Arial"/>
          <w:sz w:val="14"/>
          <w:szCs w:val="14"/>
          <w:color w:val="auto"/>
        </w:rPr>
      </w:pPr>
    </w:p>
    <w:p>
      <w:pPr>
        <w:jc w:val="both"/>
        <w:ind w:left="980" w:right="140" w:hanging="324"/>
        <w:spacing w:after="0" w:line="252" w:lineRule="auto"/>
        <w:tabs>
          <w:tab w:leader="none" w:pos="992"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ind w:left="980" w:right="140" w:hanging="324"/>
        <w:spacing w:after="0" w:line="254" w:lineRule="auto"/>
        <w:tabs>
          <w:tab w:leader="none" w:pos="9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spacing w:after="0" w:line="1" w:lineRule="exact"/>
        <w:rPr>
          <w:rFonts w:ascii="Arial" w:cs="Arial" w:eastAsia="Arial" w:hAnsi="Arial"/>
          <w:sz w:val="14"/>
          <w:szCs w:val="14"/>
          <w:color w:val="auto"/>
        </w:rPr>
      </w:pPr>
    </w:p>
    <w:p>
      <w:pPr>
        <w:jc w:val="both"/>
        <w:ind w:left="980" w:right="100" w:hanging="324"/>
        <w:spacing w:after="0" w:line="241" w:lineRule="auto"/>
        <w:tabs>
          <w:tab w:leader="none" w:pos="9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we excluded the remeasurement gains or losses related to remeasuring net monetary assets or liabilities in Argentina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60" w:hanging="324"/>
        <w:spacing w:after="0" w:line="241" w:lineRule="auto"/>
        <w:tabs>
          <w:tab w:leader="none" w:pos="9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1000" w:hanging="344"/>
        <w:spacing w:after="0"/>
        <w:tabs>
          <w:tab w:leader="none" w:pos="1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See Note 14,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ind w:left="980" w:hanging="324"/>
        <w:spacing w:after="0" w:line="241" w:lineRule="auto"/>
        <w:tabs>
          <w:tab w:leader="none" w:pos="9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 During the first quarter of 2020, Mr. Van de Put's equity grants became fully vested.</w:t>
      </w:r>
    </w:p>
    <w:p>
      <w:pPr>
        <w:spacing w:after="0" w:line="3" w:lineRule="exact"/>
        <w:rPr>
          <w:rFonts w:ascii="Arial" w:cs="Arial" w:eastAsia="Arial" w:hAnsi="Arial"/>
          <w:sz w:val="14"/>
          <w:szCs w:val="14"/>
          <w:color w:val="auto"/>
        </w:rPr>
      </w:pPr>
    </w:p>
    <w:p>
      <w:pPr>
        <w:ind w:left="980" w:right="180" w:hanging="324"/>
        <w:spacing w:after="0" w:line="241" w:lineRule="auto"/>
        <w:tabs>
          <w:tab w:leader="none" w:pos="989"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hanging="324"/>
        <w:spacing w:after="0" w:line="242" w:lineRule="auto"/>
        <w:tabs>
          <w:tab w:leader="none" w:pos="9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We exclude the impact of the 2019 Swiss tax reform and 2017 U.S. tax reform. During the third quarter of 2019, Swiss Federal and Zurich Cantonal tax events drove our recognition of a Swiss tax reform net benefit to our results of operations. On December 22, 2017, the United States enacted tax reform legislation that included a broad range of business tax provisions. We exclude these tax reform impacts from our Adjusted EPS as they do not reflect our ongoing tax obligations under the new tax reforms.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our current year estimated annual effective tax rate and Swiss and U.S. tax reform.</w:t>
      </w:r>
    </w:p>
    <w:p>
      <w:pPr>
        <w:spacing w:after="0" w:line="160" w:lineRule="exact"/>
        <w:rPr>
          <w:rFonts w:ascii="Arial" w:cs="Arial" w:eastAsia="Arial" w:hAnsi="Arial"/>
          <w:sz w:val="14"/>
          <w:szCs w:val="14"/>
          <w:color w:val="auto"/>
        </w:rPr>
      </w:pPr>
    </w:p>
    <w:p>
      <w:pPr>
        <w:ind w:left="980" w:right="80" w:hanging="324"/>
        <w:spacing w:after="0" w:line="245" w:lineRule="auto"/>
        <w:tabs>
          <w:tab w:leader="none" w:pos="9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these underlying measures are also reconciled to U.S. GAAP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2019</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25,868</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currency</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acquisitions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divestitures</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Organic Net Revenue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25,813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gridSpan w:val="8"/>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2019</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2018</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9,675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16,193</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25,868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9,659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16,279</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25,938</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currency</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acquisitions</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divestitures</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Organic Net Revenue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10,271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16,608</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26,879</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9,533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16,279</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25,812</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acquisition integration costs; acquisition and divestiture-related costs; operating income from divestiture; net gain from divestiture; costs associated with the JDE Peet's transaction; the remeasurement of net monetary position; impact from pension participation changes; impact from the resolution of tax matters; CEO transition remuneration and Swiss tax reform impact. We also evaluate Adjusted Operating Income on a constant currency basis. We believe these measures provide improved comparability of underlying operating results.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(5)</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(6)</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(10)</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(11)</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76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3.2 %</w:t>
            </w:r>
          </w:p>
        </w:tc>
        <w:tc>
          <w:tcPr>
            <w:tcW w:w="20" w:type="dxa"/>
            <w:vAlign w:val="bottom"/>
          </w:tcPr>
          <w:p>
            <w:pPr>
              <w:spacing w:after="0"/>
              <w:rPr>
                <w:sz w:val="19"/>
                <w:szCs w:val="19"/>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7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4.6 %</w:t>
            </w:r>
          </w:p>
        </w:tc>
        <w:tc>
          <w:tcPr>
            <w:tcW w:w="20" w:type="dxa"/>
            <w:vAlign w:val="bottom"/>
          </w:tcPr>
          <w:p>
            <w:pPr>
              <w:spacing w:after="0"/>
              <w:rPr>
                <w:sz w:val="19"/>
                <w:szCs w:val="19"/>
                <w:color w:val="auto"/>
              </w:rPr>
            </w:pPr>
          </w:p>
        </w:tc>
      </w:tr>
      <w:tr>
        <w:trPr>
          <w:trHeight w:val="21"/>
        </w:trPr>
        <w:tc>
          <w:tcPr>
            <w:tcW w:w="4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8"/>
        </w:trPr>
        <w:tc>
          <w:tcPr>
            <w:tcW w:w="4820" w:type="dxa"/>
            <w:vAlign w:val="bottom"/>
          </w:tcPr>
          <w:p>
            <w:pPr>
              <w:spacing w:after="0"/>
              <w:rPr>
                <w:sz w:val="24"/>
                <w:szCs w:val="24"/>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8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9"/>
        </w:trPr>
        <w:tc>
          <w:tcPr>
            <w:tcW w:w="55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16.0 %</w:t>
            </w: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3"/>
                <w:szCs w:val="23"/>
                <w:color w:val="auto"/>
                <w:vertAlign w:val="superscript"/>
              </w:rPr>
              <w:t>(11)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5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trademark impairments.</w:t>
      </w:r>
    </w:p>
    <w:p>
      <w:pPr>
        <w:spacing w:after="0" w:line="5" w:lineRule="exact"/>
        <w:rPr>
          <w:rFonts w:ascii="Arial" w:cs="Arial" w:eastAsia="Arial" w:hAnsi="Arial"/>
          <w:sz w:val="16"/>
          <w:szCs w:val="16"/>
          <w:color w:val="auto"/>
        </w:rPr>
      </w:pPr>
    </w:p>
    <w:p>
      <w:pPr>
        <w:ind w:left="340" w:right="480" w:hanging="332"/>
        <w:spacing w:after="0" w:line="24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jc w:val="both"/>
        <w:ind w:left="340" w:right="20" w:hanging="332"/>
        <w:spacing w:after="0" w:line="24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more information on the April 1, 2020 acquisition of a significant majority interest in Give &amp; Go and the June 7, 2018 acquisition of Tate's Bake Shop. Refer to our Annual Report on Form 10-K for the year ended December 31, 2018 for more information on the acquisition of a biscuit business in Vietnam.</w:t>
      </w:r>
    </w:p>
    <w:p>
      <w:pPr>
        <w:spacing w:after="0" w:line="1" w:lineRule="exact"/>
        <w:rPr>
          <w:rFonts w:ascii="Arial" w:cs="Arial" w:eastAsia="Arial" w:hAnsi="Arial"/>
          <w:sz w:val="16"/>
          <w:szCs w:val="16"/>
          <w:color w:val="auto"/>
        </w:rPr>
      </w:pPr>
    </w:p>
    <w:p>
      <w:pPr>
        <w:jc w:val="both"/>
        <w:ind w:left="340" w:right="240" w:hanging="332"/>
        <w:spacing w:after="0" w:line="24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more information on the April 1, 2020 acquisition of a significant majority interest in Give &amp; Go, the July 16, 2019 acquisition of a majority interest in Perfect Snacks, the May 28, 2019 divestiture of most of our cheese business in the Middle East and Africa and the June 7, 2018 acquisition of Tate's Bake Shop.</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for more information on the JDE Peet's transaction.</w:t>
      </w:r>
    </w:p>
    <w:p>
      <w:pPr>
        <w:spacing w:after="0" w:line="5" w:lineRule="exact"/>
        <w:rPr>
          <w:rFonts w:ascii="Arial" w:cs="Arial" w:eastAsia="Arial" w:hAnsi="Arial"/>
          <w:sz w:val="16"/>
          <w:szCs w:val="16"/>
          <w:color w:val="auto"/>
        </w:rPr>
      </w:pPr>
    </w:p>
    <w:p>
      <w:pPr>
        <w:ind w:left="340" w:right="800" w:hanging="332"/>
        <w:spacing w:after="0" w:line="24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definition and related table notes.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Swiss tax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3"/>
          <w:szCs w:val="23"/>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gains/(losses) related to interest rate swaps; loss on debt extinguishment; Swiss tax reform net impacts; U.S. tax reform discrete net tax impact; gains or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6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center"/>
              <w:ind w:left="471"/>
              <w:spacing w:after="0"/>
              <w:rPr>
                <w:sz w:val="20"/>
                <w:szCs w:val="20"/>
                <w:color w:val="auto"/>
              </w:rPr>
            </w:pPr>
            <w:r>
              <w:rPr>
                <w:rFonts w:ascii="Arial" w:cs="Arial" w:eastAsia="Arial" w:hAnsi="Arial"/>
                <w:sz w:val="18"/>
                <w:szCs w:val="18"/>
                <w:b w:val="1"/>
                <w:bCs w:val="1"/>
                <w:color w:val="auto"/>
                <w:w w:val="97"/>
              </w:rPr>
              <w:t>(0.22)</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71"/>
              <w:spacing w:after="0"/>
              <w:rPr>
                <w:sz w:val="20"/>
                <w:szCs w:val="20"/>
                <w:color w:val="auto"/>
              </w:rPr>
            </w:pPr>
            <w:r>
              <w:rPr>
                <w:rFonts w:ascii="Arial" w:cs="Arial" w:eastAsia="Arial" w:hAnsi="Arial"/>
                <w:sz w:val="18"/>
                <w:szCs w:val="18"/>
                <w:color w:val="auto"/>
                <w:w w:val="97"/>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7"/>
              </w:rPr>
              <w:t>(0.07)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71"/>
              <w:spacing w:after="0"/>
              <w:rPr>
                <w:sz w:val="20"/>
                <w:szCs w:val="20"/>
                <w:color w:val="auto"/>
              </w:rPr>
            </w:pPr>
            <w:r>
              <w:rPr>
                <w:rFonts w:ascii="Arial" w:cs="Arial" w:eastAsia="Arial" w:hAnsi="Arial"/>
                <w:sz w:val="18"/>
                <w:szCs w:val="18"/>
                <w:color w:val="auto"/>
                <w:w w:val="97"/>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(3)</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(4)</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180"/>
              <w:spacing w:after="0" w:line="176" w:lineRule="exact"/>
              <w:rPr>
                <w:sz w:val="20"/>
                <w:szCs w:val="20"/>
                <w:color w:val="auto"/>
              </w:rPr>
            </w:pPr>
            <w:r>
              <w:rPr>
                <w:rFonts w:ascii="Arial" w:cs="Arial" w:eastAsia="Arial" w:hAnsi="Arial"/>
                <w:sz w:val="18"/>
                <w:szCs w:val="18"/>
                <w:color w:val="auto"/>
              </w:rPr>
              <w:t>(Gain)/loss on equity method</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center"/>
              <w:ind w:left="471"/>
              <w:spacing w:after="0"/>
              <w:rPr>
                <w:sz w:val="20"/>
                <w:szCs w:val="20"/>
                <w:color w:val="auto"/>
              </w:rPr>
            </w:pPr>
            <w:r>
              <w:rPr>
                <w:rFonts w:ascii="Arial" w:cs="Arial" w:eastAsia="Arial" w:hAnsi="Arial"/>
                <w:sz w:val="18"/>
                <w:szCs w:val="18"/>
                <w:color w:val="auto"/>
                <w:w w:val="97"/>
              </w:rPr>
              <w:t>(0.56)</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investment transactions </w:t>
            </w:r>
            <w:r>
              <w:rPr>
                <w:rFonts w:ascii="Arial" w:cs="Arial" w:eastAsia="Arial" w:hAnsi="Arial"/>
                <w:sz w:val="23"/>
                <w:szCs w:val="23"/>
                <w:color w:val="auto"/>
                <w:vertAlign w:val="superscript"/>
              </w:rPr>
              <w:t>(6)</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6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center"/>
              <w:ind w:left="491"/>
              <w:spacing w:after="0"/>
              <w:rPr>
                <w:sz w:val="20"/>
                <w:szCs w:val="20"/>
                <w:color w:val="auto"/>
              </w:rPr>
            </w:pPr>
            <w:r>
              <w:rPr>
                <w:rFonts w:ascii="Arial" w:cs="Arial" w:eastAsia="Arial" w:hAnsi="Arial"/>
                <w:sz w:val="18"/>
                <w:szCs w:val="18"/>
                <w:b w:val="1"/>
                <w:bCs w:val="1"/>
                <w:color w:val="auto"/>
              </w:rPr>
              <w:t>0.13</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6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center"/>
              <w:ind w:left="491"/>
              <w:spacing w:after="0"/>
              <w:rPr>
                <w:sz w:val="20"/>
                <w:szCs w:val="20"/>
                <w:color w:val="auto"/>
              </w:rPr>
            </w:pPr>
            <w:r>
              <w:rPr>
                <w:rFonts w:ascii="Arial" w:cs="Arial" w:eastAsia="Arial" w:hAnsi="Arial"/>
                <w:sz w:val="18"/>
                <w:szCs w:val="18"/>
                <w:b w:val="1"/>
                <w:bCs w:val="1"/>
                <w:color w:val="auto"/>
              </w:rPr>
              <w:t>0.16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4900" w:type="dxa"/>
            <w:vAlign w:val="bottom"/>
          </w:tcPr>
          <w:p>
            <w:pPr>
              <w:spacing w:after="0"/>
              <w:rPr>
                <w:sz w:val="24"/>
                <w:szCs w:val="2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20.6 %</w:t>
            </w: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loss/(gain) related to interest rate swaps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line="176" w:lineRule="exact"/>
              <w:rPr>
                <w:sz w:val="20"/>
                <w:szCs w:val="20"/>
                <w:color w:val="auto"/>
              </w:rPr>
            </w:pPr>
            <w:r>
              <w:rPr>
                <w:rFonts w:ascii="Arial" w:cs="Arial" w:eastAsia="Arial" w:hAnsi="Arial"/>
                <w:sz w:val="18"/>
                <w:szCs w:val="18"/>
                <w:color w:val="auto"/>
              </w:rPr>
              <w:t>Loss/(gain) on equity method investment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11.0 %</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600" w:hanging="332"/>
        <w:spacing w:after="0" w:line="259" w:lineRule="auto"/>
        <w:tabs>
          <w:tab w:leader="none" w:pos="4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tax expense/(benefit) of each of the pre-tax items excluded from our GAAP results was computed based on the facts and tax assumptions associated with each item, and such impacts have also been excluded from Adjusted EPS.</w:t>
      </w:r>
    </w:p>
    <w:p>
      <w:pPr>
        <w:ind w:left="580" w:right="60" w:hanging="248"/>
        <w:spacing w:after="0" w:line="246" w:lineRule="auto"/>
        <w:tabs>
          <w:tab w:leader="none" w:pos="5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2020 taxes for the: Simplify to Grow Program were $(81) million, intangible asset impairment charges were $(33) million, mark-to-market gains from derivatives were $8 million, acquisition-related costs were zero, net earnings from divestitures were $5 million, costs associated with the JDE Peet's transaction were $250 million, loss on remeasurement of net monetary position were zero, impact from pension participation changes were $(2) million, impact from resolution of tax matters were $16 million, net loss related to interest rate swaps were $(24) million, loss on debt extinguishment were $(46) million, gains on equity method investment transactions were $202 million and equity method investee items were $(10) million.</w:t>
      </w:r>
    </w:p>
    <w:p>
      <w:pPr>
        <w:spacing w:after="0" w:line="2" w:lineRule="exact"/>
        <w:rPr>
          <w:rFonts w:ascii="Arial" w:cs="Arial" w:eastAsia="Arial" w:hAnsi="Arial"/>
          <w:sz w:val="16"/>
          <w:szCs w:val="16"/>
          <w:color w:val="auto"/>
        </w:rPr>
      </w:pPr>
    </w:p>
    <w:p>
      <w:pPr>
        <w:ind w:left="580" w:right="20" w:hanging="248"/>
        <w:spacing w:after="0" w:line="246" w:lineRule="auto"/>
        <w:tabs>
          <w:tab w:leader="none" w:pos="5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2019 taxes for the: Simplify to Grow Program were $(103) million, intangible asset impairment charges were $(14) million, mark-to-market gains from derivatives were $19 million, net earnings from divestitures were $7 million, net gain on divestiture were $3 million, impact from pension participation changes were $8 million, impact from resolution of tax matters were $(21) million, CEO transition remuneration were zero, net loss related to interest rate swaps were zero, Swiss tax reform were $(769) million, net loss on equity method investment transactions were $6 million and equity method investee items were $(9) million.</w:t>
      </w:r>
    </w:p>
    <w:p>
      <w:pPr>
        <w:spacing w:after="0" w:line="2" w:lineRule="exact"/>
        <w:rPr>
          <w:rFonts w:ascii="Arial" w:cs="Arial" w:eastAsia="Arial" w:hAnsi="Arial"/>
          <w:sz w:val="16"/>
          <w:szCs w:val="16"/>
          <w:color w:val="auto"/>
        </w:rPr>
      </w:pPr>
    </w:p>
    <w:p>
      <w:pPr>
        <w:ind w:left="580" w:right="20" w:hanging="248"/>
        <w:spacing w:after="0" w:line="246" w:lineRule="auto"/>
        <w:tabs>
          <w:tab w:leader="none" w:pos="5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2018 taxes for the: Simplify to Grow Program were $(156) million, intangible asset impairment charges were $(16) million, mark-to-market gains from derivatives were $10 million, acquisition-related costs were $(3) million, net earnings from divestitures were $9 million, impact from pension participation changes were $(108) million, impact from resolution of tax matters were $(6) million, CEO transition remuneration were $(5) million, net gain related to interest rate swaps were $2 million, loss on debt extinguishment were $(35) million, U.S. tax reform were $19 million, gain on equity method investment transaction were $192 million and equity method investee items were $15 million.</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Adjusted Operating Income</w:t>
      </w:r>
      <w:r>
        <w:rPr>
          <w:rFonts w:ascii="Arial" w:cs="Arial" w:eastAsia="Arial" w:hAnsi="Arial"/>
          <w:sz w:val="16"/>
          <w:szCs w:val="16"/>
          <w:color w:val="auto"/>
        </w:rPr>
        <w:t xml:space="preserve"> table above and the related footnotes for more information.</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interest rate swaps no longer designated as cash flow hedges.</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 of U.S. tax reform.</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gains and losses on equity method investment transactions.</w:t>
      </w:r>
    </w:p>
    <w:p>
      <w:pPr>
        <w:spacing w:after="0" w:line="5" w:lineRule="exact"/>
        <w:rPr>
          <w:rFonts w:ascii="Arial" w:cs="Arial" w:eastAsia="Arial" w:hAnsi="Arial"/>
          <w:sz w:val="16"/>
          <w:szCs w:val="16"/>
          <w:color w:val="auto"/>
        </w:rPr>
      </w:pPr>
    </w:p>
    <w:p>
      <w:pPr>
        <w:ind w:left="340" w:right="60" w:hanging="332"/>
        <w:spacing w:after="0" w:line="265" w:lineRule="auto"/>
        <w:tabs>
          <w:tab w:leader="none" w:pos="4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4"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2020, 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markets, including commodity, currency and capital markets. While some of these markets such as the U.S. and other major stock markets and certain currencies have rebounded significantly in the second and third quarters of 2020,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are actively working to mitigate these risks and we largely employed existing strategies that are described below to mitigate these market risks related to currency, commodity and interest rate risks.</w:t>
      </w:r>
    </w:p>
    <w:p>
      <w:pPr>
        <w:spacing w:after="0" w:line="209"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Operating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 Currency Translation and Highly Inflationary Accounting</w:t>
      </w:r>
      <w:r>
        <w:rPr>
          <w:rFonts w:ascii="Arial" w:cs="Arial" w:eastAsia="Arial" w:hAnsi="Arial"/>
          <w:sz w:val="18"/>
          <w:szCs w:val="18"/>
          <w:color w:val="auto"/>
        </w:rPr>
        <w:t>.</w:t>
      </w:r>
    </w:p>
    <w:p>
      <w:pPr>
        <w:spacing w:after="0" w:line="21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such as the current COVID-19 pandemic.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For more information on our 2020 debt activity, see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derivative activity.</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5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2020 and 2019,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0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of December 31, 2020 and December 31, 2019,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Fair Value Impact</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At 12/31/20</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308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800" w:type="dxa"/>
            <w:vAlign w:val="bottom"/>
          </w:tcPr>
          <w:p>
            <w:pPr>
              <w:jc w:val="center"/>
              <w:ind w:left="316"/>
              <w:spacing w:after="0"/>
              <w:rPr>
                <w:sz w:val="20"/>
                <w:szCs w:val="20"/>
                <w:color w:val="auto"/>
              </w:rPr>
            </w:pPr>
            <w:r>
              <w:rPr>
                <w:rFonts w:ascii="Arial" w:cs="Arial" w:eastAsia="Arial" w:hAnsi="Arial"/>
                <w:sz w:val="18"/>
                <w:szCs w:val="18"/>
                <w:color w:val="auto"/>
                <w:w w:val="99"/>
              </w:rPr>
              <w:t>25</w:t>
            </w:r>
          </w:p>
        </w:tc>
        <w:tc>
          <w:tcPr>
            <w:tcW w:w="28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3"/>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Fair Value Impact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At 12/31/19</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12/31/19</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97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800" w:type="dxa"/>
            <w:vAlign w:val="bottom"/>
          </w:tcPr>
          <w:p>
            <w:pPr>
              <w:jc w:val="center"/>
              <w:ind w:left="316"/>
              <w:spacing w:after="0"/>
              <w:rPr>
                <w:sz w:val="20"/>
                <w:szCs w:val="20"/>
                <w:color w:val="auto"/>
              </w:rPr>
            </w:pPr>
            <w:r>
              <w:rPr>
                <w:rFonts w:ascii="Arial" w:cs="Arial" w:eastAsia="Arial" w:hAnsi="Arial"/>
                <w:sz w:val="18"/>
                <w:szCs w:val="18"/>
                <w:color w:val="auto"/>
                <w:w w:val="99"/>
              </w:rPr>
              <w:t>13</w:t>
            </w:r>
          </w:p>
        </w:tc>
        <w:tc>
          <w:tcPr>
            <w:tcW w:w="28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8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2020 and 2019, and the related consolidated statements of earnings, comprehensive earnings, equity and cash flows for each of the three years in the period ended December 31, 2020, including the related notes and financial statement schedule for each of the three years in the period ended December 31, 2020 listed in the index appearing under Item 15(a)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2020 and 2019</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5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a certain equity method investment in 2020 and the manner in which it accounts for leases in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described in the Report of Management on Internal Control Over Financial Reporting appearing under Item 9A, management has excluded Give &amp; Go from its assessment of internal control over financial reporting as of December 31, 2020 because it was acquired by the Company in a purchase business combination during 2020. We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have also excluded Give &amp; Go from our audit of internal control over financial reporting. Give &amp; Go is a majority-owned subsidiary whose total assets and total revenues excluded from management’s assessment and our audit of internal control over financial reporting represent 0.4% and 1%, respectively, of the related consolidated financial statement amounts as of and for the year ended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Indefinite-Life Intangible Assets Impairment Assessment</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described in Notes 1 and 6 to the consolidated financial statements, the Company’s consolidated indefinite-life intangible asset balance was $17.5 billion as of December 31, 2020. At least annually management assesses indefinite-life intangible assets for impairment by performing a qualitative review and assessing events and circumstances that could affect the fair value or carrying value of the indefinite-life intangible assets. If significant potential impairment risk exists for a specific asset, management quantitatively tests the asset for impairment by comparing its estimated fair value with its carrying value. Management estimates fair value using several accepted valuation methods, including relief of royalty, excess earnings and excess margin, that utilize estimates of future sales, earnings growth rates, royalty rates and discount rates.</w:t>
      </w:r>
    </w:p>
    <w:p>
      <w:pPr>
        <w:spacing w:after="0" w:line="20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indefinite-life intangible asset impairment assessment is a critical audit matter are the significant judgment by management when developing the fair value measurement of the indefinite-life intangible assets. This in turn led to a high degree of auditor judgment, subjectivity, and effort in performing procedures to evaluate management’s fair value estimates and significant assumptions, related to estimates of future sales, earnings growth rates, royalty rates, and discount rates for certain indefinite-life intangible assets. In addition, the audit effort involved the use of professionals with specialized skill and knowledge to assist in performing these procedures and evaluating the audit evidence obtained.</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indefinite-life intangible asset impairment assessment, including controls over the determination of the fair values of certain of the Company’s indefinite-life intangible assets as part of the annual impairment assessment. These procedures also included, among others, testing management’s process for developing the fair value estimate; evaluating the appropriateness of the valuation methods; testing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completeness and accuracy of underlying data used in the valuation methods; and evaluating the significant assumptions used by management related to the estimates of future sales, earnings growth rates, royalty rates, and discount rates. Evaluating management’s assumptions related to estimates of future sales and earnings growth rates involved evaluating whether the assumptions used by management were reasonable considering (i) the current and past performance of the indefinite-life intangible assets, (ii) the consistency with external market and industry data, and (iii) whether these assumptions were consistent with evidence obtained in other areas of the audit. Professionals with specialized skill and knowledge were used to assist in the evaluation of the Company’s valuation methods and the royalty rates and discount rates significant assumptions.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15,586</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gain on divestiture</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176"/>
        </w:trPr>
        <w:tc>
          <w:tcPr>
            <w:tcW w:w="6680" w:type="dxa"/>
            <w:vAlign w:val="bottom"/>
          </w:tcPr>
          <w:p>
            <w:pPr>
              <w:ind w:left="180"/>
              <w:spacing w:after="0" w:line="176" w:lineRule="exact"/>
              <w:rPr>
                <w:sz w:val="20"/>
                <w:szCs w:val="20"/>
                <w:color w:val="auto"/>
              </w:rPr>
            </w:pPr>
            <w:r>
              <w:rPr>
                <w:rFonts w:ascii="Arial" w:cs="Arial" w:eastAsia="Arial" w:hAnsi="Arial"/>
                <w:sz w:val="18"/>
                <w:szCs w:val="18"/>
                <w:color w:val="auto"/>
              </w:rPr>
              <w:t>less: Comprehensive earnings/(losses) attributable to</w:t>
            </w:r>
          </w:p>
        </w:tc>
        <w:tc>
          <w:tcPr>
            <w:tcW w:w="8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Trade receivables (net of allowances of $42 at December 31, 2020</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$35 at December 31, 2019)</w:t>
            </w: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rPr>
              <w:t>Other receivables (net of allowances of $42 at December 31, 2020</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8020" w:type="dxa"/>
            <w:vAlign w:val="bottom"/>
          </w:tcPr>
          <w:p>
            <w:pPr>
              <w:ind w:left="320"/>
              <w:spacing w:after="0"/>
              <w:rPr>
                <w:sz w:val="20"/>
                <w:szCs w:val="20"/>
                <w:color w:val="auto"/>
              </w:rPr>
            </w:pPr>
            <w:r>
              <w:rPr>
                <w:rFonts w:ascii="Arial" w:cs="Arial" w:eastAsia="Arial" w:hAnsi="Arial"/>
                <w:sz w:val="18"/>
                <w:szCs w:val="18"/>
                <w:color w:val="auto"/>
              </w:rPr>
              <w:t>and $44 at December 31, 2019)</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20,848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802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23"/>
        </w:trPr>
        <w:tc>
          <w:tcPr>
            <w:tcW w:w="80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3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20"/>
              <w:spacing w:after="0"/>
              <w:rPr>
                <w:sz w:val="20"/>
                <w:szCs w:val="20"/>
                <w:color w:val="auto"/>
              </w:rPr>
            </w:pPr>
            <w:r>
              <w:rPr>
                <w:rFonts w:ascii="Arial" w:cs="Arial" w:eastAsia="Arial" w:hAnsi="Arial"/>
                <w:sz w:val="18"/>
                <w:szCs w:val="18"/>
                <w:color w:val="auto"/>
              </w:rPr>
              <w:t>1,996,537,778 shares issued at December 31, 2020 and December 31, 2019)</w:t>
            </w: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rPr>
              <w:t>Treasury stock, at cost (577,363,557 shares at December 31, 2020 and</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561,531,524 shares at December 31, 2019)</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23"/>
        </w:trPr>
        <w:tc>
          <w:tcPr>
            <w:tcW w:w="8020" w:type="dxa"/>
            <w:vAlign w:val="bottom"/>
          </w:tcPr>
          <w:p>
            <w:pPr>
              <w:ind w:left="6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Mondelēz International Shareholders’ Equity</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26,025</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6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($0.96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Balances at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($1.09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Balances at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Balances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operating cash flows: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U.S. tax reform transition tax/(benefit)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(benefit)/provision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Asset impairments and accelerated depreciation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Net gain on divestitures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loss/(gain) on equity method investment transactions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6980" w:type="dxa"/>
            <w:vAlign w:val="bottom"/>
          </w:tcPr>
          <w:p>
            <w:pPr>
              <w:ind w:left="320"/>
              <w:spacing w:after="0"/>
              <w:rPr>
                <w:sz w:val="20"/>
                <w:szCs w:val="20"/>
                <w:color w:val="auto"/>
              </w:rPr>
            </w:pPr>
            <w:r>
              <w:rPr>
                <w:rFonts w:ascii="Arial" w:cs="Arial" w:eastAsia="Arial" w:hAnsi="Arial"/>
                <w:sz w:val="18"/>
                <w:szCs w:val="18"/>
                <w:color w:val="auto"/>
              </w:rPr>
              <w:t>Equity method investment net earnings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from equity method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Other non-cash items,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6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698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pension and postretirement assets and liabilities,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received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Proceeds from divestitures including equity method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by/(used in) investing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Net issuances/(repayments) of other short-term borrowings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Long-term debt repayments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155"/>
        </w:trPr>
        <w:tc>
          <w:tcPr>
            <w:tcW w:w="6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Effect of exchange rate changes on cash, cash equivalents and</w:t>
            </w: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paid: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Income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9"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which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is no readily determinable fair value for the equity interests, these investments are carried at cost with changes in the investment recognized to the extent cash is received.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accounting policy elections, estimates and assumptions include, among others, valuation assumptions of goodwill and intangible assets, useful lives of long-lived assets, restructuring program liabilities, marketing program accruals, insurance and self-insurance reserves, pension and benefit plan assumptions and income taxes. We base our estimates on historical experience, expectations of future impacts and other assumptions that we believe are reasonable. Given the uncertainty of the global economic environment and the impact of COVID-19, our estimates could be significantly different than future performance.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31"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9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December 31, 2020, our Argentinean operations had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$3 million of Argentinean peso denominated net monetary liabilities. Our Argentinean operations contributed $335 million, or 1.3% of consolidated net revenues in 2020. We recorded a remeasurement loss of $9 million in 2020, a remeasurement gain of $4 million in 2019 and a remeasurement loss of $11 million in 2018 within selling, general and administrative expenses related to the revaluation of the Argentinean peso denominated net monetary position over these periods.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On January 31, 2020, the United Kingdom began the withdrawal process from the European Union under a E.U. and U.K. Parliament</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Withdrawal Agreement. During a transition period scheduled to end on December 31, 2020, the U.K. effectively remained in the E.U.’s customs union and single market while a new trade deal with the E.U. was negotiated. On December 24, 2020, both sides reached an agreement on a new trade arrangement that became effective on January 1, 2021. Main trade provisions include the continuation of no tariffs or quotas on trade between the U.K. and E.U. so long as we meet prescribed trade terms. We will also need to meet product and labeling standards for both the U.K. and E.U. and we have already begun to introduce these changes gradually. The U.K. may also set its own trade policies with countries such as the United States, Australia and New Zealand that currently do not have free trade agreements with the E.U. Cross-border trade between the U.K. and E.U. will be subject to new customs regulations, documentation and reviews. We have been taking protective measures to limit disruptions to our supply chain and sales to limit potential negative impacts on our results of operations, financial condition and cash flows. We continue to increase our resources in customer service &amp; logistics as well as in our factories and on our customs support teams. We are adapting our systems and processes for new and increased customs transactions. We continue to enhance resilience plans to aid in dealing with anticipated border delays. We are working to address new regulatory requirements such as packaging changes. Also, we continue to closely monitor and manage our inventory levels of imported raw materials, packaging and finished goods in the U.K. Any disagreements on trade terms or supply chain or distribution delays or other disruptions could negatively affect our U.K. business. In 2020, we generated 9.0% of our net revenues in the U.K.</w:t>
      </w:r>
    </w:p>
    <w:p>
      <w:pPr>
        <w:spacing w:after="0" w:line="2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Other Countries</w:t>
      </w:r>
      <w:r>
        <w:rPr>
          <w:rFonts w:ascii="Arial" w:cs="Arial" w:eastAsia="Arial" w:hAnsi="Arial"/>
          <w:sz w:val="17"/>
          <w:szCs w:val="17"/>
          <w:color w:val="auto"/>
        </w:rPr>
        <w:t>. Since we sell our products in over 150 countries and have operations in approximately 80 countries, we monitor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and currency-related risks and seek to take protective measures in response to these exposures. Some of the countries in which we do business have recently experienced periods of significant economic uncertainty and exchange rate volatility, including Brazil, China, Mexico, Russia, Ukraine, Turkey, Egypt, Nigeria, South Africa and Pakistan. We continue to monitor operations, currencies and net monetary exposures in these countries. At this time, we do not anticipate that these countries are at risk of becoming highly inflationary economies.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had restricted cash within other current assets of $31 million as of December 31, 2020 and $37 million as of December 31, 2019. Total cash, cash equivalents and restricted cash was $3,650 million as of December 31, 2020 and $1,328 million as of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$760 million as of December 31, 2020, $760 million as of December 31, 2019 and $819 million as of December 31, 2018. The incremental costs of factoring receivables under these arrangements were approximately $10 million in each of the years presented. The proceeds from the sales of receivables are included in cash from operating activities in the consolidated statements of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record our inventory using the average cost method and record inventory allowances for overstock and obsolete inventory.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review long-lived assets, including definite-life intangible assets, for realizability on an ongoing basis. Changes in depreciation, generally accelerated depreciation, are determined and recorded when estimates of the remaining 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significant impairment losses would be recorded within asset impairment and exit costs in the consolidated statements of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On January 1, 2019, we adopted the new lease accounting standard. We recorded $710 million of lease related assets and $730 million of lease related liabilities on our consolidated balance sheet as of January 1, 2019. The transition method we elected for adoption included recording a cumulative effect adjustment to retained earnings as of January 1, 2019, which was not material.</w:t>
      </w:r>
    </w:p>
    <w:p>
      <w:pPr>
        <w:spacing w:after="0" w:line="20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determine whether a contract is or contains a lease at contract inception. Our policy is to not recognize right-of-use ("ROU") assets and lease liabilities for short-term operating leases with terms of 12 months or less. Long-term operating lease ROU assets and long-term operating lease liabilities are presented separately and operating lease liabilities payable in the next twelve months are recorded in other current liabilities. Finance lease ROU assets are presented in property, plant and equipment and the related finance lease liabilities are presented in the current portion of long-term debt and long-term debt.</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Lease ROU assets represent our right to use an underlying asset for the lease term and lease liabilities represent our obligation to make lease payments arising from the lease.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rate implicit in the lease is not readily determinable in most of our leases, we use our country-specific incremental borrowing rate based on the lease term using information available at commencement date in determining the present value of lease payments. Our lease terms may include options to extend or terminate the lease when it is reasonably certain that we will exercise that option. Many of our leases contain non-lease components (e.g. product costs, common-area or other maintenance costs) that relate to the lease components of the agreement. Non-lease components and the lease components to which they relate are accounted for as a single lease component.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Amortization of ROU lease assets is calculated on a straight-line basis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(on a straight-line basis) for operating leases. All operating lease cash payments and interest on finance leases are recorded within cash flows from operating activities and all finance lease principal payments are recorded within cash flows from financing activities in the consolidated statements of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In 2020, we performed a quantitative annual test. For our Europe and North America reporting units, we used a market-based, weighted-average cost of capital of 6.1% to discount the projected cash flows of those operations, and for our Latin America and AMEA reporting units, we used a risk-rated discount rate of 9.1%. Estimating the fair value of individual reporting units requires us to make assumptions and estimates regarding our future plans, industry and economic conditions, and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21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intangible assets. If significant potential impairment risk exists for a specific asset, we quantitatively test it for impairment by comparing its estimated fair value with its carrying value. We determine estimated fair value using estimates of future sales, earnings growth rates, royalty rates and discount rates. If the carrying value of the asset exceeds its fair value, we consider the asset impaired and reduce its carrying value to the estimated fair value. We amortize definite-life intangible assets over their estimated useful lives and evaluate them for impairment as we do other long-lived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disclosed in Note 18,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of the products. A small percentage of our net revenues relates to the licensing of our intellectual property, predominantly brand and trade names, and we record these revenues when earned within the period of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revenue, such as trade incentives and product returns, are monitored and adjusted each period until the incentives or product returns are realized.</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 and all marketing and advertising costs are recorded as an expense in the year incurred. Advertising expense was $1,376 million in 2020, $1,208 million in 2019 and $1,173 million in 2018. We expense product research and development costs as incurred. Research and development expense was $ 332 million in 2020, $351 million in 2019 and $362 million in 2018. We record marketing and advertising as well as research and development expenses within selling, general and administrative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Stock-based compensation awarded to employees and non-employee directors is valued at fair value on the grant date. We record stock-based compensation expense over the vesting period, generally three years. Forfeitures are estimated on the grant date for all of our stock-based compensation awards.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 principally through the use of derivative instruments.</w:t>
      </w:r>
    </w:p>
    <w:p>
      <w:pPr>
        <w:spacing w:after="0" w:line="20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 xml:space="preserve">We use a combination of primarily currency forward contracts, futures, options and swaps; commodity forward contracts, futures and options; and interest rate swaps to manage our exposure to cash flow variability, protect the value of our existing currency assets and liabilities and protect the value of our debt. See Note 10,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more information on the types of derivative instruments we use.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record derivative financial instruments on a gross basis and at fair value in our consolidated balance sheets within other current assets or other current liabilities due to their relatively short-term duration. Cash flows related to the settlement of derivative instruments designated as net investment hedges of foreign operations are classified in the consolidated statements of cash flows within investing activities. All other cash flows related to derivative instruments that are designated, and those that are economic hedges, are classified in the same line item as the cash flows of the related hedged item, which is generally within operating activities. Cash flows related to the settlement of all other free-standing derivative instruments are classified within investing activities. Changes in the fair value of a derivative that is designated as a cash flow hedge, to the extent that the hedge is effective, are recorded in accumulated other comprehensive earnings/(losses) and reclassified to earnings when the hedged item affects earnings. Changes in fair value of economic hedges and the ineffective portion of all hedges are recognized in current period earnings. We use non-U.S. dollar denominated debt to hedge a portion of our net investment in non-U.S. operations against adverse movements in exchange rates. Currency movements related to our non-U.S.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debt and our net investments in non-U.S. operations, as well as the related deferred taxes, are recorded within currency translation adjustment in accumulated other comprehensive earnings/(losses).</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order to qualify for hedge accounting, a specified level of hedging effectiveness between the derivative instrument and the item being hedged must exist at inception and throughout the hedged period. We must also formally document the nature of and relationship between the derivative and the hedged item, as well as our risk management objectives, strategies for undertaking the hedge transaction and method of assessing hedge effectiveness. Additionally, for a hedge of a forecasted transaction, the significant characteristics and expected term of the forecasted transaction must be specifically identified, and it must be probable that the forecasted transaction will occur. If it is no longer probable that the hedged forecasted transaction will occur, we would recognize the gain or loss related to the derivative in earnings.</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 we use derivatives, we are exposed to credit and market risks. Credit risk exists when a counterparty to a derivative contract might fail to fulfill its performance obligations under the contract.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Market risk exists when the value of a derivative or other financial instrument might be adversely affected by changes in market conditions and commodity prices, currency exchange rates or interest rates. We manage derivative market risk by limiting the types of derivative instruments and derivative strategies we use and the degree of market risk that we plan to hedge through the use of derivative instruments.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We enter into commodity forward contracts primarily for wheat, sugar and other sweeteners, soybean and vegetable oils and cocoa. Commodity forward contracts generally are not subject to the accounting requirements for derivative instruments and hedging activities under the normal purchases exception. We also use commodity futures and options to hedge the price of certain input costs, including cocoa, energy costs, sugar and other sweeteners, wheat, packaging, dairy, corn, and soybean and vegetable oils. We also sell commodity futures to unprice future purchase commitments, and we occasionally use related futures to cross-hedge a commodity exposure. We are not a party to leveraged derivatives and, by policy, do not use financial instruments for speculative purposes.</w:t>
      </w:r>
    </w:p>
    <w:p>
      <w:pPr>
        <w:spacing w:after="0" w:line="20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use various financial instruments to mitigate our exposure to changes in exchange rates from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intercompany current and forecasted transactions. These instruments may include currency exchange forward contracts, futures, options and swaps. Based on the size and location of our businesses, we use these instruments to hedge our exposure to certain currencies, including the euro, pound sterling, Swiss franc, Canadian dollar and Mexican peso. Any unrealized gains or losses (mark-to-market impacts) and realized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Interest rate cash flow and fair value hedges</w:t>
      </w:r>
      <w:r>
        <w:rPr>
          <w:rFonts w:ascii="Arial" w:cs="Arial" w:eastAsia="Arial" w:hAnsi="Arial"/>
          <w:sz w:val="18"/>
          <w:szCs w:val="18"/>
          <w:color w:val="auto"/>
        </w:rPr>
        <w:t>. We manage interest rate volatility by modifying the pricing or maturity characteristics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so that the net impact on expense is not, on a material basis, adversely affected by movements in interest rates. As a result of interest rate fluctuations, hedged fixed-rate liabilities appreciate or depreciate in market value. We expect the effect of this unrealized appreciation or depreciation to be substantially offset by our gains or losses on the derivative instruments that are linked to these hedged liabilities. We use derivative instruments, including interest rate swaps that have indices related to the pricing of specific liabilities as part of our interest rate risk management strategy. As a matter of policy, we do not use highly leveraged derivative instruments for interest rate risk management. We use interest rate swaps to economically convert a portion of our fixed-rate debt into variable-rate debt. Under the interest rate swap contracts, we agree with other parties to exchange, at specified intervals, the difference between fixed-rate and floating-rate interest amounts, which is calculated based on an agreed-upon notional amount. We use interest rate swaps to hedge the variability of interest payment cash flows on a portion of our future debt obligations. We also execute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w:t>
      </w:r>
    </w:p>
    <w:p>
      <w:pPr>
        <w:spacing w:after="0" w:line="206"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exposed to changes and volatility in currency exchange rates. We use local</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currency denominated debt to hedge our non-U.S. net investments against adverse movements in exchange rates. We designated our euro, pound sterling, Swiss franc and Canadian dollar-denominated borrowings as a net investment hedge of a portion of our overall international operations. The gains and losses on our net investment in these designated international operations are economically offset by losses and gains on our euro, pound sterling, Swiss franc and Canadian dollar-denominated borrowings. The change in the debt’s value, net of deferred taxes, is recorded in the currency translation adjustment component of accumulated other comprehensive earnings/(losses).</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use derivatives instruments such as cross-currency interest rate swaps and forwards to hedge certain investments in our non-U.S. operations against movements in exchange rates. The after-tax gain/(loss) on these net investment hedge contracts is recorded in the cumulative translation adjustment section of other comprehensive income and the pre-tax impacts of the cash flows from these contracts are reported as other investing activities in the consolidated statement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0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196"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that removes certain exceptions in accounting for income taxes, improves consistency in application and clarifies existing guidance. This ASU is effective for fiscal years beginning after December 15, 2020, with early adoption permitted. We do not expect this ASU to have a material impact on our consolidated financial statements.</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August 2018, the FASB issued an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On January 1, 2020, we adopted the standard on a prospective basis and the standard did not have a material impact on our consolidated financial statements.</w:t>
      </w:r>
    </w:p>
    <w:p>
      <w:pPr>
        <w:spacing w:after="0" w:line="19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ending after December 15, 2020, with early adoption permitted. We adopted this standard and reflected the changes within our benefit plan disclosures. This standard did not have an impact on our consolidated financial statements.</w:t>
      </w:r>
    </w:p>
    <w:p>
      <w:pPr>
        <w:spacing w:after="0" w:line="19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We adopted the standard on January 1, 2020 and there was no material impact to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 expected losses rather than incurred losses. This ASU is effective for fiscal years beginning after December 15, 2019. We adopted the standard on January 1, 2020 using the modified retrospective basis and there was no material impact 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second quarter of 2020, in connection with the JDE Peet's (as defined below) transaction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we changed our accounting principle to reflect our share of Jacobs Douwe Egberts ("JDE") historical results and JDE Peet's ongoing results on a one-quarter lag basis while we continue to record dividends when cash is received. This change was applied retrospectively to all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On January 4, 2021, we acquired the remaining 93% of equity of Hu Master Holdings, a category leader in premium chocolate in the United States, for closing cash consideration of approximately $231 million and the potential for a contingent consideration payment based on the future performance of the acquired company.</w:t>
      </w:r>
    </w:p>
    <w:p>
      <w:pPr>
        <w:spacing w:after="0" w:line="19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$1,136 million, net of cash received. We are working to complete the valuation and have recorded a preliminary purchase price allocation of net tangible and intangible assets acquired and liabilities assumed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bl>
    <w:p>
      <w:pPr>
        <w:spacing w:after="0" w:line="32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Within definite-life intangible assets, we allocated $ 416 million to customer relationships which have an estimated useful life of 17 years. Goodwill arises principally as a result of expansion opportunities and synergies across both new and legacy product categories. None of the goodwill recognized is expected to be deductible for income tax purposes.</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for customer relationships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acquisition added incremental net revenues of $390 million and operating income of $24 million in 2020. We incurred acquisition-related costs of $15 million during 2020.</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During the first quarter of 2020, we finalized the purchase price allocation of $31 million to definite-life intangible assets, $107 million to indefinite-life intangible assets, $ 150 million to goodwill, $ 1 million to property, plant and equipment, $12 million to inventory, $8 million to accounts receivable, $13 million to current liabilities, $3 million to deferred tax liabilities and $9 million to other liabilities. Through the one-year anniversary of the acquisition, Perfect Snacks added incremental net revenues of $55 million and an immaterial amount of incremental operating income in 2020.</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In 2019, we received cash proceeds of $161 million and divested $19 million of current assets and $96 million of non-current assets. During 2019, we recorded a net pre-tax gain of $44 million on the sale. The divestiture resulted in year-over-year declines in net revenues of $55 million and operating income of $9 million during 2020. We incurred divestiture-related costs of $4 million in 2020 and $6 million in 2019.</w:t>
      </w:r>
    </w:p>
    <w:p>
      <w:pPr>
        <w:spacing w:after="0" w:line="19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and extended our premium biscuit offering. During the second quarter of 2018, we paid $528 million, net of cash received, and during the second quarter of 2019, we finalized the purchase price at $527 million. The purchase price allocation included $ 45 million to definite-life intangible assets, $205 million to indefinite-life intangible assets, $297 million to goodwill, $16 million to property, plant and equipment, $5 million to inventory, $9 million to accounts receivable, $7 million to current liabilities and $43 million to deferred tax liabilities. Through the one-year anniversary of the acquisition, Tate's added incremental net revenues of $35 million and an immaterial amount of incremental operating income in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reserves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Capital expenditures as presented on the statement of cash flow were $0.9 billion, $0.9 billion and $1.1 billion for the years ending December 31, 2020, 2019 and 2018 and excluded $275 million, $334 million and $331 million for accrued capital expenditures not yet paid.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within asset impairment and exit costs on the consolidated statements of earnings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09"/>
        </w:trPr>
        <w:tc>
          <w:tcPr>
            <w:tcW w:w="5900" w:type="dxa"/>
            <w:vAlign w:val="bottom"/>
          </w:tcPr>
          <w:p>
            <w:pPr>
              <w:spacing w:after="0"/>
              <w:rPr>
                <w:sz w:val="18"/>
                <w:szCs w:val="18"/>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10"/>
        </w:trPr>
        <w:tc>
          <w:tcPr>
            <w:tcW w:w="5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AMEA</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
        </w:trPr>
        <w:tc>
          <w:tcPr>
            <w:tcW w:w="5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19 years, some of which include options to extend the leases for up to 6 years. We assume the majority of our termination options will not be exercised when determining the lease term of our leases. We do not include significant restrictions or covenants in our lease agreements, and residual value guarantees are generally not included within our operating leases, with the exception of some fleet leases. Some of our leasing arrangements require variable payments that are dependent on usage or output or may vary for other reasons, such as product costs, insurance and tax payments. These variable payment leases are not included in our recorded lease assets and liabilities and are expensed as incurred. Certain leases are tied to a variable index or rate and are included in our lease assets and liabilities based on the indices or rates as of lease commencement.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6"/>
                <w:szCs w:val="16"/>
                <w:color w:val="auto"/>
              </w:rPr>
            </w:pPr>
          </w:p>
        </w:tc>
      </w:tr>
      <w:tr>
        <w:trPr>
          <w:trHeight w:val="183"/>
        </w:trPr>
        <w:tc>
          <w:tcPr>
            <w:tcW w:w="7460" w:type="dxa"/>
            <w:vAlign w:val="bottom"/>
          </w:tcPr>
          <w:p>
            <w:pPr>
              <w:spacing w:after="0"/>
              <w:rPr>
                <w:sz w:val="15"/>
                <w:szCs w:val="15"/>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r>
      <w:tr>
        <w:trPr>
          <w:trHeight w:val="183"/>
        </w:trPr>
        <w:tc>
          <w:tcPr>
            <w:tcW w:w="7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gridSpan w:val="3"/>
          </w:tcPr>
          <w:p>
            <w:pPr>
              <w:jc w:val="right"/>
              <w:ind w:right="85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7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0"/>
        </w:trPr>
        <w:tc>
          <w:tcPr>
            <w:tcW w:w="7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46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762</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Rent expenses under prior lease accounting rules (ASC 840) recorded in continuing operations were $260 million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jc w:val="center"/>
              <w:ind w:left="795"/>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176"/>
        </w:trPr>
        <w:tc>
          <w:tcPr>
            <w:tcW w:w="7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Cash paid for amounts included in the measurement of</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531"/>
        </w:trPr>
        <w:tc>
          <w:tcPr>
            <w:tcW w:w="72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7"/>
        </w:trPr>
        <w:tc>
          <w:tcPr>
            <w:tcW w:w="7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24"/>
                <w:szCs w:val="24"/>
                <w:color w:val="auto"/>
              </w:rPr>
            </w:pPr>
          </w:p>
        </w:tc>
      </w:tr>
      <w:tr>
        <w:trPr>
          <w:trHeight w:val="183"/>
        </w:trPr>
        <w:tc>
          <w:tcPr>
            <w:tcW w:w="7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2019</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 right-of-use assets, net of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70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568</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70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178</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403</w:t>
            </w:r>
          </w:p>
        </w:tc>
      </w:tr>
      <w:tr>
        <w:trPr>
          <w:trHeight w:val="223"/>
        </w:trPr>
        <w:tc>
          <w:tcPr>
            <w:tcW w:w="724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70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581</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net of amortization (within property, plant &amp;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91</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 years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 years</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 years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years</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5"/>
                <w:szCs w:val="15"/>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Arial" w:cs="Arial" w:eastAsia="Arial" w:hAnsi="Arial"/>
                <w:sz w:val="17"/>
                <w:szCs w:val="17"/>
                <w:color w:val="auto"/>
              </w:rPr>
              <w:t>2021</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6"/>
        </w:trPr>
        <w:tc>
          <w:tcPr>
            <w:tcW w:w="7460" w:type="dxa"/>
            <w:vAlign w:val="bottom"/>
          </w:tcPr>
          <w:p>
            <w:pPr>
              <w:ind w:left="14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7460" w:type="dxa"/>
            <w:vAlign w:val="bottom"/>
          </w:tcPr>
          <w:p>
            <w:pPr>
              <w:ind w:left="14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7460" w:type="dxa"/>
            <w:vAlign w:val="bottom"/>
          </w:tcPr>
          <w:p>
            <w:pPr>
              <w:ind w:left="140"/>
              <w:spacing w:after="0"/>
              <w:rPr>
                <w:sz w:val="20"/>
                <w:szCs w:val="20"/>
                <w:color w:val="auto"/>
              </w:rPr>
            </w:pPr>
            <w:r>
              <w:rPr>
                <w:rFonts w:ascii="Arial" w:cs="Arial" w:eastAsia="Arial" w:hAnsi="Arial"/>
                <w:sz w:val="17"/>
                <w:szCs w:val="17"/>
                <w:color w:val="auto"/>
              </w:rPr>
              <w:t>Total future undiscounted lease payments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216"/>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imputed interest</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4"/>
        </w:trPr>
        <w:tc>
          <w:tcPr>
            <w:tcW w:w="7460" w:type="dxa"/>
            <w:vAlign w:val="bottom"/>
          </w:tcPr>
          <w:p>
            <w:pPr>
              <w:ind w:left="140"/>
              <w:spacing w:after="0"/>
              <w:rPr>
                <w:sz w:val="20"/>
                <w:szCs w:val="20"/>
                <w:color w:val="auto"/>
              </w:rPr>
            </w:pPr>
            <w:r>
              <w:rPr>
                <w:rFonts w:ascii="Arial" w:cs="Arial" w:eastAsia="Arial" w:hAnsi="Arial"/>
                <w:sz w:val="17"/>
                <w:szCs w:val="17"/>
                <w:color w:val="auto"/>
              </w:rPr>
              <w:t>Total reported lease liability</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256</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Goodwill by operating segment was: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AMEA</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trademarks, customer-related intangibles, process technology, licenses and non-compete agreements.</w:t>
      </w:r>
    </w:p>
    <w:p>
      <w:pPr>
        <w:spacing w:after="0" w:line="19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Amortization expense for intangible assets was $194 million in 2020, $174 million in 2019 and $176 million in 2018. For the next five years, we estimate annual amortization expense of approximately $125 million next year, approximately $115 million in years two to four and approximately $100 million in year five, reflecting December 31, 2020 exchange rates.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380" w:type="dxa"/>
            <w:vAlign w:val="bottom"/>
          </w:tcPr>
          <w:p>
            <w:pPr>
              <w:jc w:val="center"/>
              <w:ind w:right="136"/>
              <w:spacing w:after="0" w:line="142"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40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Assets, at cost</w:t>
            </w: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6"/>
                <w:szCs w:val="16"/>
                <w:color w:val="auto"/>
              </w:rPr>
              <w:t>Changes due to:</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6"/>
                <w:szCs w:val="16"/>
                <w:color w:val="auto"/>
              </w:rPr>
              <w:t>Divestitures</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6"/>
                <w:szCs w:val="16"/>
                <w:color w:val="auto"/>
              </w:rPr>
              <w:t>Asset impairments</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31" w:lineRule="exact"/>
        <w:rPr>
          <w:sz w:val="20"/>
          <w:szCs w:val="20"/>
          <w:color w:val="auto"/>
        </w:rPr>
      </w:pPr>
    </w:p>
    <w:p>
      <w:pPr>
        <w:ind w:left="660" w:right="10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Divestitures – During the second quarter of 2019, we divested the net assets of most of our cheese business in the Middle East and Africa to Arla Foods of Denmark resulting in a goodwill decrease of $43 million.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Acquisitions – In connection with our acquisition of a majority interest in Give &amp; Go during the second quarter of 2020, we recorded a preliminary purchase price allocation of $531 million to goodwill and $553 million to intangible assets. In connection with the acquisition of Perfect Snacks during the third quarter of 2019, we recorded a purchase price allocation of $150 million to goodwill and $138 million to intangible assets. During 2019, we also finalized the purchase price allocation for the 2018 acquisition of Tate’s Bake Shop, resulting in a $1 million adjustment to goodwill.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Asset impairments – As further discussed below, we recorded $144 million of intangible asset impairments in 2020 and $57 million in 2019.</w:t>
      </w:r>
    </w:p>
    <w:p>
      <w:pPr>
        <w:spacing w:after="0" w:line="1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2020, 2019 and 2018,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1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2020, we recorded $ 144 million of intangible asset impairment charges related to eight brands. We recorded charges related to gum, chocolate, biscuits and candy brands of $83 million in North America, $53 million in Europe, $5 million in AMEA and $ 3 million in Latin America. We also identified nine brands, including the eight impaired trademarks, with $753 million of aggregate book value as of December 31, 2020 that each had a fair value in excess of book value of 10% or less. We continue to monitor our brand performance, particularly in light of the significant uncertainty due to the COVID-19 pandemic and related impacts to our business. If the brand earnings expectations, including the timing of the expected recovery from the COVID-19 pandemic impacts, are not met or specific valuation factors outside of our control, such as discount rates, change significantly, then a brand or brands could become impaired in the future. In 2019, we recorded $57 million of impairment charges for gum, chocolate, biscuits and candy brands of $39 million in Europe, $15 million in AMEA and $3 million in Latin America. In 2018, we recorded $ 68 million of impairment charges for gum, chocolate, biscuits and candy brands of $45 million in Europe, $14 million in North America and $9 million in AMEA.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2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w:t>
      </w:r>
    </w:p>
    <w:p>
      <w:pPr>
        <w:spacing w:after="0" w:line="3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Dr Pepper Inc. (NASDAQ: "KDP"), Dong Suh Foods Corporation and Dong Suh Oil &amp; Fats Co. Ltd. As of December 31, 2020, we owned 22.9%, 8.4%, 50.0% and 49.0%, respectively, of these companies' outstanding shares.</w:t>
      </w:r>
    </w:p>
    <w:p>
      <w:pPr>
        <w:spacing w:after="0" w:line="194"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Our investments accounted for under the equity method of accounting totaled $6,036 million as of December 31, 2020 and $7,178 million as of December 31, 2019. We recorded equity earnings and cash dividends of $421 million and $246 million in 2020, equity earnings and cash dividends of $501 million and $250 million in 2019 and equity earnings and cash dividends of $484 million and $180 million in 2018.</w:t>
      </w:r>
    </w:p>
    <w:p>
      <w:pPr>
        <w:spacing w:after="0" w:line="19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Based on the quoted closing prices as of December 31, 2020, the combined fair value of our publicly-traded investments in JDEP and KDP was $8.9 billion, and for each investment, its fair value exceeded its carrying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7, 2016, we exchanged a portion of our 43.5% JDE equity interest for a new equity interest in Keurig Green Mountain, Inc. ("Keurig"). Following the transaction, our JDE equity interest became 26.5% and our new Keurig equity interest was 24.2%. During 2016, we recorded the difference between the $2.0 billion fair value of Keurig and our basis in the exchanged JDE shares as a gain of $43 million. During 2019, we determined an adjustment to accumulated other comprehensive losses related to our JDE investment was required, which reduced our previously reported gain by $29 million. We recorded the adjustment as a loss on equity method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KDP, a publicly traded company. Following the close of the transaction, our 24.2% investment in Keurig together with our shareholder loan receivable became a 13.8% investment in KDP. During 2018, we recorded a net pre-tax gain of $ 778 million (or $586 million after-tax). In connection with this transaction, we changed our accounting principle during the third quarter of 2018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The change was retrospectively applied to all prior periods presented.</w:t>
      </w:r>
    </w:p>
    <w:p>
      <w:pPr>
        <w:spacing w:after="0" w:line="206"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During 2019, we recognized a pre-tax gain of $23 million (or $18 million after-tax) related to the impact of a KDP acquisition that decreased our ownership interest from 13.8% to 13.6%.</w:t>
      </w:r>
    </w:p>
    <w:p>
      <w:pPr>
        <w:spacing w:after="0" w:line="1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w:t>
      </w:r>
    </w:p>
    <w:p>
      <w:pPr>
        <w:spacing w:after="0" w:line="190"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On August 3, 2020, we sold approximately 14.1 million shares of KDP, which reduced our ownership interest by 1.0% to 12.1% of the total outstanding shares. We received $414 million of proceeds and recorded a pre-tax gain of $181 million (or $139 million after-tax) during the third quarter of 2020.</w:t>
      </w:r>
    </w:p>
    <w:p>
      <w:pPr>
        <w:spacing w:after="0" w:line="19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On September 9, 2020, we sold approximately 12.5 million shares of KDP, which reduced our ownership interest by 0.9% to 11.2% of the total outstanding shares. We received $363 million of proceeds and recorded a pre-tax gain of $154 million (or $119 million after-tax) during the third quarter of 2020.</w:t>
      </w:r>
    </w:p>
    <w:p>
      <w:pPr>
        <w:spacing w:after="0" w:line="190"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On November 17, 2020, we participated in a secondary offering of KDP shares and sold approximately 40.0 million shares, which reduced our ownership interest by 2.8% to 8.4% of the total outstanding shares. We received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$1,132 million of proceeds and recorded a pre-tax gain of $459 million (or $350 million after-tax) during the fourth quarter of 2020.</w:t>
      </w:r>
    </w:p>
    <w:p>
      <w:pPr>
        <w:spacing w:after="0" w:line="25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2020, JDE Peet’s B.V. (renamed JDE Peet’s N.V. immediately prior to Settlement (as defined below), “JDE Peet’s”) consummated the offering, listing and trading of its ordinary shares on Euronext Amsterdam, a regulated market operated by Euronext Amsterdam N.V. (the “admission”). In connection with this transaction,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Prior to Settlement, we exchanged our 26.4% ownership interest in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€46 million ($51 million) upon exercise of the over-allotment option. Following Settlement and the exercise of the over-allotment option, we held a 22.9% equity interest in JDE Peet’s. During the second quarter of 2020, we recorded a preliminary gain of $ 121 million, net of $33 million released from accumulated other comprehensive losses, and $48 million of transaction costs. During the third quarter of 2020, we increased our preliminary gain by $10 million to $131 million.</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will continue to account for our investment in JDE Peet’s under the equity method, resulting in recognizing our share of JDE Peet’s earnings within our earnings and our share of JDE Peet’s dividends within our cash flows. In the second quarter of 2020, in connection with this transaction, we changed our accounting principle to reflect our share of JDE’s historical and JDE Peet’s ongoing earnings on a one-quarter lag basis, although we continue to record dividends when cash is received. We determined a lag was preferable as it enables us to continue to report our quarterly and annual results on a timely basis, while recording our share of JDE Peet’s ongoing results after JDE Peet’s has publicly reported its results. This change in accounting principle was applied retrospectively to all periods.</w:t>
      </w: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tables show the primary line items on the consolidated statements of earnings and comprehensive earnings and the consolidated balance sheet that changed as a result of the reporting lag for JDE Peet's. The consolidated statements of cash flow and equity were also updated to reflect these changes.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For the Years Ended</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5"/>
                <w:szCs w:val="15"/>
                <w:color w:val="auto"/>
              </w:rPr>
            </w:pPr>
          </w:p>
        </w:tc>
        <w:tc>
          <w:tcPr>
            <w:tcW w:w="27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As Reported</w:t>
            </w: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As Recast</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As Recast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Equity method investment net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442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548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3,885</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3,395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20"/>
              <w:spacing w:after="0" w:line="176" w:lineRule="exact"/>
              <w:rPr>
                <w:sz w:val="20"/>
                <w:szCs w:val="20"/>
                <w:color w:val="auto"/>
              </w:rPr>
            </w:pPr>
            <w:r>
              <w:rPr>
                <w:rFonts w:ascii="Arial" w:cs="Arial" w:eastAsia="Arial" w:hAnsi="Arial"/>
                <w:sz w:val="18"/>
                <w:szCs w:val="18"/>
                <w:color w:val="auto"/>
              </w:rPr>
              <w:t>Net earnings attributable to</w:t>
            </w:r>
          </w:p>
        </w:tc>
        <w:tc>
          <w:tcPr>
            <w:tcW w:w="200" w:type="dxa"/>
            <w:vAlign w:val="bottom"/>
          </w:tcPr>
          <w:p>
            <w:pPr>
              <w:spacing w:after="0"/>
              <w:rPr>
                <w:sz w:val="15"/>
                <w:szCs w:val="15"/>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8"/>
                <w:szCs w:val="18"/>
                <w:color w:val="auto"/>
              </w:rPr>
              <w:t>3,870</w:t>
            </w:r>
          </w:p>
        </w:tc>
        <w:tc>
          <w:tcPr>
            <w:tcW w:w="280" w:type="dxa"/>
            <w:vAlign w:val="bottom"/>
          </w:tcPr>
          <w:p>
            <w:pPr>
              <w:spacing w:after="0"/>
              <w:rPr>
                <w:sz w:val="15"/>
                <w:szCs w:val="15"/>
                <w:color w:val="auto"/>
              </w:rPr>
            </w:pPr>
          </w:p>
        </w:tc>
        <w:tc>
          <w:tcPr>
            <w:tcW w:w="12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3,381</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3,317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Mondelēz International</w:t>
            </w: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Earnings per share attributable to</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Mondelēz International: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560"/>
              <w:spacing w:after="0"/>
              <w:rPr>
                <w:sz w:val="20"/>
                <w:szCs w:val="20"/>
                <w:color w:val="auto"/>
              </w:rPr>
            </w:pPr>
            <w:r>
              <w:rPr>
                <w:rFonts w:ascii="Arial" w:cs="Arial" w:eastAsia="Arial" w:hAnsi="Arial"/>
                <w:sz w:val="18"/>
                <w:szCs w:val="18"/>
                <w:color w:val="auto"/>
              </w:rPr>
              <w:t>Basic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Other Comprehensive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95"/>
              </w:rPr>
              <w:t>(865)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benefit plans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Derivative cash flow hedges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earnings/(losses)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(635)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220"/>
              <w:spacing w:after="0" w:line="176" w:lineRule="exact"/>
              <w:rPr>
                <w:sz w:val="20"/>
                <w:szCs w:val="20"/>
                <w:color w:val="auto"/>
              </w:rPr>
            </w:pPr>
            <w:r>
              <w:rPr>
                <w:rFonts w:ascii="Arial" w:cs="Arial" w:eastAsia="Arial" w:hAnsi="Arial"/>
                <w:sz w:val="18"/>
                <w:szCs w:val="18"/>
                <w:color w:val="auto"/>
              </w:rPr>
              <w:t>Comprehensive earnings/(losses) attributable to</w:t>
            </w:r>
          </w:p>
        </w:tc>
        <w:tc>
          <w:tcPr>
            <w:tcW w:w="200" w:type="dxa"/>
            <w:vAlign w:val="bottom"/>
          </w:tcPr>
          <w:p>
            <w:pPr>
              <w:spacing w:after="0"/>
              <w:rPr>
                <w:sz w:val="15"/>
                <w:szCs w:val="15"/>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8"/>
                <w:szCs w:val="18"/>
                <w:color w:val="auto"/>
              </w:rPr>
              <w:t>4,242</w:t>
            </w:r>
          </w:p>
        </w:tc>
        <w:tc>
          <w:tcPr>
            <w:tcW w:w="280" w:type="dxa"/>
            <w:vAlign w:val="bottom"/>
          </w:tcPr>
          <w:p>
            <w:pPr>
              <w:spacing w:after="0"/>
              <w:rPr>
                <w:sz w:val="15"/>
                <w:szCs w:val="15"/>
                <w:color w:val="auto"/>
              </w:rPr>
            </w:pPr>
          </w:p>
        </w:tc>
        <w:tc>
          <w:tcPr>
            <w:tcW w:w="12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2,748</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Mondelēz International</w:t>
            </w: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7,212</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26,653</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(10,258)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27,275</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25"/>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833"/>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2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Summarized financial information related to our equity method investments is reflected below. The tables below reflect the adjustments noted above for the JDE and JDEP one-quarter lag.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39,536</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38,016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shareowners of investees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37,058</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attributable to noncontrolling interests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net equity of investees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Mondelēz International ownership interests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3"/>
                <w:szCs w:val="23"/>
                <w:color w:val="auto"/>
                <w:vertAlign w:val="superscript"/>
              </w:rPr>
              <w:t>(1)</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left="11"/>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19,361</w:t>
            </w:r>
          </w:p>
        </w:tc>
        <w:tc>
          <w:tcPr>
            <w:tcW w:w="68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9,781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investees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c>
          <w:tcPr>
            <w:tcW w:w="68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Mondelēz International share of investee net income</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Keurig shareholder loan interest income</w:t>
            </w:r>
          </w:p>
        </w:tc>
        <w:tc>
          <w:tcPr>
            <w:tcW w:w="106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4" w:lineRule="exact"/>
        <w:rPr>
          <w:sz w:val="20"/>
          <w:szCs w:val="20"/>
          <w:color w:val="auto"/>
        </w:rPr>
      </w:pPr>
    </w:p>
    <w:p>
      <w:pPr>
        <w:ind w:left="340" w:right="20" w:hanging="332"/>
        <w:spacing w:after="0" w:line="291" w:lineRule="auto"/>
        <w:tabs>
          <w:tab w:leader="none" w:pos="3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 basis difference of approximately $519 million as of December 31, 2020 and $333 million as of December 31, 2019 between the U.S. GAAP accounting basis for our equity method investments and the U.S. GAAP accounting basis of our investees’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costs ($3.1 billion cash costs and $1.0 billion non-cash costs) and up to $ 1.6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$ 5.4 billion of program charges ($4.1 billion of cash costs and $ 1.3 billion of non-cash costs) and total capital expenditures of $2.3 billion to be incurred over the life of the program. The current restructuring program, as increased and extended by these actions, is now called the Simplify to Grow Program.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$4.7 billion related to the Simplify to Grow Program. We expect to incur the remainder of the program charges by year-end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years ended December 31, 2020 and 2019 was: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tcPr>
          <w:p>
            <w:pPr>
              <w:jc w:val="center"/>
              <w:ind w:left="419"/>
              <w:spacing w:after="0"/>
              <w:rPr>
                <w:sz w:val="20"/>
                <w:szCs w:val="20"/>
                <w:color w:val="auto"/>
              </w:rPr>
            </w:pPr>
            <w:r>
              <w:rPr>
                <w:rFonts w:ascii="Arial" w:cs="Arial" w:eastAsia="Arial" w:hAnsi="Arial"/>
                <w:sz w:val="14"/>
                <w:szCs w:val="14"/>
                <w:b w:val="1"/>
                <w:bCs w:val="1"/>
                <w:color w:val="auto"/>
              </w:rPr>
              <w:t>Severance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9"/>
              </w:rPr>
              <w:t>Asset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80" w:type="dxa"/>
            <w:vAlign w:val="bottom"/>
          </w:tcPr>
          <w:p>
            <w:pPr>
              <w:jc w:val="center"/>
              <w:ind w:left="419"/>
              <w:spacing w:after="0" w:line="135" w:lineRule="exact"/>
              <w:rPr>
                <w:sz w:val="20"/>
                <w:szCs w:val="20"/>
                <w:color w:val="auto"/>
              </w:rPr>
            </w:pPr>
            <w:r>
              <w:rPr>
                <w:rFonts w:ascii="Arial" w:cs="Arial" w:eastAsia="Arial" w:hAnsi="Arial"/>
                <w:sz w:val="14"/>
                <w:szCs w:val="14"/>
                <w:b w:val="1"/>
                <w:bCs w:val="1"/>
                <w:color w:val="auto"/>
              </w:rPr>
              <w:t>and related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38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98"/>
              </w:rPr>
              <w:t>costs</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100"/>
              <w:spacing w:after="0" w:line="176" w:lineRule="exact"/>
              <w:rPr>
                <w:sz w:val="20"/>
                <w:szCs w:val="20"/>
                <w:color w:val="auto"/>
              </w:rPr>
            </w:pPr>
            <w:r>
              <w:rPr>
                <w:rFonts w:ascii="Arial" w:cs="Arial" w:eastAsia="Arial" w:hAnsi="Arial"/>
                <w:sz w:val="14"/>
                <w:szCs w:val="14"/>
                <w:b w:val="1"/>
                <w:bCs w:val="1"/>
                <w:color w:val="auto"/>
              </w:rPr>
              <w:t xml:space="preserve">Write-downs and Other </w:t>
            </w:r>
            <w:r>
              <w:rPr>
                <w:rFonts w:ascii="Arial" w:cs="Arial" w:eastAsia="Arial" w:hAnsi="Arial"/>
                <w:sz w:val="18"/>
                <w:szCs w:val="18"/>
                <w:b w:val="1"/>
                <w:bCs w:val="1"/>
                <w:color w:val="auto"/>
                <w:vertAlign w:val="superscript"/>
              </w:rPr>
              <w:t>(1)</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2019</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Liability Balance, December 31, 2019</w:t>
            </w:r>
          </w:p>
        </w:tc>
        <w:tc>
          <w:tcPr>
            <w:tcW w:w="1380" w:type="dxa"/>
            <w:vAlign w:val="bottom"/>
            <w:tcBorders>
              <w:top w:val="single" w:sz="8" w:color="auto"/>
              <w:bottom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Charges</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Cash spent</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settlements/adjustments</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December 31, 2020</w:t>
            </w:r>
          </w:p>
        </w:tc>
        <w:tc>
          <w:tcPr>
            <w:tcW w:w="1380" w:type="dxa"/>
            <w:vAlign w:val="bottom"/>
            <w:tcBorders>
              <w:top w:val="single" w:sz="8" w:color="auto"/>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(1) Includes gains as a result of assets sold which are included in the restructuring program</w:t>
      </w:r>
    </w:p>
    <w:p>
      <w:pPr>
        <w:spacing w:after="0" w:line="234" w:lineRule="exact"/>
        <w:rPr>
          <w:sz w:val="20"/>
          <w:szCs w:val="20"/>
          <w:color w:val="auto"/>
        </w:rPr>
      </w:pPr>
    </w:p>
    <w:p>
      <w:pPr>
        <w:ind w:left="340" w:right="320" w:hanging="332"/>
        <w:spacing w:after="0" w:line="263"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recorded restructuring charges of $156 million in 2020, $176 million in 2019 and $316 million in 2018 within asset impairment and exit costs and benefit plan non-service income.</w:t>
      </w: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spent $169 million in 2020 and $162 million in 2019 in cash severance and related costs.</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2020, we recognized a gain on sale of assets included in the restructuring program, partially offset by non-cash asset write-downs (including accelerated depreciation and asset impairments), non-cash pension settlement losses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other non-cash adjustments totaling $6 million. In 2019, we recognized non-cash asset write-downs (including accelerated depreciation and asset impairments), non-cash pension settlement losses and other non-cash adjustments totaling $82 million.</w:t>
      </w:r>
    </w:p>
    <w:p>
      <w:pPr>
        <w:spacing w:after="0" w:line="1" w:lineRule="exact"/>
        <w:rPr>
          <w:rFonts w:ascii="Arial" w:cs="Arial" w:eastAsia="Arial" w:hAnsi="Arial"/>
          <w:sz w:val="18"/>
          <w:szCs w:val="18"/>
          <w:color w:val="auto"/>
        </w:rPr>
      </w:pPr>
    </w:p>
    <w:p>
      <w:pPr>
        <w:ind w:left="340" w:right="540" w:hanging="332"/>
        <w:spacing w:after="0" w:line="266"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December 31, 2020, $260 million of our net restructuring liability was recorded within other current liabilities and $44 million was recorded within other long-term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$207 million in 2020, $272 million in 2019 and $315 million in 2018. We recorded these costs within cost of sales and general corporate expense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9" w:lineRule="exact"/>
        <w:rPr>
          <w:sz w:val="20"/>
          <w:szCs w:val="20"/>
          <w:color w:val="auto"/>
        </w:rPr>
      </w:pPr>
    </w:p>
    <w:p>
      <w:pPr>
        <w:ind w:right="1140"/>
        <w:spacing w:after="0" w:line="266" w:lineRule="auto"/>
        <w:rPr>
          <w:sz w:val="20"/>
          <w:szCs w:val="20"/>
          <w:color w:val="auto"/>
        </w:rPr>
      </w:pPr>
      <w:r>
        <w:rPr>
          <w:rFonts w:ascii="Arial" w:cs="Arial" w:eastAsia="Arial" w:hAnsi="Arial"/>
          <w:sz w:val="18"/>
          <w:szCs w:val="18"/>
          <w:color w:val="auto"/>
        </w:rPr>
        <w:t>During 2020, 2019 and 2018, and since inception of the Simplify to Grow Program, we recorded the following restructuring and implementation costs within segment operating income and earnings before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Latin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AMEA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84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North</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America</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America</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Year Ended</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660" w:type="dxa"/>
            <w:vAlign w:val="bottom"/>
            <w:gridSpan w:val="2"/>
          </w:tcPr>
          <w:p>
            <w:pPr>
              <w:jc w:val="right"/>
              <w:ind w:right="3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Year Ended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gridSpan w:val="2"/>
          </w:tcPr>
          <w:p>
            <w:pPr>
              <w:jc w:val="right"/>
              <w:ind w:right="3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Year Ended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660" w:type="dxa"/>
            <w:vAlign w:val="bottom"/>
            <w:gridSpan w:val="2"/>
          </w:tcPr>
          <w:p>
            <w:pPr>
              <w:jc w:val="right"/>
              <w:ind w:right="3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Total Project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(Inception to Date)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1,143</w:t>
            </w:r>
          </w:p>
        </w:tc>
        <w:tc>
          <w:tcPr>
            <w:tcW w:w="660" w:type="dxa"/>
            <w:vAlign w:val="bottom"/>
            <w:gridSpan w:val="2"/>
          </w:tcPr>
          <w:p>
            <w:pPr>
              <w:jc w:val="right"/>
              <w:ind w:right="3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492</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142</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Note 9. Debt and Borrowing Arrangements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18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12"/>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right"/>
              <w:ind w:right="395"/>
              <w:spacing w:after="0" w:line="142"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6"/>
          </w:tcPr>
          <w:p>
            <w:pPr>
              <w:jc w:val="center"/>
              <w:ind w:right="6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40" w:type="dxa"/>
            <w:vAlign w:val="bottom"/>
            <w:gridSpan w:val="2"/>
          </w:tcPr>
          <w:p>
            <w:pPr>
              <w:jc w:val="right"/>
              <w:ind w:right="391"/>
              <w:spacing w:after="0" w:line="142"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Average Rate</w:t>
            </w:r>
          </w:p>
        </w:tc>
        <w:tc>
          <w:tcPr>
            <w:tcW w:w="17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rPr>
              <w:t>Outstanding</w:t>
            </w:r>
          </w:p>
        </w:tc>
        <w:tc>
          <w:tcPr>
            <w:tcW w:w="134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rPr>
              <w:t>Average Rate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We repaid all outstanding commercial paper borrowings as of December 31, 2020 using the proceeds from net issuances of long-term debt, proceeds from sales of KDP and JDEP shares and operating cash flows.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December 31, 2020 and December 31, 2019 include: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440" w:type="dxa"/>
            <w:vAlign w:val="bottom"/>
            <w:tcBorders>
              <w:bottom w:val="single" w:sz="8" w:color="auto"/>
            </w:tcBorders>
          </w:tcPr>
          <w:p>
            <w:pPr>
              <w:spacing w:after="0"/>
              <w:rPr>
                <w:sz w:val="15"/>
                <w:szCs w:val="15"/>
                <w:color w:val="auto"/>
              </w:rPr>
            </w:pP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Borrowed Amount</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8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Credit facility expiry</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26, 2020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24, 2021</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8" w:lineRule="exact"/>
        <w:rPr>
          <w:sz w:val="20"/>
          <w:szCs w:val="20"/>
          <w:color w:val="auto"/>
        </w:rPr>
      </w:pPr>
    </w:p>
    <w:p>
      <w:pPr>
        <w:ind w:right="60" w:firstLine="8"/>
        <w:spacing w:after="0" w:line="251" w:lineRule="auto"/>
        <w:tabs>
          <w:tab w:leader="none" w:pos="2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December 31, 2020, we complied with this covenant as our shareholders' equity, as defined by the covenant, was $38.3 billion. The revolving credit facility also contains customary representations, covenants and events of default. There are no credit rating triggers, provisions or other financial covenants that could require us to post collateral as security.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dollar notes, 0.163% to 7.000% (weighted-average effective rate 2.564%),</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2050</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0"/>
              <w:spacing w:after="0" w:line="176" w:lineRule="exact"/>
              <w:rPr>
                <w:sz w:val="20"/>
                <w:szCs w:val="20"/>
                <w:color w:val="auto"/>
              </w:rPr>
            </w:pPr>
            <w:r>
              <w:rPr>
                <w:rFonts w:ascii="Arial" w:cs="Arial" w:eastAsia="Arial" w:hAnsi="Arial"/>
                <w:sz w:val="18"/>
                <w:szCs w:val="18"/>
                <w:color w:val="auto"/>
              </w:rPr>
              <w:t>Euro notes, 0.000% to 2.375% (weighted-average effective rate 1.352%),</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2035</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Pound sterling notes, 3.875% to 4.500% (weighted-average effective rate 4.151%),</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2045</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20"/>
              <w:spacing w:after="0" w:line="176" w:lineRule="exact"/>
              <w:rPr>
                <w:sz w:val="20"/>
                <w:szCs w:val="20"/>
                <w:color w:val="auto"/>
              </w:rPr>
            </w:pPr>
            <w:r>
              <w:rPr>
                <w:rFonts w:ascii="Arial" w:cs="Arial" w:eastAsia="Arial" w:hAnsi="Arial"/>
                <w:sz w:val="18"/>
                <w:szCs w:val="18"/>
                <w:color w:val="auto"/>
              </w:rPr>
              <w:t>Swiss franc notes, 0.615% to 1.125% (weighted-average effective rate 0.840%),</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2025</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Canadian dollar notes, 3.250% (effective rate 3.377%),</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2025</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Deferred debt issuance costs of $53 million as of December 31, 2020 and $33 million as of December 31, 2019 are netted against the related debt in the table above. Deferred financing costs related to our revolving credit facility are classified in long-term other assets and were immaterial for all periods presented.</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2020, aggregate maturities of our debt and finance leases based on stated contractual maturities, excluding unamortized non-cash bond premiums, discounts, bank fees and mark-to-market adjustments of $(94) million and imputed interest on finance leases of $(20) million, were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60" w:type="dxa"/>
            <w:vAlign w:val="bottom"/>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3"/>
        </w:trPr>
        <w:tc>
          <w:tcPr>
            <w:tcW w:w="152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$2,750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$2,851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$1,705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$1,667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$1,465</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$9,693</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$20,131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Tenders Offers:</w:t>
      </w:r>
    </w:p>
    <w:p>
      <w:pPr>
        <w:spacing w:after="0" w:line="29"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On October 16, 2020, we completed the tender offer in cash and redeemed $950 million of long term U.S. dollar-denominated notes for the following amounts (in millions):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3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3660" w:type="dxa"/>
            <w:vAlign w:val="bottom"/>
          </w:tcPr>
          <w:p>
            <w:pPr>
              <w:ind w:left="1080"/>
              <w:spacing w:after="0"/>
              <w:rPr>
                <w:sz w:val="20"/>
                <w:szCs w:val="20"/>
                <w:color w:val="auto"/>
              </w:rPr>
            </w:pPr>
            <w:r>
              <w:rPr>
                <w:rFonts w:ascii="Arial" w:cs="Arial" w:eastAsia="Arial" w:hAnsi="Arial"/>
                <w:sz w:val="14"/>
                <w:szCs w:val="14"/>
                <w:b w:val="1"/>
                <w:bCs w:val="1"/>
                <w:color w:val="auto"/>
              </w:rPr>
              <w:t>Amount Repurchased</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3.625%</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May 2023</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$359</w:t>
            </w:r>
          </w:p>
        </w:tc>
      </w:tr>
      <w:tr>
        <w:trPr>
          <w:trHeight w:val="229"/>
        </w:trPr>
        <w:tc>
          <w:tcPr>
            <w:tcW w:w="3640" w:type="dxa"/>
            <w:vAlign w:val="bottom"/>
          </w:tcPr>
          <w:p>
            <w:pPr>
              <w:jc w:val="center"/>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February 2024</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203</w:t>
            </w:r>
          </w:p>
        </w:tc>
      </w:tr>
      <w:tr>
        <w:trPr>
          <w:trHeight w:val="230"/>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2026</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249</w:t>
            </w:r>
          </w:p>
        </w:tc>
      </w:tr>
      <w:tr>
        <w:trPr>
          <w:trHeight w:val="229"/>
        </w:trPr>
        <w:tc>
          <w:tcPr>
            <w:tcW w:w="3640" w:type="dxa"/>
            <w:vAlign w:val="bottom"/>
          </w:tcPr>
          <w:p>
            <w:pPr>
              <w:jc w:val="center"/>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2028</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27</w:t>
            </w:r>
          </w:p>
        </w:tc>
      </w:tr>
      <w:tr>
        <w:trPr>
          <w:trHeight w:val="229"/>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November 2031</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August 2037</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29"/>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6.875%</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2038</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January 2039</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2040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43"/>
        </w:trPr>
        <w:tc>
          <w:tcPr>
            <w:tcW w:w="3640" w:type="dxa"/>
            <w:vAlign w:val="bottom"/>
          </w:tcPr>
          <w:p>
            <w:pPr>
              <w:jc w:val="center"/>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1"/>
                <w:szCs w:val="21"/>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2048</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71</w:t>
            </w:r>
          </w:p>
        </w:tc>
      </w:tr>
    </w:tbl>
    <w:p>
      <w:pPr>
        <w:spacing w:after="0" w:line="3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recorded a loss on debt extinguishment of approximately $154 million within interest and other expense, net primarily related to the amount we paid in excess of the carrying value of the debt and from recognizing unamortized discounts, deferred financing and unamortized forward starting swaps in earnings at the time of the debt extinguishment. The cash payment related to the debt extinguishment were classified as cash outflows from financing activities in the consolidated statement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On December 4, 2020, we completed an early redemption of U.S. dollar denominated notes for the following amounts (in millions):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3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Amount Redeemed</w:t>
            </w:r>
          </w:p>
        </w:tc>
      </w:tr>
      <w:tr>
        <w:trPr>
          <w:trHeight w:val="223"/>
        </w:trPr>
        <w:tc>
          <w:tcPr>
            <w:tcW w:w="3640" w:type="dxa"/>
            <w:vAlign w:val="bottom"/>
            <w:tcBorders>
              <w:top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color w:val="auto"/>
              </w:rPr>
              <w:t>3.625%</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May 2023</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ind w:right="1559"/>
              <w:spacing w:after="0"/>
              <w:rPr>
                <w:sz w:val="20"/>
                <w:szCs w:val="20"/>
                <w:color w:val="auto"/>
              </w:rPr>
            </w:pPr>
            <w:r>
              <w:rPr>
                <w:rFonts w:ascii="Arial" w:cs="Arial" w:eastAsia="Arial" w:hAnsi="Arial"/>
                <w:sz w:val="18"/>
                <w:szCs w:val="18"/>
                <w:color w:val="auto"/>
              </w:rPr>
              <w:t>$391</w:t>
            </w:r>
          </w:p>
        </w:tc>
      </w:tr>
    </w:tbl>
    <w:p>
      <w:pPr>
        <w:spacing w:after="0" w:line="3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recorded an extinguishment loss of $31 million within interest and other expense, net primarily related to the amount we paid in excess of carrying value of the debt and from recognizing unamortized discounts and deferred financing in earnings at the time of the debt extinguishment. The cash payments related to the redemption were classified as cash outflows from financing activities in the consolidated statement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2020, we repaid €679 million of our 2.375% euro-denominated notes that matured on January 26,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 2020, we repaid the following notes or term loans (in millions):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840" w:type="dxa"/>
            <w:vAlign w:val="bottom"/>
            <w:gridSpan w:val="2"/>
          </w:tcPr>
          <w:p>
            <w:pPr>
              <w:ind w:left="1100"/>
              <w:spacing w:after="0"/>
              <w:rPr>
                <w:sz w:val="20"/>
                <w:szCs w:val="20"/>
                <w:color w:val="auto"/>
              </w:rPr>
            </w:pPr>
            <w:r>
              <w:rPr>
                <w:rFonts w:ascii="Arial" w:cs="Arial" w:eastAsia="Arial" w:hAnsi="Arial"/>
                <w:sz w:val="14"/>
                <w:szCs w:val="14"/>
                <w:b w:val="1"/>
                <w:bCs w:val="1"/>
                <w:color w:val="auto"/>
              </w:rPr>
              <w:t>Amount</w:t>
            </w:r>
          </w:p>
        </w:tc>
        <w:tc>
          <w:tcPr>
            <w:tcW w:w="2720" w:type="dxa"/>
            <w:vAlign w:val="bottom"/>
          </w:tcPr>
          <w:p>
            <w:pPr>
              <w:ind w:left="820"/>
              <w:spacing w:after="0"/>
              <w:rPr>
                <w:sz w:val="20"/>
                <w:szCs w:val="20"/>
                <w:color w:val="auto"/>
              </w:rPr>
            </w:pPr>
            <w:r>
              <w:rPr>
                <w:rFonts w:ascii="Arial" w:cs="Arial" w:eastAsia="Arial" w:hAnsi="Arial"/>
                <w:sz w:val="14"/>
                <w:szCs w:val="14"/>
                <w:b w:val="1"/>
                <w:bCs w:val="1"/>
                <w:color w:val="auto"/>
              </w:rPr>
              <w:t>USD Equivalent</w:t>
            </w:r>
          </w:p>
        </w:tc>
      </w:tr>
      <w:tr>
        <w:trPr>
          <w:trHeight w:val="223"/>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0.625%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October 2020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Fr.135</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$147</w:t>
            </w:r>
          </w:p>
        </w:tc>
      </w:tr>
      <w:tr>
        <w:trPr>
          <w:trHeight w:val="230"/>
        </w:trPr>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Variable</w:t>
            </w:r>
          </w:p>
        </w:tc>
        <w:tc>
          <w:tcPr>
            <w:tcW w:w="28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6"/>
              </w:rPr>
              <w:t>September 2020</w:t>
            </w:r>
            <w:r>
              <w:rPr>
                <w:rFonts w:ascii="Arial" w:cs="Arial" w:eastAsia="Arial" w:hAnsi="Arial"/>
                <w:sz w:val="23"/>
                <w:szCs w:val="23"/>
                <w:color w:val="auto"/>
                <w:w w:val="96"/>
                <w:vertAlign w:val="superscript"/>
              </w:rPr>
              <w:t>(1)</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750</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2020</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rPr>
              <w:t>0.050%</w:t>
            </w: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March 2020</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Fr.225</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234</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5.375%</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February 2020</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$427</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427</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(1) We repaid the $750 million term loan early with proceeds from the issuance of notes.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 2019, we repaid the following notes or term loans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Interest Rate</w:t>
            </w:r>
          </w:p>
        </w:tc>
        <w:tc>
          <w:tcPr>
            <w:tcW w:w="1880" w:type="dxa"/>
            <w:vAlign w:val="bottom"/>
            <w:gridSpan w:val="5"/>
          </w:tcPr>
          <w:p>
            <w:pPr>
              <w:jc w:val="center"/>
              <w:ind w:left="213"/>
              <w:spacing w:after="0"/>
              <w:rPr>
                <w:sz w:val="20"/>
                <w:szCs w:val="20"/>
                <w:color w:val="auto"/>
              </w:rPr>
            </w:pPr>
            <w:r>
              <w:rPr>
                <w:rFonts w:ascii="Arial" w:cs="Arial" w:eastAsia="Arial" w:hAnsi="Arial"/>
                <w:sz w:val="14"/>
                <w:szCs w:val="14"/>
                <w:b w:val="1"/>
                <w:bCs w:val="1"/>
                <w:color w:val="auto"/>
              </w:rPr>
              <w:t>Maturity Date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gridSpan w:val="6"/>
          </w:tcPr>
          <w:p>
            <w:pPr>
              <w:ind w:left="120"/>
              <w:spacing w:after="0"/>
              <w:rPr>
                <w:sz w:val="20"/>
                <w:szCs w:val="20"/>
                <w:color w:val="auto"/>
              </w:rPr>
            </w:pPr>
            <w:r>
              <w:rPr>
                <w:rFonts w:ascii="Arial" w:cs="Arial" w:eastAsia="Arial" w:hAnsi="Arial"/>
                <w:sz w:val="14"/>
                <w:szCs w:val="14"/>
                <w:b w:val="1"/>
                <w:bCs w:val="1"/>
                <w:color w:val="auto"/>
              </w:rPr>
              <w:t>Amount</w:t>
            </w:r>
          </w:p>
        </w:tc>
        <w:tc>
          <w:tcPr>
            <w:tcW w:w="1940" w:type="dxa"/>
            <w:vAlign w:val="bottom"/>
          </w:tcPr>
          <w:p>
            <w:pPr>
              <w:ind w:left="40"/>
              <w:spacing w:after="0"/>
              <w:rPr>
                <w:sz w:val="20"/>
                <w:szCs w:val="20"/>
                <w:color w:val="auto"/>
              </w:rPr>
            </w:pPr>
            <w:r>
              <w:rPr>
                <w:rFonts w:ascii="Arial" w:cs="Arial" w:eastAsia="Arial" w:hAnsi="Arial"/>
                <w:sz w:val="14"/>
                <w:szCs w:val="14"/>
                <w:b w:val="1"/>
                <w:bCs w:val="1"/>
                <w:color w:val="auto"/>
              </w:rPr>
              <w:t>USD Equivalent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top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rPr>
              <w:t>1.625%</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gridSpan w:val="5"/>
            <w:shd w:val="clear" w:color="auto" w:fill="CCEEFF"/>
          </w:tcPr>
          <w:p>
            <w:pPr>
              <w:jc w:val="center"/>
              <w:ind w:left="213"/>
              <w:spacing w:after="0"/>
              <w:rPr>
                <w:sz w:val="20"/>
                <w:szCs w:val="20"/>
                <w:color w:val="auto"/>
              </w:rPr>
            </w:pPr>
            <w:r>
              <w:rPr>
                <w:rFonts w:ascii="Arial" w:cs="Arial" w:eastAsia="Arial" w:hAnsi="Arial"/>
                <w:sz w:val="18"/>
                <w:szCs w:val="18"/>
                <w:color w:val="auto"/>
              </w:rPr>
              <w:t>October 2019</w:t>
            </w: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gridSpan w:val="3"/>
            <w:shd w:val="clear" w:color="auto" w:fill="CCEEFF"/>
          </w:tcPr>
          <w:p>
            <w:pPr>
              <w:jc w:val="center"/>
              <w:ind w:right="896"/>
              <w:spacing w:after="0"/>
              <w:rPr>
                <w:sz w:val="20"/>
                <w:szCs w:val="20"/>
                <w:color w:val="auto"/>
              </w:rPr>
            </w:pPr>
            <w:r>
              <w:rPr>
                <w:rFonts w:ascii="Arial" w:cs="Arial" w:eastAsia="Arial" w:hAnsi="Arial"/>
                <w:sz w:val="18"/>
                <w:szCs w:val="18"/>
                <w:color w:val="auto"/>
                <w:w w:val="98"/>
              </w:rPr>
              <w:t>$1,750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ind w:right="694"/>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5"/>
          </w:tcPr>
          <w:p>
            <w:pPr>
              <w:jc w:val="center"/>
              <w:ind w:right="380"/>
              <w:spacing w:after="0"/>
              <w:rPr>
                <w:sz w:val="20"/>
                <w:szCs w:val="20"/>
                <w:color w:val="auto"/>
              </w:rPr>
            </w:pPr>
            <w:r>
              <w:rPr>
                <w:rFonts w:ascii="Arial" w:cs="Arial" w:eastAsia="Arial" w:hAnsi="Arial"/>
                <w:sz w:val="18"/>
                <w:szCs w:val="18"/>
                <w:color w:val="auto"/>
                <w:w w:val="99"/>
              </w:rPr>
              <w:t>Variable</w:t>
            </w:r>
          </w:p>
        </w:tc>
        <w:tc>
          <w:tcPr>
            <w:tcW w:w="1880" w:type="dxa"/>
            <w:vAlign w:val="bottom"/>
            <w:gridSpan w:val="5"/>
          </w:tcPr>
          <w:p>
            <w:pPr>
              <w:jc w:val="center"/>
              <w:ind w:left="213"/>
              <w:spacing w:after="0"/>
              <w:rPr>
                <w:sz w:val="20"/>
                <w:szCs w:val="20"/>
                <w:color w:val="auto"/>
              </w:rPr>
            </w:pPr>
            <w:r>
              <w:rPr>
                <w:rFonts w:ascii="Arial" w:cs="Arial" w:eastAsia="Arial" w:hAnsi="Arial"/>
                <w:sz w:val="18"/>
                <w:szCs w:val="18"/>
                <w:color w:val="auto"/>
              </w:rPr>
              <w:t>October 2019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center"/>
              <w:ind w:left="111"/>
              <w:spacing w:after="0"/>
              <w:rPr>
                <w:sz w:val="20"/>
                <w:szCs w:val="20"/>
                <w:color w:val="auto"/>
              </w:rPr>
            </w:pPr>
            <w:r>
              <w:rPr>
                <w:rFonts w:ascii="Arial" w:cs="Arial" w:eastAsia="Arial" w:hAnsi="Arial"/>
                <w:sz w:val="18"/>
                <w:szCs w:val="18"/>
                <w:color w:val="auto"/>
                <w:w w:val="99"/>
              </w:rPr>
              <w:t>500</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ind w:right="674"/>
              <w:spacing w:after="0"/>
              <w:rPr>
                <w:sz w:val="20"/>
                <w:szCs w:val="20"/>
                <w:color w:val="auto"/>
              </w:rPr>
            </w:pPr>
            <w:r>
              <w:rPr>
                <w:rFonts w:ascii="Arial" w:cs="Arial" w:eastAsia="Arial" w:hAnsi="Arial"/>
                <w:sz w:val="18"/>
                <w:szCs w:val="18"/>
                <w:color w:val="auto"/>
                <w:w w:val="99"/>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5"/>
            <w:shd w:val="clear" w:color="auto" w:fill="CCEEFF"/>
          </w:tcPr>
          <w:p>
            <w:pPr>
              <w:jc w:val="center"/>
              <w:ind w:right="380"/>
              <w:spacing w:after="0"/>
              <w:rPr>
                <w:sz w:val="20"/>
                <w:szCs w:val="20"/>
                <w:color w:val="auto"/>
              </w:rPr>
            </w:pPr>
            <w:r>
              <w:rPr>
                <w:rFonts w:ascii="Arial" w:cs="Arial" w:eastAsia="Arial" w:hAnsi="Arial"/>
                <w:sz w:val="18"/>
                <w:szCs w:val="18"/>
                <w:color w:val="auto"/>
                <w:w w:val="99"/>
              </w:rPr>
              <w:t>Variable</w:t>
            </w:r>
          </w:p>
        </w:tc>
        <w:tc>
          <w:tcPr>
            <w:tcW w:w="1880" w:type="dxa"/>
            <w:vAlign w:val="bottom"/>
            <w:gridSpan w:val="5"/>
            <w:shd w:val="clear" w:color="auto" w:fill="CCEEFF"/>
          </w:tcPr>
          <w:p>
            <w:pPr>
              <w:jc w:val="center"/>
              <w:ind w:left="213"/>
              <w:spacing w:after="0"/>
              <w:rPr>
                <w:sz w:val="20"/>
                <w:szCs w:val="20"/>
                <w:color w:val="auto"/>
              </w:rPr>
            </w:pPr>
            <w:r>
              <w:rPr>
                <w:rFonts w:ascii="Arial" w:cs="Arial" w:eastAsia="Arial" w:hAnsi="Arial"/>
                <w:sz w:val="18"/>
                <w:szCs w:val="18"/>
                <w:color w:val="auto"/>
              </w:rPr>
              <w:t>February 2019</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9"/>
              </w:rPr>
              <w:t>400</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right="674"/>
              <w:spacing w:after="0"/>
              <w:rPr>
                <w:sz w:val="20"/>
                <w:szCs w:val="20"/>
                <w:color w:val="auto"/>
              </w:rPr>
            </w:pPr>
            <w:r>
              <w:rPr>
                <w:rFonts w:ascii="Arial" w:cs="Arial" w:eastAsia="Arial" w:hAnsi="Arial"/>
                <w:sz w:val="18"/>
                <w:szCs w:val="18"/>
                <w:color w:val="auto"/>
                <w:w w:val="99"/>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3100" w:type="dxa"/>
            <w:vAlign w:val="bottom"/>
            <w:gridSpan w:val="6"/>
          </w:tcPr>
          <w:p>
            <w:pPr>
              <w:spacing w:after="0"/>
              <w:rPr>
                <w:sz w:val="20"/>
                <w:szCs w:val="20"/>
                <w:color w:val="auto"/>
              </w:rPr>
            </w:pPr>
            <w:r>
              <w:rPr>
                <w:rFonts w:ascii="Arial" w:cs="Arial" w:eastAsia="Arial" w:hAnsi="Arial"/>
                <w:sz w:val="18"/>
                <w:szCs w:val="18"/>
                <w:i w:val="1"/>
                <w:iCs w:val="1"/>
                <w:color w:val="auto"/>
              </w:rPr>
              <w:t>Debt Issuances: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gridSpan w:val="6"/>
          </w:tcPr>
          <w:p>
            <w:pPr>
              <w:spacing w:after="0"/>
              <w:rPr>
                <w:sz w:val="20"/>
                <w:szCs w:val="20"/>
                <w:color w:val="auto"/>
              </w:rPr>
            </w:pPr>
            <w:r>
              <w:rPr>
                <w:rFonts w:ascii="Arial" w:cs="Arial" w:eastAsia="Arial" w:hAnsi="Arial"/>
                <w:sz w:val="18"/>
                <w:szCs w:val="18"/>
                <w:color w:val="auto"/>
                <w:w w:val="99"/>
              </w:rPr>
              <w:t>In 2020, we issued the following notes:</w:t>
            </w: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rPr>
              <w:t>Issuance Date</w:t>
            </w:r>
          </w:p>
        </w:tc>
        <w:tc>
          <w:tcPr>
            <w:tcW w:w="1880" w:type="dxa"/>
            <w:vAlign w:val="bottom"/>
            <w:gridSpan w:val="5"/>
            <w:vMerge w:val="restart"/>
          </w:tcPr>
          <w:p>
            <w:pPr>
              <w:jc w:val="center"/>
              <w:ind w:right="980"/>
              <w:spacing w:after="0"/>
              <w:rPr>
                <w:sz w:val="20"/>
                <w:szCs w:val="20"/>
                <w:color w:val="auto"/>
              </w:rPr>
            </w:pPr>
            <w:r>
              <w:rPr>
                <w:rFonts w:ascii="Arial" w:cs="Arial" w:eastAsia="Arial" w:hAnsi="Arial"/>
                <w:sz w:val="14"/>
                <w:szCs w:val="14"/>
                <w:b w:val="1"/>
                <w:bCs w:val="1"/>
                <w:color w:val="auto"/>
              </w:rPr>
              <w:t>Interest Rate</w:t>
            </w:r>
          </w:p>
        </w:tc>
        <w:tc>
          <w:tcPr>
            <w:tcW w:w="16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rPr>
              <w:t>Maturity Date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 xml:space="preserve">Gross Proceeds </w:t>
            </w:r>
            <w:r>
              <w:rPr>
                <w:rFonts w:ascii="Arial" w:cs="Arial" w:eastAsia="Arial" w:hAnsi="Arial"/>
                <w:sz w:val="18"/>
                <w:szCs w:val="18"/>
                <w:b w:val="1"/>
                <w:bCs w:val="1"/>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5"/>
            <w:vMerge w:val="continue"/>
          </w:tcPr>
          <w:p>
            <w:pPr>
              <w:spacing w:after="0"/>
              <w:rPr>
                <w:sz w:val="15"/>
                <w:szCs w:val="15"/>
                <w:color w:val="auto"/>
              </w:rPr>
            </w:pPr>
          </w:p>
        </w:tc>
        <w:tc>
          <w:tcPr>
            <w:tcW w:w="1880" w:type="dxa"/>
            <w:vAlign w:val="bottom"/>
            <w:gridSpan w:val="5"/>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October 2020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3"/>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right="433"/>
              <w:spacing w:after="0"/>
              <w:rPr>
                <w:sz w:val="20"/>
                <w:szCs w:val="20"/>
                <w:color w:val="auto"/>
              </w:rPr>
            </w:pPr>
            <w:r>
              <w:rPr>
                <w:rFonts w:ascii="Arial" w:cs="Arial" w:eastAsia="Arial" w:hAnsi="Arial"/>
                <w:sz w:val="18"/>
                <w:szCs w:val="18"/>
                <w:color w:val="auto"/>
              </w:rPr>
              <w:t>1.875%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October 2032</w:t>
            </w: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gridSpan w:val="2"/>
            <w:shd w:val="clear" w:color="auto" w:fill="CCEEFF"/>
          </w:tcPr>
          <w:p>
            <w:pPr>
              <w:jc w:val="center"/>
              <w:ind w:left="596"/>
              <w:spacing w:after="0"/>
              <w:rPr>
                <w:sz w:val="20"/>
                <w:szCs w:val="20"/>
                <w:color w:val="auto"/>
              </w:rPr>
            </w:pPr>
            <w:r>
              <w:rPr>
                <w:rFonts w:ascii="Arial" w:cs="Arial" w:eastAsia="Arial" w:hAnsi="Arial"/>
                <w:sz w:val="18"/>
                <w:szCs w:val="18"/>
                <w:color w:val="auto"/>
                <w:w w:val="99"/>
              </w:rPr>
              <w:t>$625</w:t>
            </w: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$625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5"/>
          </w:tcPr>
          <w:p>
            <w:pPr>
              <w:jc w:val="center"/>
              <w:ind w:right="640"/>
              <w:spacing w:after="0" w:line="176" w:lineRule="exact"/>
              <w:rPr>
                <w:sz w:val="20"/>
                <w:szCs w:val="20"/>
                <w:color w:val="auto"/>
              </w:rPr>
            </w:pPr>
            <w:r>
              <w:rPr>
                <w:rFonts w:ascii="Arial" w:cs="Arial" w:eastAsia="Arial" w:hAnsi="Arial"/>
                <w:sz w:val="18"/>
                <w:szCs w:val="18"/>
                <w:color w:val="auto"/>
              </w:rPr>
              <w:t>October 2020 &amp; September</w:t>
            </w:r>
          </w:p>
        </w:tc>
        <w:tc>
          <w:tcPr>
            <w:tcW w:w="1420" w:type="dxa"/>
            <w:vAlign w:val="bottom"/>
          </w:tcPr>
          <w:p>
            <w:pPr>
              <w:jc w:val="center"/>
              <w:ind w:right="433"/>
              <w:spacing w:after="0" w:line="176" w:lineRule="exact"/>
              <w:rPr>
                <w:sz w:val="20"/>
                <w:szCs w:val="20"/>
                <w:color w:val="auto"/>
              </w:rPr>
            </w:pPr>
            <w:r>
              <w:rPr>
                <w:rFonts w:ascii="Arial" w:cs="Arial" w:eastAsia="Arial" w:hAnsi="Arial"/>
                <w:sz w:val="18"/>
                <w:szCs w:val="18"/>
                <w:color w:val="auto"/>
              </w:rPr>
              <w:t>2.625%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32"/>
              <w:spacing w:after="0" w:line="176" w:lineRule="exact"/>
              <w:rPr>
                <w:sz w:val="20"/>
                <w:szCs w:val="20"/>
                <w:color w:val="auto"/>
              </w:rPr>
            </w:pPr>
            <w:r>
              <w:rPr>
                <w:rFonts w:ascii="Arial" w:cs="Arial" w:eastAsia="Arial" w:hAnsi="Arial"/>
                <w:sz w:val="18"/>
                <w:szCs w:val="18"/>
                <w:color w:val="auto"/>
              </w:rPr>
              <w:t>September 2050</w:t>
            </w:r>
          </w:p>
        </w:tc>
        <w:tc>
          <w:tcPr>
            <w:tcW w:w="1860" w:type="dxa"/>
            <w:vAlign w:val="bottom"/>
            <w:gridSpan w:val="4"/>
          </w:tcPr>
          <w:p>
            <w:pPr>
              <w:jc w:val="center"/>
              <w:ind w:left="1171"/>
              <w:spacing w:after="0" w:line="176" w:lineRule="exact"/>
              <w:rPr>
                <w:sz w:val="20"/>
                <w:szCs w:val="20"/>
                <w:color w:val="auto"/>
              </w:rPr>
            </w:pPr>
            <w:r>
              <w:rPr>
                <w:rFonts w:ascii="Arial" w:cs="Arial" w:eastAsia="Arial" w:hAnsi="Arial"/>
                <w:sz w:val="18"/>
                <w:szCs w:val="18"/>
                <w:color w:val="auto"/>
              </w:rPr>
              <w:t>$1,125</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rPr>
              <w:t>$1,125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jc w:val="center"/>
              <w:spacing w:after="0" w:line="230" w:lineRule="exact"/>
              <w:rPr>
                <w:sz w:val="20"/>
                <w:szCs w:val="20"/>
                <w:color w:val="auto"/>
              </w:rPr>
            </w:pPr>
            <w:r>
              <w:rPr>
                <w:rFonts w:ascii="Arial" w:cs="Arial" w:eastAsia="Arial" w:hAnsi="Arial"/>
                <w:sz w:val="18"/>
                <w:szCs w:val="18"/>
                <w:color w:val="auto"/>
                <w:w w:val="91"/>
              </w:rPr>
              <w:t>2020</w:t>
            </w:r>
            <w:r>
              <w:rPr>
                <w:rFonts w:ascii="Arial" w:cs="Arial" w:eastAsia="Arial" w:hAnsi="Arial"/>
                <w:sz w:val="23"/>
                <w:szCs w:val="23"/>
                <w:color w:val="auto"/>
                <w:w w:val="91"/>
                <w:vertAlign w:val="superscript"/>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5"/>
            <w:shd w:val="clear" w:color="auto" w:fill="CCEEFF"/>
          </w:tcPr>
          <w:p>
            <w:pPr>
              <w:jc w:val="center"/>
              <w:ind w:right="640"/>
              <w:spacing w:after="0" w:line="230" w:lineRule="exact"/>
              <w:rPr>
                <w:sz w:val="20"/>
                <w:szCs w:val="20"/>
                <w:color w:val="auto"/>
              </w:rPr>
            </w:pPr>
            <w:r>
              <w:rPr>
                <w:rFonts w:ascii="Arial" w:cs="Arial" w:eastAsia="Arial" w:hAnsi="Arial"/>
                <w:sz w:val="18"/>
                <w:szCs w:val="18"/>
                <w:color w:val="auto"/>
                <w:w w:val="97"/>
              </w:rPr>
              <w:t>September 2020</w:t>
            </w:r>
            <w:r>
              <w:rPr>
                <w:rFonts w:ascii="Arial" w:cs="Arial" w:eastAsia="Arial" w:hAnsi="Arial"/>
                <w:sz w:val="23"/>
                <w:szCs w:val="23"/>
                <w:color w:val="auto"/>
                <w:w w:val="97"/>
                <w:vertAlign w:val="superscript"/>
              </w:rPr>
              <w:t>(3)</w:t>
            </w: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rPr>
              <w:t>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September 2026</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€500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5"/>
          </w:tcPr>
          <w:p>
            <w:pPr>
              <w:jc w:val="center"/>
              <w:ind w:right="640"/>
              <w:spacing w:after="0" w:line="230" w:lineRule="exact"/>
              <w:rPr>
                <w:sz w:val="20"/>
                <w:szCs w:val="20"/>
                <w:color w:val="auto"/>
              </w:rPr>
            </w:pPr>
            <w:r>
              <w:rPr>
                <w:rFonts w:ascii="Arial" w:cs="Arial" w:eastAsia="Arial" w:hAnsi="Arial"/>
                <w:sz w:val="18"/>
                <w:szCs w:val="18"/>
                <w:color w:val="auto"/>
                <w:w w:val="97"/>
              </w:rPr>
              <w:t>September 2020</w:t>
            </w:r>
            <w:r>
              <w:rPr>
                <w:rFonts w:ascii="Arial" w:cs="Arial" w:eastAsia="Arial" w:hAnsi="Arial"/>
                <w:sz w:val="23"/>
                <w:szCs w:val="23"/>
                <w:color w:val="auto"/>
                <w:w w:val="97"/>
                <w:vertAlign w:val="superscript"/>
              </w:rPr>
              <w:t>(3)</w:t>
            </w:r>
          </w:p>
        </w:tc>
        <w:tc>
          <w:tcPr>
            <w:tcW w:w="1420" w:type="dxa"/>
            <w:vAlign w:val="bottom"/>
          </w:tcPr>
          <w:p>
            <w:pPr>
              <w:jc w:val="center"/>
              <w:ind w:right="433"/>
              <w:spacing w:after="0"/>
              <w:rPr>
                <w:sz w:val="20"/>
                <w:szCs w:val="20"/>
                <w:color w:val="auto"/>
              </w:rPr>
            </w:pPr>
            <w:r>
              <w:rPr>
                <w:rFonts w:ascii="Arial" w:cs="Arial" w:eastAsia="Arial" w:hAnsi="Arial"/>
                <w:sz w:val="18"/>
                <w:szCs w:val="18"/>
                <w:color w:val="auto"/>
              </w:rPr>
              <w:t>0.375%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32"/>
              <w:spacing w:after="0"/>
              <w:rPr>
                <w:sz w:val="20"/>
                <w:szCs w:val="20"/>
                <w:color w:val="auto"/>
              </w:rPr>
            </w:pPr>
            <w:r>
              <w:rPr>
                <w:rFonts w:ascii="Arial" w:cs="Arial" w:eastAsia="Arial" w:hAnsi="Arial"/>
                <w:sz w:val="18"/>
                <w:szCs w:val="18"/>
                <w:color w:val="auto"/>
              </w:rPr>
              <w:t>September 2029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€750</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color w:val="auto"/>
                <w:w w:val="99"/>
              </w:rPr>
              <w:t>September 2020</w:t>
            </w: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February 2031</w:t>
            </w:r>
          </w:p>
        </w:tc>
        <w:tc>
          <w:tcPr>
            <w:tcW w:w="1860" w:type="dxa"/>
            <w:vAlign w:val="bottom"/>
            <w:gridSpan w:val="4"/>
            <w:shd w:val="clear" w:color="auto" w:fill="CCEEFF"/>
          </w:tcPr>
          <w:p>
            <w:pPr>
              <w:jc w:val="center"/>
              <w:ind w:left="1171"/>
              <w:spacing w:after="0"/>
              <w:rPr>
                <w:sz w:val="20"/>
                <w:szCs w:val="20"/>
                <w:color w:val="auto"/>
              </w:rPr>
            </w:pPr>
            <w:r>
              <w:rPr>
                <w:rFonts w:ascii="Arial" w:cs="Arial" w:eastAsia="Arial" w:hAnsi="Arial"/>
                <w:sz w:val="18"/>
                <w:szCs w:val="18"/>
                <w:color w:val="auto"/>
                <w:w w:val="99"/>
              </w:rPr>
              <w:t>$500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5"/>
          </w:tcPr>
          <w:p>
            <w:pPr>
              <w:jc w:val="center"/>
              <w:ind w:right="640"/>
              <w:spacing w:after="0"/>
              <w:rPr>
                <w:sz w:val="20"/>
                <w:szCs w:val="20"/>
                <w:color w:val="auto"/>
              </w:rPr>
            </w:pPr>
            <w:r>
              <w:rPr>
                <w:rFonts w:ascii="Arial" w:cs="Arial" w:eastAsia="Arial" w:hAnsi="Arial"/>
                <w:sz w:val="18"/>
                <w:szCs w:val="18"/>
                <w:color w:val="auto"/>
                <w:w w:val="98"/>
              </w:rPr>
              <w:t>July 2020</w:t>
            </w:r>
          </w:p>
        </w:tc>
        <w:tc>
          <w:tcPr>
            <w:tcW w:w="1420" w:type="dxa"/>
            <w:vAlign w:val="bottom"/>
          </w:tcPr>
          <w:p>
            <w:pPr>
              <w:jc w:val="center"/>
              <w:ind w:right="433"/>
              <w:spacing w:after="0"/>
              <w:rPr>
                <w:sz w:val="20"/>
                <w:szCs w:val="20"/>
                <w:color w:val="auto"/>
              </w:rPr>
            </w:pPr>
            <w:r>
              <w:rPr>
                <w:rFonts w:ascii="Arial" w:cs="Arial" w:eastAsia="Arial" w:hAnsi="Arial"/>
                <w:sz w:val="18"/>
                <w:szCs w:val="18"/>
                <w:color w:val="auto"/>
              </w:rPr>
              <w:t>0.625%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32"/>
              <w:spacing w:after="0"/>
              <w:rPr>
                <w:sz w:val="20"/>
                <w:szCs w:val="20"/>
                <w:color w:val="auto"/>
              </w:rPr>
            </w:pPr>
            <w:r>
              <w:rPr>
                <w:rFonts w:ascii="Arial" w:cs="Arial" w:eastAsia="Arial" w:hAnsi="Arial"/>
                <w:sz w:val="18"/>
                <w:szCs w:val="18"/>
                <w:color w:val="auto"/>
              </w:rPr>
              <w:t>July 2022</w:t>
            </w:r>
          </w:p>
        </w:tc>
        <w:tc>
          <w:tcPr>
            <w:tcW w:w="1860" w:type="dxa"/>
            <w:vAlign w:val="bottom"/>
            <w:gridSpan w:val="4"/>
          </w:tcPr>
          <w:p>
            <w:pPr>
              <w:jc w:val="center"/>
              <w:ind w:left="1171"/>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color w:val="auto"/>
              </w:rPr>
              <w:t>May 2020</w:t>
            </w: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8"/>
              </w:rPr>
              <w:t>May 2025</w:t>
            </w:r>
          </w:p>
        </w:tc>
        <w:tc>
          <w:tcPr>
            <w:tcW w:w="1860" w:type="dxa"/>
            <w:vAlign w:val="bottom"/>
            <w:gridSpan w:val="4"/>
            <w:shd w:val="clear" w:color="auto" w:fill="CCEEFF"/>
          </w:tcPr>
          <w:p>
            <w:pPr>
              <w:jc w:val="center"/>
              <w:ind w:left="1171"/>
              <w:spacing w:after="0"/>
              <w:rPr>
                <w:sz w:val="20"/>
                <w:szCs w:val="20"/>
                <w:color w:val="auto"/>
              </w:rPr>
            </w:pPr>
            <w:r>
              <w:rPr>
                <w:rFonts w:ascii="Arial" w:cs="Arial" w:eastAsia="Arial" w:hAnsi="Arial"/>
                <w:sz w:val="18"/>
                <w:szCs w:val="18"/>
                <w:color w:val="auto"/>
                <w:w w:val="99"/>
              </w:rPr>
              <w:t>$750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5"/>
          </w:tcPr>
          <w:p>
            <w:pPr>
              <w:jc w:val="center"/>
              <w:ind w:right="640"/>
              <w:spacing w:after="0" w:line="230" w:lineRule="exact"/>
              <w:rPr>
                <w:sz w:val="20"/>
                <w:szCs w:val="20"/>
                <w:color w:val="auto"/>
              </w:rPr>
            </w:pPr>
            <w:r>
              <w:rPr>
                <w:rFonts w:ascii="Arial" w:cs="Arial" w:eastAsia="Arial" w:hAnsi="Arial"/>
                <w:sz w:val="18"/>
                <w:szCs w:val="18"/>
                <w:color w:val="auto"/>
                <w:w w:val="97"/>
              </w:rPr>
              <w:t>May 2020 &amp; April 2020</w:t>
            </w:r>
            <w:r>
              <w:rPr>
                <w:rFonts w:ascii="Arial" w:cs="Arial" w:eastAsia="Arial" w:hAnsi="Arial"/>
                <w:sz w:val="23"/>
                <w:szCs w:val="23"/>
                <w:color w:val="auto"/>
                <w:w w:val="97"/>
                <w:vertAlign w:val="superscript"/>
              </w:rPr>
              <w:t>(2)</w:t>
            </w:r>
          </w:p>
        </w:tc>
        <w:tc>
          <w:tcPr>
            <w:tcW w:w="1420" w:type="dxa"/>
            <w:vAlign w:val="bottom"/>
          </w:tcPr>
          <w:p>
            <w:pPr>
              <w:jc w:val="center"/>
              <w:ind w:right="433"/>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32"/>
              <w:spacing w:after="0"/>
              <w:rPr>
                <w:sz w:val="20"/>
                <w:szCs w:val="20"/>
                <w:color w:val="auto"/>
              </w:rPr>
            </w:pPr>
            <w:r>
              <w:rPr>
                <w:rFonts w:ascii="Arial" w:cs="Arial" w:eastAsia="Arial" w:hAnsi="Arial"/>
                <w:sz w:val="18"/>
                <w:szCs w:val="18"/>
                <w:color w:val="auto"/>
              </w:rPr>
              <w:t>April 2030</w:t>
            </w:r>
          </w:p>
        </w:tc>
        <w:tc>
          <w:tcPr>
            <w:tcW w:w="1860" w:type="dxa"/>
            <w:vAlign w:val="bottom"/>
            <w:gridSpan w:val="4"/>
          </w:tcPr>
          <w:p>
            <w:pPr>
              <w:jc w:val="center"/>
              <w:ind w:left="1171"/>
              <w:spacing w:after="0"/>
              <w:rPr>
                <w:sz w:val="20"/>
                <w:szCs w:val="20"/>
                <w:color w:val="auto"/>
              </w:rPr>
            </w:pPr>
            <w:r>
              <w:rPr>
                <w:rFonts w:ascii="Arial" w:cs="Arial" w:eastAsia="Arial" w:hAnsi="Arial"/>
                <w:sz w:val="18"/>
                <w:szCs w:val="18"/>
                <w:color w:val="auto"/>
              </w:rPr>
              <w:t>$1,250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color w:val="auto"/>
                <w:w w:val="98"/>
              </w:rPr>
              <w:t>April 2020</w:t>
            </w:r>
          </w:p>
        </w:tc>
        <w:tc>
          <w:tcPr>
            <w:tcW w:w="14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rPr>
              <w:t>2.125%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April 2023</w:t>
            </w:r>
          </w:p>
        </w:tc>
        <w:tc>
          <w:tcPr>
            <w:tcW w:w="1860" w:type="dxa"/>
            <w:vAlign w:val="bottom"/>
            <w:gridSpan w:val="4"/>
            <w:shd w:val="clear" w:color="auto" w:fill="CCEEFF"/>
          </w:tcPr>
          <w:p>
            <w:pPr>
              <w:jc w:val="center"/>
              <w:ind w:left="1171"/>
              <w:spacing w:after="0"/>
              <w:rPr>
                <w:sz w:val="20"/>
                <w:szCs w:val="20"/>
                <w:color w:val="auto"/>
              </w:rPr>
            </w:pPr>
            <w:r>
              <w:rPr>
                <w:rFonts w:ascii="Arial" w:cs="Arial" w:eastAsia="Arial" w:hAnsi="Arial"/>
                <w:sz w:val="18"/>
                <w:szCs w:val="18"/>
                <w:color w:val="auto"/>
                <w:w w:val="99"/>
              </w:rPr>
              <w:t>$500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3100" w:type="dxa"/>
            <w:vAlign w:val="bottom"/>
            <w:gridSpan w:val="6"/>
          </w:tcPr>
          <w:p>
            <w:pPr>
              <w:spacing w:after="0"/>
              <w:rPr>
                <w:sz w:val="20"/>
                <w:szCs w:val="20"/>
                <w:color w:val="auto"/>
              </w:rPr>
            </w:pPr>
            <w:r>
              <w:rPr>
                <w:rFonts w:ascii="Arial" w:cs="Arial" w:eastAsia="Arial" w:hAnsi="Arial"/>
                <w:sz w:val="18"/>
                <w:szCs w:val="18"/>
                <w:color w:val="auto"/>
                <w:w w:val="99"/>
              </w:rPr>
              <w:t>In 2019, we issued the following notes: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rPr>
              <w:t>Issuance Date</w:t>
            </w:r>
          </w:p>
        </w:tc>
        <w:tc>
          <w:tcPr>
            <w:tcW w:w="1880" w:type="dxa"/>
            <w:vAlign w:val="bottom"/>
            <w:gridSpan w:val="5"/>
            <w:vMerge w:val="restart"/>
          </w:tcPr>
          <w:p>
            <w:pPr>
              <w:jc w:val="center"/>
              <w:ind w:right="960"/>
              <w:spacing w:after="0"/>
              <w:rPr>
                <w:sz w:val="20"/>
                <w:szCs w:val="20"/>
                <w:color w:val="auto"/>
              </w:rPr>
            </w:pPr>
            <w:r>
              <w:rPr>
                <w:rFonts w:ascii="Arial" w:cs="Arial" w:eastAsia="Arial" w:hAnsi="Arial"/>
                <w:sz w:val="14"/>
                <w:szCs w:val="14"/>
                <w:b w:val="1"/>
                <w:bCs w:val="1"/>
                <w:color w:val="auto"/>
              </w:rPr>
              <w:t>Interest Rate</w:t>
            </w:r>
          </w:p>
        </w:tc>
        <w:tc>
          <w:tcPr>
            <w:tcW w:w="16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rPr>
              <w:t>Maturity Date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 xml:space="preserve">Gross Proceeds </w:t>
            </w:r>
            <w:r>
              <w:rPr>
                <w:rFonts w:ascii="Arial" w:cs="Arial" w:eastAsia="Arial" w:hAnsi="Arial"/>
                <w:sz w:val="18"/>
                <w:szCs w:val="18"/>
                <w:b w:val="1"/>
                <w:bCs w:val="1"/>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5"/>
            <w:vMerge w:val="continue"/>
          </w:tcPr>
          <w:p>
            <w:pPr>
              <w:spacing w:after="0"/>
              <w:rPr>
                <w:sz w:val="15"/>
                <w:szCs w:val="15"/>
                <w:color w:val="auto"/>
              </w:rPr>
            </w:pPr>
          </w:p>
        </w:tc>
        <w:tc>
          <w:tcPr>
            <w:tcW w:w="1880" w:type="dxa"/>
            <w:vAlign w:val="bottom"/>
            <w:gridSpan w:val="5"/>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96"/>
              </w:rPr>
              <w:t>October 2019</w:t>
            </w:r>
            <w:r>
              <w:rPr>
                <w:rFonts w:ascii="Arial" w:cs="Arial" w:eastAsia="Arial" w:hAnsi="Arial"/>
                <w:sz w:val="23"/>
                <w:szCs w:val="23"/>
                <w:color w:val="auto"/>
                <w:w w:val="96"/>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3"/>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right="413"/>
              <w:spacing w:after="0"/>
              <w:rPr>
                <w:sz w:val="20"/>
                <w:szCs w:val="20"/>
                <w:color w:val="auto"/>
              </w:rPr>
            </w:pPr>
            <w:r>
              <w:rPr>
                <w:rFonts w:ascii="Arial" w:cs="Arial" w:eastAsia="Arial" w:hAnsi="Arial"/>
                <w:sz w:val="18"/>
                <w:szCs w:val="18"/>
                <w:color w:val="auto"/>
                <w:w w:val="98"/>
              </w:rPr>
              <w:t>0.875%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October 2031</w:t>
            </w: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$548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5"/>
          </w:tcPr>
          <w:p>
            <w:pPr>
              <w:jc w:val="center"/>
              <w:ind w:right="620"/>
              <w:spacing w:after="0" w:line="230" w:lineRule="exact"/>
              <w:rPr>
                <w:sz w:val="20"/>
                <w:szCs w:val="20"/>
                <w:color w:val="auto"/>
              </w:rPr>
            </w:pPr>
            <w:r>
              <w:rPr>
                <w:rFonts w:ascii="Arial" w:cs="Arial" w:eastAsia="Arial" w:hAnsi="Arial"/>
                <w:sz w:val="18"/>
                <w:szCs w:val="18"/>
                <w:color w:val="auto"/>
                <w:w w:val="94"/>
              </w:rPr>
              <w:t>September 2019</w:t>
            </w:r>
            <w:r>
              <w:rPr>
                <w:rFonts w:ascii="Arial" w:cs="Arial" w:eastAsia="Arial" w:hAnsi="Arial"/>
                <w:sz w:val="23"/>
                <w:szCs w:val="23"/>
                <w:color w:val="auto"/>
                <w:w w:val="94"/>
                <w:vertAlign w:val="superscript"/>
              </w:rPr>
              <w:t>(3)(4)</w:t>
            </w: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98"/>
              </w:rPr>
              <w:t>2.125%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32"/>
              <w:spacing w:after="0"/>
              <w:rPr>
                <w:sz w:val="20"/>
                <w:szCs w:val="20"/>
                <w:color w:val="auto"/>
              </w:rPr>
            </w:pPr>
            <w:r>
              <w:rPr>
                <w:rFonts w:ascii="Arial" w:cs="Arial" w:eastAsia="Arial" w:hAnsi="Arial"/>
                <w:sz w:val="18"/>
                <w:szCs w:val="18"/>
                <w:color w:val="auto"/>
              </w:rPr>
              <w:t>September 2022</w:t>
            </w:r>
          </w:p>
        </w:tc>
        <w:tc>
          <w:tcPr>
            <w:tcW w:w="1860" w:type="dxa"/>
            <w:vAlign w:val="bottom"/>
            <w:gridSpan w:val="4"/>
          </w:tcPr>
          <w:p>
            <w:pPr>
              <w:jc w:val="center"/>
              <w:ind w:left="1171"/>
              <w:spacing w:after="0"/>
              <w:rPr>
                <w:sz w:val="20"/>
                <w:szCs w:val="20"/>
                <w:color w:val="auto"/>
              </w:rPr>
            </w:pPr>
            <w:r>
              <w:rPr>
                <w:rFonts w:ascii="Arial" w:cs="Arial" w:eastAsia="Arial" w:hAnsi="Arial"/>
                <w:sz w:val="18"/>
                <w:szCs w:val="18"/>
                <w:color w:val="auto"/>
                <w:w w:val="99"/>
              </w:rPr>
              <w:t>$500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5"/>
            <w:shd w:val="clear" w:color="auto" w:fill="CCEEFF"/>
          </w:tcPr>
          <w:p>
            <w:pPr>
              <w:jc w:val="center"/>
              <w:ind w:right="620"/>
              <w:spacing w:after="0" w:line="230" w:lineRule="exact"/>
              <w:rPr>
                <w:sz w:val="20"/>
                <w:szCs w:val="20"/>
                <w:color w:val="auto"/>
              </w:rPr>
            </w:pPr>
            <w:r>
              <w:rPr>
                <w:rFonts w:ascii="Arial" w:cs="Arial" w:eastAsia="Arial" w:hAnsi="Arial"/>
                <w:sz w:val="18"/>
                <w:szCs w:val="18"/>
                <w:color w:val="auto"/>
                <w:w w:val="94"/>
              </w:rPr>
              <w:t>September 2019</w:t>
            </w:r>
            <w:r>
              <w:rPr>
                <w:rFonts w:ascii="Arial" w:cs="Arial" w:eastAsia="Arial" w:hAnsi="Arial"/>
                <w:sz w:val="23"/>
                <w:szCs w:val="23"/>
                <w:color w:val="auto"/>
                <w:w w:val="94"/>
                <w:vertAlign w:val="superscript"/>
              </w:rPr>
              <w:t>(3)(4)</w:t>
            </w:r>
          </w:p>
        </w:tc>
        <w:tc>
          <w:tcPr>
            <w:tcW w:w="142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98"/>
              </w:rPr>
              <w:t>2.250%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September 2024</w:t>
            </w:r>
          </w:p>
        </w:tc>
        <w:tc>
          <w:tcPr>
            <w:tcW w:w="1860" w:type="dxa"/>
            <w:vAlign w:val="bottom"/>
            <w:gridSpan w:val="4"/>
            <w:shd w:val="clear" w:color="auto" w:fill="CCEEFF"/>
          </w:tcPr>
          <w:p>
            <w:pPr>
              <w:jc w:val="center"/>
              <w:ind w:left="1171"/>
              <w:spacing w:after="0"/>
              <w:rPr>
                <w:sz w:val="20"/>
                <w:szCs w:val="20"/>
                <w:color w:val="auto"/>
              </w:rPr>
            </w:pPr>
            <w:r>
              <w:rPr>
                <w:rFonts w:ascii="Arial" w:cs="Arial" w:eastAsia="Arial" w:hAnsi="Arial"/>
                <w:sz w:val="18"/>
                <w:szCs w:val="18"/>
                <w:color w:val="auto"/>
                <w:w w:val="99"/>
              </w:rPr>
              <w:t>$500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5"/>
          </w:tcPr>
          <w:p>
            <w:pPr>
              <w:jc w:val="center"/>
              <w:ind w:right="620"/>
              <w:spacing w:after="0" w:line="230" w:lineRule="exact"/>
              <w:rPr>
                <w:sz w:val="20"/>
                <w:szCs w:val="20"/>
                <w:color w:val="auto"/>
              </w:rPr>
            </w:pPr>
            <w:r>
              <w:rPr>
                <w:rFonts w:ascii="Arial" w:cs="Arial" w:eastAsia="Arial" w:hAnsi="Arial"/>
                <w:sz w:val="18"/>
                <w:szCs w:val="18"/>
                <w:color w:val="auto"/>
                <w:w w:val="94"/>
              </w:rPr>
              <w:t>September 2019</w:t>
            </w:r>
            <w:r>
              <w:rPr>
                <w:rFonts w:ascii="Arial" w:cs="Arial" w:eastAsia="Arial" w:hAnsi="Arial"/>
                <w:sz w:val="23"/>
                <w:szCs w:val="23"/>
                <w:color w:val="auto"/>
                <w:w w:val="94"/>
                <w:vertAlign w:val="superscript"/>
              </w:rPr>
              <w:t>(4)(5)</w:t>
            </w:r>
          </w:p>
        </w:tc>
        <w:tc>
          <w:tcPr>
            <w:tcW w:w="1880" w:type="dxa"/>
            <w:vAlign w:val="bottom"/>
            <w:gridSpan w:val="5"/>
          </w:tcPr>
          <w:p>
            <w:pPr>
              <w:ind w:left="160"/>
              <w:spacing w:after="0"/>
              <w:rPr>
                <w:sz w:val="20"/>
                <w:szCs w:val="20"/>
                <w:color w:val="auto"/>
              </w:rPr>
            </w:pPr>
            <w:r>
              <w:rPr>
                <w:rFonts w:ascii="Arial" w:cs="Arial" w:eastAsia="Arial" w:hAnsi="Arial"/>
                <w:sz w:val="18"/>
                <w:szCs w:val="18"/>
                <w:color w:val="auto"/>
              </w:rPr>
              <w:t>Variable</w:t>
            </w:r>
          </w:p>
        </w:tc>
        <w:tc>
          <w:tcPr>
            <w:tcW w:w="1660" w:type="dxa"/>
            <w:vAlign w:val="bottom"/>
            <w:gridSpan w:val="3"/>
          </w:tcPr>
          <w:p>
            <w:pPr>
              <w:jc w:val="center"/>
              <w:ind w:left="32"/>
              <w:spacing w:after="0"/>
              <w:rPr>
                <w:sz w:val="20"/>
                <w:szCs w:val="20"/>
                <w:color w:val="auto"/>
              </w:rPr>
            </w:pPr>
            <w:r>
              <w:rPr>
                <w:rFonts w:ascii="Arial" w:cs="Arial" w:eastAsia="Arial" w:hAnsi="Arial"/>
                <w:sz w:val="18"/>
                <w:szCs w:val="18"/>
                <w:color w:val="auto"/>
              </w:rPr>
              <w:t>September 2022</w:t>
            </w:r>
          </w:p>
        </w:tc>
        <w:tc>
          <w:tcPr>
            <w:tcW w:w="1860" w:type="dxa"/>
            <w:vAlign w:val="bottom"/>
            <w:gridSpan w:val="4"/>
          </w:tcPr>
          <w:p>
            <w:pPr>
              <w:jc w:val="center"/>
              <w:ind w:left="1171"/>
              <w:spacing w:after="0"/>
              <w:rPr>
                <w:sz w:val="20"/>
                <w:szCs w:val="20"/>
                <w:color w:val="auto"/>
              </w:rPr>
            </w:pPr>
            <w:r>
              <w:rPr>
                <w:rFonts w:ascii="Arial" w:cs="Arial" w:eastAsia="Arial" w:hAnsi="Arial"/>
                <w:sz w:val="18"/>
                <w:szCs w:val="18"/>
                <w:color w:val="auto"/>
                <w:w w:val="99"/>
              </w:rPr>
              <w:t>$500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5"/>
            <w:shd w:val="clear" w:color="auto" w:fill="CCEEFF"/>
          </w:tcPr>
          <w:p>
            <w:pPr>
              <w:jc w:val="center"/>
              <w:ind w:right="620"/>
              <w:spacing w:after="0" w:line="230" w:lineRule="exact"/>
              <w:rPr>
                <w:sz w:val="20"/>
                <w:szCs w:val="20"/>
                <w:color w:val="auto"/>
              </w:rPr>
            </w:pPr>
            <w:r>
              <w:rPr>
                <w:rFonts w:ascii="Arial" w:cs="Arial" w:eastAsia="Arial" w:hAnsi="Arial"/>
                <w:sz w:val="18"/>
                <w:szCs w:val="18"/>
                <w:color w:val="auto"/>
                <w:w w:val="94"/>
              </w:rPr>
              <w:t>September 2019</w:t>
            </w:r>
            <w:r>
              <w:rPr>
                <w:rFonts w:ascii="Arial" w:cs="Arial" w:eastAsia="Arial" w:hAnsi="Arial"/>
                <w:sz w:val="23"/>
                <w:szCs w:val="23"/>
                <w:color w:val="auto"/>
                <w:w w:val="94"/>
                <w:vertAlign w:val="superscript"/>
              </w:rPr>
              <w:t>(4)(5)</w:t>
            </w:r>
          </w:p>
        </w:tc>
        <w:tc>
          <w:tcPr>
            <w:tcW w:w="1880" w:type="dxa"/>
            <w:vAlign w:val="bottom"/>
            <w:gridSpan w:val="5"/>
            <w:shd w:val="clear" w:color="auto" w:fill="CCEEFF"/>
          </w:tcPr>
          <w:p>
            <w:pPr>
              <w:jc w:val="center"/>
              <w:ind w:right="960"/>
              <w:spacing w:after="0"/>
              <w:rPr>
                <w:sz w:val="20"/>
                <w:szCs w:val="20"/>
                <w:color w:val="auto"/>
              </w:rPr>
            </w:pPr>
            <w:r>
              <w:rPr>
                <w:rFonts w:ascii="Arial" w:cs="Arial" w:eastAsia="Arial" w:hAnsi="Arial"/>
                <w:sz w:val="18"/>
                <w:szCs w:val="18"/>
                <w:color w:val="auto"/>
                <w:w w:val="96"/>
              </w:rPr>
              <w:t>Variable</w:t>
            </w:r>
          </w:p>
        </w:tc>
        <w:tc>
          <w:tcPr>
            <w:tcW w:w="16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rPr>
              <w:t>September 2024</w:t>
            </w:r>
          </w:p>
        </w:tc>
        <w:tc>
          <w:tcPr>
            <w:tcW w:w="1860" w:type="dxa"/>
            <w:vAlign w:val="bottom"/>
            <w:gridSpan w:val="4"/>
            <w:shd w:val="clear" w:color="auto" w:fill="CCEEFF"/>
          </w:tcPr>
          <w:p>
            <w:pPr>
              <w:jc w:val="center"/>
              <w:ind w:left="1171"/>
              <w:spacing w:after="0"/>
              <w:rPr>
                <w:sz w:val="20"/>
                <w:szCs w:val="20"/>
                <w:color w:val="auto"/>
              </w:rPr>
            </w:pPr>
            <w:r>
              <w:rPr>
                <w:rFonts w:ascii="Arial" w:cs="Arial" w:eastAsia="Arial" w:hAnsi="Arial"/>
                <w:sz w:val="18"/>
                <w:szCs w:val="18"/>
                <w:color w:val="auto"/>
                <w:w w:val="99"/>
              </w:rPr>
              <w:t>$500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5"/>
          </w:tcPr>
          <w:p>
            <w:pPr>
              <w:jc w:val="center"/>
              <w:ind w:right="640"/>
              <w:spacing w:after="0"/>
              <w:rPr>
                <w:sz w:val="20"/>
                <w:szCs w:val="20"/>
                <w:color w:val="auto"/>
              </w:rPr>
            </w:pPr>
            <w:r>
              <w:rPr>
                <w:rFonts w:ascii="Arial" w:cs="Arial" w:eastAsia="Arial" w:hAnsi="Arial"/>
                <w:sz w:val="18"/>
                <w:szCs w:val="18"/>
                <w:color w:val="auto"/>
                <w:w w:val="99"/>
              </w:rPr>
              <w:t>February 2019</w:t>
            </w: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98"/>
              </w:rPr>
              <w:t>3.625%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center"/>
              <w:ind w:left="32"/>
              <w:spacing w:after="0"/>
              <w:rPr>
                <w:sz w:val="20"/>
                <w:szCs w:val="20"/>
                <w:color w:val="auto"/>
              </w:rPr>
            </w:pPr>
            <w:r>
              <w:rPr>
                <w:rFonts w:ascii="Arial" w:cs="Arial" w:eastAsia="Arial" w:hAnsi="Arial"/>
                <w:sz w:val="18"/>
                <w:szCs w:val="18"/>
                <w:color w:val="auto"/>
              </w:rPr>
              <w:t>February 2026</w:t>
            </w:r>
          </w:p>
        </w:tc>
        <w:tc>
          <w:tcPr>
            <w:tcW w:w="1860" w:type="dxa"/>
            <w:vAlign w:val="bottom"/>
            <w:gridSpan w:val="4"/>
          </w:tcPr>
          <w:p>
            <w:pPr>
              <w:jc w:val="center"/>
              <w:ind w:left="1171"/>
              <w:spacing w:after="0"/>
              <w:rPr>
                <w:sz w:val="20"/>
                <w:szCs w:val="20"/>
                <w:color w:val="auto"/>
              </w:rPr>
            </w:pPr>
            <w:r>
              <w:rPr>
                <w:rFonts w:ascii="Arial" w:cs="Arial" w:eastAsia="Arial" w:hAnsi="Arial"/>
                <w:sz w:val="18"/>
                <w:szCs w:val="18"/>
                <w:color w:val="auto"/>
                <w:w w:val="99"/>
              </w:rPr>
              <w:t>$600</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19"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represents a further issuance of the previously issued note and forms a single series note.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Notes issued by Mondelez International Holdings Netherlands B.V. (“MIHN”), a wholly owned Dutch subsidiary of Mondelez International, Inc.</w:t>
      </w:r>
    </w:p>
    <w:p>
      <w:pPr>
        <w:spacing w:after="0" w:line="1" w:lineRule="exact"/>
        <w:rPr>
          <w:rFonts w:ascii="Arial" w:cs="Arial" w:eastAsia="Arial" w:hAnsi="Arial"/>
          <w:sz w:val="14"/>
          <w:szCs w:val="14"/>
          <w:color w:val="auto"/>
        </w:rPr>
      </w:pPr>
    </w:p>
    <w:p>
      <w:pPr>
        <w:ind w:right="40" w:firstLine="8"/>
        <w:spacing w:after="0" w:line="241" w:lineRule="auto"/>
        <w:tabs>
          <w:tab w:leader="none" w:pos="2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connection with this debt issuance, we entered into cross-currency swaps, serving as cash flow hedges, so that the U.S. dollar-denominated debt payments will effectively be paid in euros over the life of the debt.</w:t>
      </w: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MIHN entered into a term loan agreement. The amount presented is the amount issued under the term loan.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fair value of our short-term borrowings at December 31, 2020 and December 31, 2019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3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183"/>
        </w:trPr>
        <w:tc>
          <w:tcPr>
            <w:tcW w:w="3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80" w:type="dxa"/>
            <w:vAlign w:val="bottom"/>
            <w:gridSpan w:val="2"/>
          </w:tcPr>
          <w:p>
            <w:pPr>
              <w:ind w:left="10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21,568</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4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ind w:left="760"/>
              <w:spacing w:after="0"/>
              <w:rPr>
                <w:sz w:val="20"/>
                <w:szCs w:val="20"/>
                <w:color w:val="auto"/>
              </w:rPr>
            </w:pPr>
            <w:r>
              <w:rPr>
                <w:rFonts w:ascii="Arial" w:cs="Arial" w:eastAsia="Arial" w:hAnsi="Arial"/>
                <w:sz w:val="18"/>
                <w:szCs w:val="18"/>
                <w:color w:val="auto"/>
              </w:rPr>
              <w:t>20,046</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18,426</w:t>
            </w:r>
          </w:p>
        </w:tc>
      </w:tr>
      <w:tr>
        <w:trPr>
          <w:trHeight w:val="868"/>
        </w:trPr>
        <w:tc>
          <w:tcPr>
            <w:tcW w:w="3340" w:type="dxa"/>
            <w:vAlign w:val="bottom"/>
          </w:tcPr>
          <w:p>
            <w:pPr>
              <w:spacing w:after="0"/>
              <w:rPr>
                <w:sz w:val="24"/>
                <w:szCs w:val="24"/>
                <w:color w:val="auto"/>
              </w:rPr>
            </w:pPr>
          </w:p>
        </w:tc>
        <w:tc>
          <w:tcPr>
            <w:tcW w:w="4120" w:type="dxa"/>
            <w:vAlign w:val="bottom"/>
          </w:tcPr>
          <w:p>
            <w:pPr>
              <w:jc w:val="right"/>
              <w:ind w:right="159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334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10"/>
        </w:trPr>
        <w:tc>
          <w:tcPr>
            <w:tcW w:w="6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09"/>
        </w:trPr>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debt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Loss on debt extinguishment and related expenses</w:t>
            </w: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Loss/(gain) related to interest rate swaps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(income)/expense, net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gain/loss related to U.S. dollar interest rate swaps no longer designated as accounting cash flow hedges and for information on amounts in other income related to our net investment hedge derivative contracts and the amounts excluded from hedge effectiveness of $117 million in 2020, $133 million in 2019 and $120 million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spacing w:after="0"/>
              <w:rPr>
                <w:sz w:val="17"/>
                <w:szCs w:val="17"/>
                <w:color w:val="auto"/>
              </w:rPr>
            </w:pPr>
          </w:p>
        </w:tc>
      </w:tr>
      <w:tr>
        <w:trPr>
          <w:trHeight w:val="142"/>
        </w:trPr>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9"/>
              </w:rPr>
              <w:t>Asset</w:t>
            </w:r>
          </w:p>
        </w:tc>
        <w:tc>
          <w:tcPr>
            <w:tcW w:w="260" w:type="dxa"/>
            <w:vAlign w:val="bottom"/>
          </w:tcPr>
          <w:p>
            <w:pPr>
              <w:spacing w:after="0"/>
              <w:rPr>
                <w:sz w:val="12"/>
                <w:szCs w:val="12"/>
                <w:color w:val="auto"/>
              </w:rPr>
            </w:pPr>
          </w:p>
        </w:tc>
        <w:tc>
          <w:tcPr>
            <w:tcW w:w="1320" w:type="dxa"/>
            <w:vAlign w:val="bottom"/>
          </w:tcPr>
          <w:p>
            <w:pPr>
              <w:jc w:val="center"/>
              <w:ind w:right="177"/>
              <w:spacing w:after="0" w:line="142" w:lineRule="exact"/>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2"/>
                <w:szCs w:val="12"/>
                <w:color w:val="auto"/>
              </w:rPr>
            </w:pPr>
          </w:p>
        </w:tc>
        <w:tc>
          <w:tcPr>
            <w:tcW w:w="13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6"/>
        </w:trPr>
        <w:tc>
          <w:tcPr>
            <w:tcW w:w="4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4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155"/>
        </w:trPr>
        <w:tc>
          <w:tcPr>
            <w:tcW w:w="46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4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40" w:hanging="332"/>
        <w:spacing w:after="0" w:line="258"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w:t>
      </w:r>
      <w:r>
        <w:rPr>
          <w:rFonts w:ascii="Arial" w:cs="Arial" w:eastAsia="Arial" w:hAnsi="Arial"/>
          <w:sz w:val="14"/>
          <w:szCs w:val="14"/>
          <w:color w:val="auto"/>
        </w:rPr>
        <w:t xml:space="preserve"> </w:t>
      </w:r>
      <w:r>
        <w:rPr>
          <w:rFonts w:ascii="Arial" w:cs="Arial" w:eastAsia="Arial" w:hAnsi="Arial"/>
          <w:sz w:val="14"/>
          <w:szCs w:val="14"/>
          <w:i w:val="1"/>
          <w:iCs w:val="1"/>
          <w:color w:val="auto"/>
        </w:rPr>
        <w:t>and Borrowing Arrangements</w:t>
      </w:r>
      <w:r>
        <w:rPr>
          <w:rFonts w:ascii="Arial" w:cs="Arial" w:eastAsia="Arial" w:hAnsi="Arial"/>
          <w:sz w:val="14"/>
          <w:szCs w:val="14"/>
          <w:color w:val="auto"/>
        </w:rPr>
        <w:t>. Both net investment hedge derivative contracts and non-U.S. dollar denominated debt acting as net investment hedges are also disclosed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8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Derivatives designated as accounting hedges above include cash flow and net investment hedge derivative contracts. Our currency exchange and commodity derivative contracts are economic hedges that are not designated as accounting hedges. We record derivative assets and liabilities on a gross basis on our consolidated balance sheets. The fair value of our asset derivatives is recorded within other current assets and the fair value of our liability derivatives is recorded within other current liabilities.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Fair Value of Net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Net investment hedge contracts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Other Observable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Fair Value of Net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Asset/(Liability)</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investment hedge contracts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gross notional values of our derivative instruments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Borders>
              <w:bottom w:val="single" w:sz="8" w:color="auto"/>
            </w:tcBorders>
          </w:tcPr>
          <w:p>
            <w:pPr>
              <w:spacing w:after="0"/>
              <w:rPr>
                <w:sz w:val="16"/>
                <w:szCs w:val="16"/>
                <w:color w:val="auto"/>
              </w:rPr>
            </w:pPr>
          </w:p>
        </w:tc>
      </w:tr>
      <w:tr>
        <w:trPr>
          <w:trHeight w:val="210"/>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ind w:left="9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2,184</w:t>
            </w:r>
          </w:p>
        </w:tc>
        <w:tc>
          <w:tcPr>
            <w:tcW w:w="660" w:type="dxa"/>
            <w:vAlign w:val="bottom"/>
            <w:gridSpan w:val="2"/>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7,238</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4,551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29"/>
        </w:trPr>
        <w:tc>
          <w:tcPr>
            <w:tcW w:w="592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43"/>
        </w:trPr>
        <w:tc>
          <w:tcPr>
            <w:tcW w:w="592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504"/>
        </w:trPr>
        <w:tc>
          <w:tcPr>
            <w:tcW w:w="592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9400" w:type="dxa"/>
            <w:vAlign w:val="bottom"/>
            <w:gridSpan w:val="7"/>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47"/>
        </w:trPr>
        <w:tc>
          <w:tcPr>
            <w:tcW w:w="5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10"/>
        </w:trPr>
        <w:tc>
          <w:tcPr>
            <w:tcW w:w="5920" w:type="dxa"/>
            <w:vAlign w:val="bottom"/>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(168)</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Transfer of realized (gains)/losses in fair value to earnings</w:t>
            </w:r>
          </w:p>
        </w:tc>
        <w:tc>
          <w:tcPr>
            <w:tcW w:w="11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gain/(loss) in fair value</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1"/>
        </w:trPr>
        <w:tc>
          <w:tcPr>
            <w:tcW w:w="5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10"/>
        </w:trPr>
        <w:tc>
          <w:tcPr>
            <w:tcW w:w="5920" w:type="dxa"/>
            <w:vAlign w:val="bottom"/>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ind w:right="24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3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Within interest and other expense, net, we recognized losses related to forward starting interest rate swaps of $79 million ($103 million pre-tax) in 2020, a loss of $111 million in 2019 and a gain of $10 million in 2018 due to changes in related forecasted debt. During the second quarter of 2019, we also recognized a loss of $12 million related to the net loss on equity method investment transactions noted in Note 7, </w:t>
      </w:r>
      <w:r>
        <w:rPr>
          <w:rFonts w:ascii="Arial" w:cs="Arial" w:eastAsia="Arial" w:hAnsi="Arial"/>
          <w:sz w:val="18"/>
          <w:szCs w:val="18"/>
          <w:i w:val="1"/>
          <w:iCs w:val="1"/>
          <w:color w:val="auto"/>
        </w:rPr>
        <w:t>Equity Method Investments – JDE / Keurig Exchange</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55"/>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09"/>
        </w:trPr>
        <w:tc>
          <w:tcPr>
            <w:tcW w:w="5900" w:type="dxa"/>
            <w:vAlign w:val="bottom"/>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r>
      <w:tr>
        <w:trPr>
          <w:trHeight w:val="210"/>
        </w:trPr>
        <w:tc>
          <w:tcPr>
            <w:tcW w:w="5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835"/>
              <w:spacing w:after="0"/>
              <w:rPr>
                <w:sz w:val="20"/>
                <w:szCs w:val="20"/>
                <w:color w:val="auto"/>
              </w:rPr>
            </w:pPr>
            <w:r>
              <w:rPr>
                <w:rFonts w:ascii="Arial" w:cs="Arial" w:eastAsia="Arial" w:hAnsi="Arial"/>
                <w:sz w:val="18"/>
                <w:szCs w:val="18"/>
                <w:color w:val="auto"/>
                <w:w w:val="99"/>
              </w:rPr>
              <w:t>—</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99"/>
              </w:rPr>
              <w:t>(45)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9"/>
              </w:rPr>
              <w:t>(45)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immaterial for all periods presented.</w:t>
      </w:r>
    </w:p>
    <w:p>
      <w:pPr>
        <w:spacing w:after="0" w:line="25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190"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Based on current market conditions, we would expect to transfer losses of $179 million (net of taxes) for interest rate cash flow hedges to earnings during the next 12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As of December 31, 2020, our longest dated cash flow hedges were interest rate swaps that hedge forecasted interest rate payments over the next 3 years and 9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As of December 31, 2020, the aggregate notional value of these NIH derivative contracts was $4.6 billion and their impact on other comprehensive earnings and net earnings during the years presented below were as follows: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8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5880" w:type="dxa"/>
            <w:vAlign w:val="bottom"/>
          </w:tcPr>
          <w:p>
            <w:pPr>
              <w:spacing w:after="0"/>
              <w:rPr>
                <w:sz w:val="15"/>
                <w:szCs w:val="15"/>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r>
      <w:tr>
        <w:trPr>
          <w:trHeight w:val="183"/>
        </w:trPr>
        <w:tc>
          <w:tcPr>
            <w:tcW w:w="5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center"/>
              <w:ind w:right="24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bl>
    <w:p>
      <w:pPr>
        <w:spacing w:after="0" w:line="311" w:lineRule="exact"/>
        <w:rPr>
          <w:sz w:val="20"/>
          <w:szCs w:val="20"/>
          <w:color w:val="auto"/>
        </w:rPr>
      </w:pPr>
    </w:p>
    <w:p>
      <w:pPr>
        <w:ind w:left="340" w:right="120" w:hanging="332"/>
        <w:spacing w:after="0" w:line="291"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consolidated statement of cash flows.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8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center"/>
              <w:ind w:right="22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w:t>
            </w:r>
          </w:p>
        </w:tc>
        <w:tc>
          <w:tcPr>
            <w:tcW w:w="1180" w:type="dxa"/>
            <w:vAlign w:val="bottom"/>
            <w:vMerge w:val="restart"/>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117</w:t>
            </w: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133</w:t>
            </w:r>
          </w:p>
        </w:tc>
        <w:tc>
          <w:tcPr>
            <w:tcW w:w="5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11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40" w:type="dxa"/>
            <w:vAlign w:val="bottom"/>
          </w:tcPr>
          <w:p>
            <w:pPr>
              <w:spacing w:after="0"/>
              <w:rPr>
                <w:sz w:val="18"/>
                <w:szCs w:val="18"/>
                <w:color w:val="auto"/>
              </w:rPr>
            </w:pPr>
          </w:p>
        </w:tc>
        <w:tc>
          <w:tcPr>
            <w:tcW w:w="3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36"/>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8"/>
                <w:szCs w:val="18"/>
                <w:color w:val="auto"/>
              </w:rPr>
            </w:pPr>
          </w:p>
        </w:tc>
        <w:tc>
          <w:tcPr>
            <w:tcW w:w="1260" w:type="dxa"/>
            <w:vAlign w:val="bottom"/>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10"/>
        </w:trPr>
        <w:tc>
          <w:tcPr>
            <w:tcW w:w="3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3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916"/>
              <w:spacing w:after="0"/>
              <w:rPr>
                <w:sz w:val="20"/>
                <w:szCs w:val="20"/>
                <w:color w:val="auto"/>
              </w:rPr>
            </w:pPr>
            <w:r>
              <w:rPr>
                <w:rFonts w:ascii="Arial" w:cs="Arial" w:eastAsia="Arial" w:hAnsi="Arial"/>
                <w:sz w:val="18"/>
                <w:szCs w:val="18"/>
                <w:color w:val="auto"/>
                <w:w w:val="99"/>
              </w:rPr>
              <w:t>60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1480" w:type="dxa"/>
            <w:vAlign w:val="bottom"/>
          </w:tcPr>
          <w:p>
            <w:pPr>
              <w:jc w:val="center"/>
              <w:ind w:left="916"/>
              <w:spacing w:after="0"/>
              <w:rPr>
                <w:sz w:val="20"/>
                <w:szCs w:val="20"/>
                <w:color w:val="auto"/>
              </w:rPr>
            </w:pPr>
            <w:r>
              <w:rPr>
                <w:rFonts w:ascii="Arial" w:cs="Arial" w:eastAsia="Arial" w:hAnsi="Arial"/>
                <w:sz w:val="18"/>
                <w:szCs w:val="18"/>
                <w:color w:val="auto"/>
                <w:w w:val="99"/>
              </w:rPr>
              <w:t>(10)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2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916"/>
              <w:spacing w:after="0"/>
              <w:rPr>
                <w:sz w:val="20"/>
                <w:szCs w:val="20"/>
                <w:color w:val="auto"/>
              </w:rPr>
            </w:pPr>
            <w:r>
              <w:rPr>
                <w:rFonts w:ascii="Arial" w:cs="Arial" w:eastAsia="Arial" w:hAnsi="Arial"/>
                <w:sz w:val="18"/>
                <w:szCs w:val="18"/>
                <w:color w:val="auto"/>
                <w:w w:val="99"/>
              </w:rPr>
              <w:t>(19)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2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480" w:type="dxa"/>
            <w:vAlign w:val="bottom"/>
          </w:tcPr>
          <w:p>
            <w:pPr>
              <w:jc w:val="center"/>
              <w:ind w:left="916"/>
              <w:spacing w:after="0"/>
              <w:rPr>
                <w:sz w:val="20"/>
                <w:szCs w:val="20"/>
                <w:color w:val="auto"/>
              </w:rPr>
            </w:pPr>
            <w:r>
              <w:rPr>
                <w:rFonts w:ascii="Arial" w:cs="Arial" w:eastAsia="Arial" w:hAnsi="Arial"/>
                <w:sz w:val="18"/>
                <w:szCs w:val="18"/>
                <w:color w:val="auto"/>
                <w:w w:val="99"/>
              </w:rPr>
              <w:t>(17)</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760"/>
        </w:trPr>
        <w:tc>
          <w:tcPr>
            <w:tcW w:w="3840" w:type="dxa"/>
            <w:vAlign w:val="bottom"/>
          </w:tcPr>
          <w:p>
            <w:pPr>
              <w:spacing w:after="0"/>
              <w:rPr>
                <w:sz w:val="24"/>
                <w:szCs w:val="24"/>
                <w:color w:val="auto"/>
              </w:rPr>
            </w:pP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38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jc w:val="center"/>
              <w:ind w:left="113"/>
              <w:spacing w:after="0"/>
              <w:rPr>
                <w:sz w:val="20"/>
                <w:szCs w:val="20"/>
                <w:color w:val="auto"/>
              </w:rPr>
            </w:pPr>
            <w:r>
              <w:rPr>
                <w:rFonts w:ascii="Arial" w:cs="Arial" w:eastAsia="Arial" w:hAnsi="Arial"/>
                <w:sz w:val="14"/>
                <w:szCs w:val="14"/>
                <w:b w:val="1"/>
                <w:bCs w:val="1"/>
                <w:color w:val="auto"/>
              </w:rPr>
              <w:t>For the Years Ended December 31,</w:t>
            </w: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vMerge w:val="restart"/>
          </w:tcPr>
          <w:p>
            <w:pPr>
              <w:jc w:val="center"/>
              <w:ind w:left="20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440" w:type="dxa"/>
            <w:vAlign w:val="bottom"/>
            <w:vMerge w:val="restart"/>
          </w:tcPr>
          <w:p>
            <w:pPr>
              <w:jc w:val="right"/>
              <w:ind w:right="235"/>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42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3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forecasted interest payments</w:t>
            </w:r>
          </w:p>
        </w:tc>
        <w:tc>
          <w:tcPr>
            <w:tcW w:w="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35"/>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jc w:val="center"/>
              <w:ind w:right="340"/>
              <w:spacing w:after="0" w:line="135" w:lineRule="exact"/>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75"/>
        </w:trPr>
        <w:tc>
          <w:tcPr>
            <w:tcW w:w="428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contracts</w:t>
            </w: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46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11. Benefit Plans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2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20"/>
                <w:szCs w:val="20"/>
                <w:color w:val="auto"/>
              </w:rPr>
            </w:pPr>
            <w:r>
              <w:rPr>
                <w:rFonts w:ascii="Arial" w:cs="Arial" w:eastAsia="Arial" w:hAnsi="Arial"/>
                <w:sz w:val="18"/>
                <w:szCs w:val="18"/>
                <w:i w:val="1"/>
                <w:iCs w:val="1"/>
                <w:color w:val="auto"/>
              </w:rPr>
              <w:t>Obligations and Funded Status:</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00" w:type="dxa"/>
            <w:vAlign w:val="bottom"/>
            <w:gridSpan w:val="9"/>
          </w:tcPr>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U.S. Plans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gridSpan w:val="7"/>
          </w:tcPr>
          <w:p>
            <w:pPr>
              <w:ind w:left="50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January 1</w:t>
            </w:r>
          </w:p>
        </w:tc>
        <w:tc>
          <w:tcPr>
            <w:tcW w:w="9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ind w:left="48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Actuarial (gains)/losses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3"/>
              </w:rPr>
              <w:t>251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December 31</w:t>
            </w:r>
          </w:p>
        </w:tc>
        <w:tc>
          <w:tcPr>
            <w:tcW w:w="4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Fair value of plan assets at January 1</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9,758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Contributions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Settlements paid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4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pension (liabilities)/assets at December 31</w:t>
            </w:r>
          </w:p>
        </w:tc>
        <w:tc>
          <w:tcPr>
            <w:tcW w:w="4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80" w:right="100" w:hanging="332"/>
        <w:spacing w:after="0" w:line="259" w:lineRule="auto"/>
        <w:tabs>
          <w:tab w:leader="none" w:pos="367" w:val="left"/>
        </w:tabs>
        <w:numPr>
          <w:ilvl w:val="0"/>
          <w:numId w:val="49"/>
        </w:numPr>
        <w:rPr>
          <w:rFonts w:ascii="Arial" w:cs="Arial" w:eastAsia="Arial" w:hAnsi="Arial"/>
          <w:sz w:val="14"/>
          <w:szCs w:val="14"/>
          <w:color w:val="auto"/>
        </w:rPr>
      </w:pPr>
      <w:r>
        <w:rPr>
          <w:rFonts w:ascii="Arial" w:cs="Arial" w:eastAsia="Arial" w:hAnsi="Arial"/>
          <w:sz w:val="16"/>
          <w:szCs w:val="16"/>
          <w:color w:val="auto"/>
        </w:rPr>
        <w:t>In 2020 we reviewed the impact of market changes on design features of certain historical defined contribution plans. The review resulted in additional plans being accounted for as defined benefit pension plans, which resulted in increases of $133 million in the projected benefit obligation and</w:t>
      </w:r>
    </w:p>
    <w:p>
      <w:pPr>
        <w:ind w:left="380"/>
        <w:spacing w:after="0"/>
        <w:rPr>
          <w:rFonts w:ascii="Arial" w:cs="Arial" w:eastAsia="Arial" w:hAnsi="Arial"/>
          <w:sz w:val="14"/>
          <w:szCs w:val="14"/>
          <w:color w:val="auto"/>
        </w:rPr>
      </w:pPr>
      <w:r>
        <w:rPr>
          <w:rFonts w:ascii="Arial" w:cs="Arial" w:eastAsia="Arial" w:hAnsi="Arial"/>
          <w:sz w:val="16"/>
          <w:szCs w:val="16"/>
          <w:color w:val="auto"/>
        </w:rPr>
        <w:t>$125 million in plan assets in 2020</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accumulated benefit obligation, which represents benefits earned to the measurement date, for U.S. pension plans was $1,882 million at December 31, 2020 and $1,741 million at December 31, 2019. The accumulated benefit obligation for non-U.S. pension plans was $11,404 million at December 31, 2020 and $10,236 million at December 31, 2019.</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actuarial (gain) loss for all pension plans in 2020 and 2019 was primarily related to a change in the discount rate used to measure the benefit obligations of those plans.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Salaried and non-union hourly employees hired after January 1, 2009 in the U.S. and after January 1, 2011 in Canada (or earlier for certain legacy Cadbury employees) are no longer eligible to participate in the defined benefit pension plans. Benefit accruals for salaried and non-union hourly employee participants in the U.S. and Canada defined benefit pension plans ceased on December 31, 2019. These employees instead receive Company contributions to the employee defined contribution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combined U.S. and non-U.S. pension plans resulted in a net pension liability of $614 million at December 31, 2020 and $709 million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We recognized these amounts in our consolidated balance sheets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09"/>
        </w:trPr>
        <w:tc>
          <w:tcPr>
            <w:tcW w:w="7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r>
      <w:tr>
        <w:trPr>
          <w:trHeight w:val="209"/>
        </w:trPr>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pension assets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costs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23"/>
        </w:trPr>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r>
      <w:tr>
        <w:trPr>
          <w:trHeight w:val="21"/>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6"/>
                <w:szCs w:val="16"/>
                <w:color w:val="auto"/>
              </w:rPr>
            </w:pPr>
          </w:p>
        </w:tc>
      </w:tr>
      <w:tr>
        <w:trPr>
          <w:trHeight w:val="210"/>
        </w:trPr>
        <w:tc>
          <w:tcPr>
            <w:tcW w:w="5720" w:type="dxa"/>
            <w:vAlign w:val="bottom"/>
          </w:tcPr>
          <w:p>
            <w:pPr>
              <w:spacing w:after="0"/>
              <w:rPr>
                <w:sz w:val="18"/>
                <w:szCs w:val="18"/>
                <w:color w:val="auto"/>
              </w:rPr>
            </w:pPr>
          </w:p>
        </w:tc>
        <w:tc>
          <w:tcPr>
            <w:tcW w:w="226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5720" w:type="dxa"/>
            <w:vAlign w:val="bottom"/>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5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4,059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88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3,873</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3,447</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2,827</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6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Non-U.S. Plans</w:t>
            </w:r>
          </w:p>
        </w:tc>
      </w:tr>
      <w:tr>
        <w:trPr>
          <w:trHeight w:val="210"/>
        </w:trPr>
        <w:tc>
          <w:tcPr>
            <w:tcW w:w="5560" w:type="dxa"/>
            <w:vAlign w:val="bottom"/>
          </w:tcPr>
          <w:p>
            <w:pPr>
              <w:spacing w:after="0"/>
              <w:rPr>
                <w:sz w:val="18"/>
                <w:szCs w:val="18"/>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2760" w:type="dxa"/>
            <w:vAlign w:val="bottom"/>
            <w:gridSpan w:val="3"/>
          </w:tcPr>
          <w:p>
            <w:pPr>
              <w:jc w:val="right"/>
              <w:ind w:right="635"/>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5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r>
    </w:tbl>
    <w:p>
      <w:pPr>
        <w:spacing w:after="0" w:line="31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U.S. Plans</w:t>
            </w: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Non-U.S. Plans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10"/>
        </w:trPr>
        <w:tc>
          <w:tcPr>
            <w:tcW w:w="4160" w:type="dxa"/>
            <w:vAlign w:val="bottom"/>
          </w:tcPr>
          <w:p>
            <w:pPr>
              <w:spacing w:after="0"/>
              <w:rPr>
                <w:sz w:val="18"/>
                <w:szCs w:val="18"/>
                <w:color w:val="auto"/>
              </w:rPr>
            </w:pPr>
          </w:p>
        </w:tc>
        <w:tc>
          <w:tcPr>
            <w:tcW w:w="3060" w:type="dxa"/>
            <w:vAlign w:val="bottom"/>
            <w:tcBorders>
              <w:bottom w:val="single" w:sz="8" w:color="auto"/>
            </w:tcBorders>
            <w:gridSpan w:val="7"/>
          </w:tcPr>
          <w:p>
            <w:pPr>
              <w:jc w:val="center"/>
              <w:ind w:left="299"/>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4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29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210"/>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loss/(gain)</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(1)</w:t>
            </w: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right="60" w:hanging="332"/>
        <w:spacing w:after="0" w:line="257" w:lineRule="auto"/>
        <w:tabs>
          <w:tab w:leader="none" w:pos="3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Settlement losses of $3 million in 2020, $5 million in 2019 and $5 million in 2018 were incurred in connection with our Simplify to Grow Program. See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for more information. Net settlement losses of $13 million for our U.S. plans and settlement losses of $6 million for our non-U.S. plans in 2020, settlement losses of $12 million for our U.S. plans and settlement gains of $4 million for our non-U.S. plans in 2019 and settlement losses of $31 million for our U.S. plans and $4 million for our non-U.S. plans in 2018 related to lump-sum payment elections made by retired employees.</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four-year period. For our non-U.S. plans, we utilize a similar approach with varying cost recognition periods for some plans, and with others, we determine the expected return on plan assets based on asset fair values as of the measurement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U.S. Plans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Non-U.S. Plans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3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5"/>
                <w:szCs w:val="15"/>
                <w:color w:val="auto"/>
              </w:rPr>
            </w:pPr>
          </w:p>
        </w:tc>
        <w:tc>
          <w:tcPr>
            <w:tcW w:w="3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175"/>
        </w:trPr>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Expected rate of return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5.00 %</w:t>
            </w: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4.20 %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4.80 %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on plan assets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bonds and other</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jc w:val="center"/>
              <w:ind w:right="280"/>
              <w:spacing w:after="0"/>
              <w:rPr>
                <w:sz w:val="20"/>
                <w:szCs w:val="20"/>
                <w:color w:val="auto"/>
              </w:rPr>
            </w:pPr>
            <w:r>
              <w:rPr>
                <w:rFonts w:ascii="Arial" w:cs="Arial" w:eastAsia="Arial" w:hAnsi="Arial"/>
                <w:sz w:val="14"/>
                <w:szCs w:val="14"/>
                <w:b w:val="1"/>
                <w:bCs w:val="1"/>
                <w:color w:val="auto"/>
              </w:rPr>
              <w:t>As of December 31, 2019</w:t>
            </w: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5"/>
            <w:vMerge w:val="continue"/>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bonds and other</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We excluded plan assets of $129 million at December 31, 2020 and $67 million at December 31, 2019 from the above tables related to certain insurance contracts as they are reported at contract value, in accordance with authoritative guidance.</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9"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ind w:left="660" w:right="26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fixed-income securities that are buy-in annuity policies are calculated on a replacement policy value basis by discounting the projected cash flows of the plan members using a discount rate based on risk-free rates and adjustments</w:t>
      </w:r>
    </w:p>
    <w:p>
      <w:pPr>
        <w:ind w:left="660"/>
        <w:spacing w:after="0"/>
        <w:rPr>
          <w:rFonts w:ascii="Arial" w:cs="Arial" w:eastAsia="Arial" w:hAnsi="Arial"/>
          <w:sz w:val="18"/>
          <w:szCs w:val="18"/>
          <w:color w:val="auto"/>
        </w:rPr>
      </w:pPr>
      <w:r>
        <w:rPr>
          <w:rFonts w:ascii="Arial" w:cs="Arial" w:eastAsia="Arial" w:hAnsi="Arial"/>
          <w:sz w:val="18"/>
          <w:szCs w:val="18"/>
          <w:color w:val="auto"/>
        </w:rPr>
        <w:t>for estimated levels of insurer pricing.</w:t>
      </w:r>
    </w:p>
    <w:p>
      <w:pPr>
        <w:spacing w:after="0" w:line="9" w:lineRule="exact"/>
        <w:rPr>
          <w:rFonts w:ascii="Arial" w:cs="Arial" w:eastAsia="Arial" w:hAnsi="Arial"/>
          <w:sz w:val="18"/>
          <w:szCs w:val="18"/>
          <w:color w:val="auto"/>
        </w:rPr>
      </w:pPr>
    </w:p>
    <w:p>
      <w:pPr>
        <w:ind w:left="340" w:right="180" w:hanging="332"/>
        <w:spacing w:after="0" w:line="266"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1"/>
                <w:szCs w:val="11"/>
                <w:color w:val="auto"/>
              </w:rPr>
            </w:pPr>
          </w:p>
        </w:tc>
        <w:tc>
          <w:tcPr>
            <w:tcW w:w="110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2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1"/>
                <w:szCs w:val="11"/>
                <w:color w:val="auto"/>
              </w:rPr>
            </w:pPr>
          </w:p>
        </w:tc>
        <w:tc>
          <w:tcPr>
            <w:tcW w:w="110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2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decrease in Level 3 pension plan investments during 2020 was primarily due to maturities of corporate bond and other fixed income securities. The increase in Level 3 pension plan investments during 2019 was primarily due to additional purchases of a buy-in annuity and other fixed income securities.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U.S. Plans</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Asset Category</w:t>
            </w: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78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1000" w:type="dxa"/>
            <w:vAlign w:val="bottom"/>
          </w:tcPr>
          <w:p>
            <w:pPr>
              <w:spacing w:after="0"/>
              <w:rPr>
                <w:sz w:val="19"/>
                <w:szCs w:val="19"/>
                <w:color w:val="auto"/>
              </w:rPr>
            </w:pPr>
          </w:p>
        </w:tc>
        <w:tc>
          <w:tcPr>
            <w:tcW w:w="1780" w:type="dxa"/>
            <w:vAlign w:val="bottom"/>
            <w:gridSpan w:val="3"/>
          </w:tcPr>
          <w:p>
            <w:pPr>
              <w:jc w:val="right"/>
              <w:ind w:right="14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Buy-in annuity policies</w:t>
            </w:r>
          </w:p>
        </w:tc>
        <w:tc>
          <w:tcPr>
            <w:tcW w:w="10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0" w:type="dxa"/>
            <w:vAlign w:val="bottom"/>
          </w:tcPr>
          <w:p>
            <w:pPr>
              <w:spacing w:after="0"/>
              <w:rPr>
                <w:sz w:val="19"/>
                <w:szCs w:val="19"/>
                <w:color w:val="auto"/>
              </w:rPr>
            </w:pPr>
          </w:p>
        </w:tc>
        <w:tc>
          <w:tcPr>
            <w:tcW w:w="1780" w:type="dxa"/>
            <w:vAlign w:val="bottom"/>
            <w:gridSpan w:val="3"/>
          </w:tcPr>
          <w:p>
            <w:pPr>
              <w:jc w:val="right"/>
              <w:ind w:right="14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our U.S. plans, our investment strategy is to reduce our funded status risk in part through appropriate asset allocation within our plan assets. We attempt to maintain our target asset allocation by rebalancing between asset classes as we make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19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23% equity securities, 60% fixed-income securities, 12% buy-in annuity policies and 5% real estate.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2020, we contributed $ 13 million to our U.S. pension plans and $194 million to our non-U.S. pension plans. In addition, employees contributed $ 14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 In 2021, we estimate that our pension contributions will be $8 million to our U.S. plans and $ 228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2020 were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2025-2030</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2,291</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for continuing participation of $5 million in 2020, $5 million in 2019 and $17 million in 2018. Our contributions are based on our contribution rates under our collective bargaining agreements, the number of our eligible employees and Fund surcharges.</w:t>
      </w:r>
    </w:p>
    <w:p>
      <w:pPr>
        <w:spacing w:after="0" w:line="20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2018, we executed a complete withdrawal from the Bakery and Confectionery Union and Industry International Pension Fund and recorded a $429 million estimated withdrawal liability. On July 11, 2019, we received an undiscounted withdrawal liability assessment from the Fund totaling $526 million requiring pro-rata monthly payments over 20 years. We began making monthly payments during the third quarter of 2019. Within selling, general and administrative expenses, we recorded a $35 million ($26 million net of tax) adjustment related to the discounted withdrawal liability. Within interest and other expense, net, we recorded accreted interest of $11 million in 2020, $12 million in 2019 and $ 6 million in 2018. As of December 31, 2020, the remaining discounted withdrawal liability was $375 million, with $14 million recorded in other current liabilities and $361 million recorded in long-term other liabilities.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$83 million in 2020, $72 million in 2019 and $57 million in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09"/>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10"/>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current portion of our accrued postretirement benefit obligation of $16 million at December 31, 2020 and $16 million at December 31, 2019 was included in other current liabilities.</w:t>
      </w:r>
    </w:p>
    <w:p>
      <w:pPr>
        <w:spacing w:after="0" w:line="17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The actuarial (gain) for all postretirement plans in 2020 was driven by gains related to assumption changes partially offset by losses related to a change in the discount rate used to measure the benefit obligations of those plans. All postretirement plans in 2019 </w:t>
      </w:r>
      <w:r>
        <w:rPr>
          <w:rFonts w:ascii="Arial" w:cs="Arial" w:eastAsia="Arial" w:hAnsi="Arial"/>
          <w:sz w:val="19"/>
          <w:szCs w:val="19"/>
          <w:color w:val="auto"/>
        </w:rPr>
        <w:t>experienced an</w:t>
      </w:r>
      <w:r>
        <w:rPr>
          <w:rFonts w:ascii="Arial" w:cs="Arial" w:eastAsia="Arial" w:hAnsi="Arial"/>
          <w:sz w:val="18"/>
          <w:szCs w:val="18"/>
          <w:color w:val="auto"/>
        </w:rPr>
        <w:t xml:space="preserve"> </w:t>
      </w:r>
      <w:r>
        <w:rPr>
          <w:rFonts w:ascii="Arial" w:cs="Arial" w:eastAsia="Arial" w:hAnsi="Arial"/>
          <w:sz w:val="19"/>
          <w:szCs w:val="19"/>
          <w:color w:val="auto"/>
        </w:rPr>
        <w:t xml:space="preserve">actuarial loss </w:t>
      </w:r>
      <w:r>
        <w:rPr>
          <w:rFonts w:ascii="Arial" w:cs="Arial" w:eastAsia="Arial" w:hAnsi="Arial"/>
          <w:sz w:val="17"/>
          <w:szCs w:val="17"/>
          <w:color w:val="auto"/>
        </w:rPr>
        <w:t>related to a change in the discount rate used to measure the benefit obligations of those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U.S. Plans</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6"/>
                <w:szCs w:val="16"/>
                <w:color w:val="auto"/>
              </w:rPr>
            </w:pPr>
          </w:p>
        </w:tc>
      </w:tr>
      <w:tr>
        <w:trPr>
          <w:trHeight w:val="210"/>
        </w:trPr>
        <w:tc>
          <w:tcPr>
            <w:tcW w:w="552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28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55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220" w:type="dxa"/>
            <w:vAlign w:val="bottom"/>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5.42 %</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Ultimate trend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5.42 %</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22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r>
    </w:tbl>
    <w:p>
      <w:pPr>
        <w:spacing w:after="0" w:line="30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09"/>
        </w:trPr>
        <w:tc>
          <w:tcPr>
            <w:tcW w:w="5920" w:type="dxa"/>
            <w:vAlign w:val="bottom"/>
          </w:tcPr>
          <w:p>
            <w:pPr>
              <w:spacing w:after="0"/>
              <w:rPr>
                <w:sz w:val="18"/>
                <w:szCs w:val="18"/>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09"/>
        </w:trPr>
        <w:tc>
          <w:tcPr>
            <w:tcW w:w="5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Net loss/(gain)</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1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costs/(benefit)</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U.S. Plans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Non-U.S. Plans</w:t>
            </w:r>
          </w:p>
        </w:tc>
        <w:tc>
          <w:tcPr>
            <w:tcW w:w="1320" w:type="dxa"/>
            <w:vAlign w:val="bottom"/>
            <w:tcBorders>
              <w:bottom w:val="single" w:sz="8" w:color="auto"/>
            </w:tcBorders>
          </w:tcPr>
          <w:p>
            <w:pPr>
              <w:spacing w:after="0"/>
              <w:rPr>
                <w:sz w:val="16"/>
                <w:szCs w:val="16"/>
                <w:color w:val="auto"/>
              </w:rPr>
            </w:pPr>
          </w:p>
        </w:tc>
      </w:tr>
      <w:tr>
        <w:trPr>
          <w:trHeight w:val="209"/>
        </w:trPr>
        <w:tc>
          <w:tcPr>
            <w:tcW w:w="2680" w:type="dxa"/>
            <w:vAlign w:val="bottom"/>
          </w:tcPr>
          <w:p>
            <w:pPr>
              <w:spacing w:after="0"/>
              <w:rPr>
                <w:sz w:val="18"/>
                <w:szCs w:val="18"/>
                <w:color w:val="auto"/>
              </w:rPr>
            </w:pPr>
          </w:p>
        </w:tc>
        <w:tc>
          <w:tcPr>
            <w:tcW w:w="4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Years Ended December 31,</w:t>
            </w:r>
          </w:p>
        </w:tc>
        <w:tc>
          <w:tcPr>
            <w:tcW w:w="4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26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4.24%</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Health care cost trend rate</w:t>
            </w:r>
          </w:p>
        </w:tc>
        <w:tc>
          <w:tcPr>
            <w:tcW w:w="1320" w:type="dxa"/>
            <w:vAlign w:val="bottom"/>
          </w:tcPr>
          <w:p>
            <w:pPr>
              <w:jc w:val="center"/>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6.25%</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5.44%</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5.56%</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2020 were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2025-2030</w:t>
            </w: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We made contributions to multiemployer medical plans totaling $ 20 million in 2020, $20 million in 2019 and $19 million in 2018. These plans provide medical benefits to active employees and retirees under certain collective bargaining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postemployment plans are not funded. The changes in and the amount of the accrued benefit obligation at December 31, 2020 and 2019 were: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10"/>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accrued benefit obligation was determined using a weighted-average discount rate of 4.3% in 2020 and 5.3% in 2019, an assumed weighted-average ultimate annual turnover rate of 0.3% in 2020 and 2019, assumed compensation cost increases of 4.0% in 2020 and 2019 and assumed benefits as defined in the respective plans.</w:t>
      </w:r>
    </w:p>
    <w:p>
      <w:pPr>
        <w:spacing w:after="0" w:line="19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09"/>
        </w:trPr>
        <w:tc>
          <w:tcPr>
            <w:tcW w:w="5900" w:type="dxa"/>
            <w:vAlign w:val="bottom"/>
          </w:tcPr>
          <w:p>
            <w:pPr>
              <w:spacing w:after="0"/>
              <w:rPr>
                <w:sz w:val="18"/>
                <w:szCs w:val="18"/>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09"/>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1076"/>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914"/>
              <w:spacing w:after="0"/>
              <w:rPr>
                <w:sz w:val="20"/>
                <w:szCs w:val="20"/>
                <w:color w:val="auto"/>
              </w:rPr>
            </w:pPr>
            <w:r>
              <w:rPr>
                <w:rFonts w:ascii="Arial" w:cs="Arial" w:eastAsia="Arial" w:hAnsi="Arial"/>
                <w:sz w:val="18"/>
                <w:szCs w:val="18"/>
                <w:color w:val="auto"/>
                <w:w w:val="99"/>
              </w:rPr>
              <w:t>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9"/>
                <w:szCs w:val="19"/>
                <w:color w:val="auto"/>
              </w:rPr>
            </w:pPr>
          </w:p>
        </w:tc>
        <w:tc>
          <w:tcPr>
            <w:tcW w:w="480" w:type="dxa"/>
            <w:vAlign w:val="bottom"/>
          </w:tcPr>
          <w:p>
            <w:pPr>
              <w:jc w:val="center"/>
              <w:ind w:left="134"/>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left="1076"/>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center"/>
              <w:ind w:left="914"/>
              <w:spacing w:after="0"/>
              <w:rPr>
                <w:sz w:val="20"/>
                <w:szCs w:val="20"/>
                <w:color w:val="auto"/>
              </w:rPr>
            </w:pPr>
            <w:r>
              <w:rPr>
                <w:rFonts w:ascii="Arial" w:cs="Arial" w:eastAsia="Arial" w:hAnsi="Arial"/>
                <w:sz w:val="18"/>
                <w:szCs w:val="18"/>
                <w:color w:val="auto"/>
                <w:w w:val="99"/>
              </w:rPr>
              <w:t>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1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1076"/>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color w:val="auto"/>
                <w:w w:val="99"/>
              </w:rPr>
              <w:t>(3)</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periodic postemployment costs</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134"/>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ind w:left="1076"/>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914"/>
              <w:spacing w:after="0"/>
              <w:rPr>
                <w:sz w:val="20"/>
                <w:szCs w:val="20"/>
                <w:color w:val="auto"/>
              </w:rPr>
            </w:pPr>
            <w:r>
              <w:rPr>
                <w:rFonts w:ascii="Arial" w:cs="Arial" w:eastAsia="Arial" w:hAnsi="Arial"/>
                <w:sz w:val="18"/>
                <w:szCs w:val="18"/>
                <w:color w:val="auto"/>
                <w:w w:val="99"/>
              </w:rPr>
              <w:t>7</w:t>
            </w:r>
          </w:p>
        </w:tc>
      </w:tr>
      <w:tr>
        <w:trPr>
          <w:trHeight w:val="21"/>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As of December 31, 2020, the estimated net gain for the postemployment benefit plans that we expect to amortize from accumulated other comprehensive earnings/(losses) into net periodic postemployment costs during 2021 is approximately $3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5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Under our Amended and Restated 2005 Performance Incentive Plan (the “Plan”), we are authorized through May 21, 2024 to issue a maximum of 243.7 million shares of our Common Stock to employees and non-employee directors. As of December 31, 2020, there were 53.2 million shares available to be granted under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Stock options (including stock appreciation rights) are granted at an exercise price equal to the market value of the underlying stock on the grant date, generally become exercisable in three annual installments beginning on the first anniversary of the grant date and have a maximum term of ten years.</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or a Lattice Model to measure stock option expense at the date of grant. The fair value of the stock options at the date of grant is amortized to expense over the vesting period. We recorded compensation expense related to stock options held by our employees of $28 million in 2020, $38 million in 2019 and $43 million in 2018 in our results from continuing operations. The deferred tax benefit recorded related to this compensation expense was $5 million in 2020, $8 million in 2019 and $7 million in 2018. The unamortized compensation expense related to our employee stock options was $23 million at December 31, 2020 and is expected to be recognized over a weighted-average period of 1.4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and Lattice Model fair value assumptions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Risk-Free</w:t>
            </w:r>
          </w:p>
        </w:tc>
        <w:tc>
          <w:tcPr>
            <w:tcW w:w="1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Expected Life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Expected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Expected</w:t>
            </w:r>
          </w:p>
        </w:tc>
        <w:tc>
          <w:tcPr>
            <w:tcW w:w="220" w:type="dxa"/>
            <w:vAlign w:val="bottom"/>
          </w:tcPr>
          <w:p>
            <w:pPr>
              <w:spacing w:after="0"/>
              <w:rPr>
                <w:sz w:val="14"/>
                <w:szCs w:val="14"/>
                <w:color w:val="auto"/>
              </w:rPr>
            </w:pPr>
          </w:p>
        </w:tc>
        <w:tc>
          <w:tcPr>
            <w:tcW w:w="132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162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Volatility</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Dividend Yield</w:t>
            </w:r>
          </w:p>
        </w:tc>
        <w:tc>
          <w:tcPr>
            <w:tcW w:w="220" w:type="dxa"/>
            <w:vAlign w:val="bottom"/>
          </w:tcPr>
          <w:p>
            <w:pPr>
              <w:spacing w:after="0"/>
              <w:rPr>
                <w:sz w:val="15"/>
                <w:szCs w:val="15"/>
                <w:color w:val="auto"/>
              </w:rPr>
            </w:pPr>
          </w:p>
        </w:tc>
        <w:tc>
          <w:tcPr>
            <w:tcW w:w="1320" w:type="dxa"/>
            <w:vAlign w:val="bottom"/>
          </w:tcPr>
          <w:p>
            <w:pPr>
              <w:jc w:val="right"/>
              <w:ind w:right="237"/>
              <w:spacing w:after="0"/>
              <w:rPr>
                <w:sz w:val="20"/>
                <w:szCs w:val="20"/>
                <w:color w:val="auto"/>
              </w:rPr>
            </w:pPr>
            <w:r>
              <w:rPr>
                <w:rFonts w:ascii="Arial" w:cs="Arial" w:eastAsia="Arial" w:hAnsi="Arial"/>
                <w:sz w:val="14"/>
                <w:szCs w:val="14"/>
                <w:b w:val="1"/>
                <w:bCs w:val="1"/>
                <w:color w:val="auto"/>
              </w:rPr>
              <w:t>at Grant Date</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jc w:val="right"/>
              <w:ind w:right="2070"/>
              <w:spacing w:after="0"/>
              <w:rPr>
                <w:sz w:val="20"/>
                <w:szCs w:val="20"/>
                <w:color w:val="auto"/>
              </w:rPr>
            </w:pPr>
            <w:r>
              <w:rPr>
                <w:rFonts w:ascii="Arial" w:cs="Arial" w:eastAsia="Arial" w:hAnsi="Arial"/>
                <w:sz w:val="18"/>
                <w:szCs w:val="18"/>
                <w:color w:val="auto"/>
                <w:w w:val="99"/>
              </w:rPr>
              <w:t>2020</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5 years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19.64 %</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2580" w:type="dxa"/>
            <w:vAlign w:val="bottom"/>
          </w:tcPr>
          <w:p>
            <w:pPr>
              <w:jc w:val="right"/>
              <w:ind w:right="2070"/>
              <w:spacing w:after="0"/>
              <w:rPr>
                <w:sz w:val="20"/>
                <w:szCs w:val="20"/>
                <w:color w:val="auto"/>
              </w:rPr>
            </w:pPr>
            <w:r>
              <w:rPr>
                <w:rFonts w:ascii="Arial" w:cs="Arial" w:eastAsia="Arial" w:hAnsi="Arial"/>
                <w:sz w:val="18"/>
                <w:szCs w:val="18"/>
                <w:color w:val="auto"/>
                <w:w w:val="99"/>
              </w:rPr>
              <w:t>2019</w:t>
            </w:r>
          </w:p>
        </w:tc>
        <w:tc>
          <w:tcPr>
            <w:tcW w:w="1740" w:type="dxa"/>
            <w:vAlign w:val="bottom"/>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Pr>
          <w:p>
            <w:pPr>
              <w:spacing w:after="0"/>
              <w:rPr>
                <w:sz w:val="19"/>
                <w:szCs w:val="19"/>
                <w:color w:val="auto"/>
              </w:rPr>
            </w:pPr>
          </w:p>
        </w:tc>
        <w:tc>
          <w:tcPr>
            <w:tcW w:w="1620" w:type="dxa"/>
            <w:vAlign w:val="bottom"/>
            <w:gridSpan w:val="2"/>
          </w:tcPr>
          <w:p>
            <w:pPr>
              <w:ind w:left="920"/>
              <w:spacing w:after="0"/>
              <w:rPr>
                <w:sz w:val="20"/>
                <w:szCs w:val="20"/>
                <w:color w:val="auto"/>
              </w:rPr>
            </w:pPr>
            <w:r>
              <w:rPr>
                <w:rFonts w:ascii="Arial" w:cs="Arial" w:eastAsia="Arial" w:hAnsi="Arial"/>
                <w:sz w:val="18"/>
                <w:szCs w:val="18"/>
                <w:color w:val="auto"/>
              </w:rPr>
              <w:t>5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19.96 %</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99"/>
              </w:rPr>
              <w:t>2018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5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20.96 %</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 or</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Grant Price</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1"/>
                <w:szCs w:val="11"/>
                <w:color w:val="auto"/>
              </w:rPr>
            </w:pPr>
          </w:p>
        </w:tc>
        <w:tc>
          <w:tcPr>
            <w:tcW w:w="1060" w:type="dxa"/>
            <w:vAlign w:val="bottom"/>
          </w:tcPr>
          <w:p>
            <w:pPr>
              <w:jc w:val="center"/>
              <w:ind w:left="95"/>
              <w:spacing w:after="0" w:line="135" w:lineRule="exact"/>
              <w:rPr>
                <w:sz w:val="20"/>
                <w:szCs w:val="20"/>
                <w:color w:val="auto"/>
              </w:rPr>
            </w:pPr>
            <w:r>
              <w:rPr>
                <w:rFonts w:ascii="Arial" w:cs="Arial" w:eastAsia="Arial" w:hAnsi="Arial"/>
                <w:sz w:val="14"/>
                <w:szCs w:val="14"/>
                <w:b w:val="1"/>
                <w:bCs w:val="1"/>
                <w:color w:val="auto"/>
              </w:rPr>
              <w:t>Intrinsic</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Option</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48,434,655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5,666,530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5,834,836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43,818,830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47.72</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4,793,570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4,861,990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(13,668,354)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33,855,948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2,280,440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2,416,800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(7,847,964)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27,751,894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21,444,333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36.18</w:t>
            </w:r>
          </w:p>
        </w:tc>
        <w:tc>
          <w:tcPr>
            <w:tcW w:w="120" w:type="dxa"/>
            <w:vAlign w:val="bottom"/>
          </w:tcPr>
          <w:p>
            <w:pPr>
              <w:spacing w:after="0"/>
              <w:rPr>
                <w:sz w:val="17"/>
                <w:szCs w:val="17"/>
                <w:color w:val="auto"/>
              </w:rPr>
            </w:pPr>
          </w:p>
        </w:tc>
        <w:tc>
          <w:tcPr>
            <w:tcW w:w="160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rPr>
              <w:t>4 years</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478</w:t>
            </w:r>
          </w:p>
        </w:tc>
        <w:tc>
          <w:tcPr>
            <w:tcW w:w="580" w:type="dxa"/>
            <w:vAlign w:val="bottom"/>
          </w:tcPr>
          <w:p>
            <w:pPr>
              <w:ind w:left="60"/>
              <w:spacing w:after="0" w:line="203" w:lineRule="exact"/>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right="420" w:hanging="332"/>
        <w:spacing w:after="0" w:line="269"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Cash received from options exercised was $236 million in 2020, $369 million in 2019 and $231 million in 2018. The actual tax benefit realized and recorded in the provision for income taxes for the tax deductions from the option exercises totaled $27 million in 2020, $40 million in 2019 and $21 million in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only grant deferred stock units and performance share units and no longer grant restricted stock. Deferred stock units granted to eligible employees have most shareholder rights, except that they may not sell, assign, pledge or otherwise encumber the shares and our deferred stock units do not have voting rights until vested. Shares of deferred stock units are subject to forfeiture if certain employment conditions are not met. Deferred stock units generally vest on the third anniversary of the grant date. Performance share units granted under our 2005 Plan vest based on varying performance, market and service conditions. The unvested performance share units have no voting rights and do not pay dividends. Dividend equivalents accumulated over the vesting period are paid only after the performance share units vest.</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fair value of the deferred stock units, performance share units and restricted stock at the date of grant is amortized to earnings over the vesting period. The fair value of our deferred stock units and restricted stock is measured at the market price of our Common Stock on the grant date. Performance share unit awards generally have targets tied to both performance and market-based conditions. For market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 condition components, we estimate the probability that the performance conditions will be achieved each quarter and adjust compensation expenses accordingly. The grant date fair value of performance share units is determined based on the Monte Carlo simulation model for the market-based total shareholder return component and the market price of our Common Stock on the grant date for performance-based components. The number of performance share units that ultimately vest ranges from 0-200 percent of the number granted, based on the achievement of the performance and market-based components.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recorded compensation expense related to deferred stock units, performance share units and restricted stock of $98 million in 2020, $97 million in 2019 and $85 million in 2018 in our results from continuing operations. The deferred tax benefit recorded related to this compensation expense was $15 million in 2020, $16 million in 2019 and $12 million in 2018. The unamortized compensation expense related to our deferred stock units, performance share units and restricted stock was $107 million at December 31, 2020 and is expected to be recognized over a weighted-average period of 1.7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restricted stock activity is reflected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8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240" w:type="dxa"/>
            <w:vAlign w:val="bottom"/>
          </w:tcPr>
          <w:p>
            <w:pPr>
              <w:jc w:val="center"/>
              <w:ind w:left="216"/>
              <w:spacing w:after="0" w:line="135" w:lineRule="exact"/>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Per Share (4)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rPr>
              <w:t>Fair Value (3)</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7,669,705</w:t>
            </w:r>
          </w:p>
        </w:tc>
        <w:tc>
          <w:tcPr>
            <w:tcW w:w="1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22, 2018</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1,048,770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788,310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446,752</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2,283,832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(2,511,992)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(882,535)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6,559,010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22, 2019</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666,880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205,073</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1,763,163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(2,007,848)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(652,380)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5,661,945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20, 2020</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545,550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390,730</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1,761,510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(475,411)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performance share units and deferred stock units.</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performance share units, deferred stock units and historically granted restricted stock.</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actual tax benefit/(expense) realized and recorded in the provision for income taxes for the tax deductions from the shares vested totaled $5 million in 2020, $2 million in 2019 and $3 million in 2018.</w:t>
      </w:r>
    </w:p>
    <w:p>
      <w:pPr>
        <w:ind w:left="340" w:right="80" w:hanging="332"/>
        <w:spacing w:after="0" w:line="252"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25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amended and restated articles of incorporation authorize 5.0 billion shares of Class A common stock (“Common Stock”) and 500 million shares of preferred stock. There were no preferred shares issued and outstanding at December 31, 2020, 2019 and 2018. Shares of Common Stock issued, in treasury and outstanding were: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Treasury Shares</w:t>
            </w:r>
          </w:p>
        </w:tc>
        <w:tc>
          <w:tcPr>
            <w:tcW w:w="17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780" w:type="dxa"/>
            <w:vAlign w:val="bottom"/>
          </w:tcPr>
          <w:p>
            <w:pPr>
              <w:jc w:val="right"/>
              <w:ind w:right="37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(508,401,694)</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1,488,136,084</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(47,258,884)</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(47,258,884)</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10,122,655</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10,122,655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(545,537,923)</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1,450,999,855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(30,902,465)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(30,902,465)</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14,908,864</w:t>
            </w:r>
          </w:p>
        </w:tc>
        <w:tc>
          <w:tcPr>
            <w:tcW w:w="1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14,908,864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(561,531,524)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1,435,006,254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Borders>
              <w:top w:val="single" w:sz="8" w:color="CCEEFF"/>
            </w:tcBorders>
            <w:vMerge w:val="continue"/>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(25,071,845)</w:t>
            </w:r>
          </w:p>
        </w:tc>
        <w:tc>
          <w:tcPr>
            <w:tcW w:w="120" w:type="dxa"/>
            <w:vAlign w:val="bottom"/>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(25,071,845)</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9,239,812</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9,239,812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(577,363,557)</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1,419,174,221</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60"/>
        <w:spacing w:after="0" w:line="292"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2020, 85.8 million shares of Common Stock held in treasury were reserved for stock options and other stock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2020, we had repurchased approximately $16.5 billion of Common Stock pursuant to this authorization. During 2020, we repurchased approximately 25.1 million shares of Common Stock at an average cost of $55.87 per share, or an aggregate cost of approximately $1.4 billion, all of which was paid during the period except for approximately $30 million settled in January 2021. All share repurchases were funded through available cash and commercial paper issuances. As of December 31, 2020, we have approximately $5.8 billion in remaining share repurchase capacity.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but indicated that it would rule on pending motions in due course.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District Court. On January 3, 2020, the District Court granted plantiffs'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and the class action. Although the CFTC action and the class action complaints involve the same alleged conduct, a resolution or decision with respect to one of the matters may not be dispositive as to the outcome of the other matter.</w:t>
      </w:r>
    </w:p>
    <w:p>
      <w:pPr>
        <w:spacing w:after="0" w:line="20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November 2019, the European Commission informed us that it had initiated an investigation into our alleged infringement of European Union competition law through certain practices restricting cross-border trade within the European Economic Area. On January 28, 2021, the European Commission announced it has taken the next procedural step in its investigation and opened formal proceedings. We are cooperating with the investigation and expect to engage further with the European Commission as its investigation proceeds. It is not possible to predict how long the investigation will take or the ultimate outcome of this matter.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December 31, 2020, we had no material third-party guarantees recorded on our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1"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During the fourth quarter of 2019, we resolved several indirect tax matters and recorded $85 million of net indirect tax expenses within selling, general and administrative expenses.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tax indemnification matter related to our 2007 acquisition of the LU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Reclassifications from Accumulated Other Comprehensive Income</w:t>
      </w:r>
    </w:p>
    <w:p>
      <w:pPr>
        <w:spacing w:after="0" w:line="3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$285 million in 2020, $279 million in 2019 and $169 million in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Currency Translation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(8,622)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Reclassification to earnings related to:</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Equity method investment transactions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(expense)/benefit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Pension and Other Benefit Plans: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Net actuarial gain/(loss) arising during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(expense)/benefit on net actuarial gain/(loss)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666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Cash Flow Hedges: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derivative gains/(losses)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Tax (expense)/benefit on net derivative gain/(loss)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3"/>
                <w:szCs w:val="23"/>
                <w:color w:val="auto"/>
                <w:vertAlign w:val="superscript"/>
              </w:rPr>
              <w:t>(1) (4)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55"/>
        </w:trPr>
        <w:tc>
          <w:tcPr>
            <w:tcW w:w="6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Mondelēz International: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(10,254)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comprehensive earnings/(losses)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66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Other comprehensive earnings/(losses)</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attributable to Mondelēz 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equity method investment transactions recorded within gain/(loss) on equity method investment transactions.</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These reclassified losses are included in net periodic benefit costs disclosed in Note 11, </w:t>
      </w:r>
      <w:r>
        <w:rPr>
          <w:rFonts w:ascii="Arial" w:cs="Arial" w:eastAsia="Arial" w:hAnsi="Arial"/>
          <w:sz w:val="16"/>
          <w:szCs w:val="16"/>
          <w:i w:val="1"/>
          <w:iCs w:val="1"/>
          <w:color w:val="auto"/>
        </w:rPr>
        <w:t>Benefit Plans</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Taxes reclassified to earnings are recorded within the provision for income taxes.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These reclassified losses are recorded within interest and other expense, net.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Federal/Cantonal events, it is our position that enactment of Swiss tax reform for U.S. GAAP purposes was met as of September 30, 2019, and we recorded the impacts in the third quarter of 2019. The net impact was a benefit of $767 million, which consisted of a $769 million reduction in deferred tax expense from an allowed step-up of intangible assets for tax purposes (recorded net of valuation allowance) and remeasurement of our deferred tax balances, partially offset by a $2 million indirect tax impact in selling, general and administrative expenses. The ongoing impacts of these Swiss tax reform law changes became effective January 1, 2020. We continue to monitor interpretative guidance on Swiss tax reform that could result in changes to the amounts we have recorded.</w:t>
      </w:r>
    </w:p>
    <w:p>
      <w:pPr>
        <w:spacing w:after="0" w:line="20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December 22, 2017, U.S. tax reform legislation ("U.S. tax reform") was enacted that included a broad range of complex provisions impacting the taxation of businesses. We finalized our accounting for the new provisions during the fourth quarter of 2018. U.S. tax reform resulted in a total transition tax liability of $1.3 billion based on the deemed repatriation of our accumulated foreign earnings and profits, which will be paid in installments through 2026.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192"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19050</wp:posOffset>
            </wp:positionV>
            <wp:extent cx="28803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0"/>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Earnings/(losses) from continuing operations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 federal: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United States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142"/>
        </w:trPr>
        <w:tc>
          <w:tcPr>
            <w:tcW w:w="6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142"/>
        </w:trPr>
        <w:tc>
          <w:tcPr>
            <w:tcW w:w="66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p>
      <w:pPr>
        <w:spacing w:after="0" w:line="19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19050</wp:posOffset>
            </wp:positionV>
            <wp:extent cx="30689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gridSpan w:val="2"/>
          </w:tcPr>
          <w:p>
            <w:pPr>
              <w:ind w:left="698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Increase/(decrease) resulting from:</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Foreign rate differences</w:t>
            </w: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judgment on realizability of deferred tax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Reversal of other tax accruals no longer required</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5"/>
        </w:trPr>
        <w:tc>
          <w:tcPr>
            <w:tcW w:w="73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Tax accrual on investment in KDP (including tax</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share sales)</w:t>
            </w: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Excess tax benefits from equity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legislation (non-U.S. and non-Swiss tax reform)</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Swiss tax reform</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Business sales (including tax impact from JDE Peet's transaction)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U.S. tax reform - transition tax</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tax reform - changes in indefinite reinvestment assertion</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Foreign tax provisions under TCJA (GILTI, FDII and BEAT)</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36.2 %</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20" w:hanging="332"/>
        <w:spacing w:after="0" w:line="261" w:lineRule="auto"/>
        <w:tabs>
          <w:tab w:leader="none" w:pos="3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Tax Cuts and Jobs Act of 2017 ("TCJA") established the Global Intangible Low-Tax Income ("GILTI") provision, which taxes U.S. allocated expenses and certain income from foreign operations; the Foreign-Derived Intangible Income ("FDII") provision, which allows a deduction against certain types of U.S. taxable income resulting in a lower effective U.S. tax rate on such income; and the Base Erosion Anti-abuse Tax ("BEAT"), which is a minimum tax based on cross-border service payments by U.S. entities.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2020 effective tax rate of 36.2% was high due to the $452 million net tax expense incurred in connection with the JDE Peet's transaction and four KDP share sales that occurred during 2020 (the related gains were reported as gains on equity method investments). Excluding these impacts, our effective tax rate was 22.8%, which reflects unfavorable provisions from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and discrete net tax benefits of $119 million. The discrete net benefits were primarily driven by the $70 million net benefit from the release of the China valuation allowance and a $50 million net benefit from the release of liabilities for uncertain tax positions due to expirations of statutes of limitations and audit settlements in several jurisdictions.</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2019 effective tax rate of 0.1% was significantly impacted by the $ 769 million net deferred tax benefit related to Swiss tax reform in the third quarter of 2019. Excluding this impact, our 2019 effective tax rate was 22.4%, which reflects unfavorable provisions from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and discrete net tax benefits of $176 million. The discrete net tax benefits were primarily driven by a $128 million net benefit from the release of liabilities for uncertain tax positions due to expirations of statutes of limitations and audit settlements in several jurisdictions.</w:t>
      </w: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2018 effective tax rate of 27.2% was unfavorably impacted by net tax expenses from $ 128 million of discrete one-time events as well as unfavorable provisions within U.S. tax reform legislation and taxes on earnings from equity method investments (these earnings are reported separately on our consolidated statements of earnings and not within earnings before income taxes), partially offset by the favorable mix of pre-tax income in various non-U.S. tax jurisdictions. The discrete net tax expenses included a $192 million deferred tax expense related to a $778 million gain on the KDP transaction reported as a gain on equity method investment as well as $19 million expense from the final updates to the provisional impacts from U.S. tax reform reported as of 2017 year-end, partially offset by an $81 million benefit from favorable audit settlements and statutes of limitations in various jurisdictions.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09"/>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postretirement and postemployment benefits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pension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Other employee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including impact from Swiss tax reform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Our significant valuation allowances are in the U.S. and Switzerland. The U.S. valuation allowance relates to excess foreign tax credits generated by the deemed repatriation under U.S. tax reform while the Swiss valuation allowance brings the allowed step-up of intangible assets recorded under Swiss tax reform to the amount more likely than not to be realized.</w:t>
      </w:r>
    </w:p>
    <w:p>
      <w:pPr>
        <w:spacing w:after="0" w:line="190"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At December 31, 2020, the Company has pre-tax loss carryforwards of $ 3,293 million, of which $332 million will expire at various dates between 2021 and 2040 and the remaining $2,961 million can be carried forward indefinitely.</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unremitted earnings as of December 31, 2020 in those subsidiaries where we continue to be indefinitely reinvested is approximately $1.6 billion. We currently have not recognized approximately $73 million of deferred tax liabilities related to those unremitted earnings. Future tax law changes or changes in the needs of our non-U.S. subsidiaries could require us to recognize deferred tax liabilities on a portion, or all, of our accumulated earnings that are currently indefinitely reinvested.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prior periods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from positions taken during prior periods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the current period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relating to settlements with taxing authorities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5"/>
        </w:trPr>
        <w:tc>
          <w:tcPr>
            <w:tcW w:w="6700" w:type="dxa"/>
            <w:vAlign w:val="bottom"/>
          </w:tcPr>
          <w:p>
            <w:pPr>
              <w:ind w:left="180"/>
              <w:spacing w:after="0" w:line="176" w:lineRule="exact"/>
              <w:rPr>
                <w:sz w:val="20"/>
                <w:szCs w:val="20"/>
                <w:color w:val="auto"/>
              </w:rPr>
            </w:pPr>
            <w:r>
              <w:rPr>
                <w:rFonts w:ascii="Arial" w:cs="Arial" w:eastAsia="Arial" w:hAnsi="Arial"/>
                <w:sz w:val="18"/>
                <w:szCs w:val="18"/>
                <w:color w:val="auto"/>
              </w:rPr>
              <w:t>Reductions resulting from the lapse of the applicable</w:t>
            </w:r>
          </w:p>
        </w:tc>
        <w:tc>
          <w:tcPr>
            <w:tcW w:w="960" w:type="dxa"/>
            <w:vAlign w:val="bottom"/>
          </w:tcPr>
          <w:p>
            <w:pPr>
              <w:spacing w:after="0"/>
              <w:rPr>
                <w:sz w:val="15"/>
                <w:szCs w:val="15"/>
                <w:color w:val="auto"/>
              </w:rPr>
            </w:pPr>
          </w:p>
        </w:tc>
        <w:tc>
          <w:tcPr>
            <w:tcW w:w="460" w:type="dxa"/>
            <w:vAlign w:val="bottom"/>
            <w:vMerge w:val="restart"/>
          </w:tcPr>
          <w:p>
            <w:pPr>
              <w:ind w:left="12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rPr>
                <w:sz w:val="20"/>
                <w:szCs w:val="20"/>
                <w:color w:val="auto"/>
              </w:rPr>
            </w:pPr>
            <w:r>
              <w:rPr>
                <w:rFonts w:ascii="Arial" w:cs="Arial" w:eastAsia="Arial" w:hAnsi="Arial"/>
                <w:sz w:val="18"/>
                <w:szCs w:val="18"/>
                <w:color w:val="auto"/>
              </w:rPr>
              <w:t>statute of limitations</w:t>
            </w:r>
          </w:p>
        </w:tc>
        <w:tc>
          <w:tcPr>
            <w:tcW w:w="9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Currency/other</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January 1, 2020, our unrecognized tax benefits were $426 million. If we had recognized all of these benefits, the net impact on our income tax provision would have been $364 million. Our unrecognized tax benefits were $442 million at December 31, 2020, and if we had recognized all of these benefits, the net impact on our income tax provision would have been $369 million. Within the next 12 months, our unrecognized tax benefits could increase by approximately $30 million due to unfavorable audit developments or decrease by approximately $70 million due to audit settlements and the expiration of statutes of limitations in various jurisdictions. We include accrued interest and penalties related to uncertain tax positions in our tax provision. We had accrued interest and penalties of $170 million as of January 1, 2020 and $170 million as of December 31, 2020. Our 2020 provision for income taxes included $11 million expense for interest and penalties.</w:t>
      </w:r>
    </w:p>
    <w:p>
      <w:pPr>
        <w:spacing w:after="0" w:line="20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years still open to examination by non-U.S. tax authorities in major jurisdictions include (earliest open tax year in parentheses): China (2010), France (2015), India (2005), the United Kingdom (2015) and Switzerland (2014).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millions, except per share data)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earnings attributable to Mondelēz International</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1,431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1,445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175"/>
        </w:trPr>
        <w:tc>
          <w:tcPr>
            <w:tcW w:w="6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9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stock options and long-term incentive plan shares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90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60" w:type="dxa"/>
            <w:vAlign w:val="bottom"/>
            <w:vMerge w:val="continue"/>
          </w:tcPr>
          <w:p>
            <w:pPr>
              <w:spacing w:after="0"/>
              <w:rPr>
                <w:sz w:val="10"/>
                <w:szCs w:val="10"/>
                <w:color w:val="auto"/>
              </w:rPr>
            </w:pPr>
          </w:p>
        </w:tc>
        <w:tc>
          <w:tcPr>
            <w:tcW w:w="900" w:type="dxa"/>
            <w:vAlign w:val="bottom"/>
            <w:vMerge w:val="restart"/>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8"/>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long-term incentive plan shares of 3.6 million for the year ended December 31, 2020, 5.2 million for the year ended December 31, 2019 and 11.6 million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 assets,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25,938</w:t>
            </w:r>
          </w:p>
        </w:tc>
        <w:tc>
          <w:tcPr>
            <w:tcW w:w="0" w:type="dxa"/>
            <w:vAlign w:val="bottom"/>
          </w:tcPr>
          <w:p>
            <w:pPr>
              <w:spacing w:after="0"/>
              <w:rPr>
                <w:sz w:val="1"/>
                <w:szCs w:val="1"/>
                <w:color w:val="auto"/>
              </w:rPr>
            </w:pPr>
          </w:p>
        </w:tc>
      </w:tr>
      <w:tr>
        <w:trPr>
          <w:trHeight w:val="21"/>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76"/>
        </w:trPr>
        <w:tc>
          <w:tcPr>
            <w:tcW w:w="6660" w:type="dxa"/>
            <w:vAlign w:val="bottom"/>
          </w:tcPr>
          <w:p>
            <w:pPr>
              <w:ind w:left="36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(mark-to-market impacts)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divestiture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Acquisition-related costs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No single customer accounted for 10% or more of our net revenues from continuing operations in 2020. Our five largest customers accounted for 17.5% and our ten largest customers accounted for 24.0% of net revenues from continuing operations in 2020.</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interest and other expense, net for each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4,699</w:t>
            </w:r>
          </w:p>
        </w:tc>
      </w:tr>
      <w:tr>
        <w:trPr>
          <w:trHeight w:val="229"/>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AMEA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19,426</w:t>
            </w:r>
          </w:p>
        </w:tc>
      </w:tr>
      <w:tr>
        <w:trPr>
          <w:trHeight w:val="230"/>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21,015</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29"/>
        </w:trPr>
        <w:tc>
          <w:tcPr>
            <w:tcW w:w="66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62,618</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Segment assets do not reflect outstanding intercompany asset balances as intercompany accounts have been eliminated at a segment level.</w:t>
      </w:r>
    </w:p>
    <w:p>
      <w:pPr>
        <w:spacing w:after="0" w:line="19" w:lineRule="exact"/>
        <w:rPr>
          <w:rFonts w:ascii="Arial" w:cs="Arial" w:eastAsia="Arial" w:hAnsi="Arial"/>
          <w:sz w:val="14"/>
          <w:szCs w:val="14"/>
          <w:color w:val="auto"/>
        </w:rPr>
      </w:pPr>
    </w:p>
    <w:p>
      <w:pPr>
        <w:ind w:left="340" w:right="520" w:hanging="332"/>
        <w:spacing w:after="0" w:line="264"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09"/>
        </w:trPr>
        <w:tc>
          <w:tcPr>
            <w:tcW w:w="6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10"/>
        </w:trPr>
        <w:tc>
          <w:tcPr>
            <w:tcW w:w="6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760" w:hanging="332"/>
        <w:spacing w:after="0" w:line="291"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 of cash flows for 2020 for total depreciation and amortization expenses.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3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39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2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Europe</w:t>
            </w:r>
          </w:p>
        </w:tc>
        <w:tc>
          <w:tcPr>
            <w:tcW w:w="2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29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capital expenditures</w:t>
            </w:r>
          </w:p>
        </w:tc>
        <w:tc>
          <w:tcPr>
            <w:tcW w:w="29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40" w:type="dxa"/>
            <w:vAlign w:val="bottom"/>
            <w:vMerge w:val="restart"/>
          </w:tcPr>
          <w:p>
            <w:pPr>
              <w:jc w:val="right"/>
              <w:ind w:right="836"/>
              <w:spacing w:after="0"/>
              <w:rPr>
                <w:sz w:val="20"/>
                <w:szCs w:val="20"/>
                <w:color w:val="auto"/>
              </w:rPr>
            </w:pPr>
            <w:r>
              <w:rPr>
                <w:rFonts w:ascii="Arial" w:cs="Arial" w:eastAsia="Arial" w:hAnsi="Arial"/>
                <w:sz w:val="18"/>
                <w:szCs w:val="18"/>
                <w:color w:val="auto"/>
              </w:rPr>
              <w:t>126</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37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Geographic data for net revenues (recognized in the countries where products are sold from) and long-lived assets, excluding deferred taxes, goodwill, intangible assets and equity method investments,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76"/>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6,401</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19,537</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8"/>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0"/>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country within Other exceeded 10% of our net revenues or long-lived assets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2018</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operating results by quarter are detailed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4"/>
                <w:szCs w:val="14"/>
                <w:b w:val="1"/>
                <w:bCs w:val="1"/>
                <w:color w:val="auto"/>
              </w:rPr>
              <w:t>2020 Quarters</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8"/>
              </w:rPr>
              <w:t xml:space="preserve">First </w:t>
            </w:r>
            <w:r>
              <w:rPr>
                <w:rFonts w:ascii="Arial" w:cs="Arial" w:eastAsia="Arial" w:hAnsi="Arial"/>
                <w:sz w:val="18"/>
                <w:szCs w:val="18"/>
                <w:b w:val="1"/>
                <w:bCs w:val="1"/>
                <w:color w:val="auto"/>
                <w:w w:val="98"/>
                <w:vertAlign w:val="superscript"/>
              </w:rPr>
              <w:t>(1)</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(provision)/benefit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earnings attributable to Mondelēz International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EPS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 of</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 and long-term incentive plan shares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EPS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 attributable to Mondelēz International: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EPS attributable to Mondelēz International: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0.315</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4"/>
                <w:szCs w:val="14"/>
                <w:b w:val="1"/>
                <w:bCs w:val="1"/>
                <w:color w:val="auto"/>
              </w:rPr>
              <w:t xml:space="preserve">2019 Quarters </w:t>
            </w:r>
            <w:r>
              <w:rPr>
                <w:rFonts w:ascii="Arial" w:cs="Arial" w:eastAsia="Arial" w:hAnsi="Arial"/>
                <w:sz w:val="18"/>
                <w:szCs w:val="18"/>
                <w:b w:val="1"/>
                <w:bCs w:val="1"/>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First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(provision)/benefit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earnings attributable to Mondelēz International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EPS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 of</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 and long-term incentive plan shares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EPS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 attributable to Mondelēz International: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EPS attributable to Mondelēz International: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40" w:right="420" w:hanging="332"/>
        <w:spacing w:after="0" w:line="254"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During the second quarter of 2020, we changed to reporting JDE Peet's earnings on a quarter lag basis and we recast all prior periods presented on the same basis. Please see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380" w:hanging="332"/>
        <w:spacing w:after="0" w:line="264"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The third quarter of 2019 was significantly impacted by the $769 million net deferred tax benefit related to Swiss tax reform.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w:t>
      </w:r>
    </w:p>
    <w:p>
      <w:pPr>
        <w:spacing w:after="0" w:line="18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Basic and diluted EPS are computed independently for each of the periods presented. Accordingly, the sum of the quarterly EPS amounts may not equal the total for the year.</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During 2020 and 2019, we recorded the following pre-tax (charges)/benefits in earnings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2020 Quarters</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Second</w:t>
            </w: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90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Impact from pension participation changes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from the resolution of tax matters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Loss related to interest rate swaps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r>
      <w:tr>
        <w:trPr>
          <w:trHeight w:val="229"/>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Gain on equity method investment transactions</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2019 Quarters</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Second</w:t>
            </w: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Fourth</w:t>
            </w:r>
          </w:p>
        </w:tc>
        <w:tc>
          <w:tcPr>
            <w:tcW w:w="20" w:type="dxa"/>
            <w:vAlign w:val="bottom"/>
            <w:tcBorders>
              <w:bottom w:val="single" w:sz="8" w:color="auto"/>
            </w:tcBorders>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9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gain on divestiture</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Impact from pension participation changes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Impact from the resolution of tax matters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related to interest rate swaps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Gain/(loss) on equity method investment transactions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w w:val="99"/>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Items impacting our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Note 6,</w:t>
      </w:r>
      <w:r>
        <w:rPr>
          <w:rFonts w:ascii="Arial" w:cs="Arial" w:eastAsia="Arial" w:hAnsi="Arial"/>
          <w:sz w:val="18"/>
          <w:szCs w:val="18"/>
          <w:i w:val="1"/>
          <w:iCs w:val="1"/>
          <w:color w:val="auto"/>
        </w:rPr>
        <w:t xml:space="preserve"> Goodwill and Intangible Assets</w:t>
      </w:r>
      <w:r>
        <w:rPr>
          <w:rFonts w:ascii="Arial" w:cs="Arial" w:eastAsia="Arial" w:hAnsi="Arial"/>
          <w:sz w:val="18"/>
          <w:szCs w:val="18"/>
          <w:color w:val="auto"/>
        </w:rPr>
        <w:t>, Note 7,</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Note 8,</w:t>
      </w:r>
      <w:r>
        <w:rPr>
          <w:rFonts w:ascii="Arial" w:cs="Arial" w:eastAsia="Arial" w:hAnsi="Arial"/>
          <w:sz w:val="18"/>
          <w:szCs w:val="18"/>
          <w:i w:val="1"/>
          <w:iCs w:val="1"/>
          <w:color w:val="auto"/>
        </w:rPr>
        <w:t xml:space="preserve"> Restructuring Program, </w:t>
      </w:r>
      <w:r>
        <w:rPr>
          <w:rFonts w:ascii="Arial" w:cs="Arial" w:eastAsia="Arial" w:hAnsi="Arial"/>
          <w:sz w:val="18"/>
          <w:szCs w:val="18"/>
          <w:color w:val="auto"/>
        </w:rPr>
        <w:t>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Note 11,</w:t>
      </w:r>
      <w:r>
        <w:rPr>
          <w:rFonts w:ascii="Arial" w:cs="Arial" w:eastAsia="Arial" w:hAnsi="Arial"/>
          <w:sz w:val="18"/>
          <w:szCs w:val="18"/>
          <w:i w:val="1"/>
          <w:iCs w:val="1"/>
          <w:color w:val="auto"/>
        </w:rPr>
        <w:t xml:space="preserve"> Benefit Plans</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Commitments and Contingencies – Tax Matters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2020. Based on this evaluation, the CEO and CFO concluded that our disclosure controls and procedures were effective as of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17" w:lineRule="exact"/>
        <w:rPr>
          <w:sz w:val="20"/>
          <w:szCs w:val="20"/>
          <w:color w:val="auto"/>
        </w:rPr>
      </w:pPr>
    </w:p>
    <w:p>
      <w:pPr>
        <w:ind w:left="660" w:right="42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ind w:left="660" w:right="800" w:hanging="328"/>
        <w:spacing w:after="0" w:line="250"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60" w:right="320" w:hanging="328"/>
        <w:spacing w:after="0" w:line="250"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60" w:right="80" w:hanging="328"/>
        <w:spacing w:after="0" w:line="26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4"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2020.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 The scope of Management’s assessment of internal control over financial reporting excludes 0.4% of the Company’s consolidated total assets and 1% of the Company’s consolidated net revenues related to Give &amp; Go, which was acquired on April 1, 2020.</w:t>
      </w:r>
    </w:p>
    <w:p>
      <w:pPr>
        <w:spacing w:after="0" w:line="199" w:lineRule="exact"/>
        <w:rPr>
          <w:sz w:val="20"/>
          <w:szCs w:val="20"/>
          <w:color w:val="auto"/>
        </w:rPr>
      </w:pPr>
    </w:p>
    <w:p>
      <w:pPr>
        <w:ind w:right="1000"/>
        <w:spacing w:after="0" w:line="292"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2020,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171"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2020, as stated in their report that appears under Item 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2020. Many of our employees and those of our outsourcing partners and other accounting service providers continued to work remotely as a significant number of our and their offices were closed in response to the COVID-19 outbreak. There were no changes in our internal control over financial reporting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Information required by this Item 10 is included under the heading “Information about our Executive Officers” in Part I, Item 1 of this Form 10-K, as well as under the headings “Election of Directors,” “Corporate Governance – Governance Guidelines,” “Corporate Governance – Codes of Conduct,” “Board Committees and Membership – Audit Committee” and if applicable, "Delinquent Section 16(a) Reports" in our definitive Proxy Statement for our Annual Meeting of Shareholders scheduled to be held on May 19, 2021 (“2021 Proxy Statement”). All of this information from the 2021 Proxy Statement is incorporated by reference into this Annual Report.</w:t>
      </w:r>
    </w:p>
    <w:p>
      <w:pPr>
        <w:spacing w:after="0" w:line="202"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information on our web site is not, and shall not be deemed to be, a part of this Annual Report or incorporated into any other filings we make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Human Resources and Compensation Committee,” “Compensation of Non-Employee Directors,” “Compensation Discussion and Analysis,” “Executive Compensation Tables,” “Human Resources and Compensation Committee Report for the Year Ended December 31, 2020” and "CEO Pay Ratio" in our 2021 Proxy Statement. All of this information is incorporated by reference into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2020 were: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spacing w:after="0"/>
              <w:rPr>
                <w:sz w:val="21"/>
                <w:szCs w:val="21"/>
                <w:color w:val="auto"/>
              </w:rPr>
            </w:pPr>
          </w:p>
        </w:tc>
        <w:tc>
          <w:tcPr>
            <w:tcW w:w="5680" w:type="dxa"/>
            <w:vAlign w:val="bottom"/>
            <w:gridSpan w:val="5"/>
          </w:tcPr>
          <w:p>
            <w:pPr>
              <w:ind w:left="1060"/>
              <w:spacing w:after="0"/>
              <w:rPr>
                <w:sz w:val="20"/>
                <w:szCs w:val="20"/>
                <w:color w:val="auto"/>
              </w:rPr>
            </w:pPr>
            <w:r>
              <w:rPr>
                <w:rFonts w:ascii="Arial" w:cs="Arial" w:eastAsia="Arial" w:hAnsi="Arial"/>
                <w:sz w:val="18"/>
                <w:szCs w:val="18"/>
                <w:b w:val="1"/>
                <w:bCs w:val="1"/>
                <w:color w:val="auto"/>
              </w:rPr>
              <w:t>Equity Compensation Plan Information</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Number of Securities to</w:t>
            </w:r>
          </w:p>
        </w:tc>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Weighted Average</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be Issued Upon Exercise</w:t>
            </w:r>
          </w:p>
        </w:tc>
        <w:tc>
          <w:tcPr>
            <w:tcW w:w="24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29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of Outstanding</w:t>
            </w:r>
          </w:p>
        </w:tc>
        <w:tc>
          <w:tcPr>
            <w:tcW w:w="240" w:type="dxa"/>
            <w:vAlign w:val="bottom"/>
          </w:tcPr>
          <w:p>
            <w:pPr>
              <w:spacing w:after="0"/>
              <w:rPr>
                <w:sz w:val="15"/>
                <w:szCs w:val="15"/>
                <w:color w:val="auto"/>
              </w:rPr>
            </w:pPr>
          </w:p>
        </w:tc>
        <w:tc>
          <w:tcPr>
            <w:tcW w:w="254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Exercise Price of</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9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Options, Warrants</w:t>
            </w:r>
          </w:p>
        </w:tc>
        <w:tc>
          <w:tcPr>
            <w:tcW w:w="240" w:type="dxa"/>
            <w:vAlign w:val="bottom"/>
          </w:tcPr>
          <w:p>
            <w:pPr>
              <w:spacing w:after="0"/>
              <w:rPr>
                <w:sz w:val="15"/>
                <w:szCs w:val="15"/>
                <w:color w:val="auto"/>
              </w:rPr>
            </w:pPr>
          </w:p>
        </w:tc>
        <w:tc>
          <w:tcPr>
            <w:tcW w:w="254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2900" w:type="dxa"/>
            <w:vAlign w:val="bottom"/>
            <w:gridSpan w:val="2"/>
          </w:tcPr>
          <w:p>
            <w:pPr>
              <w:jc w:val="center"/>
              <w:ind w:right="120"/>
              <w:spacing w:after="0" w:line="230" w:lineRule="exact"/>
              <w:rPr>
                <w:sz w:val="20"/>
                <w:szCs w:val="20"/>
                <w:color w:val="auto"/>
              </w:rPr>
            </w:pPr>
            <w:r>
              <w:rPr>
                <w:rFonts w:ascii="Arial" w:cs="Arial" w:eastAsia="Arial" w:hAnsi="Arial"/>
                <w:sz w:val="18"/>
                <w:szCs w:val="18"/>
                <w:b w:val="1"/>
                <w:bCs w:val="1"/>
                <w:color w:val="auto"/>
                <w:w w:val="94"/>
              </w:rPr>
              <w:t xml:space="preserve">and Rights </w:t>
            </w:r>
            <w:r>
              <w:rPr>
                <w:rFonts w:ascii="Arial" w:cs="Arial" w:eastAsia="Arial" w:hAnsi="Arial"/>
                <w:sz w:val="23"/>
                <w:szCs w:val="23"/>
                <w:b w:val="1"/>
                <w:bCs w:val="1"/>
                <w:color w:val="auto"/>
                <w:w w:val="94"/>
                <w:vertAlign w:val="superscript"/>
              </w:rPr>
              <w:t>(1)</w:t>
            </w:r>
          </w:p>
        </w:tc>
        <w:tc>
          <w:tcPr>
            <w:tcW w:w="240" w:type="dxa"/>
            <w:vAlign w:val="bottom"/>
          </w:tcPr>
          <w:p>
            <w:pPr>
              <w:spacing w:after="0"/>
              <w:rPr>
                <w:sz w:val="19"/>
                <w:szCs w:val="19"/>
                <w:color w:val="auto"/>
              </w:rPr>
            </w:pPr>
          </w:p>
        </w:tc>
        <w:tc>
          <w:tcPr>
            <w:tcW w:w="2540" w:type="dxa"/>
            <w:vAlign w:val="bottom"/>
            <w:gridSpan w:val="2"/>
          </w:tcPr>
          <w:p>
            <w:pPr>
              <w:jc w:val="center"/>
              <w:ind w:right="340"/>
              <w:spacing w:after="0" w:line="230" w:lineRule="exact"/>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3"/>
                <w:szCs w:val="23"/>
                <w:b w:val="1"/>
                <w:bCs w:val="1"/>
                <w:color w:val="auto"/>
                <w:w w:val="96"/>
                <w:vertAlign w:val="superscript"/>
              </w:rPr>
              <w:t>(2)</w:t>
            </w:r>
          </w:p>
        </w:tc>
        <w:tc>
          <w:tcPr>
            <w:tcW w:w="26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5"/>
              </w:rPr>
              <w:t xml:space="preserve">in column (a)) </w:t>
            </w:r>
            <w:r>
              <w:rPr>
                <w:rFonts w:ascii="Arial" w:cs="Arial" w:eastAsia="Arial" w:hAnsi="Arial"/>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w:t>
            </w:r>
          </w:p>
        </w:tc>
        <w:tc>
          <w:tcPr>
            <w:tcW w:w="2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32,642,113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5"/>
                <w:szCs w:val="15"/>
                <w:color w:val="auto"/>
              </w:rPr>
            </w:pPr>
          </w:p>
        </w:tc>
        <w:tc>
          <w:tcPr>
            <w:tcW w:w="2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53,167,179</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approved by security holders</w:t>
            </w:r>
          </w:p>
        </w:tc>
        <w:tc>
          <w:tcPr>
            <w:tcW w:w="2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2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outstanding options, deferred stock units and performance share units and excludes restricted stock.</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Weighted average exercise price of outstanding options only.</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Shares available for grant under our Amended and Restated 2005 Performance Incentive Plan.</w:t>
      </w:r>
    </w:p>
    <w:p>
      <w:pPr>
        <w:spacing w:after="0" w:line="223"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2021 Proxy Statement under the heading “Ownership of Equity Securities” and is incorporated by reference into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2021 Proxy Statement. All of this information is incorporated by reference into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4"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2021 Proxy Statement. All of this information is incorporated by reference into this Annual Report.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80" w:type="dxa"/>
            <w:vAlign w:val="bottom"/>
          </w:tcPr>
          <w:p>
            <w:pPr>
              <w:ind w:left="20"/>
              <w:spacing w:after="0"/>
              <w:rPr>
                <w:sz w:val="20"/>
                <w:szCs w:val="20"/>
                <w:color w:val="auto"/>
              </w:rPr>
            </w:pPr>
            <w:r>
              <w:rPr>
                <w:rFonts w:ascii="Arial" w:cs="Arial" w:eastAsia="Arial" w:hAnsi="Arial"/>
                <w:sz w:val="18"/>
                <w:szCs w:val="18"/>
                <w:i w:val="1"/>
                <w:iCs w:val="1"/>
                <w:color w:val="auto"/>
              </w:rPr>
              <w:t>(a)</w:t>
            </w:r>
          </w:p>
        </w:tc>
        <w:tc>
          <w:tcPr>
            <w:tcW w:w="9080" w:type="dxa"/>
            <w:vAlign w:val="bottom"/>
            <w:gridSpan w:val="9"/>
          </w:tcPr>
          <w:p>
            <w:pPr>
              <w:ind w:left="32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1360" w:type="dxa"/>
            <w:vAlign w:val="bottom"/>
          </w:tcPr>
          <w:p>
            <w:pPr>
              <w:spacing w:after="0"/>
              <w:rPr>
                <w:sz w:val="20"/>
                <w:szCs w:val="20"/>
                <w:color w:val="auto"/>
              </w:rPr>
            </w:pPr>
          </w:p>
        </w:tc>
      </w:tr>
      <w:tr>
        <w:trPr>
          <w:trHeight w:val="316"/>
        </w:trPr>
        <w:tc>
          <w:tcPr>
            <w:tcW w:w="9660" w:type="dxa"/>
            <w:vAlign w:val="bottom"/>
            <w:gridSpan w:val="10"/>
          </w:tcPr>
          <w:p>
            <w:pPr>
              <w:spacing w:after="0"/>
              <w:rPr>
                <w:rFonts w:ascii="Arial" w:cs="Arial" w:eastAsia="Arial" w:hAnsi="Arial"/>
                <w:sz w:val="17"/>
                <w:szCs w:val="17"/>
                <w:u w:val="single" w:color="auto"/>
                <w:color w:val="0000FF"/>
              </w:rPr>
            </w:pPr>
            <w:hyperlink w:anchor="page74">
              <w:r>
                <w:rPr>
                  <w:rFonts w:ascii="Arial" w:cs="Arial" w:eastAsia="Arial" w:hAnsi="Arial"/>
                  <w:sz w:val="17"/>
                  <w:szCs w:val="17"/>
                  <w:u w:val="single" w:color="auto"/>
                  <w:color w:val="0000FF"/>
                </w:rPr>
                <w:t>Report of Independent Registered Public Accounting Firm</w:t>
              </w:r>
            </w:hyperlink>
          </w:p>
        </w:tc>
        <w:tc>
          <w:tcPr>
            <w:tcW w:w="1360" w:type="dxa"/>
            <w:vAlign w:val="bottom"/>
          </w:tcPr>
          <w:p>
            <w:pPr>
              <w:jc w:val="center"/>
              <w:ind w:left="993"/>
              <w:spacing w:after="0"/>
              <w:rPr>
                <w:rFonts w:ascii="Arial" w:cs="Arial" w:eastAsia="Arial" w:hAnsi="Arial"/>
                <w:sz w:val="17"/>
                <w:szCs w:val="17"/>
                <w:color w:val="auto"/>
              </w:rPr>
            </w:pPr>
            <w:hyperlink w:anchor="page74">
              <w:r>
                <w:rPr>
                  <w:rFonts w:ascii="Arial" w:cs="Arial" w:eastAsia="Arial" w:hAnsi="Arial"/>
                  <w:sz w:val="17"/>
                  <w:szCs w:val="17"/>
                  <w:color w:val="auto"/>
                </w:rPr>
                <w:t>72</w:t>
              </w:r>
            </w:hyperlink>
          </w:p>
        </w:tc>
      </w:tr>
      <w:tr>
        <w:trPr>
          <w:trHeight w:val="216"/>
        </w:trPr>
        <w:tc>
          <w:tcPr>
            <w:tcW w:w="9660" w:type="dxa"/>
            <w:vAlign w:val="bottom"/>
            <w:gridSpan w:val="10"/>
          </w:tcPr>
          <w:p>
            <w:pPr>
              <w:spacing w:after="0"/>
              <w:rPr>
                <w:rFonts w:ascii="Arial" w:cs="Arial" w:eastAsia="Arial" w:hAnsi="Arial"/>
                <w:sz w:val="17"/>
                <w:szCs w:val="17"/>
                <w:u w:val="single" w:color="auto"/>
                <w:color w:val="0000FF"/>
              </w:rPr>
            </w:pPr>
            <w:hyperlink w:anchor="page76">
              <w:r>
                <w:rPr>
                  <w:rFonts w:ascii="Arial" w:cs="Arial" w:eastAsia="Arial" w:hAnsi="Arial"/>
                  <w:sz w:val="17"/>
                  <w:szCs w:val="17"/>
                  <w:u w:val="single" w:color="auto"/>
                  <w:color w:val="0000FF"/>
                </w:rPr>
                <w:t>Consolidated Statements of Earnings for the Years Ended December 31, 2020, 2019 and 2018</w:t>
              </w:r>
            </w:hyperlink>
          </w:p>
        </w:tc>
        <w:tc>
          <w:tcPr>
            <w:tcW w:w="1360" w:type="dxa"/>
            <w:vAlign w:val="bottom"/>
          </w:tcPr>
          <w:p>
            <w:pPr>
              <w:jc w:val="center"/>
              <w:ind w:left="993"/>
              <w:spacing w:after="0"/>
              <w:rPr>
                <w:rFonts w:ascii="Arial" w:cs="Arial" w:eastAsia="Arial" w:hAnsi="Arial"/>
                <w:sz w:val="17"/>
                <w:szCs w:val="17"/>
                <w:color w:val="auto"/>
              </w:rPr>
            </w:pPr>
            <w:hyperlink w:anchor="page76">
              <w:r>
                <w:rPr>
                  <w:rFonts w:ascii="Arial" w:cs="Arial" w:eastAsia="Arial" w:hAnsi="Arial"/>
                  <w:sz w:val="17"/>
                  <w:szCs w:val="17"/>
                  <w:color w:val="auto"/>
                </w:rPr>
                <w:t>75</w:t>
              </w:r>
            </w:hyperlink>
          </w:p>
        </w:tc>
      </w:tr>
      <w:tr>
        <w:trPr>
          <w:trHeight w:val="193"/>
        </w:trPr>
        <w:tc>
          <w:tcPr>
            <w:tcW w:w="9660" w:type="dxa"/>
            <w:vAlign w:val="bottom"/>
            <w:gridSpan w:val="10"/>
          </w:tcPr>
          <w:p>
            <w:pPr>
              <w:spacing w:after="0" w:line="194" w:lineRule="exact"/>
              <w:rPr>
                <w:rFonts w:ascii="Arial" w:cs="Arial" w:eastAsia="Arial" w:hAnsi="Arial"/>
                <w:sz w:val="17"/>
                <w:szCs w:val="17"/>
                <w:color w:val="0000FF"/>
              </w:rPr>
            </w:pPr>
            <w:hyperlink w:anchor="page77">
              <w:r>
                <w:rPr>
                  <w:rFonts w:ascii="Arial" w:cs="Arial" w:eastAsia="Arial" w:hAnsi="Arial"/>
                  <w:sz w:val="17"/>
                  <w:szCs w:val="17"/>
                  <w:u w:val="single" w:color="auto"/>
                  <w:color w:val="0000FF"/>
                </w:rPr>
                <w:t xml:space="preserve">Consolidated Statements of Comprehensive Earnings for the Years Ended December 31, </w:t>
              </w:r>
            </w:hyperlink>
            <w:r>
              <w:rPr>
                <w:rFonts w:ascii="Arial" w:cs="Arial" w:eastAsia="Arial" w:hAnsi="Arial"/>
                <w:sz w:val="17"/>
                <w:szCs w:val="17"/>
                <w:color w:val="0000FF"/>
              </w:rPr>
              <w:t xml:space="preserve">2020, </w:t>
            </w:r>
            <w:hyperlink w:anchor="page77">
              <w:r>
                <w:rPr>
                  <w:rFonts w:ascii="Arial" w:cs="Arial" w:eastAsia="Arial" w:hAnsi="Arial"/>
                  <w:sz w:val="17"/>
                  <w:szCs w:val="17"/>
                  <w:color w:val="0000FF"/>
                </w:rPr>
                <w:t xml:space="preserve">2019 and </w:t>
              </w:r>
            </w:hyperlink>
            <w:r>
              <w:rPr>
                <w:rFonts w:ascii="Arial" w:cs="Arial" w:eastAsia="Arial" w:hAnsi="Arial"/>
                <w:sz w:val="17"/>
                <w:szCs w:val="17"/>
                <w:color w:val="0000FF"/>
              </w:rPr>
              <w:t>2018</w:t>
            </w:r>
          </w:p>
        </w:tc>
        <w:tc>
          <w:tcPr>
            <w:tcW w:w="1360" w:type="dxa"/>
            <w:vAlign w:val="bottom"/>
          </w:tcPr>
          <w:p>
            <w:pPr>
              <w:jc w:val="center"/>
              <w:ind w:left="993"/>
              <w:spacing w:after="0" w:line="194" w:lineRule="exact"/>
              <w:rPr>
                <w:rFonts w:ascii="Arial" w:cs="Arial" w:eastAsia="Arial" w:hAnsi="Arial"/>
                <w:sz w:val="17"/>
                <w:szCs w:val="17"/>
                <w:color w:val="auto"/>
              </w:rPr>
            </w:pPr>
            <w:hyperlink w:anchor="page77">
              <w:r>
                <w:rPr>
                  <w:rFonts w:ascii="Arial" w:cs="Arial" w:eastAsia="Arial" w:hAnsi="Arial"/>
                  <w:sz w:val="17"/>
                  <w:szCs w:val="17"/>
                  <w:color w:val="auto"/>
                </w:rPr>
                <w:t>76</w:t>
              </w:r>
            </w:hyperlink>
          </w:p>
        </w:tc>
      </w:tr>
      <w:tr>
        <w:trPr>
          <w:trHeight w:val="196"/>
        </w:trPr>
        <w:tc>
          <w:tcPr>
            <w:tcW w:w="7700" w:type="dxa"/>
            <w:vAlign w:val="bottom"/>
            <w:gridSpan w:val="8"/>
          </w:tcPr>
          <w:p>
            <w:pPr>
              <w:spacing w:after="0"/>
              <w:rPr>
                <w:rFonts w:ascii="Arial" w:cs="Arial" w:eastAsia="Arial" w:hAnsi="Arial"/>
                <w:sz w:val="17"/>
                <w:szCs w:val="17"/>
                <w:color w:val="0000FF"/>
              </w:rPr>
            </w:pPr>
            <w:hyperlink w:anchor="page78">
              <w:r>
                <w:rPr>
                  <w:rFonts w:ascii="Arial" w:cs="Arial" w:eastAsia="Arial" w:hAnsi="Arial"/>
                  <w:sz w:val="17"/>
                  <w:szCs w:val="17"/>
                  <w:u w:val="single" w:color="auto"/>
                  <w:color w:val="0000FF"/>
                </w:rPr>
                <w:t>Consolidated Balance Sheets as of December 31,</w:t>
              </w:r>
              <w:r>
                <w:rPr>
                  <w:rFonts w:ascii="Arial" w:cs="Arial" w:eastAsia="Arial" w:hAnsi="Arial"/>
                  <w:sz w:val="17"/>
                  <w:szCs w:val="17"/>
                  <w:color w:val="0000FF"/>
                </w:rPr>
                <w:t xml:space="preserve"> 2020 and 2019</w:t>
              </w:r>
            </w:hyperlink>
          </w:p>
        </w:tc>
        <w:tc>
          <w:tcPr>
            <w:tcW w:w="880" w:type="dxa"/>
            <w:vAlign w:val="bottom"/>
            <w:tcBorders>
              <w:top w:val="single" w:sz="8" w:color="0000FF"/>
            </w:tcBorders>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center"/>
              <w:ind w:left="993"/>
              <w:spacing w:after="0"/>
              <w:rPr>
                <w:rFonts w:ascii="Arial" w:cs="Arial" w:eastAsia="Arial" w:hAnsi="Arial"/>
                <w:sz w:val="17"/>
                <w:szCs w:val="17"/>
                <w:color w:val="auto"/>
              </w:rPr>
            </w:pPr>
            <w:hyperlink w:anchor="page78">
              <w:r>
                <w:rPr>
                  <w:rFonts w:ascii="Arial" w:cs="Arial" w:eastAsia="Arial" w:hAnsi="Arial"/>
                  <w:sz w:val="17"/>
                  <w:szCs w:val="17"/>
                  <w:color w:val="auto"/>
                </w:rPr>
                <w:t>77</w:t>
              </w:r>
            </w:hyperlink>
          </w:p>
        </w:tc>
      </w:tr>
      <w:tr>
        <w:trPr>
          <w:trHeight w:val="20"/>
        </w:trPr>
        <w:tc>
          <w:tcPr>
            <w:tcW w:w="4100" w:type="dxa"/>
            <w:vAlign w:val="bottom"/>
            <w:gridSpan w:val="2"/>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660" w:type="dxa"/>
            <w:vAlign w:val="bottom"/>
            <w:gridSpan w:val="10"/>
          </w:tcPr>
          <w:p>
            <w:pPr>
              <w:spacing w:after="0"/>
              <w:rPr>
                <w:rFonts w:ascii="Arial" w:cs="Arial" w:eastAsia="Arial" w:hAnsi="Arial"/>
                <w:sz w:val="17"/>
                <w:szCs w:val="17"/>
                <w:color w:val="0000FF"/>
              </w:rPr>
            </w:pPr>
            <w:hyperlink w:anchor="page79">
              <w:r>
                <w:rPr>
                  <w:rFonts w:ascii="Arial" w:cs="Arial" w:eastAsia="Arial" w:hAnsi="Arial"/>
                  <w:sz w:val="17"/>
                  <w:szCs w:val="17"/>
                  <w:u w:val="single" w:color="auto"/>
                  <w:color w:val="0000FF"/>
                </w:rPr>
                <w:t xml:space="preserve">Consolidated Statements of Equity for the Years Ended December 31, </w:t>
              </w:r>
            </w:hyperlink>
            <w:r>
              <w:rPr>
                <w:rFonts w:ascii="Arial" w:cs="Arial" w:eastAsia="Arial" w:hAnsi="Arial"/>
                <w:sz w:val="17"/>
                <w:szCs w:val="17"/>
                <w:color w:val="0000FF"/>
              </w:rPr>
              <w:t xml:space="preserve">2020, </w:t>
            </w:r>
            <w:hyperlink w:anchor="page79">
              <w:r>
                <w:rPr>
                  <w:rFonts w:ascii="Arial" w:cs="Arial" w:eastAsia="Arial" w:hAnsi="Arial"/>
                  <w:sz w:val="17"/>
                  <w:szCs w:val="17"/>
                  <w:color w:val="0000FF"/>
                </w:rPr>
                <w:t>2019 and 2018</w:t>
              </w:r>
            </w:hyperlink>
          </w:p>
        </w:tc>
        <w:tc>
          <w:tcPr>
            <w:tcW w:w="1360" w:type="dxa"/>
            <w:vAlign w:val="bottom"/>
          </w:tcPr>
          <w:p>
            <w:pPr>
              <w:jc w:val="center"/>
              <w:ind w:left="993"/>
              <w:spacing w:after="0"/>
              <w:rPr>
                <w:rFonts w:ascii="Arial" w:cs="Arial" w:eastAsia="Arial" w:hAnsi="Arial"/>
                <w:sz w:val="17"/>
                <w:szCs w:val="17"/>
                <w:color w:val="auto"/>
              </w:rPr>
            </w:pPr>
            <w:hyperlink w:anchor="page79">
              <w:r>
                <w:rPr>
                  <w:rFonts w:ascii="Arial" w:cs="Arial" w:eastAsia="Arial" w:hAnsi="Arial"/>
                  <w:sz w:val="17"/>
                  <w:szCs w:val="17"/>
                  <w:color w:val="auto"/>
                </w:rPr>
                <w:t>78</w:t>
              </w:r>
            </w:hyperlink>
          </w:p>
        </w:tc>
      </w:tr>
      <w:tr>
        <w:trPr>
          <w:trHeight w:val="20"/>
        </w:trPr>
        <w:tc>
          <w:tcPr>
            <w:tcW w:w="6220" w:type="dxa"/>
            <w:vAlign w:val="bottom"/>
            <w:gridSpan w:val="4"/>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660" w:type="dxa"/>
            <w:vAlign w:val="bottom"/>
            <w:gridSpan w:val="10"/>
          </w:tcPr>
          <w:p>
            <w:pPr>
              <w:spacing w:after="0"/>
              <w:rPr>
                <w:rFonts w:ascii="Arial" w:cs="Arial" w:eastAsia="Arial" w:hAnsi="Arial"/>
                <w:sz w:val="17"/>
                <w:szCs w:val="17"/>
                <w:color w:val="0000FF"/>
              </w:rPr>
            </w:pPr>
            <w:hyperlink w:anchor="page80">
              <w:r>
                <w:rPr>
                  <w:rFonts w:ascii="Arial" w:cs="Arial" w:eastAsia="Arial" w:hAnsi="Arial"/>
                  <w:sz w:val="17"/>
                  <w:szCs w:val="17"/>
                  <w:u w:val="single" w:color="auto"/>
                  <w:color w:val="0000FF"/>
                </w:rPr>
                <w:t xml:space="preserve">Consolidated Statements of Cash Flows for the Years Ended December 31, </w:t>
              </w:r>
            </w:hyperlink>
            <w:r>
              <w:rPr>
                <w:rFonts w:ascii="Arial" w:cs="Arial" w:eastAsia="Arial" w:hAnsi="Arial"/>
                <w:sz w:val="17"/>
                <w:szCs w:val="17"/>
                <w:color w:val="0000FF"/>
              </w:rPr>
              <w:t xml:space="preserve">2020, </w:t>
            </w:r>
            <w:hyperlink w:anchor="page80">
              <w:r>
                <w:rPr>
                  <w:rFonts w:ascii="Arial" w:cs="Arial" w:eastAsia="Arial" w:hAnsi="Arial"/>
                  <w:sz w:val="17"/>
                  <w:szCs w:val="17"/>
                  <w:color w:val="0000FF"/>
                </w:rPr>
                <w:t>2019 and 2018</w:t>
              </w:r>
            </w:hyperlink>
          </w:p>
        </w:tc>
        <w:tc>
          <w:tcPr>
            <w:tcW w:w="1360" w:type="dxa"/>
            <w:vAlign w:val="bottom"/>
          </w:tcPr>
          <w:p>
            <w:pPr>
              <w:jc w:val="center"/>
              <w:ind w:left="993"/>
              <w:spacing w:after="0"/>
              <w:rPr>
                <w:rFonts w:ascii="Arial" w:cs="Arial" w:eastAsia="Arial" w:hAnsi="Arial"/>
                <w:sz w:val="17"/>
                <w:szCs w:val="17"/>
                <w:color w:val="auto"/>
              </w:rPr>
            </w:pPr>
            <w:hyperlink w:anchor="page80">
              <w:r>
                <w:rPr>
                  <w:rFonts w:ascii="Arial" w:cs="Arial" w:eastAsia="Arial" w:hAnsi="Arial"/>
                  <w:sz w:val="17"/>
                  <w:szCs w:val="17"/>
                  <w:color w:val="auto"/>
                </w:rPr>
                <w:t>79</w:t>
              </w:r>
            </w:hyperlink>
          </w:p>
        </w:tc>
      </w:tr>
      <w:tr>
        <w:trPr>
          <w:trHeight w:val="219"/>
        </w:trPr>
        <w:tc>
          <w:tcPr>
            <w:tcW w:w="6660" w:type="dxa"/>
            <w:vAlign w:val="bottom"/>
            <w:gridSpan w:val="5"/>
          </w:tcPr>
          <w:p>
            <w:pPr>
              <w:spacing w:after="0"/>
              <w:rPr>
                <w:rFonts w:ascii="Arial" w:cs="Arial" w:eastAsia="Arial" w:hAnsi="Arial"/>
                <w:sz w:val="17"/>
                <w:szCs w:val="17"/>
                <w:u w:val="single" w:color="auto"/>
                <w:color w:val="0000FF"/>
              </w:rPr>
            </w:pPr>
            <w:hyperlink w:anchor="page81">
              <w:r>
                <w:rPr>
                  <w:rFonts w:ascii="Arial" w:cs="Arial" w:eastAsia="Arial" w:hAnsi="Arial"/>
                  <w:sz w:val="17"/>
                  <w:szCs w:val="17"/>
                  <w:u w:val="single" w:color="auto"/>
                  <w:color w:val="0000FF"/>
                </w:rPr>
                <w:t>Notes to Consolidated Financial Statements</w:t>
              </w:r>
            </w:hyperlink>
          </w:p>
        </w:tc>
        <w:tc>
          <w:tcPr>
            <w:tcW w:w="860" w:type="dxa"/>
            <w:vAlign w:val="bottom"/>
            <w:tcBorders>
              <w:top w:val="single" w:sz="8" w:color="0000FF"/>
            </w:tcBorders>
            <w:gridSpan w:val="2"/>
          </w:tcPr>
          <w:p>
            <w:pPr>
              <w:spacing w:after="0"/>
              <w:rPr>
                <w:sz w:val="19"/>
                <w:szCs w:val="19"/>
                <w:color w:val="auto"/>
              </w:rPr>
            </w:pPr>
          </w:p>
        </w:tc>
        <w:tc>
          <w:tcPr>
            <w:tcW w:w="2140" w:type="dxa"/>
            <w:vAlign w:val="bottom"/>
            <w:gridSpan w:val="3"/>
          </w:tcPr>
          <w:p>
            <w:pPr>
              <w:spacing w:after="0"/>
              <w:rPr>
                <w:sz w:val="19"/>
                <w:szCs w:val="19"/>
                <w:color w:val="auto"/>
              </w:rPr>
            </w:pPr>
          </w:p>
        </w:tc>
        <w:tc>
          <w:tcPr>
            <w:tcW w:w="1360" w:type="dxa"/>
            <w:vAlign w:val="bottom"/>
          </w:tcPr>
          <w:p>
            <w:pPr>
              <w:jc w:val="center"/>
              <w:ind w:left="993"/>
              <w:spacing w:after="0"/>
              <w:rPr>
                <w:rFonts w:ascii="Arial" w:cs="Arial" w:eastAsia="Arial" w:hAnsi="Arial"/>
                <w:sz w:val="17"/>
                <w:szCs w:val="17"/>
                <w:color w:val="auto"/>
              </w:rPr>
            </w:pPr>
            <w:hyperlink w:anchor="page81">
              <w:r>
                <w:rPr>
                  <w:rFonts w:ascii="Arial" w:cs="Arial" w:eastAsia="Arial" w:hAnsi="Arial"/>
                  <w:sz w:val="17"/>
                  <w:szCs w:val="17"/>
                  <w:color w:val="auto"/>
                </w:rPr>
                <w:t>80</w:t>
              </w:r>
            </w:hyperlink>
          </w:p>
        </w:tc>
      </w:tr>
      <w:tr>
        <w:trPr>
          <w:trHeight w:val="236"/>
        </w:trPr>
        <w:tc>
          <w:tcPr>
            <w:tcW w:w="9660" w:type="dxa"/>
            <w:vAlign w:val="bottom"/>
            <w:gridSpan w:val="10"/>
          </w:tcPr>
          <w:p>
            <w:pPr>
              <w:spacing w:after="0"/>
              <w:rPr>
                <w:rFonts w:ascii="Arial" w:cs="Arial" w:eastAsia="Arial" w:hAnsi="Arial"/>
                <w:sz w:val="17"/>
                <w:szCs w:val="17"/>
                <w:u w:val="single" w:color="auto"/>
                <w:color w:val="0000FF"/>
              </w:rPr>
            </w:pPr>
            <w:hyperlink w:anchor="page141">
              <w:r>
                <w:rPr>
                  <w:rFonts w:ascii="Arial" w:cs="Arial" w:eastAsia="Arial" w:hAnsi="Arial"/>
                  <w:sz w:val="17"/>
                  <w:szCs w:val="17"/>
                  <w:u w:val="single" w:color="auto"/>
                  <w:color w:val="0000FF"/>
                </w:rPr>
                <w:t>Financial Statement Schedule-Valuation and Qualifying Accounts</w:t>
              </w:r>
            </w:hyperlink>
          </w:p>
        </w:tc>
        <w:tc>
          <w:tcPr>
            <w:tcW w:w="1360" w:type="dxa"/>
            <w:vAlign w:val="bottom"/>
          </w:tcPr>
          <w:p>
            <w:pPr>
              <w:jc w:val="center"/>
              <w:ind w:left="993"/>
              <w:spacing w:after="0"/>
              <w:rPr>
                <w:rFonts w:ascii="Arial" w:cs="Arial" w:eastAsia="Arial" w:hAnsi="Arial"/>
                <w:sz w:val="17"/>
                <w:szCs w:val="17"/>
                <w:color w:val="auto"/>
              </w:rPr>
            </w:pPr>
            <w:r>
              <w:rPr>
                <w:rFonts w:ascii="Arial" w:cs="Arial" w:eastAsia="Arial" w:hAnsi="Arial"/>
                <w:sz w:val="17"/>
                <w:szCs w:val="17"/>
                <w:color w:val="auto"/>
              </w:rPr>
              <w:t>S-</w:t>
            </w:r>
            <w:hyperlink w:anchor="page141">
              <w:r>
                <w:rPr>
                  <w:rFonts w:ascii="Arial" w:cs="Arial" w:eastAsia="Arial" w:hAnsi="Arial"/>
                  <w:sz w:val="17"/>
                  <w:szCs w:val="17"/>
                  <w:color w:val="auto"/>
                </w:rPr>
                <w:t>1</w:t>
              </w:r>
            </w:hyperlink>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27" w:lineRule="exact"/>
        <w:rPr>
          <w:sz w:val="20"/>
          <w:szCs w:val="20"/>
          <w:color w:val="auto"/>
        </w:rPr>
      </w:pPr>
    </w:p>
    <w:p>
      <w:pPr>
        <w:ind w:left="800" w:hanging="792"/>
        <w:spacing w:after="0"/>
        <w:tabs>
          <w:tab w:leader="none" w:pos="80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2.1</w:t>
            </w:r>
          </w:p>
        </w:tc>
        <w:tc>
          <w:tcPr>
            <w:tcW w:w="9900" w:type="dxa"/>
            <w:vAlign w:val="bottom"/>
            <w:gridSpan w:val="26"/>
          </w:tcPr>
          <w:p>
            <w:pPr>
              <w:spacing w:after="0"/>
              <w:rPr>
                <w:rFonts w:ascii="Arial" w:cs="Arial" w:eastAsia="Arial" w:hAnsi="Arial"/>
                <w:sz w:val="18"/>
                <w:szCs w:val="18"/>
                <w:color w:val="0000FF"/>
              </w:rPr>
            </w:pPr>
            <w:hyperlink r:id="rId164">
              <w:r>
                <w:rPr>
                  <w:rFonts w:ascii="Arial" w:cs="Arial" w:eastAsia="Arial" w:hAnsi="Arial"/>
                  <w:sz w:val="18"/>
                  <w:szCs w:val="18"/>
                  <w:color w:val="0000FF"/>
                </w:rPr>
                <w:t>Separation and Distribution Agreement between the Registrant and Kraft Foods Group, Inc., dated as of September 27,</w:t>
              </w:r>
            </w:hyperlink>
          </w:p>
        </w:tc>
      </w:tr>
      <w:tr>
        <w:trPr>
          <w:trHeight w:val="156"/>
        </w:trPr>
        <w:tc>
          <w:tcPr>
            <w:tcW w:w="1340" w:type="dxa"/>
            <w:vAlign w:val="bottom"/>
          </w:tcPr>
          <w:p>
            <w:pPr>
              <w:spacing w:after="0"/>
              <w:rPr>
                <w:sz w:val="13"/>
                <w:szCs w:val="13"/>
                <w:color w:val="auto"/>
              </w:rPr>
            </w:pPr>
          </w:p>
        </w:tc>
        <w:tc>
          <w:tcPr>
            <w:tcW w:w="95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2012 (incorporated by reference to Exhibit 2.1 to the Registrant’s Current Report on Form 8-K filed with the SEC on</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1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October 1, 2012).</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2.2</w:t>
            </w:r>
          </w:p>
        </w:tc>
        <w:tc>
          <w:tcPr>
            <w:tcW w:w="8940" w:type="dxa"/>
            <w:vAlign w:val="bottom"/>
            <w:tcBorders>
              <w:bottom w:val="single" w:sz="8" w:color="0000FF"/>
            </w:tcBorders>
            <w:gridSpan w:val="7"/>
          </w:tcPr>
          <w:p>
            <w:pPr>
              <w:spacing w:after="0"/>
              <w:rPr>
                <w:rFonts w:ascii="Arial" w:cs="Arial" w:eastAsia="Arial" w:hAnsi="Arial"/>
                <w:sz w:val="18"/>
                <w:szCs w:val="18"/>
                <w:color w:val="0000FF"/>
                <w:w w:val="99"/>
              </w:rPr>
            </w:pPr>
            <w:hyperlink r:id="rId165">
              <w:r>
                <w:rPr>
                  <w:rFonts w:ascii="Arial" w:cs="Arial" w:eastAsia="Arial" w:hAnsi="Arial"/>
                  <w:sz w:val="18"/>
                  <w:szCs w:val="18"/>
                  <w:color w:val="0000FF"/>
                  <w:w w:val="99"/>
                </w:rPr>
                <w:t>Canadian Asset Transfer Agreement, by and between Mondelez Canada Inc. and Kraft Canada Inc., dated as of</w:t>
              </w:r>
            </w:hyperlink>
          </w:p>
        </w:tc>
        <w:tc>
          <w:tcPr>
            <w:tcW w:w="960" w:type="dxa"/>
            <w:vAlign w:val="bottom"/>
            <w:gridSpan w:val="19"/>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9900" w:type="dxa"/>
            <w:vAlign w:val="bottom"/>
            <w:gridSpan w:val="26"/>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September 29, 2012 (incorporated by reference to Exhibit 2.3 to the Registrant’s Annual Report on Form 10-K filed with the</w:t>
              </w:r>
            </w:hyperlink>
          </w:p>
        </w:tc>
      </w:tr>
      <w:tr>
        <w:trPr>
          <w:trHeight w:val="156"/>
        </w:trPr>
        <w:tc>
          <w:tcPr>
            <w:tcW w:w="13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SEC on February 25, 2013).</w:t>
              </w:r>
            </w:hyperlink>
          </w:p>
        </w:tc>
        <w:tc>
          <w:tcPr>
            <w:tcW w:w="754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1340" w:type="dxa"/>
            <w:vAlign w:val="bottom"/>
          </w:tcPr>
          <w:p>
            <w:pPr>
              <w:jc w:val="right"/>
              <w:ind w:right="670"/>
              <w:spacing w:after="0" w:line="196" w:lineRule="exact"/>
              <w:rPr>
                <w:sz w:val="20"/>
                <w:szCs w:val="20"/>
                <w:color w:val="auto"/>
              </w:rPr>
            </w:pPr>
            <w:r>
              <w:rPr>
                <w:rFonts w:ascii="Arial" w:cs="Arial" w:eastAsia="Arial" w:hAnsi="Arial"/>
                <w:sz w:val="18"/>
                <w:szCs w:val="18"/>
                <w:color w:val="auto"/>
              </w:rPr>
              <w:t>2.3</w:t>
            </w:r>
          </w:p>
        </w:tc>
        <w:tc>
          <w:tcPr>
            <w:tcW w:w="9900" w:type="dxa"/>
            <w:vAlign w:val="bottom"/>
            <w:gridSpan w:val="26"/>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Master Ownership and License Agreement Regarding Patents, Trade Secrets and Related Intellectual Property, among</w:t>
              </w:r>
            </w:hyperlink>
          </w:p>
        </w:tc>
      </w:tr>
      <w:tr>
        <w:trPr>
          <w:trHeight w:val="162"/>
        </w:trPr>
        <w:tc>
          <w:tcPr>
            <w:tcW w:w="1340" w:type="dxa"/>
            <w:vAlign w:val="bottom"/>
          </w:tcPr>
          <w:p>
            <w:pPr>
              <w:spacing w:after="0"/>
              <w:rPr>
                <w:sz w:val="14"/>
                <w:szCs w:val="14"/>
                <w:color w:val="auto"/>
              </w:rPr>
            </w:pPr>
          </w:p>
        </w:tc>
        <w:tc>
          <w:tcPr>
            <w:tcW w:w="9480" w:type="dxa"/>
            <w:vAlign w:val="bottom"/>
            <w:tcBorders>
              <w:top w:val="single" w:sz="8" w:color="0000FF"/>
            </w:tcBorders>
            <w:gridSpan w:val="15"/>
          </w:tcPr>
          <w:p>
            <w:pPr>
              <w:spacing w:after="0" w:line="162" w:lineRule="exact"/>
              <w:rPr>
                <w:rFonts w:ascii="Arial" w:cs="Arial" w:eastAsia="Arial" w:hAnsi="Arial"/>
                <w:sz w:val="18"/>
                <w:szCs w:val="18"/>
                <w:color w:val="0000FF"/>
              </w:rPr>
            </w:pPr>
            <w:hyperlink r:id="rId166">
              <w:r>
                <w:rPr>
                  <w:rFonts w:ascii="Arial" w:cs="Arial" w:eastAsia="Arial" w:hAnsi="Arial"/>
                  <w:sz w:val="18"/>
                  <w:szCs w:val="18"/>
                  <w:color w:val="0000FF"/>
                </w:rPr>
                <w:t>Kraft Foods Global Brands LLC, Kraft Foods Group Brands LLC, Kraft Foods UK Ltd. and Kraft Foods R&amp;D Inc., dated</w:t>
              </w:r>
            </w:hyperlink>
          </w:p>
        </w:tc>
        <w:tc>
          <w:tcPr>
            <w:tcW w:w="420" w:type="dxa"/>
            <w:vAlign w:val="bottom"/>
            <w:gridSpan w:val="11"/>
          </w:tcPr>
          <w:p>
            <w:pPr>
              <w:jc w:val="center"/>
              <w:ind w:right="240"/>
              <w:spacing w:after="0" w:line="162"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as</w:t>
              </w:r>
            </w:hyperlink>
          </w:p>
        </w:tc>
      </w:tr>
      <w:tr>
        <w:trPr>
          <w:trHeight w:val="155"/>
        </w:trPr>
        <w:tc>
          <w:tcPr>
            <w:tcW w:w="134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of October 1, 2012 (incorporated by reference to Exhibit 10.3 to the Registrant’s Current Report on Form 8-K filed with the</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2080" w:type="dxa"/>
            <w:vAlign w:val="bottom"/>
            <w:tcBorders>
              <w:bottom w:val="single" w:sz="8" w:color="0000FF"/>
            </w:tcBorders>
            <w:gridSpan w:val="3"/>
          </w:tcPr>
          <w:p>
            <w:pPr>
              <w:spacing w:after="0" w:line="156"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SEC on October 1, 2012).</w:t>
              </w:r>
            </w:hyperlink>
          </w:p>
        </w:tc>
        <w:tc>
          <w:tcPr>
            <w:tcW w:w="7600" w:type="dxa"/>
            <w:vAlign w:val="bottom"/>
            <w:gridSpan w:val="1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2.4</w:t>
            </w:r>
          </w:p>
        </w:tc>
        <w:tc>
          <w:tcPr>
            <w:tcW w:w="9900" w:type="dxa"/>
            <w:vAlign w:val="bottom"/>
            <w:gridSpan w:val="26"/>
          </w:tcPr>
          <w:p>
            <w:pPr>
              <w:spacing w:after="0"/>
              <w:rPr>
                <w:rFonts w:ascii="Arial" w:cs="Arial" w:eastAsia="Arial" w:hAnsi="Arial"/>
                <w:sz w:val="18"/>
                <w:szCs w:val="18"/>
                <w:color w:val="0000FF"/>
              </w:rPr>
            </w:pPr>
            <w:hyperlink r:id="rId167">
              <w:r>
                <w:rPr>
                  <w:rFonts w:ascii="Arial" w:cs="Arial" w:eastAsia="Arial" w:hAnsi="Arial"/>
                  <w:sz w:val="18"/>
                  <w:szCs w:val="18"/>
                  <w:color w:val="0000FF"/>
                </w:rPr>
                <w:t>Master Ownership and License Agreement Regarding Trademarks and Related Intellectual Property, by and between Kraft</w:t>
              </w:r>
            </w:hyperlink>
          </w:p>
        </w:tc>
      </w:tr>
      <w:tr>
        <w:trPr>
          <w:trHeight w:val="155"/>
        </w:trPr>
        <w:tc>
          <w:tcPr>
            <w:tcW w:w="13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Foods Global Brands LLC and Kraft Foods Group Brands LLC., dated as of September 27, 2012 (incorporated by reference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1340" w:type="dxa"/>
            <w:vAlign w:val="bottom"/>
          </w:tcPr>
          <w:p>
            <w:pPr>
              <w:spacing w:after="0"/>
              <w:rPr>
                <w:sz w:val="16"/>
                <w:szCs w:val="16"/>
                <w:color w:val="auto"/>
              </w:rPr>
            </w:pPr>
          </w:p>
        </w:tc>
        <w:tc>
          <w:tcPr>
            <w:tcW w:w="9840" w:type="dxa"/>
            <w:vAlign w:val="bottom"/>
            <w:gridSpan w:val="25"/>
          </w:tcPr>
          <w:p>
            <w:pPr>
              <w:spacing w:after="0" w:line="187" w:lineRule="exact"/>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to Exhibit 10.4 to the Registrant’s Current Report on Form 8-K filed with the SEC on October 1, 2012).</w:t>
              </w:r>
            </w:hyperlink>
          </w:p>
        </w:tc>
        <w:tc>
          <w:tcPr>
            <w:tcW w:w="60" w:type="dxa"/>
            <w:vAlign w:val="bottom"/>
          </w:tcPr>
          <w:p>
            <w:pPr>
              <w:spacing w:after="0"/>
              <w:rPr>
                <w:sz w:val="16"/>
                <w:szCs w:val="16"/>
                <w:color w:val="auto"/>
              </w:rPr>
            </w:pPr>
          </w:p>
        </w:tc>
      </w:tr>
      <w:tr>
        <w:trPr>
          <w:trHeight w:val="198"/>
        </w:trPr>
        <w:tc>
          <w:tcPr>
            <w:tcW w:w="1340" w:type="dxa"/>
            <w:vAlign w:val="bottom"/>
          </w:tcPr>
          <w:p>
            <w:pPr>
              <w:jc w:val="right"/>
              <w:ind w:right="670"/>
              <w:spacing w:after="0" w:line="198" w:lineRule="exact"/>
              <w:rPr>
                <w:sz w:val="20"/>
                <w:szCs w:val="20"/>
                <w:color w:val="auto"/>
              </w:rPr>
            </w:pPr>
            <w:r>
              <w:rPr>
                <w:rFonts w:ascii="Arial" w:cs="Arial" w:eastAsia="Arial" w:hAnsi="Arial"/>
                <w:sz w:val="18"/>
                <w:szCs w:val="18"/>
                <w:color w:val="auto"/>
              </w:rPr>
              <w:t>2.5</w:t>
            </w:r>
          </w:p>
        </w:tc>
        <w:tc>
          <w:tcPr>
            <w:tcW w:w="9900" w:type="dxa"/>
            <w:vAlign w:val="bottom"/>
            <w:gridSpan w:val="26"/>
          </w:tcPr>
          <w:p>
            <w:pPr>
              <w:spacing w:after="0" w:line="198" w:lineRule="exact"/>
              <w:rPr>
                <w:rFonts w:ascii="Arial" w:cs="Arial" w:eastAsia="Arial" w:hAnsi="Arial"/>
                <w:sz w:val="18"/>
                <w:szCs w:val="18"/>
                <w:color w:val="0000FF"/>
              </w:rPr>
            </w:pPr>
            <w:hyperlink r:id="rId168">
              <w:r>
                <w:rPr>
                  <w:rFonts w:ascii="Arial" w:cs="Arial" w:eastAsia="Arial" w:hAnsi="Arial"/>
                  <w:sz w:val="18"/>
                  <w:szCs w:val="18"/>
                  <w:color w:val="0000FF"/>
                </w:rPr>
                <w:t>First Amendment to the Master Ownership and License Agreement Regarding Trademarks and Related Intellectual</w:t>
              </w:r>
            </w:hyperlink>
          </w:p>
        </w:tc>
      </w:tr>
      <w:tr>
        <w:trPr>
          <w:trHeight w:val="149"/>
        </w:trPr>
        <w:tc>
          <w:tcPr>
            <w:tcW w:w="1340" w:type="dxa"/>
            <w:vAlign w:val="bottom"/>
          </w:tcPr>
          <w:p>
            <w:pPr>
              <w:spacing w:after="0"/>
              <w:rPr>
                <w:sz w:val="12"/>
                <w:szCs w:val="12"/>
                <w:color w:val="auto"/>
              </w:rPr>
            </w:pPr>
          </w:p>
        </w:tc>
        <w:tc>
          <w:tcPr>
            <w:tcW w:w="91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Property, among Intercontinental Great Brands LLC and Kraft Foods Group Brands LLC, dated as of July 15, 2013</w:t>
              </w:r>
            </w:hyperlink>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62"/>
        </w:trPr>
        <w:tc>
          <w:tcPr>
            <w:tcW w:w="1340" w:type="dxa"/>
            <w:vAlign w:val="bottom"/>
          </w:tcPr>
          <w:p>
            <w:pPr>
              <w:spacing w:after="0"/>
              <w:rPr>
                <w:sz w:val="14"/>
                <w:szCs w:val="14"/>
                <w:color w:val="auto"/>
              </w:rPr>
            </w:pPr>
          </w:p>
        </w:tc>
        <w:tc>
          <w:tcPr>
            <w:tcW w:w="9100" w:type="dxa"/>
            <w:vAlign w:val="bottom"/>
            <w:tcBorders>
              <w:top w:val="single" w:sz="8" w:color="0000FF"/>
            </w:tcBorders>
            <w:gridSpan w:val="8"/>
          </w:tcPr>
          <w:p>
            <w:pPr>
              <w:spacing w:after="0" w:line="162" w:lineRule="exact"/>
              <w:rPr>
                <w:rFonts w:ascii="Arial" w:cs="Arial" w:eastAsia="Arial" w:hAnsi="Arial"/>
                <w:sz w:val="18"/>
                <w:szCs w:val="18"/>
                <w:color w:val="0000FF"/>
              </w:rPr>
            </w:pPr>
            <w:hyperlink r:id="rId168">
              <w:r>
                <w:rPr>
                  <w:rFonts w:ascii="Arial" w:cs="Arial" w:eastAsia="Arial" w:hAnsi="Arial"/>
                  <w:sz w:val="18"/>
                  <w:szCs w:val="18"/>
                  <w:color w:val="0000FF"/>
                </w:rPr>
                <w:t>(incorporated by reference to Exhibit 2.1 to the Registrant’s Quarterly Report on Form 10-Q filed with the SEC on</w:t>
              </w:r>
            </w:hyperlink>
          </w:p>
        </w:tc>
        <w:tc>
          <w:tcPr>
            <w:tcW w:w="800" w:type="dxa"/>
            <w:vAlign w:val="bottom"/>
            <w:gridSpan w:val="18"/>
          </w:tcPr>
          <w:p>
            <w:pPr>
              <w:spacing w:after="0" w:line="162" w:lineRule="exact"/>
              <w:rPr>
                <w:rFonts w:ascii="Arial" w:cs="Arial" w:eastAsia="Arial" w:hAnsi="Arial"/>
                <w:sz w:val="18"/>
                <w:szCs w:val="18"/>
                <w:color w:val="0000FF"/>
              </w:rPr>
            </w:pPr>
            <w:hyperlink r:id="rId168">
              <w:r>
                <w:rPr>
                  <w:rFonts w:ascii="Arial" w:cs="Arial" w:eastAsia="Arial" w:hAnsi="Arial"/>
                  <w:sz w:val="18"/>
                  <w:szCs w:val="18"/>
                  <w:color w:val="0000FF"/>
                </w:rPr>
                <w:t>April 30,</w:t>
              </w:r>
            </w:hyperlink>
          </w:p>
        </w:tc>
      </w:tr>
      <w:tr>
        <w:trPr>
          <w:trHeight w:val="155"/>
        </w:trPr>
        <w:tc>
          <w:tcPr>
            <w:tcW w:w="13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168">
              <w:r>
                <w:rPr>
                  <w:rFonts w:ascii="Arial" w:cs="Arial" w:eastAsia="Arial" w:hAnsi="Arial"/>
                  <w:sz w:val="18"/>
                  <w:szCs w:val="18"/>
                  <w:color w:val="0000FF"/>
                  <w:w w:val="97"/>
                </w:rPr>
                <w:t>2015).</w:t>
              </w:r>
            </w:hyperlink>
          </w:p>
        </w:tc>
        <w:tc>
          <w:tcPr>
            <w:tcW w:w="8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2.6</w:t>
            </w:r>
          </w:p>
        </w:tc>
        <w:tc>
          <w:tcPr>
            <w:tcW w:w="9900" w:type="dxa"/>
            <w:vAlign w:val="bottom"/>
            <w:gridSpan w:val="26"/>
          </w:tcPr>
          <w:p>
            <w:pPr>
              <w:spacing w:after="0"/>
              <w:rPr>
                <w:rFonts w:ascii="Arial" w:cs="Arial" w:eastAsia="Arial" w:hAnsi="Arial"/>
                <w:sz w:val="18"/>
                <w:szCs w:val="18"/>
                <w:color w:val="0000FF"/>
              </w:rPr>
            </w:pPr>
            <w:hyperlink r:id="rId169">
              <w:r>
                <w:rPr>
                  <w:rFonts w:ascii="Arial" w:cs="Arial" w:eastAsia="Arial" w:hAnsi="Arial"/>
                  <w:sz w:val="18"/>
                  <w:szCs w:val="18"/>
                  <w:color w:val="0000FF"/>
                </w:rPr>
                <w:t>Second Amendment to the Master Ownership and License Agreement Regarding Trademarks and Related Intellectual</w:t>
              </w:r>
            </w:hyperlink>
          </w:p>
        </w:tc>
      </w:tr>
      <w:tr>
        <w:trPr>
          <w:trHeight w:val="149"/>
        </w:trPr>
        <w:tc>
          <w:tcPr>
            <w:tcW w:w="1340" w:type="dxa"/>
            <w:vAlign w:val="bottom"/>
          </w:tcPr>
          <w:p>
            <w:pPr>
              <w:spacing w:after="0"/>
              <w:rPr>
                <w:sz w:val="12"/>
                <w:szCs w:val="12"/>
                <w:color w:val="auto"/>
              </w:rPr>
            </w:pPr>
          </w:p>
        </w:tc>
        <w:tc>
          <w:tcPr>
            <w:tcW w:w="94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Property, among Intercontinental Great Brands LLC and Kraft Foods Group Brands LLC, dated as of October 1, 2014</w:t>
              </w:r>
            </w:hyperlink>
          </w:p>
        </w:tc>
        <w:tc>
          <w:tcPr>
            <w:tcW w:w="10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62"/>
        </w:trPr>
        <w:tc>
          <w:tcPr>
            <w:tcW w:w="1340" w:type="dxa"/>
            <w:vAlign w:val="bottom"/>
          </w:tcPr>
          <w:p>
            <w:pPr>
              <w:spacing w:after="0"/>
              <w:rPr>
                <w:sz w:val="14"/>
                <w:szCs w:val="14"/>
                <w:color w:val="auto"/>
              </w:rPr>
            </w:pPr>
          </w:p>
        </w:tc>
        <w:tc>
          <w:tcPr>
            <w:tcW w:w="9320" w:type="dxa"/>
            <w:vAlign w:val="bottom"/>
            <w:tcBorders>
              <w:top w:val="single" w:sz="8" w:color="0000FF"/>
            </w:tcBorders>
            <w:gridSpan w:val="12"/>
          </w:tcPr>
          <w:p>
            <w:pPr>
              <w:spacing w:after="0" w:line="162"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(incorporated by reference to Exhibit 2.2 to the Registrant’s Quarterly Report on Form 10-Q filed with the SEC on April</w:t>
              </w:r>
            </w:hyperlink>
          </w:p>
        </w:tc>
        <w:tc>
          <w:tcPr>
            <w:tcW w:w="420" w:type="dxa"/>
            <w:vAlign w:val="bottom"/>
            <w:gridSpan w:val="9"/>
          </w:tcPr>
          <w:p>
            <w:pPr>
              <w:jc w:val="center"/>
              <w:ind w:right="40"/>
              <w:spacing w:after="0" w:line="162" w:lineRule="exact"/>
              <w:rPr>
                <w:rFonts w:ascii="Arial" w:cs="Arial" w:eastAsia="Arial" w:hAnsi="Arial"/>
                <w:sz w:val="18"/>
                <w:szCs w:val="18"/>
                <w:color w:val="0000FF"/>
              </w:rPr>
            </w:pPr>
            <w:hyperlink r:id="rId169">
              <w:r>
                <w:rPr>
                  <w:rFonts w:ascii="Arial" w:cs="Arial" w:eastAsia="Arial" w:hAnsi="Arial"/>
                  <w:sz w:val="18"/>
                  <w:szCs w:val="18"/>
                  <w:color w:val="0000FF"/>
                </w:rPr>
                <w:t>30,</w:t>
              </w:r>
            </w:hyperlink>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2015).</w:t>
              </w:r>
            </w:hyperlink>
          </w:p>
        </w:tc>
        <w:tc>
          <w:tcPr>
            <w:tcW w:w="8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2.7</w:t>
            </w:r>
          </w:p>
        </w:tc>
        <w:tc>
          <w:tcPr>
            <w:tcW w:w="9900" w:type="dxa"/>
            <w:vAlign w:val="bottom"/>
            <w:gridSpan w:val="26"/>
          </w:tcPr>
          <w:p>
            <w:pPr>
              <w:spacing w:after="0"/>
              <w:rPr>
                <w:rFonts w:ascii="Arial" w:cs="Arial" w:eastAsia="Arial" w:hAnsi="Arial"/>
                <w:sz w:val="18"/>
                <w:szCs w:val="18"/>
                <w:color w:val="0000FF"/>
              </w:rPr>
            </w:pPr>
            <w:hyperlink r:id="rId170">
              <w:r>
                <w:rPr>
                  <w:rFonts w:ascii="Arial" w:cs="Arial" w:eastAsia="Arial" w:hAnsi="Arial"/>
                  <w:sz w:val="18"/>
                  <w:szCs w:val="18"/>
                  <w:color w:val="0000FF"/>
                </w:rPr>
                <w:t>Amendment to the Master Ownership and License Agreement Regarding Trademarks and Related Intellectual Property,</w:t>
              </w:r>
            </w:hyperlink>
          </w:p>
        </w:tc>
      </w:tr>
      <w:tr>
        <w:trPr>
          <w:trHeight w:val="149"/>
        </w:trPr>
        <w:tc>
          <w:tcPr>
            <w:tcW w:w="1340" w:type="dxa"/>
            <w:vAlign w:val="bottom"/>
          </w:tcPr>
          <w:p>
            <w:pPr>
              <w:spacing w:after="0"/>
              <w:rPr>
                <w:sz w:val="12"/>
                <w:szCs w:val="12"/>
                <w:color w:val="auto"/>
              </w:rPr>
            </w:pPr>
          </w:p>
        </w:tc>
        <w:tc>
          <w:tcPr>
            <w:tcW w:w="95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among Intercontinental Great Brands LLC and Kraft Foods Group Brands LLC, effective as of September 28, 2016</w:t>
              </w:r>
            </w:hyperlink>
          </w:p>
        </w:tc>
        <w:tc>
          <w:tcPr>
            <w:tcW w:w="1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62"/>
        </w:trPr>
        <w:tc>
          <w:tcPr>
            <w:tcW w:w="1340" w:type="dxa"/>
            <w:vAlign w:val="bottom"/>
          </w:tcPr>
          <w:p>
            <w:pPr>
              <w:spacing w:after="0"/>
              <w:rPr>
                <w:sz w:val="14"/>
                <w:szCs w:val="14"/>
                <w:color w:val="auto"/>
              </w:rPr>
            </w:pPr>
          </w:p>
        </w:tc>
        <w:tc>
          <w:tcPr>
            <w:tcW w:w="9120" w:type="dxa"/>
            <w:vAlign w:val="bottom"/>
            <w:tcBorders>
              <w:top w:val="single" w:sz="8" w:color="0000FF"/>
            </w:tcBorders>
            <w:gridSpan w:val="9"/>
          </w:tcPr>
          <w:p>
            <w:pPr>
              <w:spacing w:after="0" w:line="162" w:lineRule="exact"/>
              <w:rPr>
                <w:rFonts w:ascii="Arial" w:cs="Arial" w:eastAsia="Arial" w:hAnsi="Arial"/>
                <w:sz w:val="18"/>
                <w:szCs w:val="18"/>
                <w:color w:val="0000FF"/>
              </w:rPr>
            </w:pPr>
            <w:hyperlink r:id="rId170">
              <w:r>
                <w:rPr>
                  <w:rFonts w:ascii="Arial" w:cs="Arial" w:eastAsia="Arial" w:hAnsi="Arial"/>
                  <w:sz w:val="18"/>
                  <w:szCs w:val="18"/>
                  <w:color w:val="0000FF"/>
                </w:rPr>
                <w:t>(incorporated by reference to Exhibit 2.1 to the Registrant’s Quarterly Report on Form 10-Q filed with the SEC on</w:t>
              </w:r>
            </w:hyperlink>
          </w:p>
        </w:tc>
        <w:tc>
          <w:tcPr>
            <w:tcW w:w="780" w:type="dxa"/>
            <w:vAlign w:val="bottom"/>
            <w:gridSpan w:val="17"/>
          </w:tcPr>
          <w:p>
            <w:pPr>
              <w:spacing w:after="0" w:line="162"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August 2,</w:t>
              </w:r>
            </w:hyperlink>
          </w:p>
        </w:tc>
      </w:tr>
      <w:tr>
        <w:trPr>
          <w:trHeight w:val="155"/>
        </w:trPr>
        <w:tc>
          <w:tcPr>
            <w:tcW w:w="13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170">
              <w:r>
                <w:rPr>
                  <w:rFonts w:ascii="Arial" w:cs="Arial" w:eastAsia="Arial" w:hAnsi="Arial"/>
                  <w:sz w:val="18"/>
                  <w:szCs w:val="18"/>
                  <w:color w:val="0000FF"/>
                  <w:w w:val="97"/>
                </w:rPr>
                <w:t>2017).</w:t>
              </w:r>
            </w:hyperlink>
          </w:p>
        </w:tc>
        <w:tc>
          <w:tcPr>
            <w:tcW w:w="8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2.8</w:t>
            </w:r>
          </w:p>
        </w:tc>
        <w:tc>
          <w:tcPr>
            <w:tcW w:w="9900" w:type="dxa"/>
            <w:vAlign w:val="bottom"/>
            <w:gridSpan w:val="26"/>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Fourth Amendment to the Master Ownership and License Agreement Regarding Trademarks and Related Intellectual</w:t>
              </w:r>
            </w:hyperlink>
          </w:p>
        </w:tc>
      </w:tr>
      <w:tr>
        <w:trPr>
          <w:trHeight w:val="142"/>
        </w:trPr>
        <w:tc>
          <w:tcPr>
            <w:tcW w:w="1340" w:type="dxa"/>
            <w:vAlign w:val="bottom"/>
          </w:tcPr>
          <w:p>
            <w:pPr>
              <w:spacing w:after="0"/>
              <w:rPr>
                <w:sz w:val="12"/>
                <w:szCs w:val="12"/>
                <w:color w:val="auto"/>
              </w:rPr>
            </w:pPr>
          </w:p>
        </w:tc>
        <w:tc>
          <w:tcPr>
            <w:tcW w:w="9340" w:type="dxa"/>
            <w:vAlign w:val="bottom"/>
            <w:tcBorders>
              <w:top w:val="single" w:sz="8" w:color="0000FF"/>
            </w:tcBorders>
            <w:gridSpan w:val="13"/>
          </w:tcPr>
          <w:p>
            <w:pPr>
              <w:spacing w:after="0" w:line="142" w:lineRule="exact"/>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Property, among Intercontinental Great Brands LLC and Kraft Foods Group Brands LLC, dated as of October 28, 2019</w:t>
              </w:r>
            </w:hyperlink>
          </w:p>
        </w:tc>
        <w:tc>
          <w:tcPr>
            <w:tcW w:w="300" w:type="dxa"/>
            <w:vAlign w:val="bottom"/>
            <w:gridSpan w:val="5"/>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89"/>
        </w:trPr>
        <w:tc>
          <w:tcPr>
            <w:tcW w:w="1340" w:type="dxa"/>
            <w:vAlign w:val="bottom"/>
          </w:tcPr>
          <w:p>
            <w:pPr>
              <w:spacing w:after="0"/>
              <w:rPr>
                <w:sz w:val="16"/>
                <w:szCs w:val="16"/>
                <w:color w:val="auto"/>
              </w:rPr>
            </w:pPr>
          </w:p>
        </w:tc>
        <w:tc>
          <w:tcPr>
            <w:tcW w:w="9900" w:type="dxa"/>
            <w:vAlign w:val="bottom"/>
            <w:gridSpan w:val="26"/>
          </w:tcPr>
          <w:p>
            <w:pPr>
              <w:spacing w:after="0" w:line="189" w:lineRule="exact"/>
              <w:rPr>
                <w:rFonts w:ascii="Arial" w:cs="Arial" w:eastAsia="Arial" w:hAnsi="Arial"/>
                <w:sz w:val="18"/>
                <w:szCs w:val="18"/>
                <w:color w:val="0000FF"/>
              </w:rPr>
            </w:pPr>
            <w:hyperlink r:id="rId171">
              <w:r>
                <w:rPr>
                  <w:rFonts w:ascii="Arial" w:cs="Arial" w:eastAsia="Arial" w:hAnsi="Arial"/>
                  <w:sz w:val="18"/>
                  <w:szCs w:val="18"/>
                  <w:color w:val="0000FF"/>
                </w:rPr>
                <w:t>(incorporated by reference to Exhibit 2,8 to the Registrant's Annual Report on Form 10-K filed with the SEC on February 7,</w:t>
              </w:r>
            </w:hyperlink>
          </w:p>
        </w:tc>
      </w:tr>
      <w:tr>
        <w:trPr>
          <w:trHeight w:val="155"/>
        </w:trPr>
        <w:tc>
          <w:tcPr>
            <w:tcW w:w="13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171">
              <w:r>
                <w:rPr>
                  <w:rFonts w:ascii="Arial" w:cs="Arial" w:eastAsia="Arial" w:hAnsi="Arial"/>
                  <w:sz w:val="18"/>
                  <w:szCs w:val="18"/>
                  <w:color w:val="0000FF"/>
                  <w:w w:val="97"/>
                </w:rPr>
                <w:t>2020).</w:t>
              </w:r>
            </w:hyperlink>
          </w:p>
        </w:tc>
        <w:tc>
          <w:tcPr>
            <w:tcW w:w="8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3.1</w:t>
            </w:r>
          </w:p>
        </w:tc>
        <w:tc>
          <w:tcPr>
            <w:tcW w:w="9900" w:type="dxa"/>
            <w:vAlign w:val="bottom"/>
            <w:gridSpan w:val="26"/>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Amended and Restated Articles of Incorporation of the Registrant, effective March 14, 2013 (incorporated by reference to</w:t>
              </w:r>
            </w:hyperlink>
          </w:p>
        </w:tc>
      </w:tr>
      <w:tr>
        <w:trPr>
          <w:trHeight w:val="155"/>
        </w:trPr>
        <w:tc>
          <w:tcPr>
            <w:tcW w:w="134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Exhibit 3.1 to the Registrant’s Quarterly Report on Form 10-Q filed with the SEC on May 8, 2013).</w:t>
              </w:r>
            </w:hyperlink>
          </w:p>
        </w:tc>
        <w:tc>
          <w:tcPr>
            <w:tcW w:w="14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88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20" w:type="dxa"/>
            <w:vAlign w:val="bottom"/>
            <w:gridSpan w:val="1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0"/>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3.2</w:t>
            </w:r>
          </w:p>
        </w:tc>
        <w:tc>
          <w:tcPr>
            <w:tcW w:w="9900" w:type="dxa"/>
            <w:vAlign w:val="bottom"/>
            <w:gridSpan w:val="26"/>
          </w:tcPr>
          <w:p>
            <w:pPr>
              <w:spacing w:after="0"/>
              <w:rPr>
                <w:rFonts w:ascii="Arial" w:cs="Arial" w:eastAsia="Arial" w:hAnsi="Arial"/>
                <w:sz w:val="18"/>
                <w:szCs w:val="18"/>
                <w:color w:val="0000FF"/>
              </w:rPr>
            </w:pPr>
            <w:hyperlink r:id="rId173">
              <w:r>
                <w:rPr>
                  <w:rFonts w:ascii="Arial" w:cs="Arial" w:eastAsia="Arial" w:hAnsi="Arial"/>
                  <w:sz w:val="18"/>
                  <w:szCs w:val="18"/>
                  <w:color w:val="0000FF"/>
                </w:rPr>
                <w:t>Amended and Restated By-Laws of the Registrant, effective as of March 17, 2020 (incorporated by reference to Exhibit 3.1</w:t>
              </w:r>
            </w:hyperlink>
          </w:p>
        </w:tc>
      </w:tr>
      <w:tr>
        <w:trPr>
          <w:trHeight w:val="169"/>
        </w:trPr>
        <w:tc>
          <w:tcPr>
            <w:tcW w:w="1340" w:type="dxa"/>
            <w:vAlign w:val="bottom"/>
          </w:tcPr>
          <w:p>
            <w:pPr>
              <w:spacing w:after="0"/>
              <w:rPr>
                <w:sz w:val="14"/>
                <w:szCs w:val="14"/>
                <w:color w:val="auto"/>
              </w:rPr>
            </w:pPr>
          </w:p>
        </w:tc>
        <w:tc>
          <w:tcPr>
            <w:tcW w:w="68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to the Registrant’s Current Report on Form 8-K filed with the SEC on March 18, 2020).</w:t>
              </w:r>
            </w:hyperlink>
          </w:p>
        </w:tc>
        <w:tc>
          <w:tcPr>
            <w:tcW w:w="2900" w:type="dxa"/>
            <w:vAlign w:val="bottom"/>
            <w:tcBorders>
              <w:top w:val="single" w:sz="8" w:color="0000FF"/>
            </w:tcBorders>
            <w:gridSpan w:val="18"/>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68"/>
        </w:trPr>
        <w:tc>
          <w:tcPr>
            <w:tcW w:w="1340" w:type="dxa"/>
            <w:vAlign w:val="bottom"/>
          </w:tcPr>
          <w:p>
            <w:pPr>
              <w:jc w:val="right"/>
              <w:ind w:right="670"/>
              <w:spacing w:after="0"/>
              <w:rPr>
                <w:sz w:val="20"/>
                <w:szCs w:val="20"/>
                <w:color w:val="auto"/>
              </w:rPr>
            </w:pPr>
            <w:r>
              <w:rPr>
                <w:rFonts w:ascii="Arial" w:cs="Arial" w:eastAsia="Arial" w:hAnsi="Arial"/>
                <w:sz w:val="18"/>
                <w:szCs w:val="18"/>
                <w:color w:val="auto"/>
              </w:rPr>
              <w:t>4.1</w:t>
            </w:r>
          </w:p>
        </w:tc>
        <w:tc>
          <w:tcPr>
            <w:tcW w:w="9900" w:type="dxa"/>
            <w:vAlign w:val="bottom"/>
            <w:gridSpan w:val="26"/>
          </w:tcPr>
          <w:p>
            <w:pPr>
              <w:spacing w:after="0"/>
              <w:rPr>
                <w:rFonts w:ascii="Arial" w:cs="Arial" w:eastAsia="Arial" w:hAnsi="Arial"/>
                <w:sz w:val="18"/>
                <w:szCs w:val="18"/>
                <w:color w:val="0000FF"/>
              </w:rPr>
            </w:pPr>
            <w:hyperlink w:anchor="page143">
              <w:r>
                <w:rPr>
                  <w:rFonts w:ascii="Arial" w:cs="Arial" w:eastAsia="Arial" w:hAnsi="Arial"/>
                  <w:sz w:val="18"/>
                  <w:szCs w:val="18"/>
                  <w:u w:val="single" w:color="auto"/>
                  <w:color w:val="0000FF"/>
                </w:rPr>
                <w:t>Description of the Registrant's capital stock and debt securities registered under Section 12 of the Exchange Act</w:t>
              </w:r>
              <w:r>
                <w:rPr>
                  <w:rFonts w:ascii="Arial" w:cs="Arial" w:eastAsia="Arial" w:hAnsi="Arial"/>
                  <w:sz w:val="18"/>
                  <w:szCs w:val="18"/>
                  <w:color w:val="0000FF"/>
                </w:rPr>
                <w:t>.</w:t>
              </w:r>
            </w:hyperlink>
          </w:p>
        </w:tc>
      </w:tr>
      <w:tr>
        <w:trPr>
          <w:trHeight w:val="864"/>
        </w:trPr>
        <w:tc>
          <w:tcPr>
            <w:tcW w:w="1340" w:type="dxa"/>
            <w:vAlign w:val="bottom"/>
          </w:tcPr>
          <w:p>
            <w:pPr>
              <w:spacing w:after="0"/>
              <w:rPr>
                <w:sz w:val="24"/>
                <w:szCs w:val="24"/>
                <w:color w:val="auto"/>
              </w:rPr>
            </w:pPr>
          </w:p>
        </w:tc>
        <w:tc>
          <w:tcPr>
            <w:tcW w:w="6880" w:type="dxa"/>
            <w:vAlign w:val="bottom"/>
            <w:gridSpan w:val="5"/>
          </w:tcPr>
          <w:p>
            <w:pPr>
              <w:ind w:left="4140"/>
              <w:spacing w:after="0"/>
              <w:rPr>
                <w:sz w:val="20"/>
                <w:szCs w:val="20"/>
                <w:color w:val="auto"/>
              </w:rPr>
            </w:pPr>
            <w:r>
              <w:rPr>
                <w:rFonts w:ascii="Arial" w:cs="Arial" w:eastAsia="Arial" w:hAnsi="Arial"/>
                <w:sz w:val="18"/>
                <w:szCs w:val="18"/>
                <w:color w:val="auto"/>
              </w:rPr>
              <w:t>134</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1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320"/>
              <w:spacing w:after="0"/>
              <w:rPr>
                <w:sz w:val="20"/>
                <w:szCs w:val="20"/>
                <w:color w:val="auto"/>
              </w:rPr>
            </w:pPr>
            <w:r>
              <w:rPr>
                <w:rFonts w:ascii="Arial" w:cs="Arial" w:eastAsia="Arial" w:hAnsi="Arial"/>
                <w:sz w:val="18"/>
                <w:szCs w:val="18"/>
                <w:color w:val="auto"/>
              </w:rPr>
              <w:t>4.2</w:t>
            </w:r>
          </w:p>
        </w:tc>
        <w:tc>
          <w:tcPr>
            <w:tcW w:w="9900" w:type="dxa"/>
            <w:vAlign w:val="bottom"/>
            <w:gridSpan w:val="37"/>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r>
      <w:tr>
        <w:trPr>
          <w:trHeight w:val="176"/>
        </w:trPr>
        <w:tc>
          <w:tcPr>
            <w:tcW w:w="1340" w:type="dxa"/>
            <w:vAlign w:val="bottom"/>
          </w:tcPr>
          <w:p>
            <w:pPr>
              <w:spacing w:after="0"/>
              <w:rPr>
                <w:sz w:val="15"/>
                <w:szCs w:val="15"/>
                <w:color w:val="auto"/>
              </w:rPr>
            </w:pPr>
          </w:p>
        </w:tc>
        <w:tc>
          <w:tcPr>
            <w:tcW w:w="9900" w:type="dxa"/>
            <w:vAlign w:val="bottom"/>
            <w:gridSpan w:val="37"/>
          </w:tcPr>
          <w:p>
            <w:pPr>
              <w:spacing w:after="0" w:line="176"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r>
      <w:tr>
        <w:trPr>
          <w:trHeight w:val="220"/>
        </w:trPr>
        <w:tc>
          <w:tcPr>
            <w:tcW w:w="1340" w:type="dxa"/>
            <w:vAlign w:val="bottom"/>
          </w:tcPr>
          <w:p>
            <w:pPr>
              <w:spacing w:after="0"/>
              <w:rPr>
                <w:sz w:val="19"/>
                <w:szCs w:val="19"/>
                <w:color w:val="auto"/>
              </w:rPr>
            </w:pPr>
          </w:p>
        </w:tc>
        <w:tc>
          <w:tcPr>
            <w:tcW w:w="9900" w:type="dxa"/>
            <w:vAlign w:val="bottom"/>
            <w:gridSpan w:val="37"/>
          </w:tcPr>
          <w:p>
            <w:pPr>
              <w:spacing w:after="0"/>
              <w:rPr>
                <w:sz w:val="20"/>
                <w:szCs w:val="20"/>
                <w:color w:val="auto"/>
              </w:rPr>
            </w:pPr>
            <w:r>
              <w:rPr>
                <w:rFonts w:ascii="Arial" w:cs="Arial" w:eastAsia="Arial" w:hAnsi="Arial"/>
                <w:sz w:val="18"/>
                <w:szCs w:val="18"/>
                <w:color w:val="auto"/>
              </w:rPr>
              <w:t>Registrant and its consolidated subsidiaries.</w:t>
            </w:r>
          </w:p>
        </w:tc>
      </w:tr>
      <w:tr>
        <w:trPr>
          <w:trHeight w:val="198"/>
        </w:trPr>
        <w:tc>
          <w:tcPr>
            <w:tcW w:w="1340" w:type="dxa"/>
            <w:vAlign w:val="bottom"/>
          </w:tcPr>
          <w:p>
            <w:pPr>
              <w:ind w:left="320"/>
              <w:spacing w:after="0" w:line="198" w:lineRule="exact"/>
              <w:rPr>
                <w:sz w:val="20"/>
                <w:szCs w:val="20"/>
                <w:color w:val="auto"/>
              </w:rPr>
            </w:pPr>
            <w:r>
              <w:rPr>
                <w:rFonts w:ascii="Arial" w:cs="Arial" w:eastAsia="Arial" w:hAnsi="Arial"/>
                <w:sz w:val="18"/>
                <w:szCs w:val="18"/>
                <w:color w:val="auto"/>
              </w:rPr>
              <w:t>4.3</w:t>
            </w:r>
          </w:p>
        </w:tc>
        <w:tc>
          <w:tcPr>
            <w:tcW w:w="9900" w:type="dxa"/>
            <w:vAlign w:val="bottom"/>
            <w:gridSpan w:val="37"/>
          </w:tcPr>
          <w:p>
            <w:pPr>
              <w:spacing w:after="0" w:line="198" w:lineRule="exact"/>
              <w:rPr>
                <w:rFonts w:ascii="Arial" w:cs="Arial" w:eastAsia="Arial" w:hAnsi="Arial"/>
                <w:sz w:val="18"/>
                <w:szCs w:val="18"/>
                <w:color w:val="0000FF"/>
              </w:rPr>
            </w:pPr>
            <w:hyperlink r:id="rId176">
              <w:r>
                <w:rPr>
                  <w:rFonts w:ascii="Arial" w:cs="Arial" w:eastAsia="Arial" w:hAnsi="Arial"/>
                  <w:sz w:val="18"/>
                  <w:szCs w:val="18"/>
                  <w:color w:val="0000FF"/>
                </w:rPr>
                <w:t>Indenture, by and between the Registrant and Deutsche Bank Trust Company Americas (as successor trustee to The Bank</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of New York and The Chase Manhattan Bank), dated as of October 17, 2001 (incorporated by reference to Exhibit 4.1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1340" w:type="dxa"/>
            <w:vAlign w:val="bottom"/>
          </w:tcPr>
          <w:p>
            <w:pPr>
              <w:spacing w:after="0"/>
              <w:rPr>
                <w:sz w:val="16"/>
                <w:szCs w:val="16"/>
                <w:color w:val="auto"/>
              </w:rPr>
            </w:pPr>
          </w:p>
        </w:tc>
        <w:tc>
          <w:tcPr>
            <w:tcW w:w="9560" w:type="dxa"/>
            <w:vAlign w:val="bottom"/>
            <w:tcBorders>
              <w:top w:val="single" w:sz="8" w:color="0000FF"/>
            </w:tcBorders>
            <w:gridSpan w:val="26"/>
          </w:tcPr>
          <w:p>
            <w:pPr>
              <w:spacing w:after="0" w:line="187" w:lineRule="exact"/>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the Registrant’s Registration Statement on Form S-3 (Reg. No. 333-86478) filed with the SEC on April 18, 2002).</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1340" w:type="dxa"/>
            <w:vAlign w:val="bottom"/>
          </w:tcPr>
          <w:p>
            <w:pPr>
              <w:ind w:left="320"/>
              <w:spacing w:after="0" w:line="198" w:lineRule="exact"/>
              <w:rPr>
                <w:sz w:val="20"/>
                <w:szCs w:val="20"/>
                <w:color w:val="auto"/>
              </w:rPr>
            </w:pPr>
            <w:r>
              <w:rPr>
                <w:rFonts w:ascii="Arial" w:cs="Arial" w:eastAsia="Arial" w:hAnsi="Arial"/>
                <w:sz w:val="18"/>
                <w:szCs w:val="18"/>
                <w:color w:val="auto"/>
              </w:rPr>
              <w:t>4.4</w:t>
            </w:r>
          </w:p>
        </w:tc>
        <w:tc>
          <w:tcPr>
            <w:tcW w:w="9900" w:type="dxa"/>
            <w:vAlign w:val="bottom"/>
            <w:gridSpan w:val="37"/>
          </w:tcPr>
          <w:p>
            <w:pPr>
              <w:spacing w:after="0" w:line="198" w:lineRule="exact"/>
              <w:rPr>
                <w:rFonts w:ascii="Arial" w:cs="Arial" w:eastAsia="Arial" w:hAnsi="Arial"/>
                <w:sz w:val="18"/>
                <w:szCs w:val="18"/>
                <w:color w:val="0000FF"/>
              </w:rPr>
            </w:pPr>
            <w:hyperlink r:id="rId177">
              <w:r>
                <w:rPr>
                  <w:rFonts w:ascii="Arial" w:cs="Arial" w:eastAsia="Arial" w:hAnsi="Arial"/>
                  <w:sz w:val="18"/>
                  <w:szCs w:val="18"/>
                  <w:color w:val="0000FF"/>
                </w:rPr>
                <w:t>Supplemental Indenture, by and between the Registrant and Deutsche Bank Trust Company Americas, Deutsche Bank AG,</w:t>
              </w:r>
            </w:hyperlink>
          </w:p>
        </w:tc>
      </w:tr>
      <w:tr>
        <w:trPr>
          <w:trHeight w:val="156"/>
        </w:trPr>
        <w:tc>
          <w:tcPr>
            <w:tcW w:w="1340" w:type="dxa"/>
            <w:vAlign w:val="bottom"/>
          </w:tcPr>
          <w:p>
            <w:pPr>
              <w:spacing w:after="0"/>
              <w:rPr>
                <w:sz w:val="13"/>
                <w:szCs w:val="13"/>
                <w:color w:val="auto"/>
              </w:rPr>
            </w:pPr>
          </w:p>
        </w:tc>
        <w:tc>
          <w:tcPr>
            <w:tcW w:w="98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London Branch and Deutsche Bank Luxembourg S.A., dated as of December 11, 2013 (incorporated by reference to</w:t>
              </w:r>
            </w:hyperlink>
          </w:p>
        </w:tc>
        <w:tc>
          <w:tcPr>
            <w:tcW w:w="60" w:type="dxa"/>
            <w:vAlign w:val="bottom"/>
          </w:tcPr>
          <w:p>
            <w:pPr>
              <w:spacing w:after="0"/>
              <w:rPr>
                <w:sz w:val="13"/>
                <w:szCs w:val="13"/>
                <w:color w:val="auto"/>
              </w:rPr>
            </w:pPr>
          </w:p>
        </w:tc>
      </w:tr>
      <w:tr>
        <w:trPr>
          <w:trHeight w:val="187"/>
        </w:trPr>
        <w:tc>
          <w:tcPr>
            <w:tcW w:w="1340" w:type="dxa"/>
            <w:vAlign w:val="bottom"/>
          </w:tcPr>
          <w:p>
            <w:pPr>
              <w:spacing w:after="0"/>
              <w:rPr>
                <w:sz w:val="16"/>
                <w:szCs w:val="16"/>
                <w:color w:val="auto"/>
              </w:rPr>
            </w:pPr>
          </w:p>
        </w:tc>
        <w:tc>
          <w:tcPr>
            <w:tcW w:w="9260" w:type="dxa"/>
            <w:vAlign w:val="bottom"/>
            <w:tcBorders>
              <w:top w:val="single" w:sz="8" w:color="0000FF"/>
            </w:tcBorders>
            <w:gridSpan w:val="15"/>
          </w:tcPr>
          <w:p>
            <w:pPr>
              <w:spacing w:after="0" w:line="187" w:lineRule="exact"/>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Exhibit 4.2 to the Registrant’s Current Report on Form 8-K filed with the SEC on December 11, 2013).</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r>
      <w:tr>
        <w:trPr>
          <w:trHeight w:val="198"/>
        </w:trPr>
        <w:tc>
          <w:tcPr>
            <w:tcW w:w="1340" w:type="dxa"/>
            <w:vAlign w:val="bottom"/>
          </w:tcPr>
          <w:p>
            <w:pPr>
              <w:ind w:left="320"/>
              <w:spacing w:after="0" w:line="198" w:lineRule="exact"/>
              <w:rPr>
                <w:sz w:val="20"/>
                <w:szCs w:val="20"/>
                <w:color w:val="auto"/>
              </w:rPr>
            </w:pPr>
            <w:r>
              <w:rPr>
                <w:rFonts w:ascii="Arial" w:cs="Arial" w:eastAsia="Arial" w:hAnsi="Arial"/>
                <w:sz w:val="18"/>
                <w:szCs w:val="18"/>
                <w:color w:val="auto"/>
              </w:rPr>
              <w:t>4.5</w:t>
            </w:r>
          </w:p>
        </w:tc>
        <w:tc>
          <w:tcPr>
            <w:tcW w:w="9900" w:type="dxa"/>
            <w:vAlign w:val="bottom"/>
            <w:gridSpan w:val="37"/>
          </w:tcPr>
          <w:p>
            <w:pPr>
              <w:spacing w:after="0" w:line="198" w:lineRule="exact"/>
              <w:rPr>
                <w:rFonts w:ascii="Arial" w:cs="Arial" w:eastAsia="Arial" w:hAnsi="Arial"/>
                <w:sz w:val="18"/>
                <w:szCs w:val="18"/>
                <w:color w:val="0000FF"/>
              </w:rPr>
            </w:pPr>
            <w:hyperlink r:id="rId178">
              <w:r>
                <w:rPr>
                  <w:rFonts w:ascii="Arial" w:cs="Arial" w:eastAsia="Arial" w:hAnsi="Arial"/>
                  <w:sz w:val="18"/>
                  <w:szCs w:val="18"/>
                  <w:color w:val="0000FF"/>
                </w:rPr>
                <w:t>Indenture between the Registrant and Deutsche Bank Trust Company Americas, as trustee, dated as of March 6, 2015</w:t>
              </w:r>
            </w:hyperlink>
          </w:p>
        </w:tc>
      </w:tr>
      <w:tr>
        <w:trPr>
          <w:trHeight w:val="156"/>
        </w:trPr>
        <w:tc>
          <w:tcPr>
            <w:tcW w:w="1340" w:type="dxa"/>
            <w:vAlign w:val="bottom"/>
          </w:tcPr>
          <w:p>
            <w:pPr>
              <w:spacing w:after="0"/>
              <w:rPr>
                <w:sz w:val="13"/>
                <w:szCs w:val="13"/>
                <w:color w:val="auto"/>
              </w:rPr>
            </w:pPr>
          </w:p>
        </w:tc>
        <w:tc>
          <w:tcPr>
            <w:tcW w:w="94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(incorporated by reference to Exhibit 4.4 to the Registrant’s Annual Report on Form 10-K filed with the SEC 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87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February 24, 2017).</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3"/>
        </w:trPr>
        <w:tc>
          <w:tcPr>
            <w:tcW w:w="1340" w:type="dxa"/>
            <w:vAlign w:val="bottom"/>
          </w:tcPr>
          <w:p>
            <w:pPr>
              <w:ind w:left="320"/>
              <w:spacing w:after="0" w:line="196" w:lineRule="exact"/>
              <w:rPr>
                <w:sz w:val="20"/>
                <w:szCs w:val="20"/>
                <w:color w:val="auto"/>
              </w:rPr>
            </w:pPr>
            <w:r>
              <w:rPr>
                <w:rFonts w:ascii="Arial" w:cs="Arial" w:eastAsia="Arial" w:hAnsi="Arial"/>
                <w:sz w:val="18"/>
                <w:szCs w:val="18"/>
                <w:color w:val="auto"/>
              </w:rPr>
              <w:t>4.6</w:t>
            </w:r>
          </w:p>
        </w:tc>
        <w:tc>
          <w:tcPr>
            <w:tcW w:w="9900" w:type="dxa"/>
            <w:vAlign w:val="bottom"/>
            <w:gridSpan w:val="37"/>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Supplemental Indenture No. 1, dated February 13, 2019, between the Registrant and Deutsche Bank Trust Company</w:t>
              </w:r>
            </w:hyperlink>
          </w:p>
        </w:tc>
      </w:tr>
      <w:tr>
        <w:trPr>
          <w:trHeight w:val="162"/>
        </w:trPr>
        <w:tc>
          <w:tcPr>
            <w:tcW w:w="1340" w:type="dxa"/>
            <w:vAlign w:val="bottom"/>
          </w:tcPr>
          <w:p>
            <w:pPr>
              <w:spacing w:after="0"/>
              <w:rPr>
                <w:sz w:val="14"/>
                <w:szCs w:val="14"/>
                <w:color w:val="auto"/>
              </w:rPr>
            </w:pPr>
          </w:p>
        </w:tc>
        <w:tc>
          <w:tcPr>
            <w:tcW w:w="9320" w:type="dxa"/>
            <w:vAlign w:val="bottom"/>
            <w:tcBorders>
              <w:top w:val="single" w:sz="8" w:color="0000FF"/>
            </w:tcBorders>
            <w:gridSpan w:val="16"/>
          </w:tcPr>
          <w:p>
            <w:pPr>
              <w:spacing w:after="0" w:line="162" w:lineRule="exact"/>
              <w:rPr>
                <w:rFonts w:ascii="Arial" w:cs="Arial" w:eastAsia="Arial" w:hAnsi="Arial"/>
                <w:sz w:val="18"/>
                <w:szCs w:val="18"/>
                <w:color w:val="0000FF"/>
              </w:rPr>
            </w:pPr>
            <w:hyperlink r:id="rId179">
              <w:r>
                <w:rPr>
                  <w:rFonts w:ascii="Arial" w:cs="Arial" w:eastAsia="Arial" w:hAnsi="Arial"/>
                  <w:sz w:val="18"/>
                  <w:szCs w:val="18"/>
                  <w:color w:val="0000FF"/>
                </w:rPr>
                <w:t>Americas (incorporated by reference to Exhibit 4.2 to the Registrant's Current Report on Form 8-K filed with the SEC</w:t>
              </w:r>
            </w:hyperlink>
          </w:p>
        </w:tc>
        <w:tc>
          <w:tcPr>
            <w:tcW w:w="580" w:type="dxa"/>
            <w:vAlign w:val="bottom"/>
            <w:gridSpan w:val="21"/>
          </w:tcPr>
          <w:p>
            <w:pPr>
              <w:spacing w:after="0" w:line="162" w:lineRule="exact"/>
              <w:rPr>
                <w:rFonts w:ascii="Arial" w:cs="Arial" w:eastAsia="Arial" w:hAnsi="Arial"/>
                <w:sz w:val="18"/>
                <w:szCs w:val="18"/>
                <w:color w:val="0000FF"/>
              </w:rPr>
            </w:pPr>
            <w:hyperlink r:id="rId179">
              <w:r>
                <w:rPr>
                  <w:rFonts w:ascii="Arial" w:cs="Arial" w:eastAsia="Arial" w:hAnsi="Arial"/>
                  <w:sz w:val="18"/>
                  <w:szCs w:val="18"/>
                  <w:color w:val="0000FF"/>
                </w:rPr>
                <w:t>on</w:t>
              </w:r>
            </w:hyperlink>
          </w:p>
        </w:tc>
      </w:tr>
      <w:tr>
        <w:trPr>
          <w:trHeight w:val="156"/>
        </w:trPr>
        <w:tc>
          <w:tcPr>
            <w:tcW w:w="134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February 13,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340" w:type="dxa"/>
            <w:vAlign w:val="bottom"/>
          </w:tcPr>
          <w:p>
            <w:pPr>
              <w:ind w:left="320"/>
              <w:spacing w:after="0"/>
              <w:rPr>
                <w:sz w:val="20"/>
                <w:szCs w:val="20"/>
                <w:color w:val="auto"/>
              </w:rPr>
            </w:pPr>
            <w:r>
              <w:rPr>
                <w:rFonts w:ascii="Arial" w:cs="Arial" w:eastAsia="Arial" w:hAnsi="Arial"/>
                <w:sz w:val="18"/>
                <w:szCs w:val="18"/>
                <w:color w:val="auto"/>
              </w:rPr>
              <w:t>4.7</w:t>
            </w:r>
          </w:p>
        </w:tc>
        <w:tc>
          <w:tcPr>
            <w:tcW w:w="9900" w:type="dxa"/>
            <w:vAlign w:val="bottom"/>
            <w:gridSpan w:val="37"/>
          </w:tcPr>
          <w:p>
            <w:pPr>
              <w:spacing w:after="0"/>
              <w:rPr>
                <w:rFonts w:ascii="Arial" w:cs="Arial" w:eastAsia="Arial" w:hAnsi="Arial"/>
                <w:sz w:val="18"/>
                <w:szCs w:val="18"/>
                <w:color w:val="0000FF"/>
              </w:rPr>
            </w:pPr>
            <w:hyperlink r:id="rId180">
              <w:r>
                <w:rPr>
                  <w:rFonts w:ascii="Arial" w:cs="Arial" w:eastAsia="Arial" w:hAnsi="Arial"/>
                  <w:sz w:val="18"/>
                  <w:szCs w:val="18"/>
                  <w:color w:val="0000FF"/>
                </w:rPr>
                <w:t>Supplemental Indenture No. 2, dated April 13, 2020, between Mondelēz International, Inc. and Deutsche Bank Trust</w:t>
              </w:r>
            </w:hyperlink>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9900" w:type="dxa"/>
            <w:vAlign w:val="bottom"/>
            <w:gridSpan w:val="37"/>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Company Americas (incorporated by reference to Exhibit 4.3 to the Registrant's Current Report on Form 8-K filed with the</w:t>
              </w:r>
            </w:hyperlink>
          </w:p>
        </w:tc>
      </w:tr>
      <w:tr>
        <w:trPr>
          <w:trHeight w:val="156"/>
        </w:trPr>
        <w:tc>
          <w:tcPr>
            <w:tcW w:w="134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80">
              <w:r>
                <w:rPr>
                  <w:rFonts w:ascii="Arial" w:cs="Arial" w:eastAsia="Arial" w:hAnsi="Arial"/>
                  <w:sz w:val="18"/>
                  <w:szCs w:val="18"/>
                  <w:color w:val="0000FF"/>
                  <w:w w:val="99"/>
                </w:rPr>
                <w:t>SEC on April 13, 2020).</w:t>
              </w:r>
            </w:hyperlink>
          </w:p>
        </w:tc>
        <w:tc>
          <w:tcPr>
            <w:tcW w:w="7780" w:type="dxa"/>
            <w:vAlign w:val="bottom"/>
            <w:tcBorders>
              <w:top w:val="single" w:sz="8" w:color="0000FF"/>
            </w:tcBorders>
            <w:gridSpan w:val="27"/>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1340" w:type="dxa"/>
            <w:vAlign w:val="bottom"/>
          </w:tcPr>
          <w:p>
            <w:pPr>
              <w:ind w:left="320"/>
              <w:spacing w:after="0"/>
              <w:rPr>
                <w:sz w:val="20"/>
                <w:szCs w:val="20"/>
                <w:color w:val="auto"/>
              </w:rPr>
            </w:pPr>
            <w:r>
              <w:rPr>
                <w:rFonts w:ascii="Arial" w:cs="Arial" w:eastAsia="Arial" w:hAnsi="Arial"/>
                <w:sz w:val="18"/>
                <w:szCs w:val="18"/>
                <w:color w:val="auto"/>
              </w:rPr>
              <w:t>4.8</w:t>
            </w:r>
          </w:p>
        </w:tc>
        <w:tc>
          <w:tcPr>
            <w:tcW w:w="9900" w:type="dxa"/>
            <w:vAlign w:val="bottom"/>
            <w:gridSpan w:val="37"/>
          </w:tcPr>
          <w:p>
            <w:pPr>
              <w:spacing w:after="0"/>
              <w:rPr>
                <w:rFonts w:ascii="Arial" w:cs="Arial" w:eastAsia="Arial" w:hAnsi="Arial"/>
                <w:sz w:val="18"/>
                <w:szCs w:val="18"/>
                <w:color w:val="0000FF"/>
              </w:rPr>
            </w:pPr>
            <w:hyperlink r:id="rId181">
              <w:r>
                <w:rPr>
                  <w:rFonts w:ascii="Arial" w:cs="Arial" w:eastAsia="Arial" w:hAnsi="Arial"/>
                  <w:sz w:val="18"/>
                  <w:szCs w:val="18"/>
                  <w:color w:val="0000FF"/>
                </w:rPr>
                <w:t>Indenture, by and between Mondelez International Holdings Netherlands B.V, the Registrant and Deutsche Bank Trust</w:t>
              </w:r>
            </w:hyperlink>
          </w:p>
        </w:tc>
      </w:tr>
      <w:tr>
        <w:trPr>
          <w:trHeight w:val="156"/>
        </w:trPr>
        <w:tc>
          <w:tcPr>
            <w:tcW w:w="134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Company Americas, dated as of October 28, 2016 (incorporated by reference to Exhibit 4.1 to the Registrant’s Current</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420" w:type="dxa"/>
            <w:vAlign w:val="bottom"/>
            <w:gridSpan w:val="21"/>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Report on Form 8-K filed with the SEC on October 28, 2016).</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340" w:type="dxa"/>
            <w:vAlign w:val="bottom"/>
          </w:tcPr>
          <w:p>
            <w:pPr>
              <w:ind w:left="320"/>
              <w:spacing w:after="0"/>
              <w:rPr>
                <w:sz w:val="20"/>
                <w:szCs w:val="20"/>
                <w:color w:val="auto"/>
              </w:rPr>
            </w:pPr>
            <w:r>
              <w:rPr>
                <w:rFonts w:ascii="Arial" w:cs="Arial" w:eastAsia="Arial" w:hAnsi="Arial"/>
                <w:sz w:val="18"/>
                <w:szCs w:val="18"/>
                <w:color w:val="auto"/>
              </w:rPr>
              <w:t>4.9</w:t>
            </w:r>
          </w:p>
        </w:tc>
        <w:tc>
          <w:tcPr>
            <w:tcW w:w="8860" w:type="dxa"/>
            <w:vAlign w:val="bottom"/>
            <w:tcBorders>
              <w:bottom w:val="single" w:sz="8" w:color="0000FF"/>
            </w:tcBorders>
            <w:gridSpan w:val="10"/>
          </w:tcPr>
          <w:p>
            <w:pPr>
              <w:spacing w:after="0"/>
              <w:rPr>
                <w:rFonts w:ascii="Arial" w:cs="Arial" w:eastAsia="Arial" w:hAnsi="Arial"/>
                <w:sz w:val="18"/>
                <w:szCs w:val="18"/>
                <w:color w:val="0000FF"/>
                <w:w w:val="99"/>
              </w:rPr>
            </w:pPr>
            <w:hyperlink r:id="rId182">
              <w:r>
                <w:rPr>
                  <w:rFonts w:ascii="Arial" w:cs="Arial" w:eastAsia="Arial" w:hAnsi="Arial"/>
                  <w:sz w:val="18"/>
                  <w:szCs w:val="18"/>
                  <w:color w:val="0000FF"/>
                  <w:w w:val="99"/>
                </w:rPr>
                <w:t>First Supplemental Indenture, dated as of September 19, 2019, by and among Mondelez International Holdings</w:t>
              </w:r>
            </w:hyperlink>
          </w:p>
        </w:tc>
        <w:tc>
          <w:tcPr>
            <w:tcW w:w="1040" w:type="dxa"/>
            <w:vAlign w:val="bottom"/>
            <w:gridSpan w:val="27"/>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9900" w:type="dxa"/>
            <w:vAlign w:val="bottom"/>
            <w:gridSpan w:val="37"/>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Netherlands B.V., as issuer, Mondelēz International, Inc., as guarantor, and Deutsche Bank Trust Company Americas, as</w:t>
              </w:r>
            </w:hyperlink>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trustee (incorporated by reference to Exhibit 4.2 to the Registrant’s Current Report on Form 8-K filed with the SEC on</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September 20,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340" w:type="dxa"/>
            <w:vAlign w:val="bottom"/>
          </w:tcPr>
          <w:p>
            <w:pPr>
              <w:ind w:left="300"/>
              <w:spacing w:after="0"/>
              <w:rPr>
                <w:sz w:val="20"/>
                <w:szCs w:val="20"/>
                <w:color w:val="auto"/>
              </w:rPr>
            </w:pPr>
            <w:r>
              <w:rPr>
                <w:rFonts w:ascii="Arial" w:cs="Arial" w:eastAsia="Arial" w:hAnsi="Arial"/>
                <w:sz w:val="18"/>
                <w:szCs w:val="18"/>
                <w:color w:val="auto"/>
              </w:rPr>
              <w:t>4.10</w:t>
            </w:r>
          </w:p>
        </w:tc>
        <w:tc>
          <w:tcPr>
            <w:tcW w:w="9900" w:type="dxa"/>
            <w:vAlign w:val="bottom"/>
            <w:gridSpan w:val="37"/>
          </w:tcPr>
          <w:p>
            <w:pPr>
              <w:spacing w:after="0"/>
              <w:rPr>
                <w:rFonts w:ascii="Arial" w:cs="Arial" w:eastAsia="Arial" w:hAnsi="Arial"/>
                <w:sz w:val="18"/>
                <w:szCs w:val="18"/>
                <w:color w:val="0000FF"/>
              </w:rPr>
            </w:pPr>
            <w:hyperlink r:id="rId183">
              <w:r>
                <w:rPr>
                  <w:rFonts w:ascii="Arial" w:cs="Arial" w:eastAsia="Arial" w:hAnsi="Arial"/>
                  <w:sz w:val="18"/>
                  <w:szCs w:val="18"/>
                  <w:color w:val="0000FF"/>
                </w:rPr>
                <w:t>Second Supplemental Indenture, dated as of October 2, 2019, by and among Mondelez International Holdings Netherlands</w:t>
              </w:r>
            </w:hyperlink>
          </w:p>
        </w:tc>
      </w:tr>
      <w:tr>
        <w:trPr>
          <w:trHeight w:val="155"/>
        </w:trPr>
        <w:tc>
          <w:tcPr>
            <w:tcW w:w="1340" w:type="dxa"/>
            <w:vAlign w:val="bottom"/>
          </w:tcPr>
          <w:p>
            <w:pPr>
              <w:spacing w:after="0"/>
              <w:rPr>
                <w:sz w:val="13"/>
                <w:szCs w:val="13"/>
                <w:color w:val="auto"/>
              </w:rPr>
            </w:pPr>
          </w:p>
        </w:tc>
        <w:tc>
          <w:tcPr>
            <w:tcW w:w="98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B.V., as issuer, Mondelēz International, Inc., as guarantor, and Deutsche Bank Trust Company Americas, as trustee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9900" w:type="dxa"/>
            <w:vAlign w:val="bottom"/>
            <w:gridSpan w:val="37"/>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(incorporated by reference to Exhibit 4.2 to the Registrant’s Current Report on Form 8-K filed with the SEC on October 2,</w:t>
              </w:r>
            </w:hyperlink>
          </w:p>
        </w:tc>
      </w:tr>
      <w:tr>
        <w:trPr>
          <w:trHeight w:val="156"/>
        </w:trPr>
        <w:tc>
          <w:tcPr>
            <w:tcW w:w="13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183">
              <w:r>
                <w:rPr>
                  <w:rFonts w:ascii="Arial" w:cs="Arial" w:eastAsia="Arial" w:hAnsi="Arial"/>
                  <w:sz w:val="18"/>
                  <w:szCs w:val="18"/>
                  <w:color w:val="0000FF"/>
                  <w:w w:val="97"/>
                </w:rPr>
                <w:t>2019).</w:t>
              </w:r>
            </w:hyperlink>
          </w:p>
        </w:tc>
        <w:tc>
          <w:tcPr>
            <w:tcW w:w="10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7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340" w:type="dxa"/>
            <w:vAlign w:val="bottom"/>
          </w:tcPr>
          <w:p>
            <w:pPr>
              <w:ind w:left="320"/>
              <w:spacing w:after="0"/>
              <w:rPr>
                <w:sz w:val="20"/>
                <w:szCs w:val="20"/>
                <w:color w:val="auto"/>
              </w:rPr>
            </w:pPr>
            <w:r>
              <w:rPr>
                <w:rFonts w:ascii="Arial" w:cs="Arial" w:eastAsia="Arial" w:hAnsi="Arial"/>
                <w:sz w:val="18"/>
                <w:szCs w:val="18"/>
                <w:color w:val="auto"/>
              </w:rPr>
              <w:t>4.11</w:t>
            </w:r>
          </w:p>
        </w:tc>
        <w:tc>
          <w:tcPr>
            <w:tcW w:w="8920" w:type="dxa"/>
            <w:vAlign w:val="bottom"/>
            <w:tcBorders>
              <w:bottom w:val="single" w:sz="8" w:color="0000FF"/>
            </w:tcBorders>
            <w:gridSpan w:val="12"/>
          </w:tcPr>
          <w:p>
            <w:pPr>
              <w:spacing w:after="0"/>
              <w:rPr>
                <w:rFonts w:ascii="Arial" w:cs="Arial" w:eastAsia="Arial" w:hAnsi="Arial"/>
                <w:sz w:val="18"/>
                <w:szCs w:val="18"/>
                <w:color w:val="0000FF"/>
                <w:w w:val="99"/>
              </w:rPr>
            </w:pPr>
            <w:hyperlink r:id="rId184">
              <w:r>
                <w:rPr>
                  <w:rFonts w:ascii="Arial" w:cs="Arial" w:eastAsia="Arial" w:hAnsi="Arial"/>
                  <w:sz w:val="18"/>
                  <w:szCs w:val="18"/>
                  <w:color w:val="0000FF"/>
                  <w:w w:val="99"/>
                </w:rPr>
                <w:t>Third Supplemental Indenture, dated as of September 22, 2020, by and among Mondelez International Holdings</w:t>
              </w:r>
            </w:hyperlink>
          </w:p>
        </w:tc>
        <w:tc>
          <w:tcPr>
            <w:tcW w:w="980" w:type="dxa"/>
            <w:vAlign w:val="bottom"/>
            <w:gridSpan w:val="25"/>
          </w:tcPr>
          <w:p>
            <w:pPr>
              <w:spacing w:after="0"/>
              <w:rPr>
                <w:sz w:val="18"/>
                <w:szCs w:val="18"/>
                <w:color w:val="auto"/>
              </w:rPr>
            </w:pPr>
          </w:p>
        </w:tc>
      </w:tr>
      <w:tr>
        <w:trPr>
          <w:trHeight w:val="155"/>
        </w:trPr>
        <w:tc>
          <w:tcPr>
            <w:tcW w:w="1340" w:type="dxa"/>
            <w:vAlign w:val="bottom"/>
          </w:tcPr>
          <w:p>
            <w:pPr>
              <w:spacing w:after="0"/>
              <w:rPr>
                <w:sz w:val="13"/>
                <w:szCs w:val="13"/>
                <w:color w:val="auto"/>
              </w:rPr>
            </w:pPr>
          </w:p>
        </w:tc>
        <w:tc>
          <w:tcPr>
            <w:tcW w:w="9900" w:type="dxa"/>
            <w:vAlign w:val="bottom"/>
            <w:gridSpan w:val="37"/>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Netherlands B.V., as issuer, Mondelēz International, Inc., as guarantor, and Deutsche Bank Trust Company Americas, as</w:t>
              </w:r>
            </w:hyperlink>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trustee (incorporated by reference to Exhibit 4.2 to the Registrant’s Current Report on Form 8-K filed with the SEC on</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September 24,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340" w:type="dxa"/>
            <w:vAlign w:val="bottom"/>
          </w:tcPr>
          <w:p>
            <w:pPr>
              <w:ind w:left="300"/>
              <w:spacing w:after="0"/>
              <w:rPr>
                <w:sz w:val="20"/>
                <w:szCs w:val="20"/>
                <w:color w:val="auto"/>
              </w:rPr>
            </w:pPr>
            <w:r>
              <w:rPr>
                <w:rFonts w:ascii="Arial" w:cs="Arial" w:eastAsia="Arial" w:hAnsi="Arial"/>
                <w:sz w:val="18"/>
                <w:szCs w:val="18"/>
                <w:color w:val="auto"/>
              </w:rPr>
              <w:t>10.1</w:t>
            </w:r>
          </w:p>
        </w:tc>
        <w:tc>
          <w:tcPr>
            <w:tcW w:w="9900" w:type="dxa"/>
            <w:vAlign w:val="bottom"/>
            <w:gridSpan w:val="37"/>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Five-Year Revolving Credit Agreement, dated February 27, 2019, by and among the Registrant, the lenders named therein</w:t>
              </w:r>
            </w:hyperlink>
          </w:p>
        </w:tc>
      </w:tr>
      <w:tr>
        <w:trPr>
          <w:trHeight w:val="156"/>
        </w:trPr>
        <w:tc>
          <w:tcPr>
            <w:tcW w:w="1340" w:type="dxa"/>
            <w:vAlign w:val="bottom"/>
          </w:tcPr>
          <w:p>
            <w:pPr>
              <w:spacing w:after="0"/>
              <w:rPr>
                <w:sz w:val="13"/>
                <w:szCs w:val="13"/>
                <w:color w:val="auto"/>
              </w:rPr>
            </w:pPr>
          </w:p>
        </w:tc>
        <w:tc>
          <w:tcPr>
            <w:tcW w:w="97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and JPMorgan Chase Bank, N.A., as Administrative Agent (incorporated by reference to Exhibit 10.2 to the Registrant’s</w:t>
              </w:r>
            </w:hyperlink>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Current Report on Form 8-K filed with the SEC on February 27, 2019).</w:t>
              </w:r>
            </w:hyperlink>
          </w:p>
        </w:tc>
        <w:tc>
          <w:tcPr>
            <w:tcW w:w="38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0"/>
        </w:trPr>
        <w:tc>
          <w:tcPr>
            <w:tcW w:w="1340" w:type="dxa"/>
            <w:vAlign w:val="bottom"/>
          </w:tcPr>
          <w:p>
            <w:pPr>
              <w:ind w:left="300"/>
              <w:spacing w:after="0"/>
              <w:rPr>
                <w:sz w:val="20"/>
                <w:szCs w:val="20"/>
                <w:color w:val="auto"/>
              </w:rPr>
            </w:pPr>
            <w:r>
              <w:rPr>
                <w:rFonts w:ascii="Arial" w:cs="Arial" w:eastAsia="Arial" w:hAnsi="Arial"/>
                <w:sz w:val="18"/>
                <w:szCs w:val="18"/>
                <w:color w:val="auto"/>
              </w:rPr>
              <w:t>10.2</w:t>
            </w:r>
          </w:p>
        </w:tc>
        <w:tc>
          <w:tcPr>
            <w:tcW w:w="9900" w:type="dxa"/>
            <w:vAlign w:val="bottom"/>
            <w:gridSpan w:val="37"/>
          </w:tcPr>
          <w:p>
            <w:pPr>
              <w:spacing w:after="0"/>
              <w:rPr>
                <w:rFonts w:ascii="Arial" w:cs="Arial" w:eastAsia="Arial" w:hAnsi="Arial"/>
                <w:sz w:val="18"/>
                <w:szCs w:val="18"/>
                <w:color w:val="0000FF"/>
              </w:rPr>
            </w:pPr>
            <w:hyperlink r:id="rId186">
              <w:r>
                <w:rPr>
                  <w:rFonts w:ascii="Arial" w:cs="Arial" w:eastAsia="Arial" w:hAnsi="Arial"/>
                  <w:sz w:val="18"/>
                  <w:szCs w:val="18"/>
                  <w:color w:val="0000FF"/>
                </w:rPr>
                <w:t>364-Day Revolving Credit Agreement, dated February 26, 2020, by and among the Registrant, the lenders named therein</w:t>
              </w:r>
            </w:hyperlink>
          </w:p>
        </w:tc>
      </w:tr>
      <w:tr>
        <w:trPr>
          <w:trHeight w:val="155"/>
        </w:trPr>
        <w:tc>
          <w:tcPr>
            <w:tcW w:w="134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and JPMorgan Chase Bank, N.A., as Administrative Agent (incorporated by reference to Exhibit 10.1 to the Registrant’s</w:t>
              </w:r>
            </w:hyperlink>
          </w:p>
        </w:tc>
        <w:tc>
          <w:tcPr>
            <w:tcW w:w="16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Current Report on Form 8-K filed with the SEC on February 27, 2020).</w:t>
              </w:r>
            </w:hyperlink>
          </w:p>
        </w:tc>
        <w:tc>
          <w:tcPr>
            <w:tcW w:w="39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1340" w:type="dxa"/>
            <w:vAlign w:val="bottom"/>
          </w:tcPr>
          <w:p>
            <w:pPr>
              <w:ind w:left="300"/>
              <w:spacing w:after="0"/>
              <w:rPr>
                <w:sz w:val="20"/>
                <w:szCs w:val="20"/>
                <w:color w:val="auto"/>
              </w:rPr>
            </w:pPr>
            <w:r>
              <w:rPr>
                <w:rFonts w:ascii="Arial" w:cs="Arial" w:eastAsia="Arial" w:hAnsi="Arial"/>
                <w:sz w:val="18"/>
                <w:szCs w:val="18"/>
                <w:color w:val="auto"/>
              </w:rPr>
              <w:t>10.3</w:t>
            </w:r>
          </w:p>
        </w:tc>
        <w:tc>
          <w:tcPr>
            <w:tcW w:w="9900" w:type="dxa"/>
            <w:vAlign w:val="bottom"/>
            <w:gridSpan w:val="37"/>
          </w:tcPr>
          <w:p>
            <w:pPr>
              <w:spacing w:after="0"/>
              <w:rPr>
                <w:rFonts w:ascii="Arial" w:cs="Arial" w:eastAsia="Arial" w:hAnsi="Arial"/>
                <w:sz w:val="18"/>
                <w:szCs w:val="18"/>
                <w:color w:val="0000FF"/>
              </w:rPr>
            </w:pPr>
            <w:hyperlink r:id="rId187">
              <w:r>
                <w:rPr>
                  <w:rFonts w:ascii="Arial" w:cs="Arial" w:eastAsia="Arial" w:hAnsi="Arial"/>
                  <w:sz w:val="18"/>
                  <w:szCs w:val="18"/>
                  <w:color w:val="0000FF"/>
                </w:rPr>
                <w:t>Term Loan Agreement, dated September 13, 2019, by and among Mondelez International Holdings Netherlands B.V., as</w:t>
              </w:r>
            </w:hyperlink>
          </w:p>
        </w:tc>
      </w:tr>
      <w:tr>
        <w:trPr>
          <w:trHeight w:val="156"/>
        </w:trPr>
        <w:tc>
          <w:tcPr>
            <w:tcW w:w="134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borrower, Mondelēz International, Inc., as guarantor, the lenders named therein, MUFG Bank, Ltd., BofA Securities, Inc.,</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600" w:type="dxa"/>
            <w:vAlign w:val="bottom"/>
            <w:gridSpan w:val="28"/>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Barclays Bank PLC, Credit Suisse Loan Funding LLC, JPMorgan Chase Bank, N.A., Mizuho Bank, Ltd., TD Securities</w:t>
              </w:r>
            </w:hyperlink>
          </w:p>
        </w:tc>
        <w:tc>
          <w:tcPr>
            <w:tcW w:w="22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(USA) LLC and Wells Fargo Securities, LLC, as joint lead arrangers, and MUFG Bank, Ltd. as administrative agent</w:t>
              </w:r>
            </w:hyperlink>
          </w:p>
        </w:tc>
        <w:tc>
          <w:tcPr>
            <w:tcW w:w="140" w:type="dxa"/>
            <w:vAlign w:val="bottom"/>
            <w:gridSpan w:val="5"/>
          </w:tcPr>
          <w:p>
            <w:pPr>
              <w:spacing w:after="0"/>
              <w:rPr>
                <w:sz w:val="13"/>
                <w:szCs w:val="13"/>
                <w:color w:val="auto"/>
              </w:rPr>
            </w:pPr>
          </w:p>
        </w:tc>
        <w:tc>
          <w:tcPr>
            <w:tcW w:w="300" w:type="dxa"/>
            <w:vAlign w:val="bottom"/>
            <w:gridSpan w:val="11"/>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9900" w:type="dxa"/>
            <w:vAlign w:val="bottom"/>
            <w:gridSpan w:val="37"/>
          </w:tcPr>
          <w:p>
            <w:pPr>
              <w:spacing w:after="0" w:line="142" w:lineRule="exact"/>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(incorporated by reference to Exhibit 10.1 to the Registrant's Current Report on Form 8-K filed with the SEC on September</w:t>
              </w:r>
            </w:hyperlink>
          </w:p>
        </w:tc>
      </w:tr>
      <w:tr>
        <w:trPr>
          <w:trHeight w:val="220"/>
        </w:trPr>
        <w:tc>
          <w:tcPr>
            <w:tcW w:w="134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13, 2019).</w:t>
              </w:r>
            </w:hyperlink>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2"/>
        </w:trPr>
        <w:tc>
          <w:tcPr>
            <w:tcW w:w="1340" w:type="dxa"/>
            <w:vAlign w:val="bottom"/>
          </w:tcPr>
          <w:p>
            <w:pPr>
              <w:ind w:left="300"/>
              <w:spacing w:after="0" w:line="185" w:lineRule="exact"/>
              <w:rPr>
                <w:sz w:val="20"/>
                <w:szCs w:val="20"/>
                <w:color w:val="auto"/>
              </w:rPr>
            </w:pPr>
            <w:r>
              <w:rPr>
                <w:rFonts w:ascii="Arial" w:cs="Arial" w:eastAsia="Arial" w:hAnsi="Arial"/>
                <w:sz w:val="18"/>
                <w:szCs w:val="18"/>
                <w:color w:val="auto"/>
              </w:rPr>
              <w:t>10.4</w:t>
            </w:r>
          </w:p>
        </w:tc>
        <w:tc>
          <w:tcPr>
            <w:tcW w:w="9900" w:type="dxa"/>
            <w:vAlign w:val="bottom"/>
            <w:gridSpan w:val="37"/>
          </w:tcPr>
          <w:p>
            <w:pPr>
              <w:spacing w:after="0" w:line="185" w:lineRule="exact"/>
              <w:rPr>
                <w:rFonts w:ascii="Arial" w:cs="Arial" w:eastAsia="Arial" w:hAnsi="Arial"/>
                <w:sz w:val="18"/>
                <w:szCs w:val="18"/>
                <w:color w:val="0000FF"/>
              </w:rPr>
            </w:pPr>
            <w:hyperlink r:id="rId188">
              <w:r>
                <w:rPr>
                  <w:rFonts w:ascii="Arial" w:cs="Arial" w:eastAsia="Arial" w:hAnsi="Arial"/>
                  <w:sz w:val="18"/>
                  <w:szCs w:val="18"/>
                  <w:color w:val="0000FF"/>
                </w:rPr>
                <w:t>Tax Sharing and Indemnity Agreement, by and between the Registrant and Kraft Foods Group, Inc., dated as of</w:t>
              </w:r>
            </w:hyperlink>
          </w:p>
        </w:tc>
      </w:tr>
      <w:tr>
        <w:trPr>
          <w:trHeight w:val="162"/>
        </w:trPr>
        <w:tc>
          <w:tcPr>
            <w:tcW w:w="1340" w:type="dxa"/>
            <w:vAlign w:val="bottom"/>
          </w:tcPr>
          <w:p>
            <w:pPr>
              <w:spacing w:after="0"/>
              <w:rPr>
                <w:sz w:val="14"/>
                <w:szCs w:val="14"/>
                <w:color w:val="auto"/>
              </w:rPr>
            </w:pPr>
          </w:p>
        </w:tc>
        <w:tc>
          <w:tcPr>
            <w:tcW w:w="8880" w:type="dxa"/>
            <w:vAlign w:val="bottom"/>
            <w:tcBorders>
              <w:top w:val="single" w:sz="8" w:color="0000FF"/>
            </w:tcBorders>
            <w:gridSpan w:val="11"/>
          </w:tcPr>
          <w:p>
            <w:pPr>
              <w:spacing w:after="0" w:line="162" w:lineRule="exact"/>
              <w:rPr>
                <w:rFonts w:ascii="Arial" w:cs="Arial" w:eastAsia="Arial" w:hAnsi="Arial"/>
                <w:sz w:val="18"/>
                <w:szCs w:val="18"/>
                <w:color w:val="0000FF"/>
              </w:rPr>
            </w:pPr>
            <w:hyperlink r:id="rId188">
              <w:r>
                <w:rPr>
                  <w:rFonts w:ascii="Arial" w:cs="Arial" w:eastAsia="Arial" w:hAnsi="Arial"/>
                  <w:sz w:val="18"/>
                  <w:szCs w:val="18"/>
                  <w:color w:val="0000FF"/>
                </w:rPr>
                <w:t>September 27, 2012 (incorporated by reference to Exhibit 10.1 to the Registrant’s Current Report on Form 8-K</w:t>
              </w:r>
            </w:hyperlink>
          </w:p>
        </w:tc>
        <w:tc>
          <w:tcPr>
            <w:tcW w:w="1020" w:type="dxa"/>
            <w:vAlign w:val="bottom"/>
            <w:gridSpan w:val="26"/>
          </w:tcPr>
          <w:p>
            <w:pPr>
              <w:spacing w:after="0" w:line="16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filed with the</w:t>
              </w:r>
            </w:hyperlink>
          </w:p>
        </w:tc>
      </w:tr>
      <w:tr>
        <w:trPr>
          <w:trHeight w:val="155"/>
        </w:trPr>
        <w:tc>
          <w:tcPr>
            <w:tcW w:w="13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SEC on October 1, 2012).</w:t>
              </w:r>
            </w:hyperlink>
          </w:p>
        </w:tc>
        <w:tc>
          <w:tcPr>
            <w:tcW w:w="7740" w:type="dxa"/>
            <w:vAlign w:val="bottom"/>
            <w:tcBorders>
              <w:top w:val="single" w:sz="8" w:color="0000FF"/>
            </w:tcBorders>
            <w:gridSpan w:val="30"/>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0"/>
        </w:trPr>
        <w:tc>
          <w:tcPr>
            <w:tcW w:w="1340" w:type="dxa"/>
            <w:vAlign w:val="bottom"/>
          </w:tcPr>
          <w:p>
            <w:pPr>
              <w:ind w:left="300"/>
              <w:spacing w:after="0"/>
              <w:rPr>
                <w:sz w:val="20"/>
                <w:szCs w:val="20"/>
                <w:color w:val="auto"/>
              </w:rPr>
            </w:pPr>
            <w:r>
              <w:rPr>
                <w:rFonts w:ascii="Arial" w:cs="Arial" w:eastAsia="Arial" w:hAnsi="Arial"/>
                <w:sz w:val="18"/>
                <w:szCs w:val="18"/>
                <w:color w:val="auto"/>
              </w:rPr>
              <w:t>10.5</w:t>
            </w:r>
          </w:p>
        </w:tc>
        <w:tc>
          <w:tcPr>
            <w:tcW w:w="9900" w:type="dxa"/>
            <w:vAlign w:val="bottom"/>
            <w:gridSpan w:val="37"/>
          </w:tcPr>
          <w:p>
            <w:pPr>
              <w:spacing w:after="0"/>
              <w:rPr>
                <w:rFonts w:ascii="Arial" w:cs="Arial" w:eastAsia="Arial" w:hAnsi="Arial"/>
                <w:sz w:val="18"/>
                <w:szCs w:val="18"/>
                <w:color w:val="0000FF"/>
              </w:rPr>
            </w:pPr>
            <w:hyperlink r:id="rId189">
              <w:r>
                <w:rPr>
                  <w:rFonts w:ascii="Arial" w:cs="Arial" w:eastAsia="Arial" w:hAnsi="Arial"/>
                  <w:sz w:val="18"/>
                  <w:szCs w:val="18"/>
                  <w:color w:val="0000FF"/>
                </w:rPr>
                <w:t>Global Contribution Agreement by and among Mondelēz International Holdings, LLC, Acorn Holdings B.V., Charger Top</w:t>
              </w:r>
            </w:hyperlink>
          </w:p>
        </w:tc>
      </w:tr>
      <w:tr>
        <w:trPr>
          <w:trHeight w:val="155"/>
        </w:trPr>
        <w:tc>
          <w:tcPr>
            <w:tcW w:w="134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HoldCo B.V. and Charger OpCo B.V., dated May 7, 2014 (incorporated by reference to Exhibit 10.1 to the Registrant’s</w:t>
              </w:r>
            </w:hyperlink>
          </w:p>
        </w:tc>
        <w:tc>
          <w:tcPr>
            <w:tcW w:w="380" w:type="dxa"/>
            <w:vAlign w:val="bottom"/>
            <w:gridSpan w:val="13"/>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3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Quarterly Report on Form 10-Q filed with the SEC on August 8, 2014).</w:t>
              </w:r>
              <w:r>
                <w:rPr>
                  <w:rFonts w:ascii="Arial" w:cs="Arial" w:eastAsia="Arial" w:hAnsi="Arial"/>
                  <w:sz w:val="18"/>
                  <w:szCs w:val="18"/>
                  <w:color w:val="000000"/>
                </w:rPr>
                <w:t>*</w:t>
              </w:r>
            </w:hyperlink>
          </w:p>
        </w:tc>
        <w:tc>
          <w:tcPr>
            <w:tcW w:w="540" w:type="dxa"/>
            <w:vAlign w:val="bottom"/>
            <w:gridSpan w:val="19"/>
          </w:tcPr>
          <w:p>
            <w:pPr>
              <w:spacing w:after="0"/>
              <w:rPr>
                <w:sz w:val="13"/>
                <w:szCs w:val="13"/>
                <w:color w:val="auto"/>
              </w:rPr>
            </w:pPr>
          </w:p>
        </w:tc>
      </w:tr>
      <w:tr>
        <w:trPr>
          <w:trHeight w:val="875"/>
        </w:trPr>
        <w:tc>
          <w:tcPr>
            <w:tcW w:w="1340" w:type="dxa"/>
            <w:vAlign w:val="bottom"/>
          </w:tcPr>
          <w:p>
            <w:pPr>
              <w:spacing w:after="0"/>
              <w:rPr>
                <w:sz w:val="24"/>
                <w:szCs w:val="24"/>
                <w:color w:val="auto"/>
              </w:rPr>
            </w:pPr>
          </w:p>
        </w:tc>
        <w:tc>
          <w:tcPr>
            <w:tcW w:w="4860" w:type="dxa"/>
            <w:vAlign w:val="bottom"/>
            <w:tcBorders>
              <w:top w:val="single" w:sz="8" w:color="0000FF"/>
            </w:tcBorders>
            <w:gridSpan w:val="6"/>
          </w:tcPr>
          <w:p>
            <w:pPr>
              <w:ind w:left="4140"/>
              <w:spacing w:after="0"/>
              <w:rPr>
                <w:sz w:val="20"/>
                <w:szCs w:val="20"/>
                <w:color w:val="auto"/>
              </w:rPr>
            </w:pPr>
            <w:r>
              <w:rPr>
                <w:rFonts w:ascii="Arial" w:cs="Arial" w:eastAsia="Arial" w:hAnsi="Arial"/>
                <w:sz w:val="18"/>
                <w:szCs w:val="18"/>
                <w:color w:val="auto"/>
              </w:rPr>
              <w:t>135</w:t>
            </w:r>
          </w:p>
        </w:tc>
        <w:tc>
          <w:tcPr>
            <w:tcW w:w="7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1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10.6</w:t>
            </w:r>
          </w:p>
        </w:tc>
        <w:tc>
          <w:tcPr>
            <w:tcW w:w="9980" w:type="dxa"/>
            <w:vAlign w:val="bottom"/>
            <w:gridSpan w:val="35"/>
          </w:tcPr>
          <w:p>
            <w:pPr>
              <w:spacing w:after="0"/>
              <w:rPr>
                <w:rFonts w:ascii="Arial" w:cs="Arial" w:eastAsia="Arial" w:hAnsi="Arial"/>
                <w:sz w:val="18"/>
                <w:szCs w:val="18"/>
                <w:color w:val="0000FF"/>
              </w:rPr>
            </w:pPr>
            <w:hyperlink r:id="rId192">
              <w:r>
                <w:rPr>
                  <w:rFonts w:ascii="Arial" w:cs="Arial" w:eastAsia="Arial" w:hAnsi="Arial"/>
                  <w:sz w:val="18"/>
                  <w:szCs w:val="18"/>
                  <w:color w:val="0000FF"/>
                </w:rPr>
                <w:t>Amendment Agreement to Global Contribution Agreement by and among Mondelēz International Holdings LLC, Acorn</w:t>
              </w:r>
            </w:hyperlink>
          </w:p>
        </w:tc>
      </w:tr>
      <w:tr>
        <w:trPr>
          <w:trHeight w:val="156"/>
        </w:trPr>
        <w:tc>
          <w:tcPr>
            <w:tcW w:w="134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7"/>
              </w:rPr>
            </w:pPr>
            <w:hyperlink r:id="rId192">
              <w:r>
                <w:rPr>
                  <w:rFonts w:ascii="Arial" w:cs="Arial" w:eastAsia="Arial" w:hAnsi="Arial"/>
                  <w:sz w:val="18"/>
                  <w:szCs w:val="18"/>
                  <w:color w:val="0000FF"/>
                  <w:w w:val="97"/>
                </w:rPr>
                <w:t>Holdings B.V., Jacobs Douwe Egberts B.V. (formerly Charger Top HoldCo B.V.) and Jacobs Douwe Egberts International</w:t>
              </w:r>
            </w:hyperlink>
          </w:p>
        </w:tc>
        <w:tc>
          <w:tcPr>
            <w:tcW w:w="1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600" w:type="dxa"/>
            <w:vAlign w:val="bottom"/>
            <w:gridSpan w:val="19"/>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B.V. (formerly Charger OpCo B.V.), dated July 28, 2015 (incorporated by reference to Exhibit 10.3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2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Quarterly Report on Form 10-Q filed with the SEC on July 31, 2015).</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10.7</w:t>
            </w:r>
          </w:p>
        </w:tc>
        <w:tc>
          <w:tcPr>
            <w:tcW w:w="9980" w:type="dxa"/>
            <w:vAlign w:val="bottom"/>
            <w:gridSpan w:val="35"/>
          </w:tcPr>
          <w:p>
            <w:pPr>
              <w:spacing w:after="0"/>
              <w:rPr>
                <w:rFonts w:ascii="Arial" w:cs="Arial" w:eastAsia="Arial" w:hAnsi="Arial"/>
                <w:sz w:val="18"/>
                <w:szCs w:val="18"/>
                <w:color w:val="0000FF"/>
              </w:rPr>
            </w:pPr>
            <w:hyperlink r:id="rId193">
              <w:r>
                <w:rPr>
                  <w:rFonts w:ascii="Arial" w:cs="Arial" w:eastAsia="Arial" w:hAnsi="Arial"/>
                  <w:sz w:val="18"/>
                  <w:szCs w:val="18"/>
                  <w:color w:val="0000FF"/>
                </w:rPr>
                <w:t>Investor Rights Agreement between Acorn Holdings B.V., Mondelez Coffee HoldCo B.V. and JDE Peet’s B.V., dated May</w:t>
              </w:r>
            </w:hyperlink>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25, 2020 (incorporated by reference to Exhibit 10.1 to the Registrant's Current Report on Form 8-K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June 2, 2020).</w:t>
              </w:r>
            </w:hyperlink>
          </w:p>
        </w:tc>
        <w:tc>
          <w:tcPr>
            <w:tcW w:w="842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10.8</w:t>
            </w:r>
          </w:p>
        </w:tc>
        <w:tc>
          <w:tcPr>
            <w:tcW w:w="9660" w:type="dxa"/>
            <w:vAlign w:val="bottom"/>
            <w:tcBorders>
              <w:bottom w:val="single" w:sz="8" w:color="0000FF"/>
            </w:tcBorders>
            <w:gridSpan w:val="22"/>
          </w:tcPr>
          <w:p>
            <w:pPr>
              <w:spacing w:after="0"/>
              <w:rPr>
                <w:rFonts w:ascii="Arial" w:cs="Arial" w:eastAsia="Arial" w:hAnsi="Arial"/>
                <w:sz w:val="18"/>
                <w:szCs w:val="18"/>
                <w:color w:val="0000FF"/>
                <w:w w:val="99"/>
              </w:rPr>
            </w:pPr>
            <w:hyperlink r:id="rId194">
              <w:r>
                <w:rPr>
                  <w:rFonts w:ascii="Arial" w:cs="Arial" w:eastAsia="Arial" w:hAnsi="Arial"/>
                  <w:sz w:val="18"/>
                  <w:szCs w:val="18"/>
                  <w:color w:val="0000FF"/>
                  <w:w w:val="99"/>
                </w:rPr>
                <w:t>Letter Agreement between Mondelez Coffee HoldCo B.V., Acorn Holdings B.V., Delta Charger HoldCo B.V., JDE Minority</w:t>
              </w:r>
            </w:hyperlink>
          </w:p>
        </w:tc>
        <w:tc>
          <w:tcPr>
            <w:tcW w:w="320" w:type="dxa"/>
            <w:vAlign w:val="bottom"/>
            <w:gridSpan w:val="13"/>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9980" w:type="dxa"/>
            <w:vAlign w:val="bottom"/>
            <w:gridSpan w:val="35"/>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Holdings B.V. and JACOBS DOUWE EGBERTS B.V., dated May 30, 2020 (incorporated by reference to Exhibit 10.2 to the</w:t>
              </w:r>
            </w:hyperlink>
          </w:p>
        </w:tc>
      </w:tr>
      <w:tr>
        <w:trPr>
          <w:trHeight w:val="156"/>
        </w:trPr>
        <w:tc>
          <w:tcPr>
            <w:tcW w:w="134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Registrant's Current Report on Form 8-K filed with the SEC on June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10.9</w:t>
            </w:r>
          </w:p>
        </w:tc>
        <w:tc>
          <w:tcPr>
            <w:tcW w:w="9980" w:type="dxa"/>
            <w:vAlign w:val="bottom"/>
            <w:gridSpan w:val="35"/>
          </w:tcPr>
          <w:p>
            <w:pPr>
              <w:spacing w:after="0"/>
              <w:rPr>
                <w:rFonts w:ascii="Arial" w:cs="Arial" w:eastAsia="Arial" w:hAnsi="Arial"/>
                <w:sz w:val="18"/>
                <w:szCs w:val="18"/>
                <w:color w:val="0000FF"/>
              </w:rPr>
            </w:pPr>
            <w:hyperlink r:id="rId195">
              <w:r>
                <w:rPr>
                  <w:rFonts w:ascii="Arial" w:cs="Arial" w:eastAsia="Arial" w:hAnsi="Arial"/>
                  <w:sz w:val="18"/>
                  <w:szCs w:val="18"/>
                  <w:color w:val="0000FF"/>
                </w:rPr>
                <w:t>Investor Rights Agreement by and among Keurig Dr Pepper Inc., Maple Holdings B.V. and Mondelēz International Holdings</w:t>
              </w:r>
            </w:hyperlink>
          </w:p>
        </w:tc>
      </w:tr>
      <w:tr>
        <w:trPr>
          <w:trHeight w:val="156"/>
        </w:trPr>
        <w:tc>
          <w:tcPr>
            <w:tcW w:w="134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LLC, dated July 9, 2018 (incorporated by reference to Exhibit 10.1 to the Registrant’s Current Report on Form 8-K filed with</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216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the SEC on July 10, 2018).</w:t>
              </w:r>
            </w:hyperlink>
          </w:p>
        </w:tc>
        <w:tc>
          <w:tcPr>
            <w:tcW w:w="77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10.10</w:t>
            </w:r>
          </w:p>
        </w:tc>
        <w:tc>
          <w:tcPr>
            <w:tcW w:w="9980" w:type="dxa"/>
            <w:vAlign w:val="bottom"/>
            <w:gridSpan w:val="35"/>
          </w:tcPr>
          <w:p>
            <w:pPr>
              <w:spacing w:after="0"/>
              <w:rPr>
                <w:rFonts w:ascii="Arial" w:cs="Arial" w:eastAsia="Arial" w:hAnsi="Arial"/>
                <w:sz w:val="18"/>
                <w:szCs w:val="18"/>
                <w:color w:val="0000FF"/>
              </w:rPr>
            </w:pPr>
            <w:hyperlink r:id="rId196">
              <w:r>
                <w:rPr>
                  <w:rFonts w:ascii="Arial" w:cs="Arial" w:eastAsia="Arial" w:hAnsi="Arial"/>
                  <w:sz w:val="18"/>
                  <w:szCs w:val="18"/>
                  <w:color w:val="0000FF"/>
                </w:rPr>
                <w:t>Settlement Agreement, between the Registrant and Kraft Foods Group, Inc., dated June 22, 2015 (incorporated by</w:t>
              </w:r>
            </w:hyperlink>
          </w:p>
        </w:tc>
      </w:tr>
      <w:tr>
        <w:trPr>
          <w:trHeight w:val="187"/>
        </w:trPr>
        <w:tc>
          <w:tcPr>
            <w:tcW w:w="1340" w:type="dxa"/>
            <w:vAlign w:val="bottom"/>
          </w:tcPr>
          <w:p>
            <w:pPr>
              <w:spacing w:after="0"/>
              <w:rPr>
                <w:sz w:val="16"/>
                <w:szCs w:val="16"/>
                <w:color w:val="auto"/>
              </w:rPr>
            </w:pPr>
          </w:p>
        </w:tc>
        <w:tc>
          <w:tcPr>
            <w:tcW w:w="9120" w:type="dxa"/>
            <w:vAlign w:val="bottom"/>
            <w:tcBorders>
              <w:top w:val="single" w:sz="8" w:color="0000FF"/>
            </w:tcBorders>
            <w:gridSpan w:val="12"/>
          </w:tcPr>
          <w:p>
            <w:pPr>
              <w:spacing w:after="0" w:line="187" w:lineRule="exact"/>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reference to Exhibit 10.2 to the Registrant’s Quarterly Report on Form 10-Q filed with the SEC on July 31, 2015).</w:t>
              </w:r>
            </w:hyperlink>
          </w:p>
        </w:tc>
        <w:tc>
          <w:tcPr>
            <w:tcW w:w="1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6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340" w:type="dxa"/>
            <w:vAlign w:val="bottom"/>
          </w:tcPr>
          <w:p>
            <w:pPr>
              <w:jc w:val="right"/>
              <w:ind w:right="590"/>
              <w:spacing w:after="0" w:line="185" w:lineRule="exact"/>
              <w:rPr>
                <w:sz w:val="20"/>
                <w:szCs w:val="20"/>
                <w:color w:val="auto"/>
              </w:rPr>
            </w:pPr>
            <w:r>
              <w:rPr>
                <w:rFonts w:ascii="Arial" w:cs="Arial" w:eastAsia="Arial" w:hAnsi="Arial"/>
                <w:sz w:val="18"/>
                <w:szCs w:val="18"/>
                <w:color w:val="auto"/>
              </w:rPr>
              <w:t>10.11</w:t>
            </w:r>
          </w:p>
        </w:tc>
        <w:tc>
          <w:tcPr>
            <w:tcW w:w="9980" w:type="dxa"/>
            <w:vAlign w:val="bottom"/>
            <w:gridSpan w:val="35"/>
          </w:tcPr>
          <w:p>
            <w:pPr>
              <w:spacing w:after="0" w:line="185" w:lineRule="exact"/>
              <w:rPr>
                <w:rFonts w:ascii="Arial" w:cs="Arial" w:eastAsia="Arial" w:hAnsi="Arial"/>
                <w:sz w:val="18"/>
                <w:szCs w:val="18"/>
                <w:color w:val="0000FF"/>
              </w:rPr>
            </w:pPr>
            <w:hyperlink r:id="rId197">
              <w:r>
                <w:rPr>
                  <w:rFonts w:ascii="Arial" w:cs="Arial" w:eastAsia="Arial" w:hAnsi="Arial"/>
                  <w:sz w:val="18"/>
                  <w:szCs w:val="18"/>
                  <w:color w:val="0000FF"/>
                </w:rPr>
                <w:t>Mondelēz International, Inc. Amended and Restated 2005 Performance Incentive Plan, amended and restated as of</w:t>
              </w:r>
            </w:hyperlink>
          </w:p>
        </w:tc>
      </w:tr>
      <w:tr>
        <w:trPr>
          <w:trHeight w:val="162"/>
        </w:trPr>
        <w:tc>
          <w:tcPr>
            <w:tcW w:w="1340" w:type="dxa"/>
            <w:vAlign w:val="bottom"/>
          </w:tcPr>
          <w:p>
            <w:pPr>
              <w:spacing w:after="0"/>
              <w:rPr>
                <w:sz w:val="14"/>
                <w:szCs w:val="14"/>
                <w:color w:val="auto"/>
              </w:rPr>
            </w:pPr>
          </w:p>
        </w:tc>
        <w:tc>
          <w:tcPr>
            <w:tcW w:w="9220" w:type="dxa"/>
            <w:vAlign w:val="bottom"/>
            <w:tcBorders>
              <w:top w:val="single" w:sz="8" w:color="0000FF"/>
            </w:tcBorders>
            <w:gridSpan w:val="13"/>
          </w:tcPr>
          <w:p>
            <w:pPr>
              <w:spacing w:after="0" w:line="162" w:lineRule="exact"/>
              <w:rPr>
                <w:rFonts w:ascii="Arial" w:cs="Arial" w:eastAsia="Arial" w:hAnsi="Arial"/>
                <w:sz w:val="18"/>
                <w:szCs w:val="18"/>
                <w:color w:val="0000FF"/>
              </w:rPr>
            </w:pPr>
            <w:hyperlink r:id="rId197">
              <w:r>
                <w:rPr>
                  <w:rFonts w:ascii="Arial" w:cs="Arial" w:eastAsia="Arial" w:hAnsi="Arial"/>
                  <w:sz w:val="18"/>
                  <w:szCs w:val="18"/>
                  <w:color w:val="0000FF"/>
                </w:rPr>
                <w:t>February 3, 2017 (incorporated by reference to Exhibit 10.2 to the Registrant’s Quarterly Report on Form 10-Q filed</w:t>
              </w:r>
            </w:hyperlink>
          </w:p>
        </w:tc>
        <w:tc>
          <w:tcPr>
            <w:tcW w:w="760" w:type="dxa"/>
            <w:vAlign w:val="bottom"/>
            <w:gridSpan w:val="22"/>
          </w:tcPr>
          <w:p>
            <w:pPr>
              <w:spacing w:after="0" w:line="162" w:lineRule="exact"/>
              <w:rPr>
                <w:rFonts w:ascii="Arial" w:cs="Arial" w:eastAsia="Arial" w:hAnsi="Arial"/>
                <w:sz w:val="18"/>
                <w:szCs w:val="18"/>
                <w:color w:val="0000FF"/>
              </w:rPr>
            </w:pPr>
            <w:hyperlink r:id="rId197">
              <w:r>
                <w:rPr>
                  <w:rFonts w:ascii="Arial" w:cs="Arial" w:eastAsia="Arial" w:hAnsi="Arial"/>
                  <w:sz w:val="18"/>
                  <w:szCs w:val="18"/>
                  <w:color w:val="0000FF"/>
                </w:rPr>
                <w:t>with the</w:t>
              </w:r>
            </w:hyperlink>
          </w:p>
        </w:tc>
      </w:tr>
      <w:tr>
        <w:trPr>
          <w:trHeight w:val="155"/>
        </w:trPr>
        <w:tc>
          <w:tcPr>
            <w:tcW w:w="1340" w:type="dxa"/>
            <w:vAlign w:val="bottom"/>
          </w:tcPr>
          <w:p>
            <w:pPr>
              <w:spacing w:after="0"/>
              <w:rPr>
                <w:sz w:val="13"/>
                <w:szCs w:val="13"/>
                <w:color w:val="auto"/>
              </w:rPr>
            </w:pPr>
          </w:p>
        </w:tc>
        <w:tc>
          <w:tcPr>
            <w:tcW w:w="9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SEC on May 3, 2017).</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10.12</w:t>
            </w:r>
          </w:p>
        </w:tc>
        <w:tc>
          <w:tcPr>
            <w:tcW w:w="9980" w:type="dxa"/>
            <w:vAlign w:val="bottom"/>
            <w:gridSpan w:val="35"/>
          </w:tcPr>
          <w:p>
            <w:pPr>
              <w:spacing w:after="0"/>
              <w:rPr>
                <w:rFonts w:ascii="Arial" w:cs="Arial" w:eastAsia="Arial" w:hAnsi="Arial"/>
                <w:sz w:val="18"/>
                <w:szCs w:val="18"/>
                <w:color w:val="0000FF"/>
              </w:rPr>
            </w:pPr>
            <w:hyperlink r:id="rId198">
              <w:r>
                <w:rPr>
                  <w:rFonts w:ascii="Arial" w:cs="Arial" w:eastAsia="Arial" w:hAnsi="Arial"/>
                  <w:sz w:val="18"/>
                  <w:szCs w:val="18"/>
                  <w:color w:val="0000FF"/>
                </w:rPr>
                <w:t>Form of Mondelēz International, Inc. Amended and Restated 2005 Performance Incentive Plan Non-Qualified Global Stock</w:t>
              </w:r>
            </w:hyperlink>
          </w:p>
        </w:tc>
      </w:tr>
      <w:tr>
        <w:trPr>
          <w:trHeight w:val="155"/>
        </w:trPr>
        <w:tc>
          <w:tcPr>
            <w:tcW w:w="134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Option Agreement (incorporated by reference to Exhibit 10.2 to the Registrant’s Quarterly Report on Form 10-Q filed with</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the SEC on May 2, 2018).</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10.13</w:t>
            </w:r>
          </w:p>
        </w:tc>
        <w:tc>
          <w:tcPr>
            <w:tcW w:w="9980" w:type="dxa"/>
            <w:vAlign w:val="bottom"/>
            <w:gridSpan w:val="35"/>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Mondelēz International, Inc. Amended and Restated 2005 Performance Incentive Plan Non-Qualified Global Stock</w:t>
              </w:r>
            </w:hyperlink>
          </w:p>
        </w:tc>
      </w:tr>
      <w:tr>
        <w:trPr>
          <w:trHeight w:val="156"/>
        </w:trPr>
        <w:tc>
          <w:tcPr>
            <w:tcW w:w="134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Option Agreement (incorporated by reference to Exhibit 10.3 to the Registrant’s Quarterly Report on Form 10-Q filed with</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the SEC on May 1, 2019).</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10.14</w:t>
            </w:r>
          </w:p>
        </w:tc>
        <w:tc>
          <w:tcPr>
            <w:tcW w:w="9980" w:type="dxa"/>
            <w:vAlign w:val="bottom"/>
            <w:gridSpan w:val="35"/>
          </w:tcPr>
          <w:p>
            <w:pPr>
              <w:spacing w:after="0"/>
              <w:rPr>
                <w:rFonts w:ascii="Arial" w:cs="Arial" w:eastAsia="Arial" w:hAnsi="Arial"/>
                <w:sz w:val="18"/>
                <w:szCs w:val="18"/>
                <w:color w:val="0000FF"/>
              </w:rPr>
            </w:pPr>
            <w:hyperlink r:id="rId200">
              <w:r>
                <w:rPr>
                  <w:rFonts w:ascii="Arial" w:cs="Arial" w:eastAsia="Arial" w:hAnsi="Arial"/>
                  <w:sz w:val="18"/>
                  <w:szCs w:val="18"/>
                  <w:color w:val="0000FF"/>
                </w:rPr>
                <w:t>Form of Mondelēz International, Inc. Amended and Restated 2005 Performance Incentive Plan Non-Qualified Global Stock</w:t>
              </w:r>
            </w:hyperlink>
          </w:p>
        </w:tc>
      </w:tr>
      <w:tr>
        <w:trPr>
          <w:trHeight w:val="156"/>
        </w:trPr>
        <w:tc>
          <w:tcPr>
            <w:tcW w:w="134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Option Agreement (incorporated by reference to Exhibit 10.4 to the Registrant’s Quarterly Report on Form 10-Q filed with</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the SEC on April 29, 2020).</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10.15</w:t>
            </w:r>
          </w:p>
        </w:tc>
        <w:tc>
          <w:tcPr>
            <w:tcW w:w="9980" w:type="dxa"/>
            <w:vAlign w:val="bottom"/>
            <w:gridSpan w:val="35"/>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156"/>
        </w:trPr>
        <w:tc>
          <w:tcPr>
            <w:tcW w:w="134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Grant Agreement (incorporated by reference to Exhibit 10.3 to the Registrant’s Quarterly Report on Form 10-Q filed with the</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940" w:type="dxa"/>
            <w:vAlign w:val="bottom"/>
            <w:gridSpan w:val="33"/>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SEC on May 2, 2018).</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10.16</w:t>
            </w:r>
          </w:p>
        </w:tc>
        <w:tc>
          <w:tcPr>
            <w:tcW w:w="9980" w:type="dxa"/>
            <w:vAlign w:val="bottom"/>
            <w:gridSpan w:val="35"/>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155"/>
        </w:trPr>
        <w:tc>
          <w:tcPr>
            <w:tcW w:w="134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Grant Agreement (incorporated by reference to Exhibit 10.4 to the Registrant's Quarterly Report on Form 10-Q filed with the</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920" w:type="dxa"/>
            <w:vAlign w:val="bottom"/>
            <w:gridSpan w:val="32"/>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SEC on May 1, 2019).</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10.17</w:t>
            </w:r>
          </w:p>
        </w:tc>
        <w:tc>
          <w:tcPr>
            <w:tcW w:w="9980" w:type="dxa"/>
            <w:vAlign w:val="bottom"/>
            <w:gridSpan w:val="35"/>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155"/>
        </w:trPr>
        <w:tc>
          <w:tcPr>
            <w:tcW w:w="134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Grant Agreement (incorporated by reference to Exhibit 10.5 to the Registrant’s Quarterly Report on Form 10-Q filed with the</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9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SEC on April 29,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10.18</w:t>
            </w:r>
          </w:p>
        </w:tc>
        <w:tc>
          <w:tcPr>
            <w:tcW w:w="9980" w:type="dxa"/>
            <w:vAlign w:val="bottom"/>
            <w:gridSpan w:val="35"/>
          </w:tcPr>
          <w:p>
            <w:pPr>
              <w:spacing w:after="0"/>
              <w:rPr>
                <w:rFonts w:ascii="Arial" w:cs="Arial" w:eastAsia="Arial" w:hAnsi="Arial"/>
                <w:sz w:val="18"/>
                <w:szCs w:val="18"/>
                <w:color w:val="0000FF"/>
              </w:rPr>
            </w:pPr>
            <w:hyperlink r:id="rId204">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155"/>
        </w:trPr>
        <w:tc>
          <w:tcPr>
            <w:tcW w:w="13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Agreement (incorporated by reference to Exhibit 10.4 to the Registrant’s Quarterly Report on Form 10-Q filed with the SEC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780" w:type="dxa"/>
            <w:vAlign w:val="bottom"/>
            <w:gridSpan w:val="25"/>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on May 2, 2018).</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10.19</w:t>
            </w:r>
          </w:p>
        </w:tc>
        <w:tc>
          <w:tcPr>
            <w:tcW w:w="9980" w:type="dxa"/>
            <w:vAlign w:val="bottom"/>
            <w:gridSpan w:val="35"/>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155"/>
        </w:trPr>
        <w:tc>
          <w:tcPr>
            <w:tcW w:w="13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Agreement (incorporated by reference to Exhibit 10.5 to the Registrant's Quarterly Report on Form 10-Q filed with the SEC</w:t>
              </w:r>
            </w:hyperlink>
          </w:p>
        </w:tc>
        <w:tc>
          <w:tcPr>
            <w:tcW w:w="20" w:type="dxa"/>
            <w:vAlign w:val="bottom"/>
            <w:tcBorders>
              <w:bottom w:val="single" w:sz="8" w:color="0000FF"/>
            </w:tcBorders>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on May 1, 2019).</w:t>
              </w:r>
              <w:r>
                <w:rPr>
                  <w:rFonts w:ascii="Arial" w:cs="Arial" w:eastAsia="Arial" w:hAnsi="Arial"/>
                  <w:sz w:val="18"/>
                  <w:szCs w:val="18"/>
                  <w:color w:val="000000"/>
                </w:rPr>
                <w:t>+</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10.20</w:t>
            </w:r>
          </w:p>
        </w:tc>
        <w:tc>
          <w:tcPr>
            <w:tcW w:w="9980" w:type="dxa"/>
            <w:vAlign w:val="bottom"/>
            <w:gridSpan w:val="35"/>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155"/>
        </w:trPr>
        <w:tc>
          <w:tcPr>
            <w:tcW w:w="1340" w:type="dxa"/>
            <w:vAlign w:val="bottom"/>
          </w:tcPr>
          <w:p>
            <w:pPr>
              <w:spacing w:after="0"/>
              <w:rPr>
                <w:sz w:val="13"/>
                <w:szCs w:val="13"/>
                <w:color w:val="auto"/>
              </w:rPr>
            </w:pPr>
          </w:p>
        </w:tc>
        <w:tc>
          <w:tcPr>
            <w:tcW w:w="9740" w:type="dxa"/>
            <w:vAlign w:val="bottom"/>
            <w:tcBorders>
              <w:top w:val="single" w:sz="8" w:color="0000FF"/>
            </w:tcBorders>
            <w:gridSpan w:val="23"/>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Agreement (incorporated by reference to Exhibit 10.6 to the Registrant’s Quarterly Report on Form 10-Q filed with the SEC</w:t>
              </w:r>
            </w:hyperlink>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on April 29, 2020).</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10.21</w:t>
            </w:r>
          </w:p>
        </w:tc>
        <w:tc>
          <w:tcPr>
            <w:tcW w:w="9980" w:type="dxa"/>
            <w:vAlign w:val="bottom"/>
            <w:gridSpan w:val="35"/>
          </w:tcPr>
          <w:p>
            <w:pPr>
              <w:spacing w:after="0"/>
              <w:rPr>
                <w:rFonts w:ascii="Arial" w:cs="Arial" w:eastAsia="Arial" w:hAnsi="Arial"/>
                <w:sz w:val="18"/>
                <w:szCs w:val="18"/>
                <w:color w:val="0000FF"/>
              </w:rPr>
            </w:pPr>
            <w:hyperlink r:id="rId207">
              <w:r>
                <w:rPr>
                  <w:rFonts w:ascii="Arial" w:cs="Arial" w:eastAsia="Arial" w:hAnsi="Arial"/>
                  <w:sz w:val="18"/>
                  <w:szCs w:val="18"/>
                  <w:color w:val="0000FF"/>
                </w:rPr>
                <w:t>Mondelēz Global LLC Supplemental Benefits Plan I, effective as of September 1, 2012 (incorporated by reference to Exhibit</w:t>
              </w:r>
            </w:hyperlink>
          </w:p>
        </w:tc>
      </w:tr>
      <w:tr>
        <w:trPr>
          <w:trHeight w:val="156"/>
        </w:trPr>
        <w:tc>
          <w:tcPr>
            <w:tcW w:w="1340" w:type="dxa"/>
            <w:vAlign w:val="bottom"/>
          </w:tcPr>
          <w:p>
            <w:pPr>
              <w:spacing w:after="0"/>
              <w:rPr>
                <w:sz w:val="13"/>
                <w:szCs w:val="13"/>
                <w:color w:val="auto"/>
              </w:rPr>
            </w:pPr>
          </w:p>
        </w:tc>
        <w:tc>
          <w:tcPr>
            <w:tcW w:w="99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7660" w:type="dxa"/>
            <w:vAlign w:val="bottom"/>
            <w:gridSpan w:val="11"/>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18"/>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10.22</w:t>
            </w:r>
          </w:p>
        </w:tc>
        <w:tc>
          <w:tcPr>
            <w:tcW w:w="9980" w:type="dxa"/>
            <w:vAlign w:val="bottom"/>
            <w:gridSpan w:val="35"/>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First Amendment to the Mondelēz Global LLC Supplemental Benefits Plan I, dated December 20, 2016 (incorporated by</w:t>
              </w:r>
            </w:hyperlink>
          </w:p>
        </w:tc>
      </w:tr>
      <w:tr>
        <w:trPr>
          <w:trHeight w:val="236"/>
        </w:trPr>
        <w:tc>
          <w:tcPr>
            <w:tcW w:w="1340" w:type="dxa"/>
            <w:vAlign w:val="bottom"/>
          </w:tcPr>
          <w:p>
            <w:pPr>
              <w:spacing w:after="0"/>
              <w:rPr>
                <w:sz w:val="20"/>
                <w:szCs w:val="20"/>
                <w:color w:val="auto"/>
              </w:rPr>
            </w:pPr>
          </w:p>
        </w:tc>
        <w:tc>
          <w:tcPr>
            <w:tcW w:w="956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reference to Exhibit 10.26 to the Registrant's Annual Report on Form 10-K filed with the SEC on February 8, 2019).</w:t>
              </w:r>
              <w:r>
                <w:rPr>
                  <w:rFonts w:ascii="Arial" w:cs="Arial" w:eastAsia="Arial" w:hAnsi="Arial"/>
                  <w:sz w:val="18"/>
                  <w:szCs w:val="18"/>
                  <w:u w:val="single" w:color="auto"/>
                  <w:color w:val="000000"/>
                </w:rPr>
                <w:t>+</w:t>
              </w:r>
            </w:hyperlink>
          </w:p>
        </w:tc>
        <w:tc>
          <w:tcPr>
            <w:tcW w:w="420" w:type="dxa"/>
            <w:vAlign w:val="bottom"/>
            <w:gridSpan w:val="18"/>
          </w:tcPr>
          <w:p>
            <w:pPr>
              <w:spacing w:after="0"/>
              <w:rPr>
                <w:sz w:val="20"/>
                <w:szCs w:val="20"/>
                <w:color w:val="auto"/>
              </w:rPr>
            </w:pPr>
          </w:p>
        </w:tc>
      </w:tr>
      <w:tr>
        <w:trPr>
          <w:trHeight w:val="297"/>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10.23</w:t>
            </w:r>
          </w:p>
        </w:tc>
        <w:tc>
          <w:tcPr>
            <w:tcW w:w="998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Mondelēz Global LLC Supplemental Benefits Plan II, effective as of September 1, 2012 (incorporated by reference to</w:t>
              </w:r>
            </w:hyperlink>
          </w:p>
        </w:tc>
      </w:tr>
      <w:tr>
        <w:trPr>
          <w:trHeight w:val="236"/>
        </w:trPr>
        <w:tc>
          <w:tcPr>
            <w:tcW w:w="1340" w:type="dxa"/>
            <w:vAlign w:val="bottom"/>
          </w:tcPr>
          <w:p>
            <w:pPr>
              <w:spacing w:after="0"/>
              <w:rPr>
                <w:sz w:val="20"/>
                <w:szCs w:val="20"/>
                <w:color w:val="auto"/>
              </w:rPr>
            </w:pPr>
          </w:p>
        </w:tc>
        <w:tc>
          <w:tcPr>
            <w:tcW w:w="930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Exhibit 10.11 to the Registrant’s Annual Report on Form 10-K filed with the SEC on February 25, 2013).</w:t>
              </w:r>
              <w:r>
                <w:rPr>
                  <w:rFonts w:ascii="Arial" w:cs="Arial" w:eastAsia="Arial" w:hAnsi="Arial"/>
                  <w:sz w:val="18"/>
                  <w:szCs w:val="18"/>
                  <w:u w:val="single" w:color="auto"/>
                  <w:color w:val="000000"/>
                </w:rPr>
                <w:t>+</w:t>
              </w:r>
            </w:hyperlink>
          </w:p>
        </w:tc>
        <w:tc>
          <w:tcPr>
            <w:tcW w:w="680" w:type="dxa"/>
            <w:vAlign w:val="bottom"/>
            <w:gridSpan w:val="20"/>
          </w:tcPr>
          <w:p>
            <w:pPr>
              <w:spacing w:after="0"/>
              <w:rPr>
                <w:sz w:val="20"/>
                <w:szCs w:val="20"/>
                <w:color w:val="auto"/>
              </w:rPr>
            </w:pPr>
          </w:p>
        </w:tc>
      </w:tr>
      <w:tr>
        <w:trPr>
          <w:trHeight w:val="814"/>
        </w:trPr>
        <w:tc>
          <w:tcPr>
            <w:tcW w:w="1340" w:type="dxa"/>
            <w:vAlign w:val="bottom"/>
          </w:tcPr>
          <w:p>
            <w:pPr>
              <w:spacing w:after="0"/>
              <w:rPr>
                <w:sz w:val="24"/>
                <w:szCs w:val="24"/>
                <w:color w:val="auto"/>
              </w:rPr>
            </w:pPr>
          </w:p>
        </w:tc>
        <w:tc>
          <w:tcPr>
            <w:tcW w:w="5460" w:type="dxa"/>
            <w:vAlign w:val="bottom"/>
            <w:gridSpan w:val="9"/>
          </w:tcPr>
          <w:p>
            <w:pPr>
              <w:ind w:left="4140"/>
              <w:spacing w:after="0"/>
              <w:rPr>
                <w:sz w:val="20"/>
                <w:szCs w:val="20"/>
                <w:color w:val="auto"/>
              </w:rPr>
            </w:pPr>
            <w:r>
              <w:rPr>
                <w:rFonts w:ascii="Arial" w:cs="Arial" w:eastAsia="Arial" w:hAnsi="Arial"/>
                <w:sz w:val="18"/>
                <w:szCs w:val="18"/>
                <w:color w:val="auto"/>
              </w:rPr>
              <w:t>136</w:t>
            </w: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10.24</w:t>
            </w:r>
          </w:p>
        </w:tc>
        <w:tc>
          <w:tcPr>
            <w:tcW w:w="9900" w:type="dxa"/>
            <w:vAlign w:val="bottom"/>
            <w:gridSpan w:val="32"/>
          </w:tcPr>
          <w:p>
            <w:pPr>
              <w:spacing w:after="0"/>
              <w:rPr>
                <w:rFonts w:ascii="Arial" w:cs="Arial" w:eastAsia="Arial" w:hAnsi="Arial"/>
                <w:sz w:val="18"/>
                <w:szCs w:val="18"/>
                <w:color w:val="0000FF"/>
              </w:rPr>
            </w:pPr>
            <w:hyperlink r:id="rId212">
              <w:r>
                <w:rPr>
                  <w:rFonts w:ascii="Arial" w:cs="Arial" w:eastAsia="Arial" w:hAnsi="Arial"/>
                  <w:sz w:val="18"/>
                  <w:szCs w:val="18"/>
                  <w:color w:val="0000FF"/>
                </w:rPr>
                <w:t>First Amendment to the Mondelēz Global LLC Supplemental Benefits Plan II, dated December 20, 2016 (incorporated by</w:t>
              </w:r>
            </w:hyperlink>
          </w:p>
        </w:tc>
      </w:tr>
      <w:tr>
        <w:trPr>
          <w:trHeight w:val="236"/>
        </w:trPr>
        <w:tc>
          <w:tcPr>
            <w:tcW w:w="1340" w:type="dxa"/>
            <w:vAlign w:val="bottom"/>
          </w:tcPr>
          <w:p>
            <w:pPr>
              <w:spacing w:after="0"/>
              <w:rPr>
                <w:sz w:val="20"/>
                <w:szCs w:val="20"/>
                <w:color w:val="auto"/>
              </w:rPr>
            </w:pPr>
          </w:p>
        </w:tc>
        <w:tc>
          <w:tcPr>
            <w:tcW w:w="960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reference to Exhibit 10.28 to the Registrant's Annual Report on Form 10-K filed with the SEC on February 8, 2019).</w:t>
              </w:r>
              <w:r>
                <w:rPr>
                  <w:rFonts w:ascii="Arial" w:cs="Arial" w:eastAsia="Arial" w:hAnsi="Arial"/>
                  <w:sz w:val="18"/>
                  <w:szCs w:val="18"/>
                  <w:u w:val="single" w:color="auto"/>
                  <w:color w:val="000000"/>
                </w:rPr>
                <w:t>+</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10.25</w:t>
            </w:r>
          </w:p>
        </w:tc>
        <w:tc>
          <w:tcPr>
            <w:tcW w:w="9900" w:type="dxa"/>
            <w:vAlign w:val="bottom"/>
            <w:gridSpan w:val="32"/>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Mondelēz Global LLC Amended and Restated Cash Enrollment Agreement (incorporated by reference to Exhibit</w:t>
              </w:r>
            </w:hyperlink>
          </w:p>
        </w:tc>
      </w:tr>
      <w:tr>
        <w:trPr>
          <w:trHeight w:val="156"/>
        </w:trPr>
        <w:tc>
          <w:tcPr>
            <w:tcW w:w="1340" w:type="dxa"/>
            <w:vAlign w:val="bottom"/>
          </w:tcPr>
          <w:p>
            <w:pPr>
              <w:spacing w:after="0"/>
              <w:rPr>
                <w:sz w:val="13"/>
                <w:szCs w:val="13"/>
                <w:color w:val="auto"/>
              </w:rPr>
            </w:pPr>
          </w:p>
        </w:tc>
        <w:tc>
          <w:tcPr>
            <w:tcW w:w="96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10.26</w:t>
            </w:r>
          </w:p>
        </w:tc>
        <w:tc>
          <w:tcPr>
            <w:tcW w:w="9900" w:type="dxa"/>
            <w:vAlign w:val="bottom"/>
            <w:gridSpan w:val="32"/>
          </w:tcPr>
          <w:p>
            <w:pPr>
              <w:spacing w:after="0"/>
              <w:rPr>
                <w:rFonts w:ascii="Arial" w:cs="Arial" w:eastAsia="Arial" w:hAnsi="Arial"/>
                <w:sz w:val="18"/>
                <w:szCs w:val="18"/>
                <w:color w:val="0000FF"/>
              </w:rPr>
            </w:pPr>
            <w:hyperlink r:id="rId214">
              <w:r>
                <w:rPr>
                  <w:rFonts w:ascii="Arial" w:cs="Arial" w:eastAsia="Arial" w:hAnsi="Arial"/>
                  <w:sz w:val="18"/>
                  <w:szCs w:val="18"/>
                  <w:color w:val="0000FF"/>
                </w:rPr>
                <w:t>Form of Mondelēz Global LLC Amended and Restated Employee Grantor Trust Enrollment Agreement (incorporated by</w:t>
              </w:r>
            </w:hyperlink>
          </w:p>
        </w:tc>
      </w:tr>
      <w:tr>
        <w:trPr>
          <w:trHeight w:val="187"/>
        </w:trPr>
        <w:tc>
          <w:tcPr>
            <w:tcW w:w="1340" w:type="dxa"/>
            <w:vAlign w:val="bottom"/>
          </w:tcPr>
          <w:p>
            <w:pPr>
              <w:spacing w:after="0"/>
              <w:rPr>
                <w:sz w:val="16"/>
                <w:szCs w:val="16"/>
                <w:color w:val="auto"/>
              </w:rPr>
            </w:pPr>
          </w:p>
        </w:tc>
        <w:tc>
          <w:tcPr>
            <w:tcW w:w="9500" w:type="dxa"/>
            <w:vAlign w:val="bottom"/>
            <w:tcBorders>
              <w:top w:val="single" w:sz="8" w:color="0000FF"/>
            </w:tcBorders>
            <w:gridSpan w:val="19"/>
          </w:tcPr>
          <w:p>
            <w:pPr>
              <w:spacing w:after="0" w:line="187" w:lineRule="exact"/>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reference to Exhibit 10.13 to the Registrant’s Annual Report on Form 10-K filed with the SEC on February 25, 2013).</w:t>
              </w:r>
              <w:r>
                <w:rPr>
                  <w:rFonts w:ascii="Arial" w:cs="Arial" w:eastAsia="Arial" w:hAnsi="Arial"/>
                  <w:sz w:val="18"/>
                  <w:szCs w:val="18"/>
                  <w:u w:val="single" w:color="auto"/>
                  <w:color w:val="000000"/>
                </w:rPr>
                <w:t>+</w:t>
              </w:r>
            </w:hyperlink>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340" w:type="dxa"/>
            <w:vAlign w:val="bottom"/>
          </w:tcPr>
          <w:p>
            <w:pPr>
              <w:jc w:val="right"/>
              <w:ind w:right="590"/>
              <w:spacing w:after="0" w:line="185" w:lineRule="exact"/>
              <w:rPr>
                <w:sz w:val="20"/>
                <w:szCs w:val="20"/>
                <w:color w:val="auto"/>
              </w:rPr>
            </w:pPr>
            <w:r>
              <w:rPr>
                <w:rFonts w:ascii="Arial" w:cs="Arial" w:eastAsia="Arial" w:hAnsi="Arial"/>
                <w:sz w:val="18"/>
                <w:szCs w:val="18"/>
                <w:color w:val="auto"/>
              </w:rPr>
              <w:t>10.27</w:t>
            </w:r>
          </w:p>
        </w:tc>
        <w:tc>
          <w:tcPr>
            <w:tcW w:w="9900" w:type="dxa"/>
            <w:vAlign w:val="bottom"/>
            <w:gridSpan w:val="32"/>
          </w:tcPr>
          <w:p>
            <w:pPr>
              <w:spacing w:after="0" w:line="185" w:lineRule="exact"/>
              <w:rPr>
                <w:rFonts w:ascii="Arial" w:cs="Arial" w:eastAsia="Arial" w:hAnsi="Arial"/>
                <w:sz w:val="18"/>
                <w:szCs w:val="18"/>
                <w:color w:val="0000FF"/>
              </w:rPr>
            </w:pPr>
            <w:hyperlink r:id="rId215">
              <w:r>
                <w:rPr>
                  <w:rFonts w:ascii="Arial" w:cs="Arial" w:eastAsia="Arial" w:hAnsi="Arial"/>
                  <w:sz w:val="18"/>
                  <w:szCs w:val="18"/>
                  <w:color w:val="0000FF"/>
                </w:rPr>
                <w:t>Mondelēz International, Inc. Amended and Restated 2006 Stock Compensation Plan for Non-Employee Directors,</w:t>
              </w:r>
            </w:hyperlink>
          </w:p>
        </w:tc>
      </w:tr>
      <w:tr>
        <w:trPr>
          <w:trHeight w:val="162"/>
        </w:trPr>
        <w:tc>
          <w:tcPr>
            <w:tcW w:w="1340" w:type="dxa"/>
            <w:vAlign w:val="bottom"/>
          </w:tcPr>
          <w:p>
            <w:pPr>
              <w:spacing w:after="0"/>
              <w:rPr>
                <w:sz w:val="14"/>
                <w:szCs w:val="14"/>
                <w:color w:val="auto"/>
              </w:rPr>
            </w:pPr>
          </w:p>
        </w:tc>
        <w:tc>
          <w:tcPr>
            <w:tcW w:w="9060" w:type="dxa"/>
            <w:vAlign w:val="bottom"/>
            <w:tcBorders>
              <w:top w:val="single" w:sz="8" w:color="0000FF"/>
            </w:tcBorders>
            <w:gridSpan w:val="11"/>
          </w:tcPr>
          <w:p>
            <w:pPr>
              <w:spacing w:after="0" w:line="162"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amended and restated as of October 1, 2012 (incorporated by reference to Exhibit 10.14 to the Registrant’s Annual</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18"/>
          </w:tcPr>
          <w:p>
            <w:pPr>
              <w:ind w:left="20"/>
              <w:spacing w:after="0" w:line="162" w:lineRule="exact"/>
              <w:rPr>
                <w:rFonts w:ascii="Arial" w:cs="Arial" w:eastAsia="Arial" w:hAnsi="Arial"/>
                <w:sz w:val="18"/>
                <w:szCs w:val="18"/>
                <w:color w:val="0000FF"/>
              </w:rPr>
            </w:pPr>
            <w:hyperlink r:id="rId215">
              <w:r>
                <w:rPr>
                  <w:rFonts w:ascii="Arial" w:cs="Arial" w:eastAsia="Arial" w:hAnsi="Arial"/>
                  <w:sz w:val="18"/>
                  <w:szCs w:val="18"/>
                  <w:color w:val="0000FF"/>
                </w:rPr>
                <w:t>Report</w:t>
              </w:r>
            </w:hyperlink>
          </w:p>
        </w:tc>
      </w:tr>
      <w:tr>
        <w:trPr>
          <w:trHeight w:val="156"/>
        </w:trPr>
        <w:tc>
          <w:tcPr>
            <w:tcW w:w="1340" w:type="dxa"/>
            <w:vAlign w:val="bottom"/>
          </w:tcPr>
          <w:p>
            <w:pPr>
              <w:spacing w:after="0"/>
              <w:rPr>
                <w:sz w:val="13"/>
                <w:szCs w:val="13"/>
                <w:color w:val="auto"/>
              </w:rPr>
            </w:pPr>
          </w:p>
        </w:tc>
        <w:tc>
          <w:tcPr>
            <w:tcW w:w="97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10.28</w:t>
            </w:r>
          </w:p>
        </w:tc>
        <w:tc>
          <w:tcPr>
            <w:tcW w:w="9900" w:type="dxa"/>
            <w:vAlign w:val="bottom"/>
            <w:gridSpan w:val="32"/>
          </w:tcPr>
          <w:p>
            <w:pPr>
              <w:spacing w:after="0"/>
              <w:rPr>
                <w:rFonts w:ascii="Arial" w:cs="Arial" w:eastAsia="Arial" w:hAnsi="Arial"/>
                <w:sz w:val="18"/>
                <w:szCs w:val="18"/>
                <w:color w:val="0000FF"/>
              </w:rPr>
            </w:pPr>
            <w:hyperlink r:id="rId216">
              <w:r>
                <w:rPr>
                  <w:rFonts w:ascii="Arial" w:cs="Arial" w:eastAsia="Arial" w:hAnsi="Arial"/>
                  <w:sz w:val="18"/>
                  <w:szCs w:val="18"/>
                  <w:color w:val="0000FF"/>
                </w:rPr>
                <w:t>Mondelēz International, Inc. 2001 Compensation Plan for Non-Employee Directors, amended as of December 31, 2008 and</w:t>
              </w:r>
            </w:hyperlink>
          </w:p>
        </w:tc>
      </w:tr>
      <w:tr>
        <w:trPr>
          <w:trHeight w:val="156"/>
        </w:trPr>
        <w:tc>
          <w:tcPr>
            <w:tcW w:w="134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restated as of January 1, 2013 (incorporated by reference to Exhibit 10.15 to the Registrant’s Annual Report on Form 10-K</w:t>
              </w:r>
            </w:hyperlink>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filed with the SEC on February 25, 2013).</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10.29</w:t>
            </w:r>
          </w:p>
        </w:tc>
        <w:tc>
          <w:tcPr>
            <w:tcW w:w="9900" w:type="dxa"/>
            <w:vAlign w:val="bottom"/>
            <w:gridSpan w:val="32"/>
          </w:tcPr>
          <w:p>
            <w:pPr>
              <w:spacing w:after="0"/>
              <w:rPr>
                <w:rFonts w:ascii="Arial" w:cs="Arial" w:eastAsia="Arial" w:hAnsi="Arial"/>
                <w:sz w:val="18"/>
                <w:szCs w:val="18"/>
                <w:color w:val="0000FF"/>
              </w:rPr>
            </w:pPr>
            <w:hyperlink r:id="rId217">
              <w:r>
                <w:rPr>
                  <w:rFonts w:ascii="Arial" w:cs="Arial" w:eastAsia="Arial" w:hAnsi="Arial"/>
                  <w:sz w:val="18"/>
                  <w:szCs w:val="18"/>
                  <w:color w:val="0000FF"/>
                </w:rPr>
                <w:t>Mondelēz International, Inc. Change in Control Plan for Key Executives, amended May 14, 2019 (incorporated by reference</w:t>
              </w:r>
            </w:hyperlink>
          </w:p>
        </w:tc>
      </w:tr>
      <w:tr>
        <w:trPr>
          <w:trHeight w:val="187"/>
        </w:trPr>
        <w:tc>
          <w:tcPr>
            <w:tcW w:w="1340" w:type="dxa"/>
            <w:vAlign w:val="bottom"/>
          </w:tcPr>
          <w:p>
            <w:pPr>
              <w:spacing w:after="0"/>
              <w:rPr>
                <w:sz w:val="16"/>
                <w:szCs w:val="16"/>
                <w:color w:val="auto"/>
              </w:rPr>
            </w:pPr>
          </w:p>
        </w:tc>
        <w:tc>
          <w:tcPr>
            <w:tcW w:w="9820" w:type="dxa"/>
            <w:vAlign w:val="bottom"/>
            <w:tcBorders>
              <w:top w:val="single" w:sz="8" w:color="0000FF"/>
            </w:tcBorders>
            <w:gridSpan w:val="28"/>
          </w:tcPr>
          <w:p>
            <w:pPr>
              <w:spacing w:after="0" w:line="187" w:lineRule="exact"/>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to Exhibit 10.2 to the Registrant’s Quarterly Report on Form 10-Q filed with the SEC on July 31, 2019).</w:t>
              </w:r>
              <w:r>
                <w:rPr>
                  <w:rFonts w:ascii="Arial" w:cs="Arial" w:eastAsia="Arial" w:hAnsi="Arial"/>
                  <w:sz w:val="18"/>
                  <w:szCs w:val="18"/>
                  <w:u w:val="single" w:color="auto"/>
                  <w:color w:val="000000"/>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10.30</w:t>
            </w:r>
          </w:p>
        </w:tc>
        <w:tc>
          <w:tcPr>
            <w:tcW w:w="9900" w:type="dxa"/>
            <w:vAlign w:val="bottom"/>
            <w:gridSpan w:val="32"/>
          </w:tcPr>
          <w:p>
            <w:pPr>
              <w:spacing w:after="0" w:line="198" w:lineRule="exact"/>
              <w:rPr>
                <w:rFonts w:ascii="Arial" w:cs="Arial" w:eastAsia="Arial" w:hAnsi="Arial"/>
                <w:sz w:val="18"/>
                <w:szCs w:val="18"/>
                <w:color w:val="0000FF"/>
              </w:rPr>
            </w:pPr>
            <w:hyperlink r:id="rId218">
              <w:r>
                <w:rPr>
                  <w:rFonts w:ascii="Arial" w:cs="Arial" w:eastAsia="Arial" w:hAnsi="Arial"/>
                  <w:sz w:val="18"/>
                  <w:szCs w:val="18"/>
                  <w:color w:val="0000FF"/>
                </w:rPr>
                <w:t>Mondelēz Global LLC Executive Deferred Compensation Plan, effective as of October 1, 2012 (incorporated by reference</w:t>
              </w:r>
            </w:hyperlink>
          </w:p>
        </w:tc>
      </w:tr>
      <w:tr>
        <w:trPr>
          <w:trHeight w:val="187"/>
        </w:trPr>
        <w:tc>
          <w:tcPr>
            <w:tcW w:w="1340" w:type="dxa"/>
            <w:vAlign w:val="bottom"/>
          </w:tcPr>
          <w:p>
            <w:pPr>
              <w:spacing w:after="0"/>
              <w:rPr>
                <w:sz w:val="16"/>
                <w:szCs w:val="16"/>
                <w:color w:val="auto"/>
              </w:rPr>
            </w:pPr>
          </w:p>
        </w:tc>
        <w:tc>
          <w:tcPr>
            <w:tcW w:w="9640" w:type="dxa"/>
            <w:vAlign w:val="bottom"/>
            <w:tcBorders>
              <w:top w:val="single" w:sz="8" w:color="0000FF"/>
            </w:tcBorders>
            <w:gridSpan w:val="22"/>
          </w:tcPr>
          <w:p>
            <w:pPr>
              <w:spacing w:after="0" w:line="187" w:lineRule="exact"/>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to Exhibit 10.17 to the Registrant’s Annual Report on Form 10-K filed with the SEC on February 25, 2013).</w:t>
              </w:r>
              <w:r>
                <w:rPr>
                  <w:rFonts w:ascii="Arial" w:cs="Arial" w:eastAsia="Arial" w:hAnsi="Arial"/>
                  <w:sz w:val="18"/>
                  <w:szCs w:val="18"/>
                  <w:u w:val="single" w:color="auto"/>
                  <w:color w:val="000000"/>
                </w:rPr>
                <w:t>+</w:t>
              </w:r>
            </w:hyperlink>
          </w:p>
        </w:tc>
        <w:tc>
          <w:tcPr>
            <w:tcW w:w="6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10.31</w:t>
            </w:r>
          </w:p>
        </w:tc>
        <w:tc>
          <w:tcPr>
            <w:tcW w:w="9900" w:type="dxa"/>
            <w:vAlign w:val="bottom"/>
            <w:gridSpan w:val="32"/>
          </w:tcPr>
          <w:p>
            <w:pPr>
              <w:spacing w:after="0" w:line="198" w:lineRule="exact"/>
              <w:rPr>
                <w:rFonts w:ascii="Arial" w:cs="Arial" w:eastAsia="Arial" w:hAnsi="Arial"/>
                <w:sz w:val="18"/>
                <w:szCs w:val="18"/>
                <w:color w:val="0000FF"/>
              </w:rPr>
            </w:pPr>
            <w:hyperlink r:id="rId219">
              <w:r>
                <w:rPr>
                  <w:rFonts w:ascii="Arial" w:cs="Arial" w:eastAsia="Arial" w:hAnsi="Arial"/>
                  <w:sz w:val="18"/>
                  <w:szCs w:val="18"/>
                  <w:color w:val="0000FF"/>
                </w:rPr>
                <w:t>Mondelēz Global LLC Executive Deferred Compensation Plan Adoption Agreement, effective as of October 1, 2012</w:t>
              </w:r>
            </w:hyperlink>
          </w:p>
        </w:tc>
      </w:tr>
      <w:tr>
        <w:trPr>
          <w:trHeight w:val="155"/>
        </w:trPr>
        <w:tc>
          <w:tcPr>
            <w:tcW w:w="1340" w:type="dxa"/>
            <w:vAlign w:val="bottom"/>
          </w:tcPr>
          <w:p>
            <w:pPr>
              <w:spacing w:after="0"/>
              <w:rPr>
                <w:sz w:val="13"/>
                <w:szCs w:val="13"/>
                <w:color w:val="auto"/>
              </w:rPr>
            </w:pPr>
          </w:p>
        </w:tc>
        <w:tc>
          <w:tcPr>
            <w:tcW w:w="91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(incorporated by reference to Exhibit 10.18 to the Registrant’s Annual Report on Form 10-K filed with the SEC on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89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February 25, 2013).</w:t>
              </w:r>
              <w:r>
                <w:rPr>
                  <w:rFonts w:ascii="Arial" w:cs="Arial" w:eastAsia="Arial" w:hAnsi="Arial"/>
                  <w:sz w:val="18"/>
                  <w:szCs w:val="18"/>
                  <w:color w:val="000000"/>
                </w:rPr>
                <w:t>+</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10.32</w:t>
            </w:r>
          </w:p>
        </w:tc>
        <w:tc>
          <w:tcPr>
            <w:tcW w:w="9900" w:type="dxa"/>
            <w:vAlign w:val="bottom"/>
            <w:gridSpan w:val="32"/>
          </w:tcPr>
          <w:p>
            <w:pPr>
              <w:spacing w:after="0"/>
              <w:rPr>
                <w:rFonts w:ascii="Arial" w:cs="Arial" w:eastAsia="Arial" w:hAnsi="Arial"/>
                <w:sz w:val="18"/>
                <w:szCs w:val="18"/>
                <w:color w:val="0000FF"/>
              </w:rPr>
            </w:pPr>
            <w:hyperlink r:id="rId220">
              <w:r>
                <w:rPr>
                  <w:rFonts w:ascii="Arial" w:cs="Arial" w:eastAsia="Arial" w:hAnsi="Arial"/>
                  <w:sz w:val="18"/>
                  <w:szCs w:val="18"/>
                  <w:color w:val="0000FF"/>
                </w:rPr>
                <w:t>Deferred Compensation Plan Trust Document, by and between Mondelēz Global LLC and Wilmington Trust Retirement and</w:t>
              </w:r>
            </w:hyperlink>
          </w:p>
        </w:tc>
      </w:tr>
      <w:tr>
        <w:trPr>
          <w:trHeight w:val="156"/>
        </w:trPr>
        <w:tc>
          <w:tcPr>
            <w:tcW w:w="134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Institutional Services Company, dated as of September 18, 2012 (incorporated by reference to Exhibit 10.19 to the</w:t>
              </w:r>
            </w:hyperlink>
          </w:p>
        </w:tc>
        <w:tc>
          <w:tcPr>
            <w:tcW w:w="4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0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Registrant’s Annual Report on Form 10-K filed with the SEC on February 25, 2013).</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140" w:type="dxa"/>
            <w:vAlign w:val="bottom"/>
            <w:gridSpan w:val="4"/>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10.33</w:t>
            </w:r>
          </w:p>
        </w:tc>
        <w:tc>
          <w:tcPr>
            <w:tcW w:w="9900" w:type="dxa"/>
            <w:vAlign w:val="bottom"/>
            <w:gridSpan w:val="32"/>
          </w:tcPr>
          <w:p>
            <w:pPr>
              <w:spacing w:after="0"/>
              <w:rPr>
                <w:rFonts w:ascii="Arial" w:cs="Arial" w:eastAsia="Arial" w:hAnsi="Arial"/>
                <w:sz w:val="18"/>
                <w:szCs w:val="18"/>
                <w:color w:val="0000FF"/>
              </w:rPr>
            </w:pPr>
            <w:hyperlink r:id="rId221">
              <w:r>
                <w:rPr>
                  <w:rFonts w:ascii="Arial" w:cs="Arial" w:eastAsia="Arial" w:hAnsi="Arial"/>
                  <w:sz w:val="18"/>
                  <w:szCs w:val="18"/>
                  <w:color w:val="0000FF"/>
                </w:rPr>
                <w:t>Offer of Employment Letter, between the Registrant and Dirk Van de Put, dated July 27, 2017 (incorporated by reference to</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Exhibit 10.1 to the Registrant’s Current Report on Form 8-K filed with the SEC on August 2, 2017).</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3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10.34</w:t>
            </w:r>
          </w:p>
        </w:tc>
        <w:tc>
          <w:tcPr>
            <w:tcW w:w="9900" w:type="dxa"/>
            <w:vAlign w:val="bottom"/>
            <w:gridSpan w:val="32"/>
          </w:tcPr>
          <w:p>
            <w:pPr>
              <w:spacing w:after="0"/>
              <w:rPr>
                <w:rFonts w:ascii="Arial" w:cs="Arial" w:eastAsia="Arial" w:hAnsi="Arial"/>
                <w:sz w:val="18"/>
                <w:szCs w:val="18"/>
                <w:color w:val="0000FF"/>
              </w:rPr>
            </w:pPr>
            <w:hyperlink r:id="rId222">
              <w:r>
                <w:rPr>
                  <w:rFonts w:ascii="Arial" w:cs="Arial" w:eastAsia="Arial" w:hAnsi="Arial"/>
                  <w:sz w:val="18"/>
                  <w:szCs w:val="18"/>
                  <w:color w:val="0000FF"/>
                </w:rPr>
                <w:t>Offer of Employment Letter, between Mondelēz Global LLC and Glen Walter, dated October 15, 2017 (incorporated by</w:t>
              </w:r>
            </w:hyperlink>
          </w:p>
        </w:tc>
      </w:tr>
      <w:tr>
        <w:trPr>
          <w:trHeight w:val="187"/>
        </w:trPr>
        <w:tc>
          <w:tcPr>
            <w:tcW w:w="1340" w:type="dxa"/>
            <w:vAlign w:val="bottom"/>
          </w:tcPr>
          <w:p>
            <w:pPr>
              <w:spacing w:after="0"/>
              <w:rPr>
                <w:sz w:val="16"/>
                <w:szCs w:val="16"/>
                <w:color w:val="auto"/>
              </w:rPr>
            </w:pPr>
          </w:p>
        </w:tc>
        <w:tc>
          <w:tcPr>
            <w:tcW w:w="9400" w:type="dxa"/>
            <w:vAlign w:val="bottom"/>
            <w:tcBorders>
              <w:top w:val="single" w:sz="8" w:color="0000FF"/>
            </w:tcBorders>
            <w:gridSpan w:val="18"/>
          </w:tcPr>
          <w:p>
            <w:pPr>
              <w:spacing w:after="0" w:line="187" w:lineRule="exact"/>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reference to Exhibit 10.31 to the Registrant’s Annual Report on Form 10-K filed with the SEC on February 9, 2018).</w:t>
              </w:r>
              <w:r>
                <w:rPr>
                  <w:rFonts w:ascii="Arial" w:cs="Arial" w:eastAsia="Arial" w:hAnsi="Arial"/>
                  <w:sz w:val="18"/>
                  <w:szCs w:val="18"/>
                  <w:u w:val="single" w:color="auto"/>
                  <w:color w:val="000000"/>
                </w:rPr>
                <w:t>+</w:t>
              </w:r>
            </w:hyperlink>
          </w:p>
        </w:tc>
        <w:tc>
          <w:tcPr>
            <w:tcW w:w="220" w:type="dxa"/>
            <w:vAlign w:val="bottom"/>
            <w:gridSpan w:val="3"/>
          </w:tcPr>
          <w:p>
            <w:pPr>
              <w:spacing w:after="0"/>
              <w:rPr>
                <w:sz w:val="16"/>
                <w:szCs w:val="16"/>
                <w:color w:val="auto"/>
              </w:rPr>
            </w:pPr>
          </w:p>
        </w:tc>
        <w:tc>
          <w:tcPr>
            <w:tcW w:w="80" w:type="dxa"/>
            <w:vAlign w:val="bottom"/>
            <w:gridSpan w:val="2"/>
          </w:tcPr>
          <w:p>
            <w:pPr>
              <w:spacing w:after="0"/>
              <w:rPr>
                <w:sz w:val="16"/>
                <w:szCs w:val="16"/>
                <w:color w:val="auto"/>
              </w:rPr>
            </w:pPr>
          </w:p>
        </w:tc>
        <w:tc>
          <w:tcPr>
            <w:tcW w:w="10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10.35</w:t>
            </w:r>
          </w:p>
        </w:tc>
        <w:tc>
          <w:tcPr>
            <w:tcW w:w="9900" w:type="dxa"/>
            <w:vAlign w:val="bottom"/>
            <w:gridSpan w:val="32"/>
          </w:tcPr>
          <w:p>
            <w:pPr>
              <w:spacing w:after="0" w:line="198" w:lineRule="exact"/>
              <w:rPr>
                <w:rFonts w:ascii="Arial" w:cs="Arial" w:eastAsia="Arial" w:hAnsi="Arial"/>
                <w:sz w:val="18"/>
                <w:szCs w:val="18"/>
                <w:color w:val="0000FF"/>
              </w:rPr>
            </w:pPr>
            <w:hyperlink r:id="rId223">
              <w:r>
                <w:rPr>
                  <w:rFonts w:ascii="Arial" w:cs="Arial" w:eastAsia="Arial" w:hAnsi="Arial"/>
                  <w:sz w:val="18"/>
                  <w:szCs w:val="18"/>
                  <w:color w:val="0000FF"/>
                </w:rPr>
                <w:t>Employment Letter, between Mondelēz Global LLC and Gerhard Pleuhs, dated August 23, 2016 (incorporated by reference</w:t>
              </w:r>
            </w:hyperlink>
          </w:p>
        </w:tc>
      </w:tr>
      <w:tr>
        <w:trPr>
          <w:trHeight w:val="187"/>
        </w:trPr>
        <w:tc>
          <w:tcPr>
            <w:tcW w:w="1340" w:type="dxa"/>
            <w:vAlign w:val="bottom"/>
          </w:tcPr>
          <w:p>
            <w:pPr>
              <w:spacing w:after="0"/>
              <w:rPr>
                <w:sz w:val="16"/>
                <w:szCs w:val="16"/>
                <w:color w:val="auto"/>
              </w:rPr>
            </w:pPr>
          </w:p>
        </w:tc>
        <w:tc>
          <w:tcPr>
            <w:tcW w:w="9800" w:type="dxa"/>
            <w:vAlign w:val="bottom"/>
            <w:tcBorders>
              <w:top w:val="single" w:sz="8" w:color="0000FF"/>
            </w:tcBorders>
            <w:gridSpan w:val="27"/>
          </w:tcPr>
          <w:p>
            <w:pPr>
              <w:spacing w:after="0" w:line="187" w:lineRule="exact"/>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to Exhibit 10.5 to the Registrant’s Quarterly Report on Form 10-Q filed with the SEC on July 26, 2018).</w:t>
              </w:r>
              <w:r>
                <w:rPr>
                  <w:rFonts w:ascii="Arial" w:cs="Arial" w:eastAsia="Arial" w:hAnsi="Arial"/>
                  <w:sz w:val="18"/>
                  <w:szCs w:val="18"/>
                  <w:u w:val="single" w:color="auto"/>
                  <w:color w:val="000000"/>
                </w:rPr>
                <w:t>+</w:t>
              </w:r>
            </w:hyperlink>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10.36</w:t>
            </w:r>
          </w:p>
        </w:tc>
        <w:tc>
          <w:tcPr>
            <w:tcW w:w="9900" w:type="dxa"/>
            <w:vAlign w:val="bottom"/>
            <w:gridSpan w:val="32"/>
          </w:tcPr>
          <w:p>
            <w:pPr>
              <w:spacing w:after="0" w:line="198" w:lineRule="exact"/>
              <w:rPr>
                <w:rFonts w:ascii="Arial" w:cs="Arial" w:eastAsia="Arial" w:hAnsi="Arial"/>
                <w:sz w:val="18"/>
                <w:szCs w:val="18"/>
                <w:color w:val="0000FF"/>
              </w:rPr>
            </w:pPr>
            <w:hyperlink r:id="rId224">
              <w:r>
                <w:rPr>
                  <w:rFonts w:ascii="Arial" w:cs="Arial" w:eastAsia="Arial" w:hAnsi="Arial"/>
                  <w:sz w:val="18"/>
                  <w:szCs w:val="18"/>
                  <w:color w:val="0000FF"/>
                </w:rPr>
                <w:t>Offer of Employment Letter, between Mondelēz Global LLC and Paulette Alviti, dated April 12, 2018 (incorporated by</w:t>
              </w:r>
            </w:hyperlink>
          </w:p>
        </w:tc>
      </w:tr>
      <w:tr>
        <w:trPr>
          <w:trHeight w:val="187"/>
        </w:trPr>
        <w:tc>
          <w:tcPr>
            <w:tcW w:w="1340" w:type="dxa"/>
            <w:vAlign w:val="bottom"/>
          </w:tcPr>
          <w:p>
            <w:pPr>
              <w:spacing w:after="0"/>
              <w:rPr>
                <w:sz w:val="16"/>
                <w:szCs w:val="16"/>
                <w:color w:val="auto"/>
              </w:rPr>
            </w:pPr>
          </w:p>
        </w:tc>
        <w:tc>
          <w:tcPr>
            <w:tcW w:w="9260" w:type="dxa"/>
            <w:vAlign w:val="bottom"/>
            <w:tcBorders>
              <w:top w:val="single" w:sz="8" w:color="0000FF"/>
            </w:tcBorders>
            <w:gridSpan w:val="15"/>
          </w:tcPr>
          <w:p>
            <w:pPr>
              <w:spacing w:after="0" w:line="187" w:lineRule="exact"/>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reference to Exhibit 10.6 to the Registrant’s Quarterly Report on Form 10-Q filed with the SEC on July 26, 2018).</w:t>
              </w:r>
              <w:r>
                <w:rPr>
                  <w:rFonts w:ascii="Arial" w:cs="Arial" w:eastAsia="Arial" w:hAnsi="Arial"/>
                  <w:sz w:val="18"/>
                  <w:szCs w:val="18"/>
                  <w:u w:val="single" w:color="auto"/>
                  <w:color w:val="000000"/>
                </w:rPr>
                <w:t>+</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4"/>
          </w:tcPr>
          <w:p>
            <w:pPr>
              <w:spacing w:after="0"/>
              <w:rPr>
                <w:sz w:val="16"/>
                <w:szCs w:val="16"/>
                <w:color w:val="auto"/>
              </w:rPr>
            </w:pPr>
          </w:p>
        </w:tc>
        <w:tc>
          <w:tcPr>
            <w:tcW w:w="80" w:type="dxa"/>
            <w:vAlign w:val="bottom"/>
            <w:gridSpan w:val="2"/>
          </w:tcPr>
          <w:p>
            <w:pPr>
              <w:spacing w:after="0"/>
              <w:rPr>
                <w:sz w:val="16"/>
                <w:szCs w:val="16"/>
                <w:color w:val="auto"/>
              </w:rPr>
            </w:pPr>
          </w:p>
        </w:tc>
        <w:tc>
          <w:tcPr>
            <w:tcW w:w="140" w:type="dxa"/>
            <w:vAlign w:val="bottom"/>
            <w:gridSpan w:val="6"/>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2"/>
        </w:trPr>
        <w:tc>
          <w:tcPr>
            <w:tcW w:w="1340" w:type="dxa"/>
            <w:vAlign w:val="bottom"/>
          </w:tcPr>
          <w:p>
            <w:pPr>
              <w:jc w:val="right"/>
              <w:ind w:right="590"/>
              <w:spacing w:after="0" w:line="185" w:lineRule="exact"/>
              <w:rPr>
                <w:sz w:val="20"/>
                <w:szCs w:val="20"/>
                <w:color w:val="auto"/>
              </w:rPr>
            </w:pPr>
            <w:r>
              <w:rPr>
                <w:rFonts w:ascii="Arial" w:cs="Arial" w:eastAsia="Arial" w:hAnsi="Arial"/>
                <w:sz w:val="18"/>
                <w:szCs w:val="18"/>
                <w:color w:val="auto"/>
              </w:rPr>
              <w:t>10.37</w:t>
            </w:r>
          </w:p>
        </w:tc>
        <w:tc>
          <w:tcPr>
            <w:tcW w:w="9900" w:type="dxa"/>
            <w:vAlign w:val="bottom"/>
            <w:gridSpan w:val="32"/>
          </w:tcPr>
          <w:p>
            <w:pPr>
              <w:spacing w:after="0" w:line="185" w:lineRule="exact"/>
              <w:rPr>
                <w:rFonts w:ascii="Arial" w:cs="Arial" w:eastAsia="Arial" w:hAnsi="Arial"/>
                <w:sz w:val="18"/>
                <w:szCs w:val="18"/>
                <w:color w:val="0000FF"/>
              </w:rPr>
            </w:pPr>
            <w:hyperlink r:id="rId225">
              <w:r>
                <w:rPr>
                  <w:rFonts w:ascii="Arial" w:cs="Arial" w:eastAsia="Arial" w:hAnsi="Arial"/>
                  <w:sz w:val="18"/>
                  <w:szCs w:val="18"/>
                  <w:color w:val="0000FF"/>
                </w:rPr>
                <w:t>International Permanent Transfer Letter, between Mondelēz Global LLC and Luca Zaramella, effective August 1, 2018</w:t>
              </w:r>
            </w:hyperlink>
          </w:p>
        </w:tc>
      </w:tr>
      <w:tr>
        <w:trPr>
          <w:trHeight w:val="162"/>
        </w:trPr>
        <w:tc>
          <w:tcPr>
            <w:tcW w:w="1340" w:type="dxa"/>
            <w:vAlign w:val="bottom"/>
          </w:tcPr>
          <w:p>
            <w:pPr>
              <w:spacing w:after="0"/>
              <w:rPr>
                <w:sz w:val="14"/>
                <w:szCs w:val="14"/>
                <w:color w:val="auto"/>
              </w:rPr>
            </w:pPr>
          </w:p>
        </w:tc>
        <w:tc>
          <w:tcPr>
            <w:tcW w:w="9380" w:type="dxa"/>
            <w:vAlign w:val="bottom"/>
            <w:tcBorders>
              <w:top w:val="single" w:sz="8" w:color="0000FF"/>
            </w:tcBorders>
            <w:gridSpan w:val="17"/>
          </w:tcPr>
          <w:p>
            <w:pPr>
              <w:spacing w:after="0" w:line="162"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(incorporated by reference to Exhibit 10.1 to the Registrant’s Current Report on Form 8-K filed with the SEC on August</w:t>
              </w:r>
            </w:hyperlink>
          </w:p>
        </w:tc>
        <w:tc>
          <w:tcPr>
            <w:tcW w:w="320" w:type="dxa"/>
            <w:vAlign w:val="bottom"/>
            <w:gridSpan w:val="6"/>
          </w:tcPr>
          <w:p>
            <w:pPr>
              <w:jc w:val="right"/>
              <w:ind w:right="80"/>
              <w:spacing w:after="0" w:line="162" w:lineRule="exact"/>
              <w:rPr>
                <w:rFonts w:ascii="Arial" w:cs="Arial" w:eastAsia="Arial" w:hAnsi="Arial"/>
                <w:sz w:val="18"/>
                <w:szCs w:val="18"/>
                <w:color w:val="0000FF"/>
              </w:rPr>
            </w:pPr>
            <w:hyperlink r:id="rId225">
              <w:r>
                <w:rPr>
                  <w:rFonts w:ascii="Arial" w:cs="Arial" w:eastAsia="Arial" w:hAnsi="Arial"/>
                  <w:sz w:val="18"/>
                  <w:szCs w:val="18"/>
                  <w:color w:val="0000FF"/>
                </w:rPr>
                <w:t>7,</w:t>
              </w:r>
            </w:hyperlink>
          </w:p>
        </w:tc>
        <w:tc>
          <w:tcPr>
            <w:tcW w:w="14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5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2018).</w:t>
              </w:r>
              <w:r>
                <w:rPr>
                  <w:rFonts w:ascii="Arial" w:cs="Arial" w:eastAsia="Arial" w:hAnsi="Arial"/>
                  <w:sz w:val="18"/>
                  <w:szCs w:val="18"/>
                  <w:color w:val="000000"/>
                </w:rPr>
                <w:t>+</w:t>
              </w:r>
            </w:hyperlink>
          </w:p>
        </w:tc>
        <w:tc>
          <w:tcPr>
            <w:tcW w:w="17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10.38</w:t>
            </w:r>
          </w:p>
        </w:tc>
        <w:tc>
          <w:tcPr>
            <w:tcW w:w="9900" w:type="dxa"/>
            <w:vAlign w:val="bottom"/>
            <w:gridSpan w:val="3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Employment Letter, between Mondelez Europe and Vinzenz P. Gruber, dated November 29, 2018 (incorporated by</w:t>
              </w:r>
            </w:hyperlink>
          </w:p>
        </w:tc>
      </w:tr>
      <w:tr>
        <w:trPr>
          <w:trHeight w:val="187"/>
        </w:trPr>
        <w:tc>
          <w:tcPr>
            <w:tcW w:w="1340" w:type="dxa"/>
            <w:vAlign w:val="bottom"/>
          </w:tcPr>
          <w:p>
            <w:pPr>
              <w:spacing w:after="0"/>
              <w:rPr>
                <w:sz w:val="16"/>
                <w:szCs w:val="16"/>
                <w:color w:val="auto"/>
              </w:rPr>
            </w:pPr>
          </w:p>
        </w:tc>
        <w:tc>
          <w:tcPr>
            <w:tcW w:w="9120" w:type="dxa"/>
            <w:vAlign w:val="bottom"/>
            <w:tcBorders>
              <w:top w:val="single" w:sz="8" w:color="0000FF"/>
            </w:tcBorders>
            <w:gridSpan w:val="13"/>
          </w:tcPr>
          <w:p>
            <w:pPr>
              <w:spacing w:after="0" w:line="187" w:lineRule="exact"/>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reference to Exhibit 10.6 to the Registrant's Quarterly Report on Form 10-Q filed with the SEC on May 1, 2019).</w:t>
              </w:r>
              <w:r>
                <w:rPr>
                  <w:rFonts w:ascii="Arial" w:cs="Arial" w:eastAsia="Arial" w:hAnsi="Arial"/>
                  <w:sz w:val="18"/>
                  <w:szCs w:val="18"/>
                  <w:u w:val="single" w:color="auto"/>
                  <w:color w:val="000000"/>
                </w:rPr>
                <w:t>+</w:t>
              </w:r>
            </w:hyperlink>
          </w:p>
        </w:tc>
        <w:tc>
          <w:tcPr>
            <w:tcW w:w="160" w:type="dxa"/>
            <w:vAlign w:val="bottom"/>
            <w:gridSpan w:val="3"/>
          </w:tcPr>
          <w:p>
            <w:pPr>
              <w:spacing w:after="0"/>
              <w:rPr>
                <w:sz w:val="16"/>
                <w:szCs w:val="16"/>
                <w:color w:val="auto"/>
              </w:rPr>
            </w:pPr>
          </w:p>
        </w:tc>
        <w:tc>
          <w:tcPr>
            <w:tcW w:w="420" w:type="dxa"/>
            <w:vAlign w:val="bottom"/>
            <w:gridSpan w:val="7"/>
          </w:tcPr>
          <w:p>
            <w:pPr>
              <w:spacing w:after="0"/>
              <w:rPr>
                <w:sz w:val="16"/>
                <w:szCs w:val="16"/>
                <w:color w:val="auto"/>
              </w:rPr>
            </w:pPr>
          </w:p>
        </w:tc>
        <w:tc>
          <w:tcPr>
            <w:tcW w:w="140" w:type="dxa"/>
            <w:vAlign w:val="bottom"/>
            <w:gridSpan w:val="6"/>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10.39</w:t>
            </w:r>
          </w:p>
        </w:tc>
        <w:tc>
          <w:tcPr>
            <w:tcW w:w="9900" w:type="dxa"/>
            <w:vAlign w:val="bottom"/>
            <w:gridSpan w:val="32"/>
          </w:tcPr>
          <w:p>
            <w:pPr>
              <w:spacing w:after="0" w:line="198" w:lineRule="exact"/>
              <w:rPr>
                <w:rFonts w:ascii="Arial" w:cs="Arial" w:eastAsia="Arial" w:hAnsi="Arial"/>
                <w:sz w:val="18"/>
                <w:szCs w:val="18"/>
                <w:color w:val="0000FF"/>
              </w:rPr>
            </w:pPr>
            <w:hyperlink r:id="rId227">
              <w:r>
                <w:rPr>
                  <w:rFonts w:ascii="Arial" w:cs="Arial" w:eastAsia="Arial" w:hAnsi="Arial"/>
                  <w:sz w:val="18"/>
                  <w:szCs w:val="18"/>
                  <w:color w:val="0000FF"/>
                </w:rPr>
                <w:t>Offer of Employment Letter, between Mondelēz Global LLC and Sandra MacQuillan, dated April 23, 2019 (incorporated by</w:t>
              </w:r>
            </w:hyperlink>
          </w:p>
        </w:tc>
      </w:tr>
      <w:tr>
        <w:trPr>
          <w:trHeight w:val="187"/>
        </w:trPr>
        <w:tc>
          <w:tcPr>
            <w:tcW w:w="1340" w:type="dxa"/>
            <w:vAlign w:val="bottom"/>
          </w:tcPr>
          <w:p>
            <w:pPr>
              <w:spacing w:after="0"/>
              <w:rPr>
                <w:sz w:val="16"/>
                <w:szCs w:val="16"/>
                <w:color w:val="auto"/>
              </w:rPr>
            </w:pPr>
          </w:p>
        </w:tc>
        <w:tc>
          <w:tcPr>
            <w:tcW w:w="9700" w:type="dxa"/>
            <w:vAlign w:val="bottom"/>
            <w:tcBorders>
              <w:top w:val="single" w:sz="8" w:color="0000FF"/>
            </w:tcBorders>
            <w:gridSpan w:val="23"/>
          </w:tcPr>
          <w:p>
            <w:pPr>
              <w:spacing w:after="0" w:line="187" w:lineRule="exact"/>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reference to Exhibit 10.1 to the Registrant's Quarterly Report on Form 10-Q filed with the SEC on July 31, 2019).</w:t>
              </w:r>
              <w:r>
                <w:rPr>
                  <w:rFonts w:ascii="Arial" w:cs="Arial" w:eastAsia="Arial" w:hAnsi="Arial"/>
                  <w:sz w:val="18"/>
                  <w:szCs w:val="18"/>
                  <w:u w:val="single" w:color="auto"/>
                  <w:color w:val="000000"/>
                </w:rPr>
                <w:t>+</w:t>
              </w:r>
            </w:hyperlink>
          </w:p>
        </w:tc>
        <w:tc>
          <w:tcPr>
            <w:tcW w:w="140" w:type="dxa"/>
            <w:vAlign w:val="bottom"/>
            <w:gridSpan w:val="6"/>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10.40</w:t>
            </w:r>
          </w:p>
        </w:tc>
        <w:tc>
          <w:tcPr>
            <w:tcW w:w="9900" w:type="dxa"/>
            <w:vAlign w:val="bottom"/>
            <w:gridSpan w:val="32"/>
          </w:tcPr>
          <w:p>
            <w:pPr>
              <w:spacing w:after="0" w:line="198" w:lineRule="exact"/>
              <w:rPr>
                <w:rFonts w:ascii="Arial" w:cs="Arial" w:eastAsia="Arial" w:hAnsi="Arial"/>
                <w:sz w:val="18"/>
                <w:szCs w:val="18"/>
                <w:color w:val="0000FF"/>
              </w:rPr>
            </w:pPr>
            <w:hyperlink r:id="rId228">
              <w:r>
                <w:rPr>
                  <w:rFonts w:ascii="Arial" w:cs="Arial" w:eastAsia="Arial" w:hAnsi="Arial"/>
                  <w:sz w:val="18"/>
                  <w:szCs w:val="18"/>
                  <w:color w:val="0000FF"/>
                </w:rPr>
                <w:t>Offer of Employment Letter between the Registrant and Gustavo Valle, dated January 6, 2020 (incorporated by reference to</w:t>
              </w:r>
            </w:hyperlink>
          </w:p>
        </w:tc>
      </w:tr>
      <w:tr>
        <w:trPr>
          <w:trHeight w:val="155"/>
        </w:trPr>
        <w:tc>
          <w:tcPr>
            <w:tcW w:w="134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Exhibit 10.7 to the Registrant’s Quarterly Report on Form 10-Q filed with the SEC on April 29, 2020).</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7980" w:type="dxa"/>
            <w:vAlign w:val="bottom"/>
            <w:gridSpan w:val="8"/>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20" w:type="dxa"/>
            <w:vAlign w:val="bottom"/>
            <w:gridSpan w:val="16"/>
          </w:tcPr>
          <w:p>
            <w:pPr>
              <w:spacing w:after="0" w:line="20" w:lineRule="exact"/>
              <w:rPr>
                <w:sz w:val="1"/>
                <w:szCs w:val="1"/>
                <w:color w:val="auto"/>
              </w:rPr>
            </w:pPr>
          </w:p>
        </w:tc>
      </w:tr>
      <w:tr>
        <w:trPr>
          <w:trHeight w:val="241"/>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10.41</w:t>
            </w:r>
          </w:p>
        </w:tc>
        <w:tc>
          <w:tcPr>
            <w:tcW w:w="9900" w:type="dxa"/>
            <w:vAlign w:val="bottom"/>
            <w:gridSpan w:val="32"/>
          </w:tcPr>
          <w:p>
            <w:pPr>
              <w:spacing w:after="0"/>
              <w:rPr>
                <w:rFonts w:ascii="Arial" w:cs="Arial" w:eastAsia="Arial" w:hAnsi="Arial"/>
                <w:sz w:val="18"/>
                <w:szCs w:val="18"/>
                <w:color w:val="0000FF"/>
              </w:rPr>
            </w:pPr>
            <w:hyperlink w:anchor="page167">
              <w:r>
                <w:rPr>
                  <w:rFonts w:ascii="Arial" w:cs="Arial" w:eastAsia="Arial" w:hAnsi="Arial"/>
                  <w:sz w:val="18"/>
                  <w:szCs w:val="18"/>
                  <w:u w:val="single" w:color="auto"/>
                  <w:color w:val="0000FF"/>
                </w:rPr>
                <w:t>Offer of Employment Letter between Mondelēz Global LLC and Laura Stein, dated November 9, 2020.</w:t>
              </w:r>
            </w:hyperlink>
            <w:r>
              <w:rPr>
                <w:rFonts w:ascii="Arial" w:cs="Arial" w:eastAsia="Arial" w:hAnsi="Arial"/>
                <w:sz w:val="18"/>
                <w:szCs w:val="18"/>
                <w:color w:val="000000"/>
              </w:rPr>
              <w:t>+</w:t>
            </w:r>
          </w:p>
        </w:tc>
      </w:tr>
      <w:tr>
        <w:trPr>
          <w:trHeight w:val="198"/>
        </w:trPr>
        <w:tc>
          <w:tcPr>
            <w:tcW w:w="13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10.42</w:t>
            </w:r>
          </w:p>
        </w:tc>
        <w:tc>
          <w:tcPr>
            <w:tcW w:w="9900" w:type="dxa"/>
            <w:vAlign w:val="bottom"/>
            <w:gridSpan w:val="32"/>
          </w:tcPr>
          <w:p>
            <w:pPr>
              <w:spacing w:after="0" w:line="198" w:lineRule="exact"/>
              <w:rPr>
                <w:rFonts w:ascii="Arial" w:cs="Arial" w:eastAsia="Arial" w:hAnsi="Arial"/>
                <w:sz w:val="18"/>
                <w:szCs w:val="18"/>
                <w:color w:val="0000FF"/>
              </w:rPr>
            </w:pPr>
            <w:hyperlink r:id="rId229">
              <w:r>
                <w:rPr>
                  <w:rFonts w:ascii="Arial" w:cs="Arial" w:eastAsia="Arial" w:hAnsi="Arial"/>
                  <w:sz w:val="18"/>
                  <w:szCs w:val="18"/>
                  <w:color w:val="0000FF"/>
                </w:rPr>
                <w:t>Form of Indemnification Agreement for Non-Employee Directors (incorporated by reference to Exhibit 10.28 to the</w:t>
              </w:r>
            </w:hyperlink>
          </w:p>
        </w:tc>
      </w:tr>
      <w:tr>
        <w:trPr>
          <w:trHeight w:val="155"/>
        </w:trPr>
        <w:tc>
          <w:tcPr>
            <w:tcW w:w="1340" w:type="dxa"/>
            <w:vAlign w:val="bottom"/>
          </w:tcPr>
          <w:p>
            <w:pPr>
              <w:spacing w:after="0"/>
              <w:rPr>
                <w:sz w:val="13"/>
                <w:szCs w:val="13"/>
                <w:color w:val="auto"/>
              </w:rPr>
            </w:pPr>
          </w:p>
        </w:tc>
        <w:tc>
          <w:tcPr>
            <w:tcW w:w="90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Registrant’s Annual Report on Form 10-K filed with the SEC on February 27, 2009).</w:t>
              </w:r>
              <w:r>
                <w:rPr>
                  <w:rFonts w:ascii="Arial" w:cs="Arial" w:eastAsia="Arial" w:hAnsi="Arial"/>
                  <w:sz w:val="18"/>
                  <w:szCs w:val="18"/>
                  <w:color w:val="000000"/>
                </w:rPr>
                <w:t>+</w:t>
              </w:r>
            </w:hyperlink>
          </w:p>
        </w:tc>
        <w:tc>
          <w:tcPr>
            <w:tcW w:w="240" w:type="dxa"/>
            <w:vAlign w:val="bottom"/>
            <w:gridSpan w:val="6"/>
          </w:tcPr>
          <w:p>
            <w:pPr>
              <w:spacing w:after="0"/>
              <w:rPr>
                <w:sz w:val="13"/>
                <w:szCs w:val="13"/>
                <w:color w:val="auto"/>
              </w:rPr>
            </w:pPr>
          </w:p>
        </w:tc>
        <w:tc>
          <w:tcPr>
            <w:tcW w:w="620" w:type="dxa"/>
            <w:vAlign w:val="bottom"/>
            <w:gridSpan w:val="16"/>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660" w:type="dxa"/>
            <w:vAlign w:val="bottom"/>
            <w:gridSpan w:val="5"/>
            <w:shd w:val="clear" w:color="auto" w:fill="0000FF"/>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620" w:type="dxa"/>
            <w:vAlign w:val="bottom"/>
            <w:gridSpan w:val="16"/>
          </w:tcPr>
          <w:p>
            <w:pPr>
              <w:spacing w:after="0" w:line="20" w:lineRule="exact"/>
              <w:rPr>
                <w:sz w:val="1"/>
                <w:szCs w:val="1"/>
                <w:color w:val="auto"/>
              </w:rPr>
            </w:pPr>
          </w:p>
        </w:tc>
      </w:tr>
      <w:tr>
        <w:trPr>
          <w:trHeight w:val="209"/>
        </w:trPr>
        <w:tc>
          <w:tcPr>
            <w:tcW w:w="1340" w:type="dxa"/>
            <w:vAlign w:val="bottom"/>
          </w:tcPr>
          <w:p>
            <w:pPr>
              <w:jc w:val="right"/>
              <w:ind w:right="590"/>
              <w:spacing w:after="0"/>
              <w:rPr>
                <w:sz w:val="20"/>
                <w:szCs w:val="20"/>
                <w:color w:val="auto"/>
              </w:rPr>
            </w:pPr>
            <w:r>
              <w:rPr>
                <w:rFonts w:ascii="Arial" w:cs="Arial" w:eastAsia="Arial" w:hAnsi="Arial"/>
                <w:sz w:val="18"/>
                <w:szCs w:val="18"/>
                <w:color w:val="auto"/>
              </w:rPr>
              <w:t>10.43</w:t>
            </w:r>
          </w:p>
        </w:tc>
        <w:tc>
          <w:tcPr>
            <w:tcW w:w="9900" w:type="dxa"/>
            <w:vAlign w:val="bottom"/>
            <w:gridSpan w:val="32"/>
          </w:tcPr>
          <w:p>
            <w:pPr>
              <w:spacing w:after="0"/>
              <w:rPr>
                <w:rFonts w:ascii="Arial" w:cs="Arial" w:eastAsia="Arial" w:hAnsi="Arial"/>
                <w:sz w:val="18"/>
                <w:szCs w:val="18"/>
                <w:color w:val="0000FF"/>
              </w:rPr>
            </w:pPr>
            <w:hyperlink r:id="rId230">
              <w:r>
                <w:rPr>
                  <w:rFonts w:ascii="Arial" w:cs="Arial" w:eastAsia="Arial" w:hAnsi="Arial"/>
                  <w:sz w:val="18"/>
                  <w:szCs w:val="18"/>
                  <w:color w:val="0000FF"/>
                </w:rPr>
                <w:t>Indemnification Agreement between the Registrant and Irene B. Rosenfeld, dated January 27, 2009 (incorporated by</w:t>
              </w:r>
            </w:hyperlink>
          </w:p>
        </w:tc>
      </w:tr>
      <w:tr>
        <w:trPr>
          <w:trHeight w:val="236"/>
        </w:trPr>
        <w:tc>
          <w:tcPr>
            <w:tcW w:w="1340" w:type="dxa"/>
            <w:vAlign w:val="bottom"/>
          </w:tcPr>
          <w:p>
            <w:pPr>
              <w:spacing w:after="0"/>
              <w:rPr>
                <w:sz w:val="20"/>
                <w:szCs w:val="20"/>
                <w:color w:val="auto"/>
              </w:rPr>
            </w:pPr>
          </w:p>
        </w:tc>
        <w:tc>
          <w:tcPr>
            <w:tcW w:w="928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reference to Exhibit 10.1 to the Registrant’s Current Report on Form 8-K filed with the SEC on February 2, 2009).</w:t>
              </w:r>
              <w:r>
                <w:rPr>
                  <w:rFonts w:ascii="Arial" w:cs="Arial" w:eastAsia="Arial" w:hAnsi="Arial"/>
                  <w:sz w:val="18"/>
                  <w:szCs w:val="18"/>
                  <w:u w:val="single" w:color="auto"/>
                  <w:color w:val="000000"/>
                </w:rPr>
                <w:t>+</w:t>
              </w:r>
            </w:hyperlink>
          </w:p>
        </w:tc>
        <w:tc>
          <w:tcPr>
            <w:tcW w:w="620" w:type="dxa"/>
            <w:vAlign w:val="bottom"/>
            <w:gridSpan w:val="16"/>
          </w:tcPr>
          <w:p>
            <w:pPr>
              <w:spacing w:after="0"/>
              <w:rPr>
                <w:sz w:val="20"/>
                <w:szCs w:val="20"/>
                <w:color w:val="auto"/>
              </w:rPr>
            </w:pPr>
          </w:p>
        </w:tc>
      </w:tr>
      <w:tr>
        <w:trPr>
          <w:trHeight w:val="814"/>
        </w:trPr>
        <w:tc>
          <w:tcPr>
            <w:tcW w:w="1340" w:type="dxa"/>
            <w:vAlign w:val="bottom"/>
          </w:tcPr>
          <w:p>
            <w:pPr>
              <w:spacing w:after="0"/>
              <w:rPr>
                <w:sz w:val="24"/>
                <w:szCs w:val="24"/>
                <w:color w:val="auto"/>
              </w:rPr>
            </w:pPr>
          </w:p>
        </w:tc>
        <w:tc>
          <w:tcPr>
            <w:tcW w:w="4460" w:type="dxa"/>
            <w:vAlign w:val="bottom"/>
            <w:gridSpan w:val="4"/>
          </w:tcPr>
          <w:p>
            <w:pPr>
              <w:ind w:left="4140"/>
              <w:spacing w:after="0"/>
              <w:rPr>
                <w:sz w:val="20"/>
                <w:szCs w:val="20"/>
                <w:color w:val="auto"/>
              </w:rPr>
            </w:pPr>
            <w:r>
              <w:rPr>
                <w:rFonts w:ascii="Arial" w:cs="Arial" w:eastAsia="Arial" w:hAnsi="Arial"/>
                <w:sz w:val="18"/>
                <w:szCs w:val="18"/>
                <w:color w:val="auto"/>
                <w:w w:val="99"/>
              </w:rPr>
              <w:t>137</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10.44</w:t>
            </w:r>
          </w:p>
        </w:tc>
        <w:tc>
          <w:tcPr>
            <w:tcW w:w="9840" w:type="dxa"/>
            <w:vAlign w:val="bottom"/>
            <w:gridSpan w:val="8"/>
          </w:tcPr>
          <w:p>
            <w:pPr>
              <w:spacing w:after="0"/>
              <w:rPr>
                <w:rFonts w:ascii="Arial" w:cs="Arial" w:eastAsia="Arial" w:hAnsi="Arial"/>
                <w:sz w:val="18"/>
                <w:szCs w:val="18"/>
                <w:color w:val="0000FF"/>
              </w:rPr>
            </w:pPr>
            <w:hyperlink r:id="rId233">
              <w:r>
                <w:rPr>
                  <w:rFonts w:ascii="Arial" w:cs="Arial" w:eastAsia="Arial" w:hAnsi="Arial"/>
                  <w:sz w:val="18"/>
                  <w:szCs w:val="18"/>
                  <w:color w:val="0000FF"/>
                </w:rPr>
                <w:t>Indemnification Agreement between the Registrant and Dirk Van de Put, dated November 20, 2017 (incorporated by</w:t>
              </w:r>
            </w:hyperlink>
          </w:p>
        </w:tc>
      </w:tr>
      <w:tr>
        <w:trPr>
          <w:trHeight w:val="20"/>
        </w:trPr>
        <w:tc>
          <w:tcPr>
            <w:tcW w:w="114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9840" w:type="dxa"/>
            <w:vAlign w:val="bottom"/>
            <w:gridSpan w:val="8"/>
          </w:tcPr>
          <w:p>
            <w:pPr>
              <w:spacing w:after="0" w:line="187" w:lineRule="exact"/>
              <w:rPr>
                <w:rFonts w:ascii="Arial" w:cs="Arial" w:eastAsia="Arial" w:hAnsi="Arial"/>
                <w:sz w:val="18"/>
                <w:szCs w:val="18"/>
                <w:color w:val="0000FF"/>
              </w:rPr>
            </w:pPr>
            <w:hyperlink r:id="rId233">
              <w:r>
                <w:rPr>
                  <w:rFonts w:ascii="Arial" w:cs="Arial" w:eastAsia="Arial" w:hAnsi="Arial"/>
                  <w:sz w:val="18"/>
                  <w:szCs w:val="18"/>
                  <w:u w:val="single" w:color="auto"/>
                  <w:color w:val="0000FF"/>
                </w:rPr>
                <w:t>reference to Exhibit 10.37 to the Registrant’s Annual Report on Form 10-K filed with the SEC on February 9, 2018).</w:t>
              </w:r>
              <w:r>
                <w:rPr>
                  <w:rFonts w:ascii="Arial" w:cs="Arial" w:eastAsia="Arial" w:hAnsi="Arial"/>
                  <w:sz w:val="18"/>
                  <w:szCs w:val="18"/>
                  <w:color w:val="000000"/>
                </w:rPr>
                <w:t>+</w:t>
              </w:r>
            </w:hyperlink>
          </w:p>
        </w:tc>
      </w:tr>
      <w:tr>
        <w:trPr>
          <w:trHeight w:val="229"/>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21.1</w:t>
            </w:r>
          </w:p>
        </w:tc>
        <w:tc>
          <w:tcPr>
            <w:tcW w:w="9840" w:type="dxa"/>
            <w:vAlign w:val="bottom"/>
            <w:gridSpan w:val="8"/>
          </w:tcPr>
          <w:p>
            <w:pPr>
              <w:spacing w:after="0"/>
              <w:rPr>
                <w:rFonts w:ascii="Arial" w:cs="Arial" w:eastAsia="Arial" w:hAnsi="Arial"/>
                <w:sz w:val="18"/>
                <w:szCs w:val="18"/>
                <w:u w:val="single" w:color="auto"/>
                <w:color w:val="0000FF"/>
              </w:rPr>
            </w:pPr>
            <w:hyperlink w:anchor="page183">
              <w:r>
                <w:rPr>
                  <w:rFonts w:ascii="Arial" w:cs="Arial" w:eastAsia="Arial" w:hAnsi="Arial"/>
                  <w:sz w:val="18"/>
                  <w:szCs w:val="18"/>
                  <w:u w:val="single" w:color="auto"/>
                  <w:color w:val="0000FF"/>
                </w:rPr>
                <w:t>Subsidiaries of the Registrant.</w:t>
              </w:r>
            </w:hyperlink>
          </w:p>
        </w:tc>
      </w:tr>
      <w:tr>
        <w:trPr>
          <w:trHeight w:val="23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23.1</w:t>
            </w:r>
          </w:p>
        </w:tc>
        <w:tc>
          <w:tcPr>
            <w:tcW w:w="9840" w:type="dxa"/>
            <w:vAlign w:val="bottom"/>
            <w:gridSpan w:val="8"/>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Consent of PricewaterhouseCoopers LLP, Independent Registered Public Accounting Firm.</w:t>
              </w:r>
            </w:hyperlink>
          </w:p>
        </w:tc>
      </w:tr>
      <w:tr>
        <w:trPr>
          <w:trHeight w:val="198"/>
        </w:trPr>
        <w:tc>
          <w:tcPr>
            <w:tcW w:w="1140" w:type="dxa"/>
            <w:vAlign w:val="bottom"/>
          </w:tcPr>
          <w:p>
            <w:pPr>
              <w:jc w:val="right"/>
              <w:ind w:right="590"/>
              <w:spacing w:after="0" w:line="198" w:lineRule="exact"/>
              <w:rPr>
                <w:sz w:val="20"/>
                <w:szCs w:val="20"/>
                <w:color w:val="auto"/>
              </w:rPr>
            </w:pPr>
            <w:r>
              <w:rPr>
                <w:rFonts w:ascii="Arial" w:cs="Arial" w:eastAsia="Arial" w:hAnsi="Arial"/>
                <w:sz w:val="18"/>
                <w:szCs w:val="18"/>
                <w:color w:val="auto"/>
              </w:rPr>
              <w:t>31.1</w:t>
            </w:r>
          </w:p>
        </w:tc>
        <w:tc>
          <w:tcPr>
            <w:tcW w:w="9840" w:type="dxa"/>
            <w:vAlign w:val="bottom"/>
            <w:gridSpan w:val="8"/>
          </w:tcPr>
          <w:p>
            <w:pPr>
              <w:spacing w:after="0" w:line="198" w:lineRule="exact"/>
              <w:rPr>
                <w:rFonts w:ascii="Arial" w:cs="Arial" w:eastAsia="Arial" w:hAnsi="Arial"/>
                <w:sz w:val="18"/>
                <w:szCs w:val="18"/>
                <w:color w:val="0000FF"/>
              </w:rPr>
            </w:pPr>
            <w:hyperlink w:anchor="page192">
              <w:r>
                <w:rPr>
                  <w:rFonts w:ascii="Arial" w:cs="Arial" w:eastAsia="Arial" w:hAnsi="Arial"/>
                  <w:sz w:val="18"/>
                  <w:szCs w:val="18"/>
                  <w:color w:val="0000FF"/>
                </w:rPr>
                <w:t>Certification of the Registrant’s Chief Executive Officer pursuant to Rule 13a-14(a)/15d-14(a) of the Securities Exchange</w:t>
              </w:r>
            </w:hyperlink>
          </w:p>
        </w:tc>
      </w:tr>
      <w:tr>
        <w:trPr>
          <w:trHeight w:val="156"/>
        </w:trPr>
        <w:tc>
          <w:tcPr>
            <w:tcW w:w="114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92">
              <w:r>
                <w:rPr>
                  <w:rFonts w:ascii="Arial" w:cs="Arial" w:eastAsia="Arial" w:hAnsi="Arial"/>
                  <w:sz w:val="18"/>
                  <w:szCs w:val="18"/>
                  <w:color w:val="0000FF"/>
                </w:rPr>
                <w:t>Act of 1934, as amended, as adopted pursuant to Section 302 of the Sarbanes-Oxley Act of 2002.</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31.2</w:t>
            </w:r>
          </w:p>
        </w:tc>
        <w:tc>
          <w:tcPr>
            <w:tcW w:w="9840" w:type="dxa"/>
            <w:vAlign w:val="bottom"/>
            <w:gridSpan w:val="8"/>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Certification of the Registrant’s Chief Financial Officer pursuant to Rule 13a-14(a)/15d-14(a) of the Securities Exchange Act</w:t>
              </w:r>
            </w:hyperlink>
          </w:p>
        </w:tc>
      </w:tr>
      <w:tr>
        <w:trPr>
          <w:trHeight w:val="156"/>
        </w:trPr>
        <w:tc>
          <w:tcPr>
            <w:tcW w:w="11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193">
              <w:r>
                <w:rPr>
                  <w:rFonts w:ascii="Arial" w:cs="Arial" w:eastAsia="Arial" w:hAnsi="Arial"/>
                  <w:sz w:val="18"/>
                  <w:szCs w:val="18"/>
                  <w:color w:val="0000FF"/>
                  <w:w w:val="99"/>
                </w:rPr>
                <w:t>of 1934, as amended, as adopted pursuant to Section 302 of the Sarbanes-Oxley Act of 2002.</w:t>
              </w:r>
            </w:hyperlink>
          </w:p>
        </w:tc>
        <w:tc>
          <w:tcPr>
            <w:tcW w:w="23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32.1</w:t>
            </w:r>
          </w:p>
        </w:tc>
        <w:tc>
          <w:tcPr>
            <w:tcW w:w="9840" w:type="dxa"/>
            <w:vAlign w:val="bottom"/>
            <w:gridSpan w:val="8"/>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Certifications of the Registrant’s Chief Executive Officer and Chief Financial Officer pursuant to 18 U.S.C. 1350, as adopted</w:t>
              </w:r>
            </w:hyperlink>
          </w:p>
        </w:tc>
      </w:tr>
      <w:tr>
        <w:trPr>
          <w:trHeight w:val="156"/>
        </w:trPr>
        <w:tc>
          <w:tcPr>
            <w:tcW w:w="1140" w:type="dxa"/>
            <w:vAlign w:val="bottom"/>
          </w:tcPr>
          <w:p>
            <w:pPr>
              <w:spacing w:after="0"/>
              <w:rPr>
                <w:sz w:val="13"/>
                <w:szCs w:val="13"/>
                <w:color w:val="auto"/>
              </w:rPr>
            </w:pPr>
          </w:p>
        </w:tc>
        <w:tc>
          <w:tcPr>
            <w:tcW w:w="4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194">
              <w:r>
                <w:rPr>
                  <w:rFonts w:ascii="Arial" w:cs="Arial" w:eastAsia="Arial" w:hAnsi="Arial"/>
                  <w:sz w:val="18"/>
                  <w:szCs w:val="18"/>
                  <w:color w:val="0000FF"/>
                  <w:w w:val="99"/>
                </w:rPr>
                <w:t>pursuant to Section 906 of the Sarbanes-Oxley Act of 2002.</w:t>
              </w:r>
            </w:hyperlink>
          </w:p>
        </w:tc>
        <w:tc>
          <w:tcPr>
            <w:tcW w:w="50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bl>
    <w:p>
      <w:pPr>
        <w:spacing w:after="0" w:line="18" w:lineRule="exact"/>
        <w:rPr>
          <w:sz w:val="20"/>
          <w:szCs w:val="20"/>
          <w:color w:val="auto"/>
        </w:rPr>
      </w:pPr>
    </w:p>
    <w:p>
      <w:pPr>
        <w:ind w:left="1340" w:right="60" w:hanging="989"/>
        <w:spacing w:after="0" w:line="236" w:lineRule="auto"/>
        <w:tabs>
          <w:tab w:leader="none" w:pos="1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following materials from Mondelēz International’s Annual Report on Form 10-K for the fiscal year ended December 31, 2020, formatted in iXBRL (Inline eXtensible Business Reporting Language): (i) the Consolidated Statements of Earnings, (ii) the Consolidated Statements of Comprehensive Earnings, (iii) the Consolidated Balance Sheets, (iv) the Consolidated Statements of Equity, (v) the Consolidated Statements of Cash Flows and (vi) Notes to Consolidated Financial Statements.</w:t>
      </w:r>
    </w:p>
    <w:p>
      <w:pPr>
        <w:ind w:left="1340" w:right="160" w:hanging="989"/>
        <w:spacing w:after="0" w:line="234"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212529"/>
        </w:rPr>
        <w:t>The cover page from Mondel</w:t>
      </w:r>
      <w:r>
        <w:rPr>
          <w:rFonts w:ascii="Arial" w:cs="Arial" w:eastAsia="Arial" w:hAnsi="Arial"/>
          <w:sz w:val="18"/>
          <w:szCs w:val="18"/>
          <w:color w:val="000000"/>
        </w:rPr>
        <w:t>ē</w:t>
      </w:r>
      <w:r>
        <w:rPr>
          <w:rFonts w:ascii="Arial" w:cs="Arial" w:eastAsia="Arial" w:hAnsi="Arial"/>
          <w:sz w:val="18"/>
          <w:szCs w:val="18"/>
          <w:color w:val="212529"/>
        </w:rPr>
        <w:t>z International’s Annual Report on Form 10-K for the fiscal year ended December 31, 2020, formatted in Inline XBRL (included as Exhibit 101).</w:t>
      </w:r>
    </w:p>
    <w:p>
      <w:pPr>
        <w:spacing w:after="0" w:line="96" w:lineRule="exact"/>
        <w:rPr>
          <w:sz w:val="20"/>
          <w:szCs w:val="20"/>
          <w:color w:val="auto"/>
        </w:rPr>
      </w:pPr>
    </w:p>
    <w:p>
      <w:pPr>
        <w:ind w:left="1920" w:right="280" w:hanging="531"/>
        <w:spacing w:after="0" w:line="242" w:lineRule="auto"/>
        <w:tabs>
          <w:tab w:leader="none" w:pos="1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1" w:lineRule="exact"/>
        <w:rPr>
          <w:sz w:val="20"/>
          <w:szCs w:val="20"/>
          <w:color w:val="auto"/>
        </w:rPr>
      </w:pPr>
    </w:p>
    <w:p>
      <w:pPr>
        <w:ind w:left="1920" w:hanging="531"/>
        <w:spacing w:after="0"/>
        <w:tabs>
          <w:tab w:leader="none" w:pos="1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tbl>
      <w:tblPr>
        <w:tblLayout w:type="fixed"/>
        <w:tblInd w:w="594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 ZARAMELLA</w:t>
            </w:r>
          </w:p>
        </w:tc>
      </w:tr>
      <w:tr>
        <w:trPr>
          <w:trHeight w:val="214"/>
        </w:trPr>
        <w:tc>
          <w:tcPr>
            <w:tcW w:w="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Luca Zaramella</w:t>
            </w:r>
          </w:p>
        </w:tc>
      </w:tr>
      <w:tr>
        <w:trPr>
          <w:trHeight w:val="230"/>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29"/>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r>
      <w:tr>
        <w:trPr>
          <w:trHeight w:val="243"/>
        </w:trPr>
        <w:tc>
          <w:tcPr>
            <w:tcW w:w="8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52"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rPr>
              <w:t>Signature</w:t>
            </w:r>
          </w:p>
        </w:tc>
        <w:tc>
          <w:tcPr>
            <w:tcW w:w="392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8"/>
              </w:rPr>
              <w:t>DIRK VAN DE PUT</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 Chairman and</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(Dirk Van de Put)</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Chief Executive Officer</w:t>
            </w:r>
          </w:p>
        </w:tc>
        <w:tc>
          <w:tcPr>
            <w:tcW w:w="2440" w:type="dxa"/>
            <w:vAlign w:val="bottom"/>
            <w:gridSpan w:val="3"/>
            <w:vMerge w:val="restart"/>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LUCA ZARAMELLA</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 and</w:t>
            </w:r>
          </w:p>
        </w:tc>
        <w:tc>
          <w:tcPr>
            <w:tcW w:w="2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(Luca Zaramella)</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Chief Financial Officer</w:t>
            </w:r>
          </w:p>
        </w:tc>
        <w:tc>
          <w:tcPr>
            <w:tcW w:w="2440" w:type="dxa"/>
            <w:vAlign w:val="bottom"/>
            <w:gridSpan w:val="3"/>
            <w:vMerge w:val="restart"/>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230"/>
        </w:trPr>
        <w:tc>
          <w:tcPr>
            <w:tcW w:w="1700" w:type="dxa"/>
            <w:vAlign w:val="bottom"/>
          </w:tcPr>
          <w:p>
            <w:pPr>
              <w:ind w:left="1340"/>
              <w:spacing w:after="0"/>
              <w:rPr>
                <w:sz w:val="20"/>
                <w:szCs w:val="20"/>
                <w:color w:val="auto"/>
              </w:rPr>
            </w:pPr>
            <w:r>
              <w:rPr>
                <w:rFonts w:ascii="Arial" w:cs="Arial" w:eastAsia="Arial" w:hAnsi="Arial"/>
                <w:sz w:val="18"/>
                <w:szCs w:val="18"/>
                <w:color w:val="auto"/>
              </w:rPr>
              <w:t>/s/</w:t>
            </w:r>
          </w:p>
        </w:tc>
        <w:tc>
          <w:tcPr>
            <w:tcW w:w="3120" w:type="dxa"/>
            <w:vAlign w:val="bottom"/>
            <w:gridSpan w:val="3"/>
          </w:tcPr>
          <w:p>
            <w:pPr>
              <w:jc w:val="center"/>
              <w:ind w:right="1320"/>
              <w:spacing w:after="0"/>
              <w:rPr>
                <w:sz w:val="20"/>
                <w:szCs w:val="20"/>
                <w:color w:val="auto"/>
              </w:rPr>
            </w:pPr>
            <w:r>
              <w:rPr>
                <w:rFonts w:ascii="Arial" w:cs="Arial" w:eastAsia="Arial" w:hAnsi="Arial"/>
                <w:sz w:val="18"/>
                <w:szCs w:val="18"/>
                <w:color w:val="auto"/>
                <w:w w:val="98"/>
              </w:rPr>
              <w:t>NELSON URDANETA</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Senior Vice President,</w:t>
            </w:r>
          </w:p>
        </w:tc>
        <w:tc>
          <w:tcPr>
            <w:tcW w:w="2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920" w:type="dxa"/>
            <w:vAlign w:val="bottom"/>
            <w:gridSpan w:val="3"/>
            <w:vMerge w:val="restart"/>
          </w:tcPr>
          <w:p>
            <w:pPr>
              <w:ind w:left="500"/>
              <w:spacing w:after="0" w:line="189" w:lineRule="exact"/>
              <w:rPr>
                <w:sz w:val="20"/>
                <w:szCs w:val="20"/>
                <w:color w:val="auto"/>
              </w:rPr>
            </w:pPr>
            <w:r>
              <w:rPr>
                <w:rFonts w:ascii="Arial" w:cs="Arial" w:eastAsia="Arial" w:hAnsi="Arial"/>
                <w:sz w:val="18"/>
                <w:szCs w:val="18"/>
                <w:color w:val="auto"/>
              </w:rPr>
              <w:t>Corporate Controller and</w:t>
            </w: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120" w:type="dxa"/>
            <w:vAlign w:val="bottom"/>
            <w:gridSpan w:val="3"/>
          </w:tcPr>
          <w:p>
            <w:pPr>
              <w:jc w:val="center"/>
              <w:ind w:right="1680"/>
              <w:spacing w:after="0" w:line="142" w:lineRule="exact"/>
              <w:rPr>
                <w:sz w:val="20"/>
                <w:szCs w:val="20"/>
                <w:color w:val="auto"/>
              </w:rPr>
            </w:pPr>
            <w:r>
              <w:rPr>
                <w:rFonts w:ascii="Arial" w:cs="Arial" w:eastAsia="Arial" w:hAnsi="Arial"/>
                <w:sz w:val="14"/>
                <w:szCs w:val="14"/>
                <w:b w:val="1"/>
                <w:bCs w:val="1"/>
                <w:color w:val="auto"/>
              </w:rPr>
              <w:t>(Nelson Urdaneta)</w:t>
            </w:r>
          </w:p>
        </w:tc>
        <w:tc>
          <w:tcPr>
            <w:tcW w:w="39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Chief Accounting Officer</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LEWIS W.K. BOOTH</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(Lewis W.K. Booth)</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CHARLES E. BUNCH</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(Charles E. Bunch)</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DEBRA A. CREW</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rPr>
              <w:t>(Debra A. Crew)</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LOIS D. JULIBER</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(Lois D. Juliber)</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/s/  PETER W. MAY</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(Peter W. May)</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JORGE S. MESQUITA</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(Jorge S. Mesquita)</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/s/  FREDRIC G. REYNOLDS</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4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(Fredric G. Reynolds)</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CHRISTIANA S. SHI</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rPr>
              <w:t>(Christiana S. Shi)</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7"/>
              </w:rPr>
              <w:t>PATRICK T. SIEWERT</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rPr>
              <w:t>(Patrick T. Siewert)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/s/ MICHAEL A. TODMAN</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(Michael A. Todman)</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jc w:val="center"/>
              <w:spacing w:after="0"/>
              <w:rPr>
                <w:sz w:val="20"/>
                <w:szCs w:val="20"/>
                <w:color w:val="auto"/>
              </w:rPr>
            </w:pPr>
            <w:r>
              <w:rPr>
                <w:rFonts w:ascii="Arial" w:cs="Arial" w:eastAsia="Arial" w:hAnsi="Arial"/>
                <w:sz w:val="18"/>
                <w:szCs w:val="18"/>
                <w:color w:val="auto"/>
              </w:rPr>
              <w:t>/s/ JEAN-FRANÇOIS M. L. VAN BOXMEER</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5,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0518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(Jean-François M. L. van Boxmeer)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8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Col. A</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Col. B</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Col. C</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Col. E</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Charged to Costs</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Beginning</w:t>
            </w:r>
          </w:p>
        </w:tc>
        <w:tc>
          <w:tcPr>
            <w:tcW w:w="13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Deductions</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Period</w:t>
            </w: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Expenses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Other Accounts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2"/>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183"/>
        </w:trPr>
        <w:tc>
          <w:tcPr>
            <w:tcW w:w="4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for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for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for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5"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Primarily related to divestitures, acquisitions and currency translation.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charges for which allowances were created.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320" w:top="115" w:right="3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As of December 31, 2020, Mondelēz International, Inc. (“Mondelēz International,” the “Company,” “we,” “us” or “our”) had eight classes of securities registered under Section 12 of the Securities Exchange Act of 1934, as amended (the “Exchange Act”): our Class A common stock, without par value (the “common stock”), our 2.375% Notes due 2021 (the “2021 Euro Notes”), our 1.000% Notes due 2022 (the “2022 Euro Notes”), our 1.625% Notes due 2023 (the “2023 Euro Notes”), our 1.625% Notes due 2027 (the “2027 Euro Notes”), our</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2.375% Notes due 2035 (the “2035 Euro Notes” and, together with the 2021 Euro Notes, the 2022 Euro Notes, the 2023 Euro Notes and the 2027 Euro Notes, the “Euro Notes”), our 4.500% Notes due 2035 (the “2035 Sterling Notes”), and our 3.875% Notes due 2045 (the “2045 Sterling Notes” and, together with the 2035 Sterling Notes, the “Sterling Notes”). The Euro Notes and the Sterling Notes are together referred to as the “notes.”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authorized to issue 5,000,000,000 shares of common stock and 500,000,000 shares of preferred stock, without par value. As of January 29, 2021, there were 1,412,114,559 shares of common stock outstanding and 43,367 shareholders of record, and no shares of preferred stock outstanding. As of December 31, 2020, there were 32,642,113 shares of common stock reserved for outstanding stock options and other equity grants.</w:t>
      </w:r>
    </w:p>
    <w:p>
      <w:pPr>
        <w:spacing w:after="0" w:line="169"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The principal stock exchange on which our common stock is listed is The Nasdaq Global Select Market under the symbol “MDLZ.” All outstanding shares of common stock are validly issued, fully paid and nonassessable.</w:t>
      </w:r>
    </w:p>
    <w:p>
      <w:pPr>
        <w:spacing w:after="0" w:line="14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description of the terms of our common stock is not complete and is qualified in its entirety by reference to our amended and restated articles of incorporation, our amended and restated by-laws and applicable Virginia law. Copies of our amended and restated articles of incorporation and our amended and restated by-laws are each incorporated by reference as exhibits to the Annual Report on Form 10-K of which this Exhibit 4.1 is a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7" w:lineRule="exact"/>
        <w:rPr>
          <w:sz w:val="20"/>
          <w:szCs w:val="20"/>
          <w:color w:val="auto"/>
        </w:rPr>
      </w:pPr>
    </w:p>
    <w:p>
      <w:pPr>
        <w:ind w:right="640" w:firstLine="648"/>
        <w:spacing w:after="0" w:line="292" w:lineRule="auto"/>
        <w:rPr>
          <w:sz w:val="20"/>
          <w:szCs w:val="20"/>
          <w:color w:val="auto"/>
        </w:rPr>
      </w:pPr>
      <w:r>
        <w:rPr>
          <w:rFonts w:ascii="Arial" w:cs="Arial" w:eastAsia="Arial" w:hAnsi="Arial"/>
          <w:sz w:val="18"/>
          <w:szCs w:val="18"/>
          <w:color w:val="auto"/>
        </w:rPr>
        <w:t>The holders of our common stock are entitled to one vote on all matters submitted for action by our shareholders. There is no provision for cumulative voting with regard to the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7" w:lineRule="exact"/>
        <w:rPr>
          <w:sz w:val="20"/>
          <w:szCs w:val="20"/>
          <w:color w:val="auto"/>
        </w:rPr>
      </w:pPr>
    </w:p>
    <w:p>
      <w:pPr>
        <w:jc w:val="both"/>
        <w:ind w:right="420" w:firstLine="648"/>
        <w:spacing w:after="0" w:line="271" w:lineRule="auto"/>
        <w:rPr>
          <w:sz w:val="20"/>
          <w:szCs w:val="20"/>
          <w:color w:val="auto"/>
        </w:rPr>
      </w:pPr>
      <w:r>
        <w:rPr>
          <w:rFonts w:ascii="Arial" w:cs="Arial" w:eastAsia="Arial" w:hAnsi="Arial"/>
          <w:sz w:val="18"/>
          <w:szCs w:val="18"/>
          <w:color w:val="auto"/>
        </w:rPr>
        <w:t>Subject to the preferences applicable to any shares of preferred stock outstanding at any time, holders of our common stock are entitled to receive dividends when and as declared by our board of directors from funds legally available therefor and are entitled, in the event of a liquidation, to share ratably in all assets remaining available after payment of liquidation.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7" w:lineRule="exact"/>
        <w:rPr>
          <w:sz w:val="20"/>
          <w:szCs w:val="20"/>
          <w:color w:val="auto"/>
        </w:rPr>
      </w:pPr>
    </w:p>
    <w:p>
      <w:pPr>
        <w:ind w:right="260" w:firstLine="648"/>
        <w:spacing w:after="0" w:line="292" w:lineRule="auto"/>
        <w:rPr>
          <w:sz w:val="20"/>
          <w:szCs w:val="20"/>
          <w:color w:val="auto"/>
        </w:rPr>
      </w:pPr>
      <w:r>
        <w:rPr>
          <w:rFonts w:ascii="Arial" w:cs="Arial" w:eastAsia="Arial" w:hAnsi="Arial"/>
          <w:sz w:val="18"/>
          <w:szCs w:val="18"/>
          <w:color w:val="auto"/>
        </w:rPr>
        <w:t>The holders of our common stock have no preemptive rights and no rights to convert their common stock into any other securities, and our common stock is not subject to any redemption or sinking fund provisions.</w:t>
      </w:r>
    </w:p>
    <w:p>
      <w:pPr>
        <w:spacing w:after="0" w:line="144"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The power to alter, amend, or repeal the by-laws or adopt new by-laws is vested in the board of directors, but the by-laws may be repealed or changed by the shareholders. New by-laws may be</w:t>
      </w:r>
    </w:p>
    <w:p>
      <w:pPr>
        <w:sectPr>
          <w:pgSz w:w="11900" w:h="16838" w:orient="portrait"/>
          <w:cols w:equalWidth="0" w:num="1">
            <w:col w:w="11240"/>
          </w:cols>
          <w:pgMar w:left="320" w:top="114" w:right="339" w:bottom="1440" w:gutter="0" w:footer="0" w:header="0"/>
        </w:sectPr>
      </w:pPr>
    </w:p>
    <w:bookmarkStart w:id="143" w:name="page144"/>
    <w:bookmarkEnd w:id="143"/>
    <w:p>
      <w:pPr>
        <w:spacing w:after="0" w:line="18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adopted by the shareholders and they may prescribe that any by-laws made by them shall not be altered, amended or repealed by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our Articles of Incorporation, our By-Laws and Virginia Law</w:t>
      </w:r>
    </w:p>
    <w:p>
      <w:pPr>
        <w:spacing w:after="0" w:line="227" w:lineRule="exact"/>
        <w:rPr>
          <w:sz w:val="20"/>
          <w:szCs w:val="20"/>
          <w:color w:val="auto"/>
        </w:rPr>
      </w:pPr>
    </w:p>
    <w:p>
      <w:pPr>
        <w:ind w:firstLine="648"/>
        <w:spacing w:after="0" w:line="284" w:lineRule="auto"/>
        <w:rPr>
          <w:sz w:val="20"/>
          <w:szCs w:val="20"/>
          <w:color w:val="auto"/>
        </w:rPr>
      </w:pPr>
      <w:r>
        <w:rPr>
          <w:rFonts w:ascii="Arial" w:cs="Arial" w:eastAsia="Arial" w:hAnsi="Arial"/>
          <w:sz w:val="17"/>
          <w:szCs w:val="17"/>
          <w:color w:val="auto"/>
        </w:rPr>
        <w:t>Various provisions contained in our amended and restated articles of incorporation, our amended and restated by-laws and Virginia law could delay or discourage some transactions involving an actual or potential change in control of Mondelēz International or our management and may limit the ability of our shareholders to remove current management or approve transactions that our shareholders may deem to be in their best interests. Provisions in our amended and restated articles of incorporation and our amended and restated by-laws:</w:t>
      </w:r>
    </w:p>
    <w:p>
      <w:pPr>
        <w:spacing w:after="0" w:line="155" w:lineRule="exact"/>
        <w:rPr>
          <w:sz w:val="20"/>
          <w:szCs w:val="20"/>
          <w:color w:val="auto"/>
        </w:rPr>
      </w:pPr>
    </w:p>
    <w:p>
      <w:pPr>
        <w:ind w:left="1300" w:right="400" w:hanging="644"/>
        <w:spacing w:after="0" w:line="292"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authorize our board of directors to establish one or more series or classes of undesignated preferred stock, the terms of which can be determined by the board of directors at the time of issuance;</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 not authorize cumulative voting;</w:t>
      </w:r>
    </w:p>
    <w:p>
      <w:pPr>
        <w:spacing w:after="0" w:line="225" w:lineRule="exact"/>
        <w:rPr>
          <w:rFonts w:ascii="Arial" w:cs="Arial" w:eastAsia="Arial" w:hAnsi="Arial"/>
          <w:sz w:val="18"/>
          <w:szCs w:val="18"/>
          <w:color w:val="auto"/>
        </w:rPr>
      </w:pPr>
    </w:p>
    <w:p>
      <w:pPr>
        <w:ind w:left="1300" w:right="180" w:hanging="644"/>
        <w:spacing w:after="0" w:line="271"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only a majority of the board of directors or the chairman of the board of directors may call a special meeting of the shareholders, except that the board of directors must call a special meeting upon the request from at least 20% of the combined voting power of the outstanding shares of all classes of our capital stock;</w:t>
      </w:r>
    </w:p>
    <w:p>
      <w:pPr>
        <w:spacing w:after="0" w:line="162" w:lineRule="exact"/>
        <w:rPr>
          <w:rFonts w:ascii="Arial" w:cs="Arial" w:eastAsia="Arial" w:hAnsi="Arial"/>
          <w:sz w:val="18"/>
          <w:szCs w:val="18"/>
          <w:color w:val="auto"/>
        </w:rPr>
      </w:pPr>
    </w:p>
    <w:p>
      <w:pPr>
        <w:ind w:left="1300" w:right="740" w:hanging="644"/>
        <w:spacing w:after="0" w:line="292"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advanced written notice procedure with respect to shareholder proposals and shareholder nomination of candidates for election as directors; and</w:t>
      </w:r>
    </w:p>
    <w:p>
      <w:pPr>
        <w:spacing w:after="0" w:line="144" w:lineRule="exact"/>
        <w:rPr>
          <w:rFonts w:ascii="Arial" w:cs="Arial" w:eastAsia="Arial" w:hAnsi="Arial"/>
          <w:sz w:val="18"/>
          <w:szCs w:val="18"/>
          <w:color w:val="auto"/>
        </w:rPr>
      </w:pPr>
    </w:p>
    <w:p>
      <w:pPr>
        <w:ind w:left="1300" w:right="440" w:hanging="644"/>
        <w:spacing w:after="0" w:line="292"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our directors may fill any vacancies on our board of directors, including vacancies resulting from a board of directors resolution to increase the number of directors.</w:t>
      </w:r>
    </w:p>
    <w:p>
      <w:pPr>
        <w:spacing w:after="0" w:line="14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addition, Virginia law contains provisions governing material transactions (“affiliated transactions”) between us and any holder of more than 10% of any class of our outstanding voting shares (an “interested shareholder”). In general, these provisions prohibit a Virginia corporation from engaging in an affiliated transaction with an interested shareholder for a period of three years following the date such person became an interested shareholder, unless (1) a majority of the disinterested directors and the holders of at least two-thirds of the remaining voting shares approved the affiliated transaction or (2) before the date that the person became an interested shareholder, a majority of the disinterested directors approved the transaction that resulted in the person becoming an interested shareholder. After three years, any such transaction must be at a “fair price,” as statutorily defined, or must be approved by the holders of at least two-thirds of the voting shares, other than those beneficially owned by the interested shareholder, or by a majority of the disinterested directors. Affiliated transactions subject to this approval requirement include mergers, share exchanges, material dispositions of corporate assets not in the ordinary course of business, the sale of shares of the corporation or any of its subsidiaries to an interested shareholder having an aggregate fair market value of greater than 5% of the aggregate fair market value of the corporation’s outstanding shares, any dissolution of Mondelēz International proposed by or on behalf of an interested shareholder or any reclassification, including reverse stock splits, recapitalization or merger of Mondelēz International with its subsidiaries, that increases the percentage of voting shares beneficially owned by an interested shareholder by more than 5%.</w:t>
      </w:r>
    </w:p>
    <w:p>
      <w:pPr>
        <w:spacing w:after="0" w:line="18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The shareholders of a Virginia corporation may adopt an amendment to the corporation’s articles of incorporation or by-laws opting out of the provisions of Virginia law governing affiliated transactions. Neither our amended and restated articles of incorporation nor our amended and restated by-laws contain a provision opting out of the provisions of Virginia law governing affiliated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40" w:right="379" w:bottom="1440" w:gutter="0" w:footer="0" w:header="0"/>
        </w:sectPr>
      </w:pPr>
    </w:p>
    <w:bookmarkStart w:id="144" w:name="page145"/>
    <w:bookmarkEnd w:id="144"/>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Virginia law also contains provisions relating to “control share acquisitions,” which are transactions causing the voting strength of any person acquiring beneficial ownership of shares of a Virginia public corporation to meet or exceed certain threshold percentages (20%, 33 1/3% or 50%) of the total votes entitled to be cast for the election of directors. Shares acquired in a control share acquisition have no voting rights unless (1) the voting rights are granted by a majority vote of all outstanding shares other than those held by the acquiring person or any officer or employee director of the corporation or (2) the articles of incorporation or by-laws of the corporation provide that these Virginia law provisions do not apply to acquisitions of its shares. The acquiring person may require that a special meeting of the shareholders be held to consider the grant of voting rights to the shares acquired in the control share acquisition. As permitted by Virginia law, our amended and restated articles of incorporation contain a provision opting out of the Virginia law regulating control share acquisitions.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following description of the notes is a summary and does not purport to be complete. It is subject to and qualified in its entirety by reference to the indenture, dated as of October 17, 2001 (the “2001 Base Indenture”), between Mondelēz International (formerly known as Kraft Foods Inc.) and Deutsche Bank Trust Company Americas (as successor to The Bank of New York and The Chase Manhattan Bank), as trustee (the “trustee”), as supplemented and modified in respect of the 2021 Euro Notes by the supplemental indenture, dated as of December 11, 2013, under which the 2021 Euro Notes were issued (the 2001 Base Indenture as so supplemented and modified, the “2001 Indenture”), and the indenture dated as of March 6, 2015 (the “2015 Base Indenture”), between Mondelēz International and the trustee, as supplemented and modified in respect of the 2022 Euro Notes, the 2027 Euro Notes and the 2035 Euro Notes and the 2045 Sterling Notes by an officers’ certificate of the Company under Section 301 of the 2015 Base Indenture, dated as of March 6, 2015, as supplemented and modified in respect of the 2035 Sterling Notes by an officers’ certificate of the Company under Section 301 of the 2015 Base Indenture, dated as of November 25, 2015, and as supplemented and modified in respect of the 2023 Euro Notes by an officers’ certificate of the Company under Section 301 of the 2015 Base Indenture, dated as of January 21, 2016 (the 2015 Base Indenture as so supplemented and modified, the “2015 Indenture” and, together with the 2001 Indenture, the “indentures” and each an “indenture”). Each of the 2001 Base Indenture and the 2015 Base Indenture is incorporated by reference as exhibits to the Annual Report on Form 10-K of which this Exhibit 4.1 is a part, and this description is qualified in all respects by reference to the actual text of the indentures. We encourage you to read each indenture for additional information.</w:t>
      </w:r>
    </w:p>
    <w:p>
      <w:pPr>
        <w:spacing w:after="0" w:line="18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notes are listed on The Nasdaq Stock Market. The 2021 Euro Notes are listed under the symbol “MDLZ21,” the 2022 Euro Notes are listed under the symbol “MDLZ22,” the 2023 Euro Notes are listed under the symbol “MDLZ23,” the 2027 Euro Notes are listed under the symbol “MDLZ27,” the 2035 Euro Notes are listed under the symbol “MDLZ35,” the 2035 Sterling Notes are listed under the symbol “MDLZ35A,” and the 2045 Sterling Notes are listed under the symbol “MDLZ45.”</w:t>
      </w:r>
    </w:p>
    <w:p>
      <w:pPr>
        <w:spacing w:after="0" w:line="16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have issued €1,250,000,000 principal amount of the 2021 Euro Notes (€679,194,000 outstanding), €500,000,000 principal amount of the 2022 Euro Notes, €700,000,000 principal amount of the 2023 Euro Notes, €750,000,000 principal amount of the 2027 Euro Notes, €750,000,000 principal amount of the 2035 Euro Notes (€435,377,000 outstanding), £400,000,000 principal amount of the 2035 Sterling Notes (£94,881,000 outstanding), and £450,000,000 principal amount of the 2045 Sterling Notes (£168,363,000 outstanding).</w:t>
      </w:r>
    </w:p>
    <w:p>
      <w:pPr>
        <w:spacing w:after="0" w:line="169" w:lineRule="exact"/>
        <w:rPr>
          <w:sz w:val="20"/>
          <w:szCs w:val="20"/>
          <w:color w:val="auto"/>
        </w:rPr>
      </w:pPr>
    </w:p>
    <w:p>
      <w:pPr>
        <w:ind w:right="400" w:firstLine="648"/>
        <w:spacing w:after="0" w:line="292" w:lineRule="auto"/>
        <w:rPr>
          <w:sz w:val="20"/>
          <w:szCs w:val="20"/>
          <w:color w:val="auto"/>
        </w:rPr>
      </w:pPr>
      <w:r>
        <w:rPr>
          <w:rFonts w:ascii="Arial" w:cs="Arial" w:eastAsia="Arial" w:hAnsi="Arial"/>
          <w:sz w:val="18"/>
          <w:szCs w:val="18"/>
          <w:color w:val="auto"/>
        </w:rPr>
        <w:t>Unless an earlier redemption has occurred, the entire principal amount of the 2021 Euro Notes will mature and become due and payable, together with any accrued and unpaid interest thereon,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January 26, 2021. Unless an earlier redemption has occurred, the entire principal amount of the 2022 Euro Notes will mature and become due and payable, together with any accrued and unpaid interest thereon, on March 7, 2022. Unless an earlier redemption has occurred, the entire principal amount of the 2023 Euro Notes will mature and become due and payable, together with any accrued and unpaid interest thereon, on January 20, 2023. Unless an earlier redemption has occurred, the entire principal amount of the 2027 Euro Notes will mature and become due and payable, together with any accrued and unpaid interest thereon, on March 8, 2027. Unless an earlier redemption has occurred, the entire principal amount of the 2035 Euro Notes will mature and become due and payable, together with any accrued and unpaid interest thereon, on March 6, 2035. Unless an earlier redemption has occurred, the entire principal amount of the 2035 Sterling Notes will mature and become due and payable, together with any accrued and unpaid interest thereon, on December 3, 2035. Unless an earlier redemption has occurred, the entire principal amount of the 2045 Sterling Notes will mature and become due and payable, together with any accrued and unpaid interest thereon, on March 6, 2045.</w:t>
      </w:r>
    </w:p>
    <w:p>
      <w:pPr>
        <w:spacing w:after="0" w:line="177"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We issued the notes in fully registered form only and in minimum denominations of €100,000 and integral multiples of €1,000 in excess thereof, with respect to the Euro Notes, and in minimum denominations of £100,000 and integral multiples of £1,000 in excess thereof, with respect to the Sterling Notes. We may issue definitive notes in the limited circumstances set forth below. If we issue definitive notes, principal of and interest on such notes will be payable in the manner described below, the transfer of the notes will be registrable, and the notes will be exchangeable for notes bearing identical terms and provisions, at the office of the transfer agent and registrar for the notes. The paying agent for the 2021 Euro Notes is Deutsche Bank AG, London Branch and the paying agent for the 2022 Euro Notes, 2023 Euro Notes, 2027 Euro Notes, 2035 Euro Notes, 2035 Sterling Notes and 2045 Sterling Notes is Deutsche Bank Trust Company Americas.</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“Business day” means any day, other than a Saturday or Sunday, that is neither a legal holiday nor a day on which commercial banks are authorized or required by law, regulation or executive order to close in New York or the place of payment, provided such day is also a London banking day and is a day on which the Trans-European Automated Real-time Gross Settlement Express Transfer (TARGET2) System, or any successor thereto, operates.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Notes</w:t>
      </w:r>
    </w:p>
    <w:p>
      <w:pPr>
        <w:spacing w:after="0" w:line="22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2021 Euro Notes bear interest at a rate of 2.375% per year, the 2022 Euro Notes bear interest at a rate of 1.000% per year, the 2023 Euro Notes bear interest at a rate of 1.625% per year, the 2027 Euro Notes bear interest at a rate of 1.625% per year, the 2035 Euro Notes bear interest at a rate of 2.375% per year, the 2035 Sterling Notes bear interest at a rate of 4.500% per year, and the 2045 Sterling Notes bear interest at a rate of 3.875% per year.</w:t>
      </w:r>
    </w:p>
    <w:p>
      <w:pPr>
        <w:spacing w:after="0" w:line="16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Interest on the 2021 Euro Notes is payable annually in arrears on January 26 of each year, interest on the 2022 Euro Notes is payable annually in arrears on March 7 of each year, interest on the 2023 Euro Notes is payable annually in arrears on January 20 of each year, interest on the 2027 Euro Notes is payable annually in arrears on March 8 of each year, interest on the 2035 Euro Notes is payable annually in arrears on March 6 of each year, interest on the 2035 Sterling Notes is payable annually in arrears on December 3 of each year, and interest on the 2045 Sterling Notes is payable annually in arrears on March 6 of each year; provided that if any such date (other than the maturity date or a date fixed for redemption) is not a business day, the interest payment date will be postponed to the next succeeding business day, and no interest will accrue as a result of such delayed payment on amounts payable from and after such interest payment date to the next succeeding business day.</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Interest on the notes is computed on the basis of the actual number of days in the period for which interest is being calculated and the actual number of days from and including the last date on which interest was paid on the applicable series of notes to, but excluding, the next scheduled interest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9"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date. This payment convention is referred to as ACTUAL/ACTUAL (ICMA) as defined in the rulebook of the International Capital Market Association.</w:t>
      </w:r>
    </w:p>
    <w:p>
      <w:pPr>
        <w:spacing w:after="0" w:line="144" w:lineRule="exact"/>
        <w:rPr>
          <w:sz w:val="20"/>
          <w:szCs w:val="20"/>
          <w:color w:val="auto"/>
        </w:rPr>
      </w:pPr>
    </w:p>
    <w:p>
      <w:pPr>
        <w:ind w:right="260" w:firstLine="648"/>
        <w:spacing w:after="0" w:line="292" w:lineRule="auto"/>
        <w:rPr>
          <w:sz w:val="20"/>
          <w:szCs w:val="20"/>
          <w:color w:val="auto"/>
        </w:rPr>
      </w:pPr>
      <w:r>
        <w:rPr>
          <w:rFonts w:ascii="Arial" w:cs="Arial" w:eastAsia="Arial" w:hAnsi="Arial"/>
          <w:sz w:val="18"/>
          <w:szCs w:val="18"/>
          <w:color w:val="auto"/>
        </w:rPr>
        <w:t>We will pay or cause to be paid interest to persons in whose names the notes are registered at the close of business the business day before the relevant interest payment date (or to the applicable depositary, as the case may be).</w:t>
      </w:r>
    </w:p>
    <w:p>
      <w:pPr>
        <w:spacing w:after="0" w:line="14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the maturity date or a date fixed for redemption is not a business day, then payment of interest or principal need not be made on such date, but may be made on the next succeeding business day, in each case with the same force and effect as if made on the scheduled maturity date or such date fixed for redemption, and no interest shall accrue as a result of such delayed payment on amounts payable from and after the scheduled maturity date or such redemption date, as the case may be, to the next succeeding business day.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premium, if any, and interest payments in respect of the Euro Notes are made in euro.</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If the euro is unavailable to us due to the imposition of exchange controls or other circumstances beyond our control or the euro is no longer used by the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such currency is again available to us or so used. The amount payable on any date in euro will be converted into U.S. dollars on the basis of the most recently available market exchange rate for the euro. Any payments in respect of the Euro Notes so made in U.S. dollars will not constitute an event of default under the terms of the applicable series of Euro Notes or the applicable indenture.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Sterling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premium, if any, and interest payments in respect of the Sterling Notes are made in sterling.</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the United Kingdom adopts euro, in lieu of sterling, as its lawful currency, the Sterling Notes will be redenominated in euro on a date determined by us, in our sole discretion, with a principal amount for each Sterling Note equal to the principal amount of that Sterling Note in sterling, converted into euro at the rate established by the applicable law; provided that, if we determine after consultation with the paying agent that the then current market practice in respect of redenomination into euro of internationally offered securities is different from the provisions described above, such provisions will be deemed to be amended so as to comply with such market practice and we will promptly notify the trustee or the paying agent of such deemed amendment. We will give 30 days’ notice of the redenomination date to the paying agent, the trustee, Euroclear and Clearstream.</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If sterling (or, in the event such notes are redenominated into euro, euro) is unavailable to us due to the imposition of exchange controls or other circumstances beyond our control (or, once redenominated into euro, the euro is no longer used by the member states of the European Monetary Union that have adopted the euro as their currency or for the settlement of transactions by public institutions of or within the international banking community), then all payments in respect of the Sterling Notes will be made in U.S. dollars until sterling (or euro, as the case may be) is again available to us or so used. The amount payable on any date in sterling (or, in the event such notes are redenominated into euro, euro) will be converted into U.S. dollars on the basis of the most recently available market exchange rate for sterling (or euro, as the case may be). Any payments in respect of the Sterling Notes so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U.S. dollars will not constitute an event of default under the terms of the applicable series of Sterling Notes or the applicable indenture.</w:t>
      </w:r>
    </w:p>
    <w:p>
      <w:pPr>
        <w:spacing w:after="0" w:line="22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8"/>
          <w:szCs w:val="18"/>
          <w:color w:val="auto"/>
        </w:rPr>
        <w:t>“Market exchange rate” means the noon buying rate in The City of New York for cable transfers of euro or sterling (as the case may be) as certified for customs purposes (or, if not so certified, as otherwise determined) by the Federal Reserve Bank of New York.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The notes are our direct unsecured obligations and will rank equally with all of our other unsecured debt. The indentures do not limit the amount of debt we may issue and provide that additional notes may be issued up to the aggregate principal amount authorized by a board resolution.</w:t>
      </w:r>
    </w:p>
    <w:p>
      <w:pPr>
        <w:spacing w:after="0" w:line="163"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We will not be required to make any mandatory redemption or sinking fund payments with respect to the notes. However, under certain circumstances, we may be required to offer to purchase notes as described under “—Change of Control” below. We may at any time and from time to time purchase notes in the open market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a Change of Control Triggering Event (as defined below) occurs, unless we have exercised our right to redeem the notes upon the occurrence of specified events as described below under “—Redemption for Tax Reasons,” holders of notes will have the right to require us to repurchase all or any part (equal to €100,000 or an integral multiple of €1,000 in excess thereof for the Euro Notes, or equal to £100,000 or an integral multiple of £1,000 in excess thereof for the Sterling Notes) of their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the date of purchase (the “Change of Control Payment”). Within 30 days following any Change of Control Triggering Event, we will be required to mail a notice to holders of notes (with a copy to the trustee) describing the transaction or transactions that constitute the Change of Control Triggering Event and offering to repurchase the notes on the date specified in the notice, which date will be no earlier than 30 days and no later than 60 days from the date such notice is mailed (the “Change of Control Payment Date”), pursuant to the procedures required by the notes and described in such notice. 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22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1300" w:right="40" w:hanging="644"/>
        <w:spacing w:after="0" w:line="292" w:lineRule="auto"/>
        <w:tabs>
          <w:tab w:leader="none" w:pos="12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44" w:lineRule="exact"/>
        <w:rPr>
          <w:rFonts w:ascii="Arial" w:cs="Arial" w:eastAsia="Arial" w:hAnsi="Arial"/>
          <w:sz w:val="18"/>
          <w:szCs w:val="18"/>
          <w:color w:val="auto"/>
        </w:rPr>
      </w:pPr>
    </w:p>
    <w:p>
      <w:pPr>
        <w:ind w:left="1300" w:right="320" w:hanging="644"/>
        <w:spacing w:after="0" w:line="292" w:lineRule="auto"/>
        <w:tabs>
          <w:tab w:leader="none" w:pos="12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40" w:right="399" w:bottom="1440" w:gutter="0" w:footer="0" w:header="0"/>
        </w:sectPr>
      </w:pPr>
    </w:p>
    <w:bookmarkStart w:id="148" w:name="page149"/>
    <w:bookmarkEnd w:id="148"/>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€100,000 or an integral multiple of €1,000 in excess thereof for the Euro Notes, and of £100,000 or an integral multiple of £1,000 in excess thereof for the Sterling Notes.</w:t>
      </w:r>
    </w:p>
    <w:p>
      <w:pPr>
        <w:spacing w:after="0" w:line="169"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We will not be required to make an offer to repurchase the notes upon a Change of Control Triggering Event if a third party makes such an offer in the manner, at the times and otherwise in compliance with the requirements for an offer made by us and such third party purchases all notes properly tendered and not withdrawn under its offer.</w:t>
      </w:r>
    </w:p>
    <w:p>
      <w:pPr>
        <w:spacing w:after="0" w:line="163" w:lineRule="exact"/>
        <w:rPr>
          <w:sz w:val="20"/>
          <w:szCs w:val="20"/>
          <w:color w:val="auto"/>
        </w:rPr>
      </w:pPr>
    </w:p>
    <w:p>
      <w:pPr>
        <w:ind w:right="240" w:firstLine="648"/>
        <w:spacing w:after="0" w:line="323" w:lineRule="auto"/>
        <w:rPr>
          <w:sz w:val="20"/>
          <w:szCs w:val="20"/>
          <w:color w:val="auto"/>
        </w:rPr>
      </w:pPr>
      <w:r>
        <w:rPr>
          <w:rFonts w:ascii="Arial" w:cs="Arial" w:eastAsia="Arial" w:hAnsi="Arial"/>
          <w:sz w:val="17"/>
          <w:szCs w:val="17"/>
          <w:color w:val="auto"/>
        </w:rPr>
        <w:t>Our ability to pay cash to holders of notes following the occurrence of a Change of Control Triggering Event may be limited by our then-existing financial resources. Therefore, sufficient funds may not be available when necessary to make any required repurchases.</w:t>
      </w:r>
    </w:p>
    <w:p>
      <w:pPr>
        <w:spacing w:after="0" w:line="122" w:lineRule="exact"/>
        <w:rPr>
          <w:sz w:val="20"/>
          <w:szCs w:val="20"/>
          <w:color w:val="auto"/>
        </w:rPr>
      </w:pPr>
    </w:p>
    <w:p>
      <w:pPr>
        <w:ind w:right="840" w:firstLine="648"/>
        <w:spacing w:after="0" w:line="292" w:lineRule="auto"/>
        <w:rPr>
          <w:sz w:val="20"/>
          <w:szCs w:val="20"/>
          <w:color w:val="auto"/>
        </w:rPr>
      </w:pPr>
      <w:r>
        <w:rPr>
          <w:rFonts w:ascii="Arial" w:cs="Arial" w:eastAsia="Arial" w:hAnsi="Arial"/>
          <w:sz w:val="18"/>
          <w:szCs w:val="18"/>
          <w:color w:val="auto"/>
        </w:rPr>
        <w:t>For purposes of the foregoing discussion of a repurchase at the option of holders of the notes, the following definitions are applicable:</w:t>
      </w:r>
    </w:p>
    <w:p>
      <w:pPr>
        <w:spacing w:after="0" w:line="14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“Below Investment Grade Rating Event” means the applicable series of notes is rated below an Investment Grade Rating by each of the Rating Agencies (with respect to the 2021 Euro Notes) or by each of Moody’s and S&amp;P (with respect to the 2022 Euro Notes, the 2023 Euro Notes, the 2027 Euro Notes, the 2035 Euro Notes, the 2035 Sterling Notes, and the 2045 Sterling Notes) on any date from the date of the public notice of an arrangement that could result in a Change of Control (as defined below) until the end of the 60-day period following public notice of the occurrence of the Change of Control (which 60-day period shall be extended so long as the rating of such notes is under publicly announced consideration for possible downgrade by any of the Rating Agencies); provided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trustee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“Change of Control” means the occurrence of any of the following: (i) the direct or indirect sale, transfer, conveyance or other disposition (other than by way of merger or consolidation), in one or a series of related transactions, of all or substantially all of the properties or assets of Mondelēz International and its subsidiaries taken as a whole to any Person (as defined below) or group of related persons for purposes of Section 13(d) of the Exchange Act (a “Group”) other than Mondelēz International or one of its subsidiaries; (ii) the approval by the holders of our common stock of any plan or proposal for the liquidation or dissolution of Mondelēz International (whether or not otherwise in compliance with the provisions of the applicable indenture); (iii) the consummation of any transaction (including, without limitation, any merger or consolidation) the result of which is that any Person or Group becomes the beneficial owner, directly or indirectly, of more than 50% of the then outstanding number of shares of Mondelēz International’s voting stock; or (iv) the first day on which a majority of the members of Mondelēz International’s Board of Directors are not Continuing Directors (as defined below).</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the properties or assets of Mondelēz International and its subsidiaries taken as a whole. Although there is a limited body of case law interpreting the phrase “substantially all,” there is no precise established definition of the phrase under applicable law. Accordingly, the ability of a holder of notes to require Mondelēz International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80"/>
          </w:cols>
          <w:pgMar w:left="320" w:top="1440" w:right="399" w:bottom="1440" w:gutter="0" w:footer="0" w:header="0"/>
        </w:sectPr>
      </w:pPr>
    </w:p>
    <w:bookmarkStart w:id="149" w:name="page150"/>
    <w:bookmarkEnd w:id="149"/>
    <w:p>
      <w:pPr>
        <w:spacing w:after="0" w:line="18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repurchase its notes as a result of a sale, lease, transfer, conveyance or other disposition of less than all of the assets of Mondelēz International and its subsidiaries taken as a whole to another Person or Group may be uncertain.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“Continuing Directors” means, as of any date of determination, any member of the Board of Directors of Mondelēz International who</w:t>
      </w:r>
    </w:p>
    <w:p>
      <w:pPr>
        <w:spacing w:after="0" w:line="31" w:lineRule="exact"/>
        <w:rPr>
          <w:sz w:val="20"/>
          <w:szCs w:val="20"/>
          <w:color w:val="auto"/>
        </w:rPr>
      </w:pPr>
    </w:p>
    <w:p>
      <w:pPr>
        <w:ind w:firstLine="8"/>
        <w:spacing w:after="0" w:line="255" w:lineRule="auto"/>
        <w:tabs>
          <w:tab w:leader="none" w:pos="2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applicable series of notes; or (ii) was nominated for election or elected to such Board of Directors with the approval of a majority of the Continuing Directors who were members of such Board of Directors at the time of such nomination or election (either by a specific vote or by approval of Mondelēz International’s proxy statement in which such member was named as a nominee for election as a director, without objection to such nomination).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w:t>
      </w:r>
    </w:p>
    <w:p>
      <w:pPr>
        <w:spacing w:after="0" w:line="225" w:lineRule="exact"/>
        <w:rPr>
          <w:sz w:val="20"/>
          <w:szCs w:val="20"/>
          <w:color w:val="auto"/>
        </w:rPr>
      </w:pPr>
    </w:p>
    <w:p>
      <w:pPr>
        <w:ind w:right="440" w:firstLine="648"/>
        <w:spacing w:after="0" w:line="292"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(as defined below) and BBB- (or the equivalent) by S&amp;P (as defined below), respectively.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 has the meaning set forth in each indenture and includes a “person” as used in Section 13(d)(3) of the Exchange Act.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“Rating Agencies” means (i) each of Fitch, Moody’s and S&amp;P; and (ii) if any of Fitch,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 resolution of our Board of Directors) as a replacement agency for Fitch, Moody’s or S&amp;P, or all of them, as the case may be.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Standard &amp; Poor’s Ratings Services, a division of The McGraw-Hill Companies,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2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All payments by us or our paying agents will be made free and clear of and without withholding or deduction for or on account of any present or future tax, assessment or other governmental charge imposed by the United States, unless the withholding or deduction of such amounts is required by law or the official interpretation or administration thereof.</w:t>
      </w:r>
    </w:p>
    <w:p>
      <w:pPr>
        <w:spacing w:after="0" w:line="1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will, subject to the exceptions and limitations set forth below, pay to the beneficial owner of any 2021 Euro Note that is a Non-U.S. Holder or is a partnership that is not created or organized in or under the laws of the United States or any state or political subdivision thereof such additional amounts as may be necessary to ensure that every net payment on such note, after deduction or withholding by us or any of our paying agents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However, we will not pay additional amounts if the beneficial owner is subject to taxation solely for reasons other than its ownership of such note, nor will we pay additional amounts for or on account of:</w:t>
      </w:r>
    </w:p>
    <w:p>
      <w:pPr>
        <w:spacing w:after="0" w:line="176" w:lineRule="exact"/>
        <w:rPr>
          <w:sz w:val="20"/>
          <w:szCs w:val="20"/>
          <w:color w:val="auto"/>
        </w:rPr>
      </w:pPr>
    </w:p>
    <w:p>
      <w:pPr>
        <w:ind w:left="660" w:right="60" w:firstLine="644"/>
        <w:spacing w:after="0" w:line="292" w:lineRule="auto"/>
        <w:tabs>
          <w:tab w:leader="none" w:pos="17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existence of any present or former connection (other than the mere fact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8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being a beneficial owner of such note)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such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160" w:lineRule="exact"/>
        <w:rPr>
          <w:sz w:val="20"/>
          <w:szCs w:val="20"/>
          <w:color w:val="auto"/>
        </w:rPr>
      </w:pPr>
    </w:p>
    <w:p>
      <w:pPr>
        <w:ind w:right="20" w:firstLine="644"/>
        <w:spacing w:after="0" w:line="258" w:lineRule="auto"/>
        <w:tabs>
          <w:tab w:leader="none" w:pos="10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present in, or engaged in a trade or business in, the United States, (ii) being treated as having been present in, or engaged in a trade or business in, the United States, or (iii) having or having had a permanent establishment in the United States;</w:t>
      </w:r>
    </w:p>
    <w:p>
      <w:pPr>
        <w:spacing w:after="0" w:line="176" w:lineRule="exact"/>
        <w:rPr>
          <w:rFonts w:ascii="Arial" w:cs="Arial" w:eastAsia="Arial" w:hAnsi="Arial"/>
          <w:sz w:val="18"/>
          <w:szCs w:val="18"/>
          <w:color w:val="auto"/>
        </w:rPr>
      </w:pPr>
    </w:p>
    <w:p>
      <w:pPr>
        <w:ind w:right="40" w:firstLine="644"/>
        <w:spacing w:after="0" w:line="258" w:lineRule="auto"/>
        <w:tabs>
          <w:tab w:leader="none" w:pos="10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with respect to the United States a personal holding company, a controlled foreign corporation, a passive foreign investment company, a foreign private foundation or other foreign tax-exempt organization, or being a corporation that accumulates earnings to avoid U.S. federal income tax;</w:t>
      </w:r>
    </w:p>
    <w:p>
      <w:pPr>
        <w:spacing w:after="0" w:line="176" w:lineRule="exact"/>
        <w:rPr>
          <w:rFonts w:ascii="Arial" w:cs="Arial" w:eastAsia="Arial" w:hAnsi="Arial"/>
          <w:sz w:val="18"/>
          <w:szCs w:val="18"/>
          <w:color w:val="auto"/>
        </w:rPr>
      </w:pPr>
    </w:p>
    <w:p>
      <w:pPr>
        <w:ind w:right="100" w:firstLine="644"/>
        <w:spacing w:after="0" w:line="271" w:lineRule="auto"/>
        <w:tabs>
          <w:tab w:leader="none" w:pos="10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Internal Revenue Code of 1986, as amended (the “Code”);</w:t>
      </w:r>
    </w:p>
    <w:p>
      <w:pPr>
        <w:spacing w:after="0" w:line="162" w:lineRule="exact"/>
        <w:rPr>
          <w:rFonts w:ascii="Arial" w:cs="Arial" w:eastAsia="Arial" w:hAnsi="Arial"/>
          <w:sz w:val="18"/>
          <w:szCs w:val="18"/>
          <w:color w:val="auto"/>
        </w:rPr>
      </w:pPr>
    </w:p>
    <w:p>
      <w:pPr>
        <w:jc w:val="both"/>
        <w:ind w:right="120" w:firstLine="644"/>
        <w:spacing w:after="0" w:line="271" w:lineRule="auto"/>
        <w:tabs>
          <w:tab w:leader="none" w:pos="10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162" w:lineRule="exact"/>
        <w:rPr>
          <w:rFonts w:ascii="Arial" w:cs="Arial" w:eastAsia="Arial" w:hAnsi="Arial"/>
          <w:sz w:val="18"/>
          <w:szCs w:val="18"/>
          <w:color w:val="auto"/>
        </w:rPr>
      </w:pPr>
    </w:p>
    <w:p>
      <w:pPr>
        <w:ind w:right="160" w:firstLine="644"/>
        <w:spacing w:after="0" w:line="292" w:lineRule="auto"/>
        <w:tabs>
          <w:tab w:leader="none" w:pos="10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by us or any paying agent from payments in respect of such note;</w:t>
      </w:r>
    </w:p>
    <w:p>
      <w:pPr>
        <w:spacing w:after="0" w:line="144" w:lineRule="exact"/>
        <w:rPr>
          <w:rFonts w:ascii="Arial" w:cs="Arial" w:eastAsia="Arial" w:hAnsi="Arial"/>
          <w:sz w:val="18"/>
          <w:szCs w:val="18"/>
          <w:color w:val="auto"/>
        </w:rPr>
      </w:pPr>
    </w:p>
    <w:p>
      <w:pPr>
        <w:ind w:right="380" w:firstLine="644"/>
        <w:spacing w:after="0" w:line="292" w:lineRule="auto"/>
        <w:tabs>
          <w:tab w:leader="none" w:pos="10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gift, estate, inheritance, sales, transfer, personal property or excise tax or any similar tax, assessment or other governmental charge;</w:t>
      </w:r>
    </w:p>
    <w:p>
      <w:pPr>
        <w:spacing w:after="0" w:line="144" w:lineRule="exact"/>
        <w:rPr>
          <w:rFonts w:ascii="Arial" w:cs="Arial" w:eastAsia="Arial" w:hAnsi="Arial"/>
          <w:sz w:val="18"/>
          <w:szCs w:val="18"/>
          <w:color w:val="auto"/>
        </w:rPr>
      </w:pPr>
    </w:p>
    <w:p>
      <w:pPr>
        <w:ind w:right="200" w:firstLine="644"/>
        <w:spacing w:after="0" w:line="292" w:lineRule="auto"/>
        <w:tabs>
          <w:tab w:leader="none" w:pos="10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such note if such payment can be made without such withholding by at least one other paying agent;</w:t>
      </w:r>
    </w:p>
    <w:p>
      <w:pPr>
        <w:spacing w:after="0" w:line="144" w:lineRule="exact"/>
        <w:rPr>
          <w:rFonts w:ascii="Arial" w:cs="Arial" w:eastAsia="Arial" w:hAnsi="Arial"/>
          <w:sz w:val="18"/>
          <w:szCs w:val="18"/>
          <w:color w:val="auto"/>
        </w:rPr>
      </w:pPr>
    </w:p>
    <w:p>
      <w:pPr>
        <w:ind w:right="20" w:firstLine="644"/>
        <w:spacing w:after="0" w:line="271" w:lineRule="auto"/>
        <w:tabs>
          <w:tab w:leader="none" w:pos="10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162" w:lineRule="exact"/>
        <w:rPr>
          <w:rFonts w:ascii="Arial" w:cs="Arial" w:eastAsia="Arial" w:hAnsi="Arial"/>
          <w:sz w:val="18"/>
          <w:szCs w:val="18"/>
          <w:color w:val="auto"/>
        </w:rPr>
      </w:pPr>
    </w:p>
    <w:p>
      <w:pPr>
        <w:ind w:firstLine="644"/>
        <w:spacing w:after="0" w:line="292" w:lineRule="auto"/>
        <w:tabs>
          <w:tab w:leader="none" w:pos="10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of the holder or beneficial owner of such note to comply with a request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20"/>
          </w:cols>
          <w:pgMar w:left="980" w:top="1440" w:right="399" w:bottom="1440" w:gutter="0" w:footer="0" w:header="0"/>
        </w:sectPr>
      </w:pPr>
    </w:p>
    <w:bookmarkStart w:id="151" w:name="page152"/>
    <w:bookmarkEnd w:id="151"/>
    <w:p>
      <w:pPr>
        <w:spacing w:after="0" w:line="189" w:lineRule="exact"/>
        <w:rPr>
          <w:sz w:val="20"/>
          <w:szCs w:val="20"/>
          <w:color w:val="auto"/>
        </w:rPr>
      </w:pPr>
    </w:p>
    <w:p>
      <w:pPr>
        <w:ind w:left="660" w:right="160"/>
        <w:spacing w:after="0" w:line="271" w:lineRule="auto"/>
        <w:rPr>
          <w:sz w:val="20"/>
          <w:szCs w:val="20"/>
          <w:color w:val="auto"/>
        </w:rPr>
      </w:pPr>
      <w:r>
        <w:rPr>
          <w:rFonts w:ascii="Arial" w:cs="Arial" w:eastAsia="Arial" w:hAnsi="Arial"/>
          <w:sz w:val="18"/>
          <w:szCs w:val="18"/>
          <w:color w:val="auto"/>
        </w:rPr>
        <w:t>applicable certification, information, documentation or other reporting requirements concerning the nationality, residence, identity or connection with the United States of the holder or beneficial owner of such note, if such compliance is required by statute or regulation of the United States as a precondition to relief or exemption from such tax, assessment or other governmental charge;</w:t>
      </w:r>
    </w:p>
    <w:p>
      <w:pPr>
        <w:spacing w:after="0" w:line="163" w:lineRule="exact"/>
        <w:rPr>
          <w:sz w:val="20"/>
          <w:szCs w:val="20"/>
          <w:color w:val="auto"/>
        </w:rPr>
      </w:pPr>
    </w:p>
    <w:p>
      <w:pPr>
        <w:ind w:left="660" w:right="80" w:firstLine="644"/>
        <w:spacing w:after="0" w:line="292" w:lineRule="auto"/>
        <w:tabs>
          <w:tab w:leader="none" w:pos="17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144" w:lineRule="exact"/>
        <w:rPr>
          <w:rFonts w:ascii="Arial" w:cs="Arial" w:eastAsia="Arial" w:hAnsi="Arial"/>
          <w:sz w:val="18"/>
          <w:szCs w:val="18"/>
          <w:color w:val="auto"/>
        </w:rPr>
      </w:pPr>
    </w:p>
    <w:p>
      <w:pPr>
        <w:ind w:left="660" w:right="160" w:firstLine="644"/>
        <w:spacing w:after="0" w:line="292" w:lineRule="auto"/>
        <w:tabs>
          <w:tab w:leader="none" w:pos="16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pursuant to the provisions of Sections 1471 through 1474 of the Code; or</w:t>
      </w:r>
    </w:p>
    <w:p>
      <w:pPr>
        <w:spacing w:after="0" w:line="144" w:lineRule="exact"/>
        <w:rPr>
          <w:rFonts w:ascii="Arial" w:cs="Arial" w:eastAsia="Arial" w:hAnsi="Arial"/>
          <w:sz w:val="18"/>
          <w:szCs w:val="18"/>
          <w:color w:val="auto"/>
        </w:rPr>
      </w:pPr>
    </w:p>
    <w:p>
      <w:pPr>
        <w:ind w:left="1780" w:hanging="476"/>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combination of items (a) through (l) above.</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will, subject to the exceptions and limitations set forth below, pay to the beneficial owner of any 2022 Euro Note, 2023 Euro Note, 2027 Euro Note, 2035 Euro Note, 2035 Sterling Note, or 2045 Sterling Note that is a Non-U.S. Holder or is a partnership that is not created or organized in or under the laws of the United States or any state or political subdivision thereof such additional amounts as may be necessary to ensure that every net payment on such note, after deduction or withholding by us or any of our paying agents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absent such deduction or withholding. However, we will not pay additional amounts if the beneficial owner is subject to taxation solely for reasons other than its ownership of such note, nor will we pay additional amounts for or on account of:</w:t>
      </w:r>
    </w:p>
    <w:p>
      <w:pPr>
        <w:spacing w:after="0" w:line="178" w:lineRule="exact"/>
        <w:rPr>
          <w:sz w:val="20"/>
          <w:szCs w:val="20"/>
          <w:color w:val="auto"/>
        </w:rPr>
      </w:pPr>
    </w:p>
    <w:p>
      <w:pPr>
        <w:ind w:left="660" w:right="60" w:firstLine="644"/>
        <w:spacing w:after="0" w:line="257" w:lineRule="auto"/>
        <w:tabs>
          <w:tab w:leader="none" w:pos="17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existence of any present or former connection (other than the mere fact of being a beneficial owner of such note)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such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176" w:lineRule="exact"/>
        <w:rPr>
          <w:rFonts w:ascii="Arial" w:cs="Arial" w:eastAsia="Arial" w:hAnsi="Arial"/>
          <w:sz w:val="18"/>
          <w:szCs w:val="18"/>
          <w:color w:val="auto"/>
        </w:rPr>
      </w:pPr>
    </w:p>
    <w:p>
      <w:pPr>
        <w:ind w:left="660" w:right="60" w:firstLine="644"/>
        <w:spacing w:after="0" w:line="260" w:lineRule="auto"/>
        <w:tabs>
          <w:tab w:leader="none" w:pos="17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treated as present in, or engaged in a trade or business in, the United States or (ii) having or having had a permanent establishment in the United States;</w:t>
      </w:r>
    </w:p>
    <w:p>
      <w:pPr>
        <w:spacing w:after="0" w:line="174" w:lineRule="exact"/>
        <w:rPr>
          <w:rFonts w:ascii="Arial" w:cs="Arial" w:eastAsia="Arial" w:hAnsi="Arial"/>
          <w:sz w:val="18"/>
          <w:szCs w:val="18"/>
          <w:color w:val="auto"/>
        </w:rPr>
      </w:pPr>
    </w:p>
    <w:p>
      <w:pPr>
        <w:ind w:left="660" w:right="40" w:firstLine="644"/>
        <w:spacing w:after="0" w:line="258" w:lineRule="auto"/>
        <w:tabs>
          <w:tab w:leader="none" w:pos="17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treated as, for U.S. federal income tax purposes, a personal holding company, a controlled foreign corporation, a passive foreign investment company, a foreign private foundation or other foreign tax-exempt organization, or being a corporation that accumulates earnings to avoid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89" w:lineRule="exact"/>
        <w:rPr>
          <w:sz w:val="20"/>
          <w:szCs w:val="20"/>
          <w:color w:val="auto"/>
        </w:rPr>
      </w:pPr>
    </w:p>
    <w:p>
      <w:pPr>
        <w:ind w:left="-460" w:right="160" w:firstLine="644"/>
        <w:spacing w:after="0" w:line="271" w:lineRule="auto"/>
        <w:tabs>
          <w:tab w:leader="none" w:pos="6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Code;</w:t>
      </w:r>
    </w:p>
    <w:p>
      <w:pPr>
        <w:spacing w:after="0" w:line="162" w:lineRule="exact"/>
        <w:rPr>
          <w:rFonts w:ascii="Arial" w:cs="Arial" w:eastAsia="Arial" w:hAnsi="Arial"/>
          <w:sz w:val="18"/>
          <w:szCs w:val="18"/>
          <w:color w:val="auto"/>
        </w:rPr>
      </w:pPr>
    </w:p>
    <w:p>
      <w:pPr>
        <w:jc w:val="both"/>
        <w:ind w:left="-460" w:right="180" w:firstLine="644"/>
        <w:spacing w:after="0" w:line="271" w:lineRule="auto"/>
        <w:tabs>
          <w:tab w:leader="none" w:pos="6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162" w:lineRule="exact"/>
        <w:rPr>
          <w:rFonts w:ascii="Arial" w:cs="Arial" w:eastAsia="Arial" w:hAnsi="Arial"/>
          <w:sz w:val="18"/>
          <w:szCs w:val="18"/>
          <w:color w:val="auto"/>
        </w:rPr>
      </w:pPr>
    </w:p>
    <w:p>
      <w:pPr>
        <w:ind w:left="-460" w:right="220" w:firstLine="644"/>
        <w:spacing w:after="0" w:line="292" w:lineRule="auto"/>
        <w:tabs>
          <w:tab w:leader="none" w:pos="5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by us or any paying agent from payments in respect of such note;</w:t>
      </w:r>
    </w:p>
    <w:p>
      <w:pPr>
        <w:spacing w:after="0" w:line="144" w:lineRule="exact"/>
        <w:rPr>
          <w:rFonts w:ascii="Arial" w:cs="Arial" w:eastAsia="Arial" w:hAnsi="Arial"/>
          <w:sz w:val="18"/>
          <w:szCs w:val="18"/>
          <w:color w:val="auto"/>
        </w:rPr>
      </w:pPr>
    </w:p>
    <w:p>
      <w:pPr>
        <w:ind w:left="-460" w:right="280" w:firstLine="644"/>
        <w:spacing w:after="0" w:line="292" w:lineRule="auto"/>
        <w:tabs>
          <w:tab w:leader="none" w:pos="6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gift, estate, inheritance, sales, transfer, wealth, personal property or excise tax or any similar tax, assessment or other governmental charge;</w:t>
      </w:r>
    </w:p>
    <w:p>
      <w:pPr>
        <w:spacing w:after="0" w:line="144" w:lineRule="exact"/>
        <w:rPr>
          <w:rFonts w:ascii="Arial" w:cs="Arial" w:eastAsia="Arial" w:hAnsi="Arial"/>
          <w:sz w:val="18"/>
          <w:szCs w:val="18"/>
          <w:color w:val="auto"/>
        </w:rPr>
      </w:pPr>
    </w:p>
    <w:p>
      <w:pPr>
        <w:ind w:left="-460" w:right="260" w:firstLine="644"/>
        <w:spacing w:after="0" w:line="292" w:lineRule="auto"/>
        <w:tabs>
          <w:tab w:leader="none" w:pos="6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such note if such payment can be made without such withholding by at least one other paying agent;</w:t>
      </w:r>
    </w:p>
    <w:p>
      <w:pPr>
        <w:spacing w:after="0" w:line="144" w:lineRule="exact"/>
        <w:rPr>
          <w:rFonts w:ascii="Arial" w:cs="Arial" w:eastAsia="Arial" w:hAnsi="Arial"/>
          <w:sz w:val="18"/>
          <w:szCs w:val="18"/>
          <w:color w:val="auto"/>
        </w:rPr>
      </w:pPr>
    </w:p>
    <w:p>
      <w:pPr>
        <w:ind w:left="-460" w:right="100" w:firstLine="644"/>
        <w:spacing w:after="0" w:line="271" w:lineRule="auto"/>
        <w:tabs>
          <w:tab w:leader="none" w:pos="5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14 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162" w:lineRule="exact"/>
        <w:rPr>
          <w:rFonts w:ascii="Arial" w:cs="Arial" w:eastAsia="Arial" w:hAnsi="Arial"/>
          <w:sz w:val="18"/>
          <w:szCs w:val="18"/>
          <w:color w:val="auto"/>
        </w:rPr>
      </w:pPr>
    </w:p>
    <w:p>
      <w:pPr>
        <w:ind w:left="-460" w:firstLine="644"/>
        <w:spacing w:after="0" w:line="258" w:lineRule="auto"/>
        <w:tabs>
          <w:tab w:leader="none" w:pos="5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of the holder or beneficial owner of such note to comply with a request to comply with applicable certification, information, documentation or other reporting requirements concerning the nationality, residence, identity or connection with the United States of the holder or beneficial owner of such note, if such compliance is required by statute or regulation of the United States or any taxing authority therein or by an applicable income tax treaty to which the United States is a party as a precondition to relief or exemption from such tax, assessment or other governmental charge;</w:t>
      </w:r>
    </w:p>
    <w:p>
      <w:pPr>
        <w:spacing w:after="0" w:line="176" w:lineRule="exact"/>
        <w:rPr>
          <w:rFonts w:ascii="Arial" w:cs="Arial" w:eastAsia="Arial" w:hAnsi="Arial"/>
          <w:sz w:val="18"/>
          <w:szCs w:val="18"/>
          <w:color w:val="auto"/>
        </w:rPr>
      </w:pPr>
    </w:p>
    <w:p>
      <w:pPr>
        <w:ind w:left="-460" w:right="100" w:firstLine="644"/>
        <w:spacing w:after="0" w:line="292" w:lineRule="auto"/>
        <w:tabs>
          <w:tab w:leader="none" w:pos="5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144" w:lineRule="exact"/>
        <w:rPr>
          <w:rFonts w:ascii="Arial" w:cs="Arial" w:eastAsia="Arial" w:hAnsi="Arial"/>
          <w:sz w:val="18"/>
          <w:szCs w:val="18"/>
          <w:color w:val="auto"/>
        </w:rPr>
      </w:pPr>
    </w:p>
    <w:p>
      <w:pPr>
        <w:jc w:val="both"/>
        <w:ind w:left="-460" w:right="300" w:firstLine="644"/>
        <w:spacing w:after="0" w:line="294" w:lineRule="auto"/>
        <w:tabs>
          <w:tab w:leader="none" w:pos="548"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tax, assessment or other governmental charge imposed by reason of the holder or beneficial owner of such note being or having been treated as a bank receiving payments on an extension of credit made pursuant to a loan agreement entered into in the ordinary course of its trade or business, as described in section 881(c)(3)(A) of the Code or any successor provisions;</w:t>
      </w:r>
    </w:p>
    <w:p>
      <w:pPr>
        <w:spacing w:after="0" w:line="145" w:lineRule="exact"/>
        <w:rPr>
          <w:rFonts w:ascii="Arial" w:cs="Arial" w:eastAsia="Arial" w:hAnsi="Arial"/>
          <w:sz w:val="17"/>
          <w:szCs w:val="17"/>
          <w:color w:val="auto"/>
        </w:rPr>
      </w:pPr>
    </w:p>
    <w:p>
      <w:pPr>
        <w:ind w:left="-460" w:right="20" w:firstLine="644"/>
        <w:spacing w:after="0" w:line="271" w:lineRule="auto"/>
        <w:tabs>
          <w:tab w:leader="none" w:pos="6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withholding or deduction that is imposed on a payment to a holder or beneficial owner and that is required to be made pursuant to any law implementing or complying with, or introduced in order to conform to, any European Union Directive on the taxation of savings;</w:t>
      </w:r>
    </w:p>
    <w:p>
      <w:pPr>
        <w:spacing w:after="0" w:line="162" w:lineRule="exact"/>
        <w:rPr>
          <w:rFonts w:ascii="Arial" w:cs="Arial" w:eastAsia="Arial" w:hAnsi="Arial"/>
          <w:sz w:val="18"/>
          <w:szCs w:val="18"/>
          <w:color w:val="auto"/>
        </w:rPr>
      </w:pPr>
    </w:p>
    <w:p>
      <w:pPr>
        <w:ind w:left="-460" w:right="200" w:firstLine="644"/>
        <w:spacing w:after="0" w:line="271" w:lineRule="auto"/>
        <w:tabs>
          <w:tab w:leader="none" w:pos="6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under Sections 1471 through 1474 of the Code as of the issue date (or any amended or successor provision that is substantively comparable and not materially more onerous to comply with), any current or future regulations or official interpretations thereof, any agreement entered into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20"/>
          </w:cols>
          <w:pgMar w:left="1440" w:top="1440" w:right="339" w:bottom="1440" w:gutter="0" w:footer="0" w:header="0"/>
        </w:sectPr>
      </w:pPr>
    </w:p>
    <w:bookmarkStart w:id="153" w:name="page154"/>
    <w:bookmarkEnd w:id="153"/>
    <w:p>
      <w:pPr>
        <w:spacing w:after="0" w:line="189"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color w:val="auto"/>
        </w:rPr>
        <w:t>current section 1471(b) of the Code (or any amended or successor version described above) or any fiscal or regulatory legislation, rules or practices adopted pursuant to any intergovernmental agreement (or related laws or official administrative practices) implementing the foregoing; or</w:t>
      </w:r>
    </w:p>
    <w:p>
      <w:pPr>
        <w:spacing w:after="0" w:line="163" w:lineRule="exact"/>
        <w:rPr>
          <w:sz w:val="20"/>
          <w:szCs w:val="20"/>
          <w:color w:val="auto"/>
        </w:rPr>
      </w:pPr>
    </w:p>
    <w:p>
      <w:pPr>
        <w:ind w:left="1720" w:hanging="416"/>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combination of items (a) through (n) above.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we will not pay additional amounts to a beneficial owner of a note that is a fiduciary, partnership, limited liability company or other fiscally transparent entity, or to a beneficial owner of a note that is not the sole beneficial owner of such note, as the case may be. This exception, however, will apply only to the extent that a beneficiary or settlor with respect to the fiduciary, or a beneficial owner, partner or member of the partnership, limited liability company or other fiscally transparent entity, would not have been entitled to the payment of an additional amount had the beneficiary, settlor, beneficial owner, partner or member received directly its beneficial or distributive share of the payment. For purposes of this paragraph, the term “beneficial owner” includes any person holding a note on behalf of or for the account of a beneficial owner.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1" w:lineRule="exact"/>
        <w:rPr>
          <w:sz w:val="20"/>
          <w:szCs w:val="20"/>
          <w:color w:val="auto"/>
        </w:rPr>
      </w:pPr>
    </w:p>
    <w:p>
      <w:pPr>
        <w:ind w:right="280" w:firstLine="648"/>
        <w:spacing w:after="0" w:line="292" w:lineRule="auto"/>
        <w:rPr>
          <w:sz w:val="20"/>
          <w:szCs w:val="20"/>
          <w:color w:val="auto"/>
        </w:rPr>
      </w:pPr>
      <w:r>
        <w:rPr>
          <w:rFonts w:ascii="Arial" w:cs="Arial" w:eastAsia="Arial" w:hAnsi="Arial"/>
          <w:sz w:val="18"/>
          <w:szCs w:val="18"/>
          <w:color w:val="auto"/>
        </w:rPr>
        <w:t>The term “Non-U.S. Holder” means any beneficial owner of a note that is not a U.S. Holder and is not a partnership (including any entity or arrangement properly classified as a partnership for U.S. federal income tax purposes).</w:t>
      </w:r>
    </w:p>
    <w:p>
      <w:pPr>
        <w:spacing w:after="0" w:line="14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The term “U.S. Holder” means a beneficial owner of a note that is for U.S. federal income tax purposes: an individual citizen or resident of the United States; a corporation created or organized in or under the laws of the United States or any state or political subdivision thereof; an estate, the income of which is subject to U.S. federal income tax regardless of its source; or a trust, if (i) a U.S. court is able to exercise primary supervision over the trust’s administration and one or more “United States persons” (as defined in the Code) have the authority to control all substantial decisions of the trust, or (ii) the trust has in effect a valid election to be treated as a “United States person” (as defined in the Code).</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7"/>
          <w:szCs w:val="17"/>
          <w:color w:val="auto"/>
        </w:rPr>
        <w:t>We undertake that, to the extent permitted by law, we will maintain a paying agent (with respect to the 2021 Euro Notes, in a Member State of the European Union (if any)) that will not require withholding or deduction of tax pursuant to European Council Directive 2003/48/EC on the taxation of savings income or any law implementing or complying with, or introduced to conform to, such European Council Directive.</w:t>
      </w:r>
    </w:p>
    <w:p>
      <w:pPr>
        <w:spacing w:after="0" w:line="146"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with respect to payments on the notes.</w:t>
      </w:r>
    </w:p>
    <w:p>
      <w:pPr>
        <w:spacing w:after="0" w:line="163"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If the trustee and the paying agent do not receive such an officers’ certificate, the trustee and paying agent will be fully protected in assuming that no such additional amounts are payable.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7"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Prior to December 7, 2021 (the date that is three months prior to the scheduled maturity date for the 2022 Euro Notes), we may, at our option, redeem the 2022 Euro Notes, in whole at any time or in part from time to time (in € 1,000 increments, provided that any remaining principal amount thereof shall be at least the minimum authorized denomination thereof), at a redemption price equal to the greater of (i) 100% of the principal amount of the 2022 Euro Notes to be redeemed and (ii) the sum of the present values of the Remaining Scheduled Payments (as defined below) discounted to the redemption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8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an annual basis (ACTUAL/ACTUAL (ICMA)), at a rate equal to the applicable Treasury Rate (as defined below) plus 15 basis points plus, in either case, accrued and unpaid interest, if any, thereon to, but excluding, the redemption date.</w:t>
      </w:r>
    </w:p>
    <w:p>
      <w:pPr>
        <w:spacing w:after="0" w:line="1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October 20, 2022 (the date that is three months prior to the scheduled maturity date for the 2023 Euro Notes), we may, at our option, redeem the 2023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2023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Prior to December 8, 2026 (the date that is three months prior to the scheduled maturity date for the 2027 Euro Notes), we may, at our option, redeem the 2027 Euro Notes, in whole at any time or in part from time to time (in € 1,000 increments, provided that any remaining principal amount thereof shall be at least the minimum authorized denomination thereof), at a redemption price equal to the greater of (i) 100% of the principal amount of the 2027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Prior to December 6, 2034 (the date that is three months prior to the scheduled maturity date for the 2035 Euro Notes), we may, at our option, redeem the 2035 Euro Notes, in whole at any time or in part from time to time (in € 1,000 increments, provided that any remaining principal amount thereof shall be at least the minimum authorized denomination thereof), at a redemption price equal to the greater of (i) 100% of the principal amount of the 2035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the greater of (i) 100% of the principal amount of the 2035 Sterling Notes to be redeemed and (ii) the sum of the present values of the Remaining Scheduled Payments (as defined below) discounted to the redemption date, on an annual basis (ACTUAL/ACTUAL (ICMA)), at a rate equal to the applicable Treasury Rate (as defined below) plus 30 basis points plus, in either case, accrued and unpaid interest, if any, thereon to, but excluding, the redemption date.</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December 6, 2044 (the date that is three months prior to the scheduled maturity date for the 2045 Sterling Notes), we may, at our option, redeem the 2045 Sterling Notes, in whole at any time or in part from time to time (in £1,000 increments, provided that any remaining principal amount thereof shall be at least the minimum authorized denomination thereof), at a redemption price equal to the greater of (i) 100% of the principal amount of the 2045 Sterling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9" w:lineRule="exact"/>
        <w:rPr>
          <w:sz w:val="20"/>
          <w:szCs w:val="20"/>
          <w:color w:val="auto"/>
        </w:rPr>
      </w:pPr>
    </w:p>
    <w:p>
      <w:pPr>
        <w:ind w:right="120" w:firstLine="648"/>
        <w:spacing w:after="0" w:line="260" w:lineRule="auto"/>
        <w:rPr>
          <w:sz w:val="20"/>
          <w:szCs w:val="20"/>
          <w:color w:val="auto"/>
        </w:rPr>
      </w:pPr>
      <w:r>
        <w:rPr>
          <w:rFonts w:ascii="Arial" w:cs="Arial" w:eastAsia="Arial" w:hAnsi="Arial"/>
          <w:sz w:val="18"/>
          <w:szCs w:val="18"/>
          <w:color w:val="auto"/>
        </w:rPr>
        <w:t>On or after December 7, 2021 (the date that is three months prior to the scheduled maturity date for the 2022 Euro Notes), we may, at our option, redeem the 2022 Euro Notes, in whole at any time or in part from time to time (in €1,000 increments, provided that any remaining principal amount thereof shall be at least the minimum authorized denomination thereof) at a redemption price equal to 100% of the principal amount of the 2022 Euro Notes to be redeemed, plus accrued and unpaid interest, if any, thereon to, but excluding, the redemption date.</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On or after October 20, 2022 (the date that is three months prior to the scheduled maturity date for the 2023 Euro Notes), we may, at our option, redeem the 2023 Euro Notes, in whole at any time or in part from time to time (in €1,000 increments, provided that any remaining principal amount thereof shall be at least the minimum authorized denomination thereof) at a redemption price equal to 100% of the principal amount of the 2023 Euro Notes to be redeemed, plus accrued and unpaid interest, if any, thereon to, but excluding, the redemption date.</w:t>
      </w:r>
    </w:p>
    <w:p>
      <w:pPr>
        <w:spacing w:after="0" w:line="155" w:lineRule="exact"/>
        <w:rPr>
          <w:sz w:val="20"/>
          <w:szCs w:val="20"/>
          <w:color w:val="auto"/>
        </w:rPr>
      </w:pPr>
    </w:p>
    <w:p>
      <w:pPr>
        <w:ind w:right="120" w:firstLine="648"/>
        <w:spacing w:after="0" w:line="260" w:lineRule="auto"/>
        <w:rPr>
          <w:sz w:val="20"/>
          <w:szCs w:val="20"/>
          <w:color w:val="auto"/>
        </w:rPr>
      </w:pPr>
      <w:r>
        <w:rPr>
          <w:rFonts w:ascii="Arial" w:cs="Arial" w:eastAsia="Arial" w:hAnsi="Arial"/>
          <w:sz w:val="18"/>
          <w:szCs w:val="18"/>
          <w:color w:val="auto"/>
        </w:rPr>
        <w:t>On or after December 8, 2026 (the date that is three months prior to the scheduled maturity date for the 2027 Euro Notes), we may, at our option, redeem the 2027 Euro Notes, in whole at any time or in part from time to time (in €1,000 increments, provided that any remaining principal amount thereof shall be at least the minimum authorized denomination thereof) at a redemption price equal to 100% of the principal amount of the 2027 Euro Notes to be redeemed, plus accrued and unpaid interest, if any, thereon to, but excluding, the redemption date.</w:t>
      </w:r>
    </w:p>
    <w:p>
      <w:pPr>
        <w:spacing w:after="0" w:line="175" w:lineRule="exact"/>
        <w:rPr>
          <w:sz w:val="20"/>
          <w:szCs w:val="20"/>
          <w:color w:val="auto"/>
        </w:rPr>
      </w:pPr>
    </w:p>
    <w:p>
      <w:pPr>
        <w:ind w:right="120" w:firstLine="648"/>
        <w:spacing w:after="0" w:line="260" w:lineRule="auto"/>
        <w:rPr>
          <w:sz w:val="20"/>
          <w:szCs w:val="20"/>
          <w:color w:val="auto"/>
        </w:rPr>
      </w:pPr>
      <w:r>
        <w:rPr>
          <w:rFonts w:ascii="Arial" w:cs="Arial" w:eastAsia="Arial" w:hAnsi="Arial"/>
          <w:sz w:val="18"/>
          <w:szCs w:val="18"/>
          <w:color w:val="auto"/>
        </w:rPr>
        <w:t>On or after December 6, 2034 (the date that is three months prior to the scheduled maturity date for the 2035 Euro Notes), we may, at our option, redeem the 2035 Euro Notes, in whole at any time or in part from time to time (in €1,000 increments, provided that any remaining principal amount thereof shall be at least the minimum authorized denomination thereof) at a redemption price equal to 100% of the principal amount of the 2035 Euro Notes to be redeemed, plus accrued and unpaid interest, if any, thereon to, but excluding, the redemption date.</w:t>
      </w:r>
    </w:p>
    <w:p>
      <w:pPr>
        <w:spacing w:after="0" w:line="175"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On or after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100% of the principal amount of the 2035 Sterling Notes to be redeemed, plus accrued and unpaid interest, if any, thereon to, but excluding, the redemption date.</w:t>
      </w:r>
    </w:p>
    <w:p>
      <w:pPr>
        <w:spacing w:after="0" w:line="175"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On or after December 6, 2044 (the date that is three months prior to the scheduled maturity date for the 2045 Sterling Notes), we may, at our option, redeem the 2045 Sterling Notes, in whole at any time or in part from time to time (in £1,000 increments, provided that any remaining principal amount thereof shall be at least the minimum authorized denomination thereof) at a redemption price equal to 100% of the principal amount of the 2045 Sterling Notes to be redeemed, plus accrued and unpaid interest, if any, thereon to, but excluding, the redemption date.</w:t>
      </w:r>
    </w:p>
    <w:p>
      <w:pPr>
        <w:spacing w:after="0" w:line="175"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“Independent Investment Bank” means one of the Reference Bond Dealers that we appoint as the Independent Investment Bank from time to time.</w:t>
      </w:r>
    </w:p>
    <w:p>
      <w:pPr>
        <w:spacing w:after="0" w:line="144"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“Treasury Rate” means the price, expressed as a percentage (rounded to three decimal places, 0.0005 being rounded upwards), at which the gross redemption yield on the applicable series of notes, if they were to be purchased at such price on the third business day prior to the date fixed for redemption, would be equal to the gross redemption yield on such business day of the Reference Bond (as defined below) on the basis of the middle market price of the Reference Bond prevailing at 11:00 a.m. (London time) on such dealing day as determined by us or the Independent Investment Bank.</w:t>
      </w:r>
    </w:p>
    <w:p>
      <w:pPr>
        <w:spacing w:after="0" w:line="175"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“Reference Bond” means, with respect to the 2022 Euro Notes, 2023 Euro Notes, 2027 Euro Notes, and 2035 Euro Notes, in relation to any Treasury Rate calculation, a German government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40" w:right="379" w:bottom="1440" w:gutter="0" w:footer="0" w:header="0"/>
        </w:sectPr>
      </w:pPr>
    </w:p>
    <w:bookmarkStart w:id="156" w:name="page157"/>
    <w:bookmarkEnd w:id="156"/>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whose maturity is closest to the maturity of the applicable series of notes, or if we or the Independent Investment Bank considers that such similar bond is not in issue, such other German government bond as we or the Independent Investment Bank, with the advice of three brokers of, and/or market makers in, German government bonds selected by us or the Independent Investment Bank, determine to be appropriate for determining the Treasury Rate, and, with respect to the Sterling Notes, in relation to any Treasury Rate calculation, a United Kingdom government bond whose maturity is closest to the maturity of the notes, or if we or the Independent Investment Bank considers that such similar bond is not in issue, such other United Kingdom government bond as we or the Independent Investment Bank, with the advice of three brokers of, and/or market makers in, United Kingdom government bonds selected by us or the Independent Investment Bank, determine to be appropriate for determining the Treasury Rate.</w:t>
      </w:r>
    </w:p>
    <w:p>
      <w:pPr>
        <w:spacing w:after="0" w:line="17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“Reference Bond Dealer” means, (i) with respect to the 2022 Euro Notes, the 2027 Euro Notes, and the 2035 Euro Notes, (A) each of Credit Suisse Securities (Europe) Limited, Deutsche Bank AG, London Branch, The Royal Bank of Scotland plc and Société Générale (or their respective affiliates that are Primary Bond Dealers), and their respective successors and (B) any other broker of, and/or market maker in, German government bonds (a “Primary Bond Dealer”) selected by us; (ii) with respect to the 2023 Euro Notes (A) each of BNP Paribas, Deutsche Bank AG, London Branch and Merrill Lynch International (or their respective affiliates that are Primary Bond Dealers), and their respective successors and (B) any other broker of, and/or market maker in, German government bonds (a “Primary Bond Dealer”) selected by us; (iii) with respect to the 2035 Sterling Notes, (A) each of Barclays Bank PLC, Goldman, Sachs &amp; Co., and HSBC Bank plc (or their respective affiliates that are Primary Bond Dealers), and their respective successors and (B) any other broker of, and/or market maker in, United Kingdom government bonds (a “Primary Bond Dealer”) selected by us; and (iv) with respect to the 2045 Sterling Notes (A) each of Credit Suisse Securities (Europe) Limited, Deutsche Bank AG, London Branch, The Royal Bank of Scotland plc and Société Générale (or their respective affiliates that are Primary Bond Dealers), and their respective successors and (B) any other broker of, and/or market maker in, United Kingdom government bonds (a “Primary Bond Dealer”) selected by us.</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“Remaining Scheduled Payments” means, with respect to the applicable note to be redeemed, the remaining scheduled payments of principal of and interest on the relevant note that would be due after the related redemption date but for the redemption. If that redemption date is not an interest payment date with respect to a note, the amount of the next succeeding scheduled interest payment on the relevant note will be reduced by the amount of interest accrued on the applicable note to, but excluding, the redemption date.</w:t>
      </w:r>
    </w:p>
    <w:p>
      <w:pPr>
        <w:spacing w:after="0" w:line="169"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If money sufficient to pay the redemption price on the applicable notes (or portions thereof) to be redeemed on the applicable redemption date is deposited with the paying agent on or before the applicable redemption date and certain other conditions are satisfied, then on and after such redemption date, interest will cease to accrue on such notes (or such portion thereof) called for redemption.</w:t>
      </w:r>
    </w:p>
    <w:p>
      <w:pPr>
        <w:spacing w:after="0" w:line="16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will, or will cause the trustee or paying agent on our behalf to, mail notice of a redemption to holders of the applicable notes to be redeemed by first-class mail (or otherwise transmit in accordance with applicable procedures of Euroclear/Clearstream) at least 30 and not more than 60 days prior to the date fixed for redemption. Unless we default in payment of the redemption price, on and after the redemption date, interest will cease to accrue on the applicable notes or portions thereof called for redemption. On or before the applicable redemption date, we will deposit with the paying agent or set aside, segregate and hold in trust (if we are acting as paying agent), funds sufficient to pay the redemption price of, and accrued and unpaid interest on, such notes to be redeemed on that redemption date. If fewer than all of the notes of any series are to be redeemed, the paying agent will select, not more than 60 days prior to the redemption date, the particular notes or portions thereof for redemption from the outstanding notes of such series not previously called by such method as the paying agent deems fair and appropriate and in accordance with the applicable procedures of the depositary; provided, however, that no notes of a principal amount of €100,000 or less for the Euro Notes and £100,000 or less for the Sterling Notes shall be redeemed in part. After the redemption date, holders of notes which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9"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redeemed will have no rights with respect to the notes except the right to receive the redemption price and any unpaid interest to the redemption date.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at any time, and from time to time, purchase notes of any series at any price or prices in the open market or otherwise.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27"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We may redeem a series of notes prior to maturity in whole, but not in part, on not more than 60 days’ notice and not less than 30 days’ notice (with written notice to the trustee no less than 15 days (or such shorter period as agreed by the trustee) prior to the sending of such redemption notice in the event the trustee is engaged by us to send such notice or cause such notice to be sent in our name and at our expense) at a redemption price equal to the principal amount of such notes plus any accrued interest and additional amounts to, but not including, the date fixed for redemption if:</w:t>
      </w:r>
    </w:p>
    <w:p>
      <w:pPr>
        <w:spacing w:after="0" w:line="175" w:lineRule="exact"/>
        <w:rPr>
          <w:sz w:val="20"/>
          <w:szCs w:val="20"/>
          <w:color w:val="auto"/>
        </w:rPr>
      </w:pPr>
    </w:p>
    <w:p>
      <w:pPr>
        <w:ind w:left="1300" w:right="60" w:hanging="644"/>
        <w:spacing w:after="0" w:line="257" w:lineRule="auto"/>
        <w:tabs>
          <w:tab w:leader="none" w:pos="1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a result of a change in or amendment to the tax laws, regulations or rulings of the United States or any political subdivision or taxing authority of or in the United States or any change in official position regarding the application or interpretation of such laws, regulations or rulings (including a holding by a court of competent jurisdiction in the United States) that is announced or becomes effective on or after the date of the issuance of such notes we have or will become obligated to pay additional amounts with respect to the notes as described above under “—Payment of Additional Amounts,” and we, in our business judgment, determine that such obligations cannot be avoided by the use of reasonable measures available to us; or</w:t>
      </w:r>
    </w:p>
    <w:p>
      <w:pPr>
        <w:spacing w:after="0" w:line="176" w:lineRule="exact"/>
        <w:rPr>
          <w:rFonts w:ascii="Arial" w:cs="Arial" w:eastAsia="Arial" w:hAnsi="Arial"/>
          <w:sz w:val="18"/>
          <w:szCs w:val="18"/>
          <w:color w:val="auto"/>
        </w:rPr>
      </w:pPr>
    </w:p>
    <w:p>
      <w:pPr>
        <w:ind w:left="1300" w:hanging="644"/>
        <w:spacing w:after="0" w:line="257" w:lineRule="auto"/>
        <w:tabs>
          <w:tab w:leader="none" w:pos="1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or after the date of the issuance of such notes, any action is taken by a taxing authority of, or any decision has been rendered by a court of competent jurisdiction in, the United States or any political subdivision of or in the United States, including any of those actions specified above, whether or not such action was taken or decision was rendered with respect to us, or any change, amendment, application or interpretation is officially proposed, which, in any such case, in the written opinion of independent legal counsel of recognized standing, will result in a material probability that we will become obligated to pay additional amounts with respect to the notes, and we, in our business judgment, determine that such obligations cannot be avoided by the use of reasonable measures available to us.</w:t>
      </w:r>
    </w:p>
    <w:p>
      <w:pPr>
        <w:spacing w:after="0" w:line="176"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If we exercise our option to redeem the notes, we will deliver to the trustee a certificate signed by an authorized officer stating that we are entitled to redeem the notes and an opinion of independent tax counsel selected by us to the effect that the circumstances described in the above bullets exist. The trustee and paying agents will accept and will be entitled to conclusively rely upon such officer’s certificate and opinion of counsel as sufficient evidence of the satisfaction of the conditions precedent described above for us to exercise our right to redeem the notes, which determination will be conclusive and binding on the holders of the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27" w:lineRule="exact"/>
        <w:rPr>
          <w:sz w:val="20"/>
          <w:szCs w:val="20"/>
          <w:color w:val="auto"/>
        </w:rPr>
      </w:pPr>
    </w:p>
    <w:p>
      <w:pPr>
        <w:ind w:right="380" w:firstLine="648"/>
        <w:spacing w:after="0" w:line="258" w:lineRule="auto"/>
        <w:rPr>
          <w:sz w:val="20"/>
          <w:szCs w:val="20"/>
          <w:color w:val="auto"/>
        </w:rPr>
      </w:pPr>
      <w:r>
        <w:rPr>
          <w:rFonts w:ascii="Arial" w:cs="Arial" w:eastAsia="Arial" w:hAnsi="Arial"/>
          <w:sz w:val="18"/>
          <w:szCs w:val="18"/>
          <w:color w:val="auto"/>
        </w:rPr>
        <w:t>We may, without the consent of the holders of any series of notes, issue additional notes having the same ranking and the same interest rate, maturity and other terms as the notes of such series (except for the issue date, issue price, and, in some cases, the first payment of interest or interest accruing prior to the issue date of such additional notes). The additional notes may only be issued if they would be fungible with the notes of such series for U.S. federal income tax purposes. Any additional notes having such similar terms, together with the applicable series of notes described herein, will constitute a single series of notes under the applicable indenture. No additional notes may be issued if an event of default has occurred with respect to the applicable series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Clearance and Settlement</w:t>
      </w:r>
    </w:p>
    <w:p>
      <w:pPr>
        <w:spacing w:after="0" w:line="22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Each series of notes has been issued in the form of one or more global notes (the “Global Notes”) in fully registered form, without coupons, and deposited with a common depositary for, and in respect of interests held through, Euroclear Bank S.A./N.V., as operator of the Euroclear System (“Euroclear”), and Clearstream Banking, société anonyme (“Clearstream”). Except as described herein, certificates will not be issued in exchange for beneficial interests in the Global Notes.</w:t>
      </w:r>
    </w:p>
    <w:p>
      <w:pPr>
        <w:spacing w:after="0" w:line="169"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Except as set forth below, the Global Notes may be transferred, in whole and not in part, only to Euroclear or Clearstream or their respective nominees.</w:t>
      </w:r>
    </w:p>
    <w:p>
      <w:pPr>
        <w:spacing w:after="0" w:line="144" w:lineRule="exact"/>
        <w:rPr>
          <w:sz w:val="20"/>
          <w:szCs w:val="20"/>
          <w:color w:val="auto"/>
        </w:rPr>
      </w:pPr>
    </w:p>
    <w:p>
      <w:pPr>
        <w:ind w:right="180" w:firstLine="648"/>
        <w:spacing w:after="0" w:line="260" w:lineRule="auto"/>
        <w:rPr>
          <w:sz w:val="20"/>
          <w:szCs w:val="20"/>
          <w:color w:val="auto"/>
        </w:rPr>
      </w:pPr>
      <w:r>
        <w:rPr>
          <w:rFonts w:ascii="Arial" w:cs="Arial" w:eastAsia="Arial" w:hAnsi="Arial"/>
          <w:sz w:val="18"/>
          <w:szCs w:val="18"/>
          <w:color w:val="auto"/>
        </w:rPr>
        <w:t>Beneficial interests in the Global Notes are represented, and transfers of such beneficial interests are effected, through accounts of financial institutions acting on behalf of beneficial owners as direct or indirect participants in Euroclear or Clearstream. Those beneficial interests in the Global Notes are in denominations of €100,000 and integral multiples of €1,000 in excess thereof for the Euro Notes and £100,000 and integral multiples of £ 1,000 in excess thereof for the Sterling Notes. Investors may hold notes directly through Euroclear or Clearstream, if they are participants in such systems, or indirectly through organizations that are participants in such systems.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applicable indenture, including for purposes of receiving any reports delivered by us or the trustee pursuant to the applicable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applicable indenture. Under existing industry practices, if we request any action of holders of the notes or a beneficial owner desires to give or take any action which a holder is entitled to give or take under the applicable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are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Persons who are not Euroclear or Clearstream participants may beneficially own notes held by the common depositary for Euroclear and Clearstream only through direct or indirect participants in Euroclear and Clearstream. So long as the common depositary for Euroclear and Clearstream is the registered owner of the Global Note, the common depositary for all purposes will be considered the sole holder of the notes represented by the Global Note under the applicable indenture and the Global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Certificated Notes</w:t>
      </w:r>
    </w:p>
    <w:p>
      <w:pPr>
        <w:spacing w:after="0" w:line="223"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If the applicable depositary is at any time unwilling or unable to continue as depositary for any of the Global Notes and a successor depositary is not appointed by us within 90 days,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 to have the notes represented by the Global Notes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Any notes so issued in definitive form will be issued as registered in minimum denominations of €100,000 and integral multiples of €1,000 thereafter for the Euro Notes, and £ 100,000 and integral multiples of £1,000 thereafter for the Sterling Notes, unless otherwise specified by us. Our definitive form of the notes can be transferred by presentation for registration to the registrar at its office and must be duly endorsed by the holder or his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7" w:lineRule="exact"/>
        <w:rPr>
          <w:sz w:val="20"/>
          <w:szCs w:val="20"/>
          <w:color w:val="auto"/>
        </w:rPr>
      </w:pPr>
    </w:p>
    <w:p>
      <w:pPr>
        <w:ind w:right="780" w:firstLine="648"/>
        <w:spacing w:after="0" w:line="292" w:lineRule="auto"/>
        <w:rPr>
          <w:sz w:val="20"/>
          <w:szCs w:val="20"/>
          <w:color w:val="auto"/>
        </w:rPr>
      </w:pPr>
      <w:r>
        <w:rPr>
          <w:rFonts w:ascii="Arial" w:cs="Arial" w:eastAsia="Arial" w:hAnsi="Arial"/>
          <w:sz w:val="18"/>
          <w:szCs w:val="18"/>
          <w:color w:val="auto"/>
        </w:rPr>
        <w:t>We have agreed not to consolidate with or merge into any other corporation or convey or transfer our properties and assets substantially as an entirety to any person, unless:</w:t>
      </w:r>
    </w:p>
    <w:p>
      <w:pPr>
        <w:spacing w:after="0" w:line="144" w:lineRule="exact"/>
        <w:rPr>
          <w:sz w:val="20"/>
          <w:szCs w:val="20"/>
          <w:color w:val="auto"/>
        </w:rPr>
      </w:pPr>
    </w:p>
    <w:p>
      <w:pPr>
        <w:ind w:left="1300" w:right="20" w:hanging="644"/>
        <w:spacing w:after="0" w:line="292"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successor is a corporation organized under the laws of the United States, any state of the United States or the District of Columbia;</w:t>
      </w:r>
    </w:p>
    <w:p>
      <w:pPr>
        <w:spacing w:after="0" w:line="144" w:lineRule="exact"/>
        <w:rPr>
          <w:rFonts w:ascii="Arial" w:cs="Arial" w:eastAsia="Arial" w:hAnsi="Arial"/>
          <w:sz w:val="18"/>
          <w:szCs w:val="18"/>
          <w:color w:val="auto"/>
        </w:rPr>
      </w:pPr>
    </w:p>
    <w:p>
      <w:pPr>
        <w:ind w:left="1300" w:right="60" w:hanging="644"/>
        <w:spacing w:after="0" w:line="271"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successor corporation expressly assumes by a supplemental indenture to each indenture the due and punctual payment of the principal of, and any premium and interest on, all the debt securities issued thereunder and the performance of every covenant in each indenture that we would otherwise have to perform or observe;</w:t>
      </w:r>
    </w:p>
    <w:p>
      <w:pPr>
        <w:spacing w:after="0" w:line="162" w:lineRule="exact"/>
        <w:rPr>
          <w:rFonts w:ascii="Arial" w:cs="Arial" w:eastAsia="Arial" w:hAnsi="Arial"/>
          <w:sz w:val="18"/>
          <w:szCs w:val="18"/>
          <w:color w:val="auto"/>
        </w:rPr>
      </w:pPr>
    </w:p>
    <w:p>
      <w:pPr>
        <w:ind w:left="1300" w:right="620" w:hanging="644"/>
        <w:spacing w:after="0" w:line="292"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the effective date of the transaction, no event of default has occurred and is continuing under either indenture; and</w:t>
      </w:r>
    </w:p>
    <w:p>
      <w:pPr>
        <w:spacing w:after="0" w:line="144" w:lineRule="exact"/>
        <w:rPr>
          <w:rFonts w:ascii="Arial" w:cs="Arial" w:eastAsia="Arial" w:hAnsi="Arial"/>
          <w:sz w:val="18"/>
          <w:szCs w:val="18"/>
          <w:color w:val="auto"/>
        </w:rPr>
      </w:pPr>
    </w:p>
    <w:p>
      <w:pPr>
        <w:ind w:left="1300" w:right="460" w:hanging="644"/>
        <w:spacing w:after="0" w:line="323" w:lineRule="auto"/>
        <w:tabs>
          <w:tab w:leader="none" w:pos="12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deliver to the trustee an officers’ certificate and an opinion of counsel under each indenture, each stating that the consolidation, merger, conveyance or transfer and the applicable supplemental indenture comply with these provisions.</w:t>
      </w:r>
    </w:p>
    <w:p>
      <w:pPr>
        <w:spacing w:after="0" w:line="122" w:lineRule="exact"/>
        <w:rPr>
          <w:sz w:val="20"/>
          <w:szCs w:val="20"/>
          <w:color w:val="auto"/>
        </w:rPr>
      </w:pPr>
    </w:p>
    <w:p>
      <w:pPr>
        <w:ind w:right="60" w:firstLine="648"/>
        <w:spacing w:after="0" w:line="292" w:lineRule="auto"/>
        <w:rPr>
          <w:sz w:val="20"/>
          <w:szCs w:val="20"/>
          <w:color w:val="auto"/>
        </w:rPr>
      </w:pPr>
      <w:r>
        <w:rPr>
          <w:rFonts w:ascii="Arial" w:cs="Arial" w:eastAsia="Arial" w:hAnsi="Arial"/>
          <w:sz w:val="18"/>
          <w:szCs w:val="18"/>
          <w:color w:val="auto"/>
        </w:rPr>
        <w:t>The successor corporation will assume all our obligations under each indenture as if it were an original party to each indenture. After assuming such obligations, the successor corporation will have all our rights and powers under the indentures.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Under the Indentures</w:t>
      </w:r>
    </w:p>
    <w:p>
      <w:pPr>
        <w:spacing w:after="0" w:line="227" w:lineRule="exact"/>
        <w:rPr>
          <w:sz w:val="20"/>
          <w:szCs w:val="20"/>
          <w:color w:val="auto"/>
        </w:rPr>
      </w:pPr>
    </w:p>
    <w:p>
      <w:pPr>
        <w:ind w:right="120" w:firstLine="648"/>
        <w:spacing w:after="0" w:line="292" w:lineRule="auto"/>
        <w:rPr>
          <w:sz w:val="20"/>
          <w:szCs w:val="20"/>
          <w:color w:val="auto"/>
        </w:rPr>
      </w:pPr>
      <w:r>
        <w:rPr>
          <w:rFonts w:ascii="Arial" w:cs="Arial" w:eastAsia="Arial" w:hAnsi="Arial"/>
          <w:sz w:val="18"/>
          <w:szCs w:val="18"/>
          <w:color w:val="auto"/>
        </w:rPr>
        <w:t>Under each indenture, the holders of a majority in aggregate principal amount of the outstanding notes of any series, may on behalf of all holders of that series:</w:t>
      </w:r>
    </w:p>
    <w:p>
      <w:pPr>
        <w:spacing w:after="0" w:line="144"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waive our compliance with certain covenants of the applicable indenture;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waive any past default under the applicable indenture, except: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notes of the series; and</w:t>
      </w:r>
    </w:p>
    <w:p>
      <w:pPr>
        <w:spacing w:after="0" w:line="225" w:lineRule="exact"/>
        <w:rPr>
          <w:rFonts w:ascii="Arial" w:cs="Arial" w:eastAsia="Arial" w:hAnsi="Arial"/>
          <w:sz w:val="18"/>
          <w:szCs w:val="18"/>
          <w:color w:val="auto"/>
        </w:rPr>
      </w:pPr>
    </w:p>
    <w:p>
      <w:pPr>
        <w:ind w:left="1300" w:hanging="644"/>
        <w:spacing w:after="0" w:line="292"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default under any provision of the applicable indenture which itself cannot be modified without the consent of the holders of each affected note of the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we use the term “Event of Default” in each indenture with respect to a particular series of notes, we mean any of the following:</w:t>
      </w:r>
    </w:p>
    <w:p>
      <w:pPr>
        <w:spacing w:after="0" w:line="225"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fail to pay interest on any note of that series for 30 days after payment was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fail to make payment of the principal of, or any premium on, any note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fail to make any sinking fund payment when due with respect to notes of that series;</w:t>
      </w:r>
    </w:p>
    <w:p>
      <w:pPr>
        <w:spacing w:after="0" w:line="225" w:lineRule="exact"/>
        <w:rPr>
          <w:rFonts w:ascii="Arial" w:cs="Arial" w:eastAsia="Arial" w:hAnsi="Arial"/>
          <w:sz w:val="18"/>
          <w:szCs w:val="18"/>
          <w:color w:val="auto"/>
        </w:rPr>
      </w:pPr>
    </w:p>
    <w:p>
      <w:pPr>
        <w:ind w:left="1300" w:right="60" w:hanging="644"/>
        <w:spacing w:after="0" w:line="271"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fail to perform any other covenant or warranty in the applicable indenture and this failure continues for 90 days after we receive written notice of it from the trustee or holders of 25% in principal amount of the outstanding notes of that series (with a copy to the trustee);</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or a court take certain actions relating to bankruptcy, insolvency or reorganization of our company; or</w:t>
      </w:r>
    </w:p>
    <w:p>
      <w:pPr>
        <w:spacing w:after="0" w:line="225" w:lineRule="exact"/>
        <w:rPr>
          <w:rFonts w:ascii="Arial" w:cs="Arial" w:eastAsia="Arial" w:hAnsi="Arial"/>
          <w:sz w:val="18"/>
          <w:szCs w:val="18"/>
          <w:color w:val="auto"/>
        </w:rPr>
      </w:pPr>
    </w:p>
    <w:p>
      <w:pPr>
        <w:ind w:left="1300" w:hanging="644"/>
        <w:spacing w:after="0" w:line="292"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event of default that may be specified for the notes of the series or in the board resolution with respect to the notes of that series.</w:t>
      </w:r>
    </w:p>
    <w:p>
      <w:pPr>
        <w:spacing w:after="0" w:line="144"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A default with respect to a single series of notes under an indenture will not necessarily constitute a default with respect to any other series of notes issued under such indenture or any other series of notes issued under the other indenture. A default under our other indebtedness will not be a default under either indenture. The trustee may withhold notice to the holders of notes of any default and shall be fully protected in so withholding, except for defaults that involve our failure to pay principal or interest, if it determines in good faith that the withholding of notice is in the interest of the holders.</w:t>
      </w:r>
    </w:p>
    <w:p>
      <w:pPr>
        <w:spacing w:after="0" w:line="17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an Event of Default for any series of notes occurs and continues (other than an Event of Default involving our bankruptcy, insolvency or reorganization), either the trustee or the holders of at least 25% in aggregate principal amount of the outstanding notes of the affected series may require us upon notice in writing to us, to immediately repay the entire principal, of all the notes of such series together with accrued interest on the notes.</w:t>
      </w:r>
    </w:p>
    <w:p>
      <w:pPr>
        <w:spacing w:after="0" w:line="169" w:lineRule="exact"/>
        <w:rPr>
          <w:sz w:val="20"/>
          <w:szCs w:val="20"/>
          <w:color w:val="auto"/>
        </w:rPr>
      </w:pPr>
    </w:p>
    <w:p>
      <w:pPr>
        <w:jc w:val="both"/>
        <w:ind w:right="400" w:firstLine="648"/>
        <w:spacing w:after="0" w:line="271" w:lineRule="auto"/>
        <w:rPr>
          <w:sz w:val="20"/>
          <w:szCs w:val="20"/>
          <w:color w:val="auto"/>
        </w:rPr>
      </w:pPr>
      <w:r>
        <w:rPr>
          <w:rFonts w:ascii="Arial" w:cs="Arial" w:eastAsia="Arial" w:hAnsi="Arial"/>
          <w:sz w:val="18"/>
          <w:szCs w:val="18"/>
          <w:color w:val="auto"/>
        </w:rPr>
        <w:t>If an Event of Default occurs which involves our bankruptcy, insolvency or reorganization, then all unpaid principal amounts and accrued interest on all notes of each series will immediately become due and payable, without any action by the trustee or any holder of notes.</w:t>
      </w:r>
    </w:p>
    <w:p>
      <w:pPr>
        <w:spacing w:after="0" w:line="163"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Subject to certain conditions, the holders of a majority in principal amount of the outstanding notes of a series may rescind a declaration of acceleration if all Events of Default, besides the failure to pay principal or interest due solely because of the declaration of acceleration, have been cured or waived.</w:t>
      </w:r>
    </w:p>
    <w:p>
      <w:pPr>
        <w:spacing w:after="0" w:line="163"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Other than its duties in case of a default, the trustee is not obligated to exercise any of its rights or powers under the applicable indenture at the request, order or direction of any holders, unless the holders offer the trustee indemnity or security reasonably satisfactory to it. The holders of a majority in principal amount outstanding of any series of notes may, subject to certain limitations, direct the time, method and place of conducting any proceeding for any remedy available to the trustee, or exercising any power conferred upon the trustee, for any series of notes.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requires us to file each year with the trustee, an officer’s certificate that states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00"/>
          </w:cols>
          <w:pgMar w:left="320" w:top="1440" w:right="379" w:bottom="1440" w:gutter="0" w:footer="0" w:header="0"/>
        </w:sectPr>
      </w:pPr>
    </w:p>
    <w:bookmarkStart w:id="161" w:name="page162"/>
    <w:bookmarkEnd w:id="161"/>
    <w:p>
      <w:pPr>
        <w:spacing w:after="0" w:line="189"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signing officer has supervised a review of the activities and performance under the applicable indenture; and</w:t>
      </w:r>
    </w:p>
    <w:p>
      <w:pPr>
        <w:spacing w:after="0" w:line="225" w:lineRule="exact"/>
        <w:rPr>
          <w:rFonts w:ascii="Arial" w:cs="Arial" w:eastAsia="Arial" w:hAnsi="Arial"/>
          <w:sz w:val="18"/>
          <w:szCs w:val="18"/>
          <w:color w:val="auto"/>
        </w:rPr>
      </w:pPr>
    </w:p>
    <w:p>
      <w:pPr>
        <w:ind w:left="1300" w:right="460" w:hanging="644"/>
        <w:spacing w:after="0" w:line="292"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best of his or her knowledge, based on the review, we comply with all conditions and covenants of the applicable indenture.</w:t>
      </w:r>
    </w:p>
    <w:p>
      <w:pPr>
        <w:spacing w:after="0" w:line="144"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The 2015 Indenture requires us to file with the trustee, an officer’s certificate within 30 days of any officer becoming aware of any default specifying such default or Event of Default and what action we are taking or propose to take with respect thereto.</w:t>
      </w:r>
    </w:p>
    <w:p>
      <w:pPr>
        <w:spacing w:after="0" w:line="144"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 If a court requires a conversion to be made on a date other than a judgment date, the indentures require us to pay additional amounts necessary to ensure that the amount paid in U.S. dollars to a holder is equal to the amount due in such foreign currency.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2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will pay the principal of, and any premium and interest on, fully registered notes at the place or places that we will designate for such purposes. We will make payment to the persons in whose names the notes are registered on the close of business on the day or days that we will specify in accordance with the applicable indenture. We will pay the principal of, and any premium on, registered notes only against surrender of those notes. Any other payments will be made as set forth in the applicable series of notes and described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includes the following restrictive covenants: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Liens</w:t>
      </w:r>
    </w:p>
    <w:p>
      <w:pPr>
        <w:spacing w:after="0" w:line="22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Each indenture limits the amount of liens that we or our Subsidiaries may incur or otherwise create in order to secure indebtedness for borrowed money, upon any Principal Facility or any shares of capital stock that any of our Subsidiaries owning any Principal Facility has issued to us or any of our Subsidiaries. If we or any of our Subsidiaries incur such liens, then we will secure the notes to the same extent and in the same proportion as the debt that is secured by such liens. This covenant does not apply, however, to any of the following:</w:t>
      </w:r>
    </w:p>
    <w:p>
      <w:pPr>
        <w:spacing w:after="0" w:line="169" w:lineRule="exact"/>
        <w:rPr>
          <w:sz w:val="20"/>
          <w:szCs w:val="20"/>
          <w:color w:val="auto"/>
        </w:rPr>
      </w:pPr>
    </w:p>
    <w:p>
      <w:pPr>
        <w:jc w:val="both"/>
        <w:ind w:left="1300" w:right="240" w:hanging="644"/>
        <w:spacing w:after="0" w:line="271"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 Principal Facility, liens incurred in connection with the issuance by a state or its political subdivision of any securities the interest on which is exempt from United States federal income taxes by virtue of Section 103 of the Internal Revenue Code or any other laws and regulations in effect at the time of such issuance;</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existing on the date of the applicable indenture;</w:t>
      </w:r>
    </w:p>
    <w:p>
      <w:pPr>
        <w:spacing w:after="0" w:line="225" w:lineRule="exact"/>
        <w:rPr>
          <w:rFonts w:ascii="Arial" w:cs="Arial" w:eastAsia="Arial" w:hAnsi="Arial"/>
          <w:sz w:val="18"/>
          <w:szCs w:val="18"/>
          <w:color w:val="auto"/>
        </w:rPr>
      </w:pPr>
    </w:p>
    <w:p>
      <w:pPr>
        <w:ind w:left="1300" w:right="20" w:hanging="644"/>
        <w:spacing w:after="0" w:line="260"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on property or shares of capital stock existing at the time we or any of our Subsidiaries acquire such property or shares of capital stock, including through a merger, share exchange or consolidation, or securing the payment of all or part of the purchase price, construction or improvement of such property incurred prior to, during, or within 180 days after the later of the acquisition, completion of construction or improvement or commencement of full operation of such property or within 180 days after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189" w:lineRule="exact"/>
        <w:rPr>
          <w:sz w:val="20"/>
          <w:szCs w:val="20"/>
          <w:color w:val="auto"/>
        </w:rPr>
      </w:pPr>
    </w:p>
    <w:p>
      <w:pPr>
        <w:ind w:left="1300" w:right="160"/>
        <w:spacing w:after="0" w:line="292" w:lineRule="auto"/>
        <w:rPr>
          <w:sz w:val="20"/>
          <w:szCs w:val="20"/>
          <w:color w:val="auto"/>
        </w:rPr>
      </w:pPr>
      <w:r>
        <w:rPr>
          <w:rFonts w:ascii="Arial" w:cs="Arial" w:eastAsia="Arial" w:hAnsi="Arial"/>
          <w:sz w:val="18"/>
          <w:szCs w:val="18"/>
          <w:color w:val="auto"/>
        </w:rPr>
        <w:t>of such shares for the purpose of financing all or a portion of such purchase of the property or construction or improvement on it; or</w:t>
      </w:r>
    </w:p>
    <w:p>
      <w:pPr>
        <w:spacing w:after="0" w:line="144" w:lineRule="exact"/>
        <w:rPr>
          <w:sz w:val="20"/>
          <w:szCs w:val="20"/>
          <w:color w:val="auto"/>
        </w:rPr>
      </w:pPr>
    </w:p>
    <w:p>
      <w:pPr>
        <w:ind w:left="1300" w:hanging="644"/>
        <w:spacing w:after="0" w:line="271" w:lineRule="auto"/>
        <w:tabs>
          <w:tab w:leader="none" w:pos="12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for the sole purpose of extending, renewing or replacing all or a part of the indebtedness secured by any lien referred to in the previous bullet points or in this bullet point if the extension, removal and replacement is limited to all or a part of the property secured by the original lien.</w:t>
      </w:r>
    </w:p>
    <w:p>
      <w:pPr>
        <w:spacing w:after="0" w:line="163" w:lineRule="exact"/>
        <w:rPr>
          <w:sz w:val="20"/>
          <w:szCs w:val="20"/>
          <w:color w:val="auto"/>
        </w:rPr>
      </w:pPr>
    </w:p>
    <w:p>
      <w:pPr>
        <w:ind w:firstLine="648"/>
        <w:spacing w:after="0" w:line="294" w:lineRule="auto"/>
        <w:rPr>
          <w:sz w:val="20"/>
          <w:szCs w:val="20"/>
          <w:color w:val="auto"/>
        </w:rPr>
      </w:pPr>
      <w:r>
        <w:rPr>
          <w:rFonts w:ascii="Arial" w:cs="Arial" w:eastAsia="Arial" w:hAnsi="Arial"/>
          <w:sz w:val="17"/>
          <w:szCs w:val="17"/>
          <w:color w:val="auto"/>
        </w:rPr>
        <w:t>Notwithstanding the foregoing, we and/or any of our Subsidiaries may incur liens that would otherwise be subject to the restriction described above, without securing the notes issued under the applicable indenture equally and ratably, if the aggregate value of all outstanding indebtedness secured by the liens and the value of Sale and Leaseback Transactions does not at the time exceed the greater of:</w:t>
      </w:r>
    </w:p>
    <w:p>
      <w:pPr>
        <w:spacing w:after="0" w:line="14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 of our Consolidated Net Tangible Assets;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 of our Consolidated Capitalization.</w:t>
      </w:r>
    </w:p>
    <w:p>
      <w:pPr>
        <w:spacing w:after="0" w:line="225" w:lineRule="exact"/>
        <w:rPr>
          <w:sz w:val="20"/>
          <w:szCs w:val="20"/>
          <w:color w:val="auto"/>
        </w:rPr>
      </w:pPr>
    </w:p>
    <w:p>
      <w:pPr>
        <w:ind w:right="160" w:firstLine="648"/>
        <w:spacing w:after="0" w:line="292" w:lineRule="auto"/>
        <w:rPr>
          <w:sz w:val="20"/>
          <w:szCs w:val="20"/>
          <w:color w:val="auto"/>
        </w:rPr>
      </w:pPr>
      <w:r>
        <w:rPr>
          <w:rFonts w:ascii="Arial" w:cs="Arial" w:eastAsia="Arial" w:hAnsi="Arial"/>
          <w:sz w:val="18"/>
          <w:szCs w:val="18"/>
          <w:color w:val="auto"/>
        </w:rPr>
        <w:t>“Consolidated Net Tangible Assets” means the excess of all assets over current liabilities appearing on our most recent quarterly or annual consolidated balance sheet, less goodwill and other intangible assets and the minority interests of others in Subsidiaries.</w:t>
      </w:r>
    </w:p>
    <w:p>
      <w:pPr>
        <w:spacing w:after="0" w:line="144" w:lineRule="exact"/>
        <w:rPr>
          <w:sz w:val="20"/>
          <w:szCs w:val="20"/>
          <w:color w:val="auto"/>
        </w:rPr>
      </w:pPr>
    </w:p>
    <w:p>
      <w:pPr>
        <w:ind w:right="480" w:firstLine="648"/>
        <w:spacing w:after="0" w:line="292" w:lineRule="auto"/>
        <w:rPr>
          <w:sz w:val="20"/>
          <w:szCs w:val="20"/>
          <w:color w:val="auto"/>
        </w:rPr>
      </w:pPr>
      <w:r>
        <w:rPr>
          <w:rFonts w:ascii="Arial" w:cs="Arial" w:eastAsia="Arial" w:hAnsi="Arial"/>
          <w:sz w:val="18"/>
          <w:szCs w:val="18"/>
          <w:color w:val="auto"/>
        </w:rPr>
        <w:t>“Consolidated Capitalization” means the total of all of the assets appearing on our most recent quarterly or annual consolidated balance sheet, less:</w:t>
      </w:r>
    </w:p>
    <w:p>
      <w:pPr>
        <w:spacing w:after="0" w:line="144" w:lineRule="exact"/>
        <w:rPr>
          <w:sz w:val="20"/>
          <w:szCs w:val="20"/>
          <w:color w:val="auto"/>
        </w:rPr>
      </w:pPr>
    </w:p>
    <w:p>
      <w:pPr>
        <w:ind w:left="1300" w:right="60" w:hanging="644"/>
        <w:spacing w:after="0" w:line="292" w:lineRule="auto"/>
        <w:tabs>
          <w:tab w:leader="none" w:pos="12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current liabilities, including liabilities for indebtedness maturing more than 12 months from the date of the original creation thereof, but maturing within 12 months from the date of our most recent quarterly or annual consolidated balance sheet; 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deferred income tax liabilities reflected in such consolidated balance sheet.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“Subsidiaries” means any corporation of which at least a majority of all outstanding stock having ordinary voting power in the election of directors of such corporation is at the time, directly or indirectly, owned by us or by one or more Subsidiaries or by us and one or more Subsidiaries.</w:t>
      </w:r>
    </w:p>
    <w:p>
      <w:pPr>
        <w:spacing w:after="0" w:line="163"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“Principal Facility” means all real property owned and operated by us or any Subsidiary located within the United States and constituting part of any manufacturing plant or distribution facility, including all attached plumbing, electrical, ventilating, heating, cooling, lighting and other utility systems, ducts and pipes but excluding trade fixtures (unless their removal would cause substantial damage to the manufacturing plant or distribution facility), business machinery, equipment, motorized vehicles, tools, supplies and materials, security systems, cameras, inventory and other personal property and materials. However, no manufacturing plant or distribution facility will be a Principal Facility unless its net book value exceeds 0.25% of Consolidated Capitalization.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23"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A Sale and Leaseback Transaction of any Principal Facility is prohibited, unless within 180 days of the effective date of the arrangement, an amount equal to the greater of the proceeds of the sale or the fair value of the property (“value”) is applied to the retirement of long-term non-subordinated indebtedness for money borrowed with more than one year stated maturity, including the notes, except that such sales and leasebacks are permitted to the extent that the “value” thereof plus the other secured debt referred to in the section entitled “</w:t>
      </w:r>
      <w:r>
        <w:rPr>
          <w:rFonts w:ascii="Arial" w:cs="Arial" w:eastAsia="Arial" w:hAnsi="Arial"/>
          <w:sz w:val="18"/>
          <w:szCs w:val="18"/>
          <w:i w:val="1"/>
          <w:iCs w:val="1"/>
          <w:color w:val="auto"/>
        </w:rPr>
        <w:t>Limitations on Liens</w:t>
      </w:r>
      <w:r>
        <w:rPr>
          <w:rFonts w:ascii="Arial" w:cs="Arial" w:eastAsia="Arial" w:hAnsi="Arial"/>
          <w:sz w:val="18"/>
          <w:szCs w:val="18"/>
          <w:color w:val="auto"/>
        </w:rPr>
        <w:t>” above does not exceed the amount stated therein.</w:t>
      </w:r>
    </w:p>
    <w:p>
      <w:pPr>
        <w:spacing w:after="0" w:line="175" w:lineRule="exact"/>
        <w:rPr>
          <w:sz w:val="20"/>
          <w:szCs w:val="20"/>
          <w:color w:val="auto"/>
        </w:rPr>
      </w:pPr>
    </w:p>
    <w:p>
      <w:pPr>
        <w:ind w:right="120" w:firstLine="648"/>
        <w:spacing w:after="0" w:line="292" w:lineRule="auto"/>
        <w:rPr>
          <w:sz w:val="20"/>
          <w:szCs w:val="20"/>
          <w:color w:val="auto"/>
        </w:rPr>
      </w:pPr>
      <w:r>
        <w:rPr>
          <w:rFonts w:ascii="Arial" w:cs="Arial" w:eastAsia="Arial" w:hAnsi="Arial"/>
          <w:sz w:val="18"/>
          <w:szCs w:val="18"/>
          <w:color w:val="auto"/>
        </w:rPr>
        <w:t>A “Sale and Leaseback Transaction” means the sale or transfer of a Principal Facility with the intention of taking back a lease of the property, except a lease for a temporary period of less than 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including renewals, with the intent that the use by us or any Subsidiary will be discontinued on or before the expiration of such period.</w:t>
      </w:r>
    </w:p>
    <w:p>
      <w:pPr>
        <w:spacing w:after="0" w:line="225"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There are no other restrictive covenants in the indentures. The indentures do not require us to maintain any financial ratios, minimum levels of net worth or liquidity or restrict the payment of dividends, the making of other distributions on our capital stock or the redemption or purchase of our capital stock. Moreover, the indentures do not contain any provision requiring us to repurchase or redeem any notes or modify the terms thereof or afford the holders thereof any other protection in the event of our change of control, any highly leveraged transaction or any other event involving us that may materially adversely affect our creditworthiness or the value of the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In some circumstances, we may elect to discharge our obligations on the notes through full defeasance or covenant defeasance. We can terminate all of our obligations under the applicable indenture with respect to a series of notes, other than the obligation to pay the principal of, and any premium and interest on, the relevant series of notes and certain other obligations, at any time by:</w:t>
      </w:r>
    </w:p>
    <w:p>
      <w:pPr>
        <w:spacing w:after="0" w:line="163" w:lineRule="exact"/>
        <w:rPr>
          <w:sz w:val="20"/>
          <w:szCs w:val="20"/>
          <w:color w:val="auto"/>
        </w:rPr>
      </w:pPr>
    </w:p>
    <w:p>
      <w:pPr>
        <w:ind w:left="1300" w:right="340" w:hanging="644"/>
        <w:spacing w:after="0" w:line="292" w:lineRule="auto"/>
        <w:tabs>
          <w:tab w:leader="none" w:pos="12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depositing money or United States government obligations with the trustee in an amount sufficient to pay the principal of, and any premium and interest on, such notes to their maturity; and</w:t>
      </w:r>
    </w:p>
    <w:p>
      <w:pPr>
        <w:spacing w:after="0" w:line="144" w:lineRule="exact"/>
        <w:rPr>
          <w:rFonts w:ascii="Arial" w:cs="Arial" w:eastAsia="Arial" w:hAnsi="Arial"/>
          <w:sz w:val="18"/>
          <w:szCs w:val="18"/>
          <w:color w:val="auto"/>
        </w:rPr>
      </w:pPr>
    </w:p>
    <w:p>
      <w:pPr>
        <w:ind w:left="1300" w:right="120" w:hanging="644"/>
        <w:spacing w:after="0" w:line="271" w:lineRule="auto"/>
        <w:tabs>
          <w:tab w:leader="none" w:pos="12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complying with certain other conditions, including delivery to the trustee of an opinion of counsel to the effect that holders of such notes will not recognize income, gain or loss for United States federal income tax purposes as a result of our defeasance.</w:t>
      </w:r>
    </w:p>
    <w:p>
      <w:pPr>
        <w:spacing w:after="0" w:line="163" w:lineRule="exact"/>
        <w:rPr>
          <w:sz w:val="20"/>
          <w:szCs w:val="20"/>
          <w:color w:val="auto"/>
        </w:rPr>
      </w:pPr>
    </w:p>
    <w:p>
      <w:pPr>
        <w:ind w:right="180" w:firstLine="648"/>
        <w:spacing w:after="0" w:line="292" w:lineRule="auto"/>
        <w:rPr>
          <w:sz w:val="20"/>
          <w:szCs w:val="20"/>
          <w:color w:val="auto"/>
        </w:rPr>
      </w:pPr>
      <w:r>
        <w:rPr>
          <w:rFonts w:ascii="Arial" w:cs="Arial" w:eastAsia="Arial" w:hAnsi="Arial"/>
          <w:sz w:val="18"/>
          <w:szCs w:val="18"/>
          <w:color w:val="auto"/>
        </w:rPr>
        <w:t>In addition, we can terminate all of our obligations, with minor exceptions, under the applicable indenture with respect to a series of notes, including the obligation to pay the principal of, and any premium and interest on, the relevant series of notes, at any time by:</w:t>
      </w:r>
    </w:p>
    <w:p>
      <w:pPr>
        <w:spacing w:after="0" w:line="144" w:lineRule="exact"/>
        <w:rPr>
          <w:sz w:val="20"/>
          <w:szCs w:val="20"/>
          <w:color w:val="auto"/>
        </w:rPr>
      </w:pPr>
    </w:p>
    <w:p>
      <w:pPr>
        <w:ind w:left="1300" w:right="340" w:hanging="644"/>
        <w:spacing w:after="0" w:line="292" w:lineRule="auto"/>
        <w:tabs>
          <w:tab w:leader="none" w:pos="12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depositing money or United States government obligations with the trustee in an amount sufficient to pay the principal of, and the interest and any premium on, such notes to their maturity; and</w:t>
      </w:r>
    </w:p>
    <w:p>
      <w:pPr>
        <w:spacing w:after="0" w:line="144" w:lineRule="exact"/>
        <w:rPr>
          <w:rFonts w:ascii="Arial" w:cs="Arial" w:eastAsia="Arial" w:hAnsi="Arial"/>
          <w:sz w:val="18"/>
          <w:szCs w:val="18"/>
          <w:color w:val="auto"/>
        </w:rPr>
      </w:pPr>
    </w:p>
    <w:p>
      <w:pPr>
        <w:ind w:left="1300" w:right="20" w:hanging="644"/>
        <w:spacing w:after="0" w:line="264" w:lineRule="auto"/>
        <w:tabs>
          <w:tab w:leader="none" w:pos="12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complying with certain other conditions, including delivery to the trustee of an opinion of counsel stating that there has been a ruling by the Internal Revenue Service, or a change in the United States federal tax law since the date of the applicable indenture, to the effect that holders of such notes will not recognize income, gain or loss for United States federal income tax purposes as a result of our defeasance.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Unclaimed Moneys</w:t>
      </w:r>
    </w:p>
    <w:p>
      <w:pPr>
        <w:spacing w:after="0" w:line="22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Moneys deposited with the trustee or any paying agent for the payment of principal of, or any premium and interest on, any notes that remain unclaimed for two years will be repaid to us at our written request, unless the law requires otherwise. If this happens and a holder wants to claim these moneys, the holder must look to us and not to the trustee or paying agent.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 Not Requiring Consent of Holders</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Without the consent of any holders of debt securities issued thereunder, we and the trustee may supplement either indenture, among other things, to:</w:t>
      </w:r>
    </w:p>
    <w:p>
      <w:pPr>
        <w:spacing w:after="0" w:line="144"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pledge property to the trustee as security for the debt securities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89" w:lineRule="exact"/>
        <w:rPr>
          <w:sz w:val="20"/>
          <w:szCs w:val="20"/>
          <w:color w:val="auto"/>
        </w:rPr>
      </w:pPr>
    </w:p>
    <w:p>
      <w:pPr>
        <w:ind w:left="1300" w:right="760" w:hanging="644"/>
        <w:spacing w:after="0" w:line="292"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 that another entity has succeeded us and assumed the covenants and obligations of us under the applicable indenture and the debt securities issued thereunder;</w:t>
      </w:r>
    </w:p>
    <w:p>
      <w:pPr>
        <w:spacing w:after="0" w:line="144" w:lineRule="exact"/>
        <w:rPr>
          <w:rFonts w:ascii="Arial" w:cs="Arial" w:eastAsia="Arial" w:hAnsi="Arial"/>
          <w:sz w:val="18"/>
          <w:szCs w:val="18"/>
          <w:color w:val="auto"/>
        </w:rPr>
      </w:pPr>
    </w:p>
    <w:p>
      <w:pPr>
        <w:jc w:val="both"/>
        <w:ind w:left="1300" w:right="20" w:hanging="644"/>
        <w:spacing w:after="0" w:line="271"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cure any ambiguity or inconsistency in the applicable indenture or in the debt securities issued thereunder or make any other provisions with respect to matters or questions arising under the applicable indenture, as long as the interests of the holders of the debt securities issued thereunder are not adversely affected in any material respect;</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issue and establish the form and terms of any series of debt securities as provided in the applicable indenture;</w:t>
      </w:r>
    </w:p>
    <w:p>
      <w:pPr>
        <w:spacing w:after="0" w:line="225" w:lineRule="exact"/>
        <w:rPr>
          <w:rFonts w:ascii="Arial" w:cs="Arial" w:eastAsia="Arial" w:hAnsi="Arial"/>
          <w:sz w:val="18"/>
          <w:szCs w:val="18"/>
          <w:color w:val="auto"/>
        </w:rPr>
      </w:pPr>
    </w:p>
    <w:p>
      <w:pPr>
        <w:jc w:val="both"/>
        <w:ind w:left="1300" w:right="480" w:hanging="644"/>
        <w:spacing w:after="0" w:line="323" w:lineRule="auto"/>
        <w:tabs>
          <w:tab w:leader="none" w:pos="12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add to our covenants further covenants for the benefit of the holders of debt securities, and if the covenants are for the benefit of less than all series of debt securities issued under such indenture, stating which series are entitled to benefit;</w:t>
      </w:r>
    </w:p>
    <w:p>
      <w:pPr>
        <w:spacing w:after="0" w:line="121" w:lineRule="exact"/>
        <w:rPr>
          <w:rFonts w:ascii="Arial" w:cs="Arial" w:eastAsia="Arial" w:hAnsi="Arial"/>
          <w:sz w:val="17"/>
          <w:szCs w:val="17"/>
          <w:color w:val="auto"/>
        </w:rPr>
      </w:pPr>
    </w:p>
    <w:p>
      <w:pPr>
        <w:ind w:left="1300" w:right="280" w:hanging="644"/>
        <w:spacing w:after="0" w:line="292"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add any additional event of default and if the new event of default applies to fewer than all series of debt securities issued under such indenture, stating to which series it applies;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 the trustee or provide for an additional trustee;</w:t>
      </w:r>
    </w:p>
    <w:p>
      <w:pPr>
        <w:spacing w:after="0" w:line="225" w:lineRule="exact"/>
        <w:rPr>
          <w:rFonts w:ascii="Arial" w:cs="Arial" w:eastAsia="Arial" w:hAnsi="Arial"/>
          <w:sz w:val="18"/>
          <w:szCs w:val="18"/>
          <w:color w:val="auto"/>
        </w:rPr>
      </w:pPr>
    </w:p>
    <w:p>
      <w:pPr>
        <w:ind w:left="1300" w:hanging="644"/>
        <w:spacing w:after="0" w:line="292"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additional provisions for bearer debt securities so long as the action does not adversely affect the interests of holders of any debt securities issued under the applicable indenture in any material respect;</w:t>
      </w:r>
    </w:p>
    <w:p>
      <w:pPr>
        <w:spacing w:after="0" w:line="144" w:lineRule="exact"/>
        <w:rPr>
          <w:rFonts w:ascii="Arial" w:cs="Arial" w:eastAsia="Arial" w:hAnsi="Arial"/>
          <w:sz w:val="18"/>
          <w:szCs w:val="18"/>
          <w:color w:val="auto"/>
        </w:rPr>
      </w:pPr>
    </w:p>
    <w:p>
      <w:pPr>
        <w:ind w:left="1300" w:right="20" w:hanging="644"/>
        <w:spacing w:after="0" w:line="292"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the 2015 Indenture only, add guarantees with respect to the securities of a series or confirm and evidence the release, termination or discharge of any such guarantee when such release is permitted by the 2015 Indenture; or</w:t>
      </w:r>
    </w:p>
    <w:p>
      <w:pPr>
        <w:spacing w:after="0" w:line="144" w:lineRule="exact"/>
        <w:rPr>
          <w:rFonts w:ascii="Arial" w:cs="Arial" w:eastAsia="Arial" w:hAnsi="Arial"/>
          <w:sz w:val="18"/>
          <w:szCs w:val="18"/>
          <w:color w:val="auto"/>
        </w:rPr>
      </w:pPr>
    </w:p>
    <w:p>
      <w:pPr>
        <w:ind w:left="1300" w:right="100" w:hanging="644"/>
        <w:spacing w:after="0" w:line="292" w:lineRule="auto"/>
        <w:tabs>
          <w:tab w:leader="none" w:pos="1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modify the applicable indenture as may be necessary or desirable in accordance with amendments to the Trustee Indenture Act of 1939.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 Requiring Consent of Holders</w:t>
      </w:r>
    </w:p>
    <w:p>
      <w:pPr>
        <w:spacing w:after="0" w:line="2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 the consent of the holders of a majority in principal amount of each series of the debt securities issued thereunder that would be affected by a modification of an indenture, each indenture permits us and the trustee to supplement such indenture or modify in any way the terms of such indenture or the rights of the holders of the debt securities of such series. However, without the consent of each holder of all of the debt securities affected by that modification, we and the trustee may not:</w:t>
      </w:r>
    </w:p>
    <w:p>
      <w:pPr>
        <w:spacing w:after="0" w:line="169" w:lineRule="exact"/>
        <w:rPr>
          <w:sz w:val="20"/>
          <w:szCs w:val="20"/>
          <w:color w:val="auto"/>
        </w:rPr>
      </w:pPr>
    </w:p>
    <w:p>
      <w:pPr>
        <w:ind w:left="1300" w:right="660" w:hanging="644"/>
        <w:spacing w:after="0" w:line="292"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modify the maturity date of, or reduce the principal of, or premium on, or change the stated final maturity of, any debt security;</w:t>
      </w:r>
    </w:p>
    <w:p>
      <w:pPr>
        <w:spacing w:after="0" w:line="144" w:lineRule="exact"/>
        <w:rPr>
          <w:rFonts w:ascii="Arial" w:cs="Arial" w:eastAsia="Arial" w:hAnsi="Arial"/>
          <w:sz w:val="18"/>
          <w:szCs w:val="18"/>
          <w:color w:val="auto"/>
        </w:rPr>
      </w:pPr>
    </w:p>
    <w:p>
      <w:pPr>
        <w:ind w:left="1300" w:right="460" w:hanging="644"/>
        <w:spacing w:after="0" w:line="292"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 or, in the case of OID debt securities, reduce the rate of accretion of the OID;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 any of our obligations to pay additional amounts under the applicable indenture;</w:t>
      </w:r>
    </w:p>
    <w:p>
      <w:pPr>
        <w:spacing w:after="0" w:line="225" w:lineRule="exact"/>
        <w:rPr>
          <w:rFonts w:ascii="Arial" w:cs="Arial" w:eastAsia="Arial" w:hAnsi="Arial"/>
          <w:sz w:val="18"/>
          <w:szCs w:val="18"/>
          <w:color w:val="auto"/>
        </w:rPr>
      </w:pPr>
    </w:p>
    <w:p>
      <w:pPr>
        <w:ind w:left="1300" w:right="420" w:hanging="644"/>
        <w:spacing w:after="0" w:line="292"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or alter the method of computation of any amount payable upon redemption, repayment or purchase of any debt security by us, or the time when the redemption, repayment or purchase may be made;</w:t>
      </w:r>
    </w:p>
    <w:p>
      <w:pPr>
        <w:spacing w:after="0" w:line="144" w:lineRule="exact"/>
        <w:rPr>
          <w:rFonts w:ascii="Arial" w:cs="Arial" w:eastAsia="Arial" w:hAnsi="Arial"/>
          <w:sz w:val="18"/>
          <w:szCs w:val="18"/>
          <w:color w:val="auto"/>
        </w:rPr>
      </w:pPr>
    </w:p>
    <w:p>
      <w:pPr>
        <w:ind w:left="1300" w:right="20" w:hanging="644"/>
        <w:spacing w:after="0" w:line="292" w:lineRule="auto"/>
        <w:tabs>
          <w:tab w:leader="none" w:pos="12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the principal or interest on any debt security payable in a currency other than that stated in the debt security or change the place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89" w:lineRule="exact"/>
        <w:rPr>
          <w:sz w:val="20"/>
          <w:szCs w:val="20"/>
          <w:color w:val="auto"/>
        </w:rPr>
      </w:pPr>
    </w:p>
    <w:p>
      <w:pPr>
        <w:ind w:left="1300" w:right="540" w:hanging="644"/>
        <w:spacing w:after="0" w:line="271" w:lineRule="auto"/>
        <w:tabs>
          <w:tab w:leader="none" w:pos="1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amount of principal due on an OID debt security upon acceleration of maturity or provable in bankruptcy or reduce the amount payable under the terms of an indexed debt security upon acceleration of maturity or provable in bankruptcy;</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impair any right of repayment or purchase at the option of any holder of debt securities;</w:t>
      </w:r>
    </w:p>
    <w:p>
      <w:pPr>
        <w:spacing w:after="0" w:line="225" w:lineRule="exact"/>
        <w:rPr>
          <w:rFonts w:ascii="Arial" w:cs="Arial" w:eastAsia="Arial" w:hAnsi="Arial"/>
          <w:sz w:val="18"/>
          <w:szCs w:val="18"/>
          <w:color w:val="auto"/>
        </w:rPr>
      </w:pPr>
    </w:p>
    <w:p>
      <w:pPr>
        <w:ind w:left="1300" w:right="80" w:hanging="644"/>
        <w:spacing w:after="0" w:line="271" w:lineRule="auto"/>
        <w:tabs>
          <w:tab w:leader="none" w:pos="1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right of any holder of debt securities to receive or sue for payment of the principal or interest on a debt security that would be due and payable at the maturity thereof or upon redemption or adversely affect any applicable right to convert or exchange any debt securities into other securities; or</w:t>
      </w:r>
    </w:p>
    <w:p>
      <w:pPr>
        <w:spacing w:after="0" w:line="162" w:lineRule="exact"/>
        <w:rPr>
          <w:rFonts w:ascii="Arial" w:cs="Arial" w:eastAsia="Arial" w:hAnsi="Arial"/>
          <w:sz w:val="18"/>
          <w:szCs w:val="18"/>
          <w:color w:val="auto"/>
        </w:rPr>
      </w:pPr>
    </w:p>
    <w:p>
      <w:pPr>
        <w:ind w:left="1300" w:right="580" w:hanging="644"/>
        <w:spacing w:after="0" w:line="292" w:lineRule="auto"/>
        <w:tabs>
          <w:tab w:leader="none" w:pos="1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required to supplement the applicable indenture or to waive any of its provisions.</w:t>
      </w:r>
    </w:p>
    <w:p>
      <w:pPr>
        <w:spacing w:after="0" w:line="144" w:lineRule="exact"/>
        <w:rPr>
          <w:sz w:val="20"/>
          <w:szCs w:val="20"/>
          <w:color w:val="auto"/>
        </w:rPr>
      </w:pPr>
    </w:p>
    <w:p>
      <w:pPr>
        <w:jc w:val="both"/>
        <w:ind w:right="440" w:firstLine="648"/>
        <w:spacing w:after="0" w:line="323" w:lineRule="auto"/>
        <w:rPr>
          <w:sz w:val="20"/>
          <w:szCs w:val="20"/>
          <w:color w:val="auto"/>
        </w:rPr>
      </w:pPr>
      <w:r>
        <w:rPr>
          <w:rFonts w:ascii="Arial" w:cs="Arial" w:eastAsia="Arial" w:hAnsi="Arial"/>
          <w:sz w:val="17"/>
          <w:szCs w:val="17"/>
          <w:color w:val="auto"/>
        </w:rPr>
        <w:t>A supplemental indenture that modifies or eliminates a provision intended to benefit the holders of one series of debt securities issued thereunder will not affect the rights under the applicable indenture of holders of other series of debt securities issued thereunder.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Notices to holders of the notes will be sent by mail or email to the registered holders, or otherwise in accordance with the procedures of the applicable depositary.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has performed and will perform other services for us and certain of our subsidiaries in the normal course of its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227"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8"/>
          <w:szCs w:val="18"/>
          <w:color w:val="auto"/>
        </w:rPr>
        <w:t>The Registrar and Transfer Agent for the 2021 Euro Notes is Deutsche Bank Luxembourg S.A. The Registrar and Transfer Agent for the 2022 Euro Notes, 2023 Euro Notes, 2027 Euro Notes, 2035 Euro Notes, 2035 Sterling Notes and 2045 Sterling Notes is Deutsche Bank Trust Company Americas.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notes are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40" w:right="379" w:bottom="1440" w:gutter="0" w:footer="0" w:header="0"/>
        </w:sectPr>
      </w:pPr>
    </w:p>
    <w:bookmarkStart w:id="166" w:name="page167"/>
    <w:bookmarkEnd w:id="166"/>
    <w:p>
      <w:pPr>
        <w:ind w:left="10140"/>
        <w:spacing w:after="0"/>
        <w:rPr>
          <w:sz w:val="20"/>
          <w:szCs w:val="20"/>
          <w:color w:val="auto"/>
        </w:rPr>
      </w:pPr>
      <w:r>
        <w:rPr>
          <w:rFonts w:ascii="Arial" w:cs="Arial" w:eastAsia="Arial" w:hAnsi="Arial"/>
          <w:sz w:val="17"/>
          <w:szCs w:val="17"/>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985520" cy="651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AND CONFIDENTIAL</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Ms. Laura Stein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November 9, 2020</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Dear Laura,</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I am very pleased to provide you with this offer letter setting forth the terms of your offer of employment (“Offer Letter”). It confirms the verbal offer previously extended to you for the position of Executive Vice President, Corporate</w:t>
      </w:r>
    </w:p>
    <w:p>
      <w:pPr>
        <w:spacing w:after="0" w:line="2" w:lineRule="exact"/>
        <w:rPr>
          <w:sz w:val="20"/>
          <w:szCs w:val="20"/>
          <w:color w:val="auto"/>
        </w:rPr>
      </w:pPr>
    </w:p>
    <w:p>
      <w:pPr>
        <w:jc w:val="both"/>
        <w:ind w:firstLine="8"/>
        <w:spacing w:after="0" w:line="248" w:lineRule="auto"/>
        <w:tabs>
          <w:tab w:leader="none" w:pos="230" w:val="left"/>
        </w:tabs>
        <w:numPr>
          <w:ilvl w:val="0"/>
          <w:numId w:val="92"/>
        </w:numPr>
        <w:rPr>
          <w:rFonts w:ascii="Arial" w:cs="Arial" w:eastAsia="Arial" w:hAnsi="Arial"/>
          <w:sz w:val="22"/>
          <w:szCs w:val="22"/>
          <w:color w:val="auto"/>
        </w:rPr>
      </w:pPr>
      <w:r>
        <w:rPr>
          <w:rFonts w:ascii="Arial" w:cs="Arial" w:eastAsia="Arial" w:hAnsi="Arial"/>
          <w:sz w:val="22"/>
          <w:szCs w:val="22"/>
          <w:color w:val="auto"/>
        </w:rPr>
        <w:t>Legal Affairs and General Counsel, Mondelēz International, Inc. (the “Company”) reporting to the Chairman and Chief Executive Officer. Your principle office will be located in our Global Headquarters in Chicago, Illinois. Your employment commencement date will be as soon as mutually agreed.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Your annualized target compensation opportunity will be as follows: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Annualized Compensation (Target Opportunity)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140" w:type="dxa"/>
            <w:vAlign w:val="bottom"/>
          </w:tcPr>
          <w:p>
            <w:pPr>
              <w:spacing w:after="0"/>
              <w:rPr>
                <w:sz w:val="20"/>
                <w:szCs w:val="20"/>
                <w:color w:val="auto"/>
              </w:rPr>
            </w:pPr>
            <w:r>
              <w:rPr>
                <w:rFonts w:ascii="Arial" w:cs="Arial" w:eastAsia="Arial" w:hAnsi="Arial"/>
                <w:sz w:val="22"/>
                <w:szCs w:val="22"/>
                <w:color w:val="auto"/>
              </w:rPr>
              <w:t>Annual Base Salary</w:t>
            </w:r>
          </w:p>
        </w:tc>
        <w:tc>
          <w:tcPr>
            <w:tcW w:w="1760" w:type="dxa"/>
            <w:vAlign w:val="bottom"/>
          </w:tcPr>
          <w:p>
            <w:pPr>
              <w:jc w:val="right"/>
              <w:ind w:right="512"/>
              <w:spacing w:after="0"/>
              <w:rPr>
                <w:sz w:val="20"/>
                <w:szCs w:val="20"/>
                <w:color w:val="auto"/>
              </w:rPr>
            </w:pPr>
            <w:r>
              <w:rPr>
                <w:rFonts w:ascii="Arial" w:cs="Arial" w:eastAsia="Arial" w:hAnsi="Arial"/>
                <w:sz w:val="22"/>
                <w:szCs w:val="22"/>
                <w:color w:val="auto"/>
              </w:rPr>
              <w:t>$725,000</w:t>
            </w:r>
          </w:p>
        </w:tc>
        <w:tc>
          <w:tcPr>
            <w:tcW w:w="4240" w:type="dxa"/>
            <w:vAlign w:val="bottom"/>
          </w:tcPr>
          <w:p>
            <w:pPr>
              <w:spacing w:after="0"/>
              <w:rPr>
                <w:sz w:val="24"/>
                <w:szCs w:val="24"/>
                <w:color w:val="auto"/>
              </w:rPr>
            </w:pPr>
          </w:p>
        </w:tc>
      </w:tr>
      <w:tr>
        <w:trPr>
          <w:trHeight w:val="500"/>
        </w:trPr>
        <w:tc>
          <w:tcPr>
            <w:tcW w:w="3900" w:type="dxa"/>
            <w:vAlign w:val="bottom"/>
            <w:gridSpan w:val="2"/>
          </w:tcPr>
          <w:p>
            <w:pPr>
              <w:spacing w:after="0"/>
              <w:rPr>
                <w:sz w:val="20"/>
                <w:szCs w:val="20"/>
                <w:color w:val="auto"/>
              </w:rPr>
            </w:pPr>
            <w:r>
              <w:rPr>
                <w:rFonts w:ascii="Arial" w:cs="Arial" w:eastAsia="Arial" w:hAnsi="Arial"/>
                <w:sz w:val="22"/>
                <w:szCs w:val="22"/>
                <w:color w:val="auto"/>
              </w:rPr>
              <w:t>Annual Incentive Plan (Target - 80%*)</w:t>
            </w:r>
          </w:p>
        </w:tc>
        <w:tc>
          <w:tcPr>
            <w:tcW w:w="4240" w:type="dxa"/>
            <w:vAlign w:val="bottom"/>
          </w:tcPr>
          <w:p>
            <w:pPr>
              <w:jc w:val="right"/>
              <w:ind w:right="3032"/>
              <w:spacing w:after="0"/>
              <w:rPr>
                <w:sz w:val="20"/>
                <w:szCs w:val="20"/>
                <w:color w:val="auto"/>
              </w:rPr>
            </w:pPr>
            <w:r>
              <w:rPr>
                <w:rFonts w:ascii="Arial" w:cs="Arial" w:eastAsia="Arial" w:hAnsi="Arial"/>
                <w:sz w:val="22"/>
                <w:szCs w:val="22"/>
                <w:color w:val="auto"/>
              </w:rPr>
              <w:t>$580,000</w:t>
            </w:r>
          </w:p>
        </w:tc>
      </w:tr>
      <w:tr>
        <w:trPr>
          <w:trHeight w:val="499"/>
        </w:trPr>
        <w:tc>
          <w:tcPr>
            <w:tcW w:w="8140" w:type="dxa"/>
            <w:vAlign w:val="bottom"/>
            <w:gridSpan w:val="3"/>
          </w:tcPr>
          <w:p>
            <w:pPr>
              <w:spacing w:after="0"/>
              <w:rPr>
                <w:sz w:val="20"/>
                <w:szCs w:val="20"/>
                <w:color w:val="auto"/>
              </w:rPr>
            </w:pPr>
            <w:r>
              <w:rPr>
                <w:rFonts w:ascii="Arial" w:cs="Arial" w:eastAsia="Arial" w:hAnsi="Arial"/>
                <w:sz w:val="22"/>
                <w:szCs w:val="22"/>
                <w:color w:val="auto"/>
                <w:w w:val="98"/>
              </w:rPr>
              <w:t>Target Annual Long-Term Incentive Range**   $1,440,000 - $1,800,000 - $2,160,000</w:t>
            </w:r>
          </w:p>
        </w:tc>
      </w:tr>
      <w:tr>
        <w:trPr>
          <w:trHeight w:val="500"/>
        </w:trPr>
        <w:tc>
          <w:tcPr>
            <w:tcW w:w="3900" w:type="dxa"/>
            <w:vAlign w:val="bottom"/>
            <w:gridSpan w:val="2"/>
          </w:tcPr>
          <w:p>
            <w:pPr>
              <w:spacing w:after="0"/>
              <w:rPr>
                <w:sz w:val="20"/>
                <w:szCs w:val="20"/>
                <w:color w:val="auto"/>
              </w:rPr>
            </w:pPr>
            <w:r>
              <w:rPr>
                <w:rFonts w:ascii="Arial" w:cs="Arial" w:eastAsia="Arial" w:hAnsi="Arial"/>
                <w:sz w:val="22"/>
                <w:szCs w:val="22"/>
                <w:color w:val="auto"/>
              </w:rPr>
              <w:t>Total Target Compensation Opportunity</w:t>
            </w:r>
          </w:p>
        </w:tc>
        <w:tc>
          <w:tcPr>
            <w:tcW w:w="4240" w:type="dxa"/>
            <w:vAlign w:val="bottom"/>
          </w:tcPr>
          <w:p>
            <w:pPr>
              <w:jc w:val="right"/>
              <w:ind w:right="352"/>
              <w:spacing w:after="0"/>
              <w:rPr>
                <w:sz w:val="20"/>
                <w:szCs w:val="20"/>
                <w:color w:val="auto"/>
              </w:rPr>
            </w:pPr>
            <w:r>
              <w:rPr>
                <w:rFonts w:ascii="Arial" w:cs="Arial" w:eastAsia="Arial" w:hAnsi="Arial"/>
                <w:sz w:val="22"/>
                <w:szCs w:val="22"/>
                <w:color w:val="auto"/>
              </w:rPr>
              <w:t>$2,745,000 - $3,105,000 - $3,465,000</w:t>
            </w:r>
          </w:p>
        </w:tc>
      </w:tr>
    </w:tbl>
    <w:p>
      <w:pPr>
        <w:spacing w:after="0" w:line="200" w:lineRule="exact"/>
        <w:rPr>
          <w:sz w:val="20"/>
          <w:szCs w:val="20"/>
          <w:color w:val="auto"/>
        </w:rPr>
      </w:pPr>
    </w:p>
    <w:p>
      <w:pPr>
        <w:spacing w:after="0" w:line="251" w:lineRule="exact"/>
        <w:rPr>
          <w:sz w:val="20"/>
          <w:szCs w:val="20"/>
          <w:color w:val="auto"/>
        </w:rPr>
      </w:pPr>
    </w:p>
    <w:p>
      <w:pPr>
        <w:ind w:right="840"/>
        <w:spacing w:after="0" w:line="279" w:lineRule="auto"/>
        <w:rPr>
          <w:sz w:val="20"/>
          <w:szCs w:val="20"/>
          <w:color w:val="auto"/>
        </w:rPr>
      </w:pPr>
      <w:r>
        <w:rPr>
          <w:rFonts w:ascii="Arial" w:cs="Arial" w:eastAsia="Arial" w:hAnsi="Arial"/>
          <w:sz w:val="22"/>
          <w:szCs w:val="22"/>
          <w:color w:val="auto"/>
        </w:rPr>
        <w:t>Your Annual Base Salary will be subject to an annual review by the Board and adjustment in the Board’s sole discretion. The next review will be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 Target as a percent of Annual Base Salary.</w:t>
      </w:r>
    </w:p>
    <w:p>
      <w:pPr>
        <w:spacing w:after="0" w:line="248" w:lineRule="exact"/>
        <w:rPr>
          <w:sz w:val="20"/>
          <w:szCs w:val="20"/>
          <w:color w:val="auto"/>
        </w:rPr>
      </w:pPr>
    </w:p>
    <w:p>
      <w:pPr>
        <w:jc w:val="both"/>
        <w:ind w:firstLine="8"/>
        <w:spacing w:after="0" w:line="269" w:lineRule="auto"/>
        <w:tabs>
          <w:tab w:leader="none" w:pos="17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4" w:right="339" w:bottom="1440" w:gutter="0" w:footer="0" w:header="0"/>
          <w:type w:val="continuous"/>
        </w:sectPr>
      </w:pPr>
    </w:p>
    <w:bookmarkStart w:id="167" w:name="page168"/>
    <w:bookmarkEnd w:id="167"/>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651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3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eligible to participate in the Mondelēz International Management Incentive Plan (the “MIP”), the Company’s annual incentive program. Your target award opportunity under the MIP is equal to 80% of your Annual Base Salary. The actual amount you receive may be lower or higher, depending on your individual performance and the Company’s overall performance during the year. The maximum award under this program for 2021 is 200% of your target opportunity. The Company reserves the right to change the maximum award annually.</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For the 2021 MIP plan year ending on December 31, 2021, your award will be prorated based on your date of hire. Your actual award will ultimately be determined based on your individual performance during your period of employment and the Company’s actual overall performance for the full 2021 plan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Incentives (Annual Equity Program)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will be eligible to fully participate in the Company’s annual equity program. Equity grants are typically made annually in February. For 2021, you will receive a $1,800,000 equity grant, 75% of the grant value will be in performance share units (“PSUs”) and 25% of the grant value will be in stock options (with the actual number of shares, units, or options based on the closing stock price on date of hire). These performance share units and stock options will be subject to the terms and conditions set forth in the Plan and the Company’s standard Global Long-Term Incentive Agreements as in effect on the date hereof.</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Sign-On Awards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As part of your offer of employment, on your date of hire you will receive:</w:t>
      </w:r>
    </w:p>
    <w:p>
      <w:pPr>
        <w:spacing w:after="0" w:line="247"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Sign-on equity grants with a value of $2,350,000. The equity grants will be awarded as follows:</w:t>
      </w:r>
    </w:p>
    <w:p>
      <w:pPr>
        <w:spacing w:after="0" w:line="30" w:lineRule="exact"/>
        <w:rPr>
          <w:rFonts w:ascii="Times New Roman" w:cs="Times New Roman" w:eastAsia="Times New Roman" w:hAnsi="Times New Roman"/>
          <w:sz w:val="22"/>
          <w:szCs w:val="22"/>
          <w:color w:val="auto"/>
        </w:rPr>
      </w:pPr>
    </w:p>
    <w:p>
      <w:pPr>
        <w:jc w:val="both"/>
        <w:ind w:left="1300" w:hanging="320"/>
        <w:spacing w:after="0" w:line="243" w:lineRule="auto"/>
        <w:tabs>
          <w:tab w:leader="none" w:pos="1291" w:val="left"/>
        </w:tabs>
        <w:numPr>
          <w:ilvl w:val="1"/>
          <w:numId w:val="94"/>
        </w:numPr>
        <w:rPr>
          <w:rFonts w:ascii="Arial" w:cs="Arial" w:eastAsia="Arial" w:hAnsi="Arial"/>
          <w:sz w:val="22"/>
          <w:szCs w:val="22"/>
          <w:color w:val="auto"/>
        </w:rPr>
      </w:pPr>
      <w:r>
        <w:rPr>
          <w:rFonts w:ascii="Arial" w:cs="Arial" w:eastAsia="Arial" w:hAnsi="Arial"/>
          <w:sz w:val="22"/>
          <w:szCs w:val="22"/>
          <w:color w:val="auto"/>
        </w:rPr>
        <w:t>$750,000 – You will be granted performance share units (“PSUs”) under our 2019-2021 performance cycle. The number of units granted will be based on the closing stock price on your date of hire. This award is scheduled to vest no later than March 1, 2022 with the performance period ending December 31, 2021.</w:t>
      </w:r>
    </w:p>
    <w:p>
      <w:pPr>
        <w:spacing w:after="0" w:line="1" w:lineRule="exact"/>
        <w:rPr>
          <w:rFonts w:ascii="Arial" w:cs="Arial" w:eastAsia="Arial" w:hAnsi="Arial"/>
          <w:sz w:val="22"/>
          <w:szCs w:val="22"/>
          <w:color w:val="auto"/>
        </w:rPr>
      </w:pPr>
    </w:p>
    <w:p>
      <w:pPr>
        <w:jc w:val="both"/>
        <w:ind w:left="1300" w:hanging="320"/>
        <w:spacing w:after="0" w:line="248" w:lineRule="auto"/>
        <w:tabs>
          <w:tab w:leader="none" w:pos="1291" w:val="left"/>
        </w:tabs>
        <w:numPr>
          <w:ilvl w:val="1"/>
          <w:numId w:val="94"/>
        </w:numPr>
        <w:rPr>
          <w:rFonts w:ascii="Arial" w:cs="Arial" w:eastAsia="Arial" w:hAnsi="Arial"/>
          <w:sz w:val="22"/>
          <w:szCs w:val="22"/>
          <w:color w:val="auto"/>
        </w:rPr>
      </w:pPr>
      <w:r>
        <w:rPr>
          <w:rFonts w:ascii="Arial" w:cs="Arial" w:eastAsia="Arial" w:hAnsi="Arial"/>
          <w:sz w:val="22"/>
          <w:szCs w:val="22"/>
          <w:color w:val="auto"/>
        </w:rPr>
        <w:t>$800,000 – You will be granted PSUs under our 2020-2022 performance cycle. The number of units granted will be based on the closing stock price on your date of hire. This award will vest no later than March 1, 2023 with the performance period ending December 31,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651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61" w:lineRule="exact"/>
        <w:rPr>
          <w:sz w:val="20"/>
          <w:szCs w:val="20"/>
          <w:color w:val="auto"/>
        </w:rPr>
      </w:pPr>
    </w:p>
    <w:p>
      <w:pPr>
        <w:jc w:val="both"/>
        <w:ind w:left="1300" w:hanging="320"/>
        <w:spacing w:after="0" w:line="245" w:lineRule="auto"/>
        <w:tabs>
          <w:tab w:leader="none" w:pos="12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$550,000 – This award will be granted as Stock Options. The number of options granted will be based on the closing stock price on your date of hire. This award will vest 33%, 33% and 34% on your first three anniversaries, respectively. You will have 10 years from the date of grant to exercise these options.</w:t>
      </w:r>
    </w:p>
    <w:p>
      <w:pPr>
        <w:spacing w:after="0" w:line="4" w:lineRule="exact"/>
        <w:rPr>
          <w:rFonts w:ascii="Arial" w:cs="Arial" w:eastAsia="Arial" w:hAnsi="Arial"/>
          <w:sz w:val="22"/>
          <w:szCs w:val="22"/>
          <w:color w:val="auto"/>
        </w:rPr>
      </w:pPr>
    </w:p>
    <w:p>
      <w:pPr>
        <w:ind w:left="1300" w:right="240" w:hanging="320"/>
        <w:spacing w:after="0" w:line="229" w:lineRule="auto"/>
        <w:tabs>
          <w:tab w:leader="none" w:pos="1293" w:val="left"/>
        </w:tabs>
        <w:numPr>
          <w:ilvl w:val="0"/>
          <w:numId w:val="95"/>
        </w:numPr>
        <w:rPr>
          <w:rFonts w:ascii="Verdana" w:cs="Verdana" w:eastAsia="Verdana" w:hAnsi="Verdana"/>
          <w:sz w:val="20"/>
          <w:szCs w:val="20"/>
          <w:color w:val="auto"/>
        </w:rPr>
      </w:pPr>
      <w:r>
        <w:rPr>
          <w:rFonts w:ascii="Verdana" w:cs="Verdana" w:eastAsia="Verdana" w:hAnsi="Verdana"/>
          <w:sz w:val="20"/>
          <w:szCs w:val="20"/>
          <w:color w:val="auto"/>
        </w:rPr>
        <w:t>$250,000 - This award will be granted as deferred stock units that vest 100% on your fifth-year anniversary. The number of units granted will be based on the closing stock price on your date of hire.</w:t>
      </w:r>
    </w:p>
    <w:p>
      <w:pPr>
        <w:spacing w:after="0" w:line="225"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Furthermore, solely for these sign-on stock awards, upon an involuntary termination without Cause or your resignation for Good Reason, or due to your death or Disability, occurring at any time during the applicable vesting periods for these awards, you will fully vest in the awards, contingent on your executing and not revoking a general release of claims at the time. The PSUs will vest on the original vesting dates and the number of shares earned will be based on actual business results during the respective performance cycle. The deferred stock units and stock options will immediately vest upon your separation. Additionally, in the event that you resign (other than for Good Reason) prior to your 2-year anniversary, any proceeds received from sign-on stock awards vesting prior to January 1, 2023 will need to be repaid to the Company. Other than the vesting schedule and separation treatment described above, these PSUs, deferred stock units and stock options will be subject to all other terms and conditions set forth in the Plan and the Company’s standard equity agreements as in effect on the date hereof.</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Deferred Compensation Plan</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 Change in Control Plan</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22"/>
          <w:szCs w:val="22"/>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Offer Letter:</w:t>
      </w:r>
    </w:p>
    <w:p>
      <w:pPr>
        <w:spacing w:after="0" w:line="247"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22"/>
          <w:szCs w:val="22"/>
          <w:color w:val="auto"/>
        </w:rPr>
      </w:pPr>
      <w:r>
        <w:rPr>
          <w:rFonts w:ascii="Arial" w:cs="Arial" w:eastAsia="Arial" w:hAnsi="Arial"/>
          <w:sz w:val="22"/>
          <w:szCs w:val="22"/>
          <w:color w:val="auto"/>
        </w:rPr>
        <w:t>“Cause” has the meaning set forth in the CIC Plan.</w:t>
      </w:r>
    </w:p>
    <w:p>
      <w:pPr>
        <w:spacing w:after="0" w:line="24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96"/>
        </w:numPr>
        <w:rPr>
          <w:rFonts w:ascii="Times New Roman" w:cs="Times New Roman" w:eastAsia="Times New Roman" w:hAnsi="Times New Roman"/>
          <w:sz w:val="22"/>
          <w:szCs w:val="22"/>
          <w:color w:val="auto"/>
        </w:rPr>
      </w:pPr>
      <w:r>
        <w:rPr>
          <w:rFonts w:ascii="Arial" w:cs="Arial" w:eastAsia="Arial" w:hAnsi="Arial"/>
          <w:sz w:val="22"/>
          <w:szCs w:val="22"/>
          <w:color w:val="auto"/>
        </w:rPr>
        <w:t>“Good Reason” has the meaning set forth in the CIC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type w:val="continuous"/>
        </w:sectPr>
      </w:pPr>
    </w:p>
    <w:bookmarkStart w:id="169" w:name="page170"/>
    <w:bookmarkEnd w:id="169"/>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651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49" w:lineRule="exact"/>
        <w:rPr>
          <w:sz w:val="20"/>
          <w:szCs w:val="20"/>
          <w:color w:val="auto"/>
        </w:rPr>
      </w:pPr>
    </w:p>
    <w:p>
      <w:pPr>
        <w:ind w:right="280"/>
        <w:spacing w:after="0" w:line="255" w:lineRule="auto"/>
        <w:rPr>
          <w:sz w:val="20"/>
          <w:szCs w:val="20"/>
          <w:color w:val="auto"/>
        </w:rPr>
      </w:pPr>
      <w:r>
        <w:rPr>
          <w:rFonts w:ascii="Arial" w:cs="Arial" w:eastAsia="Arial" w:hAnsi="Arial"/>
          <w:sz w:val="22"/>
          <w:szCs w:val="22"/>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You will be eligible for one-time relocation benefits through December 31, 2021 to Chicago, Illinois pursuant to the Company’s standard relocation policy for executives at your level in effect at the time of your move.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9" w:lineRule="exact"/>
        <w:rPr>
          <w:sz w:val="20"/>
          <w:szCs w:val="20"/>
          <w:color w:val="auto"/>
        </w:rPr>
      </w:pPr>
    </w:p>
    <w:p>
      <w:pPr>
        <w:jc w:val="both"/>
        <w:spacing w:after="0" w:line="267" w:lineRule="auto"/>
        <w:rPr>
          <w:sz w:val="20"/>
          <w:szCs w:val="20"/>
          <w:color w:val="auto"/>
        </w:rPr>
      </w:pPr>
      <w:r>
        <w:rPr>
          <w:rFonts w:ascii="Arial" w:cs="Arial" w:eastAsia="Arial" w:hAnsi="Arial"/>
          <w:sz w:val="22"/>
          <w:szCs w:val="22"/>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22"/>
          <w:szCs w:val="22"/>
          <w:b w:val="1"/>
          <w:bCs w:val="1"/>
          <w:u w:val="single" w:color="auto"/>
          <w:color w:val="auto"/>
        </w:rPr>
        <w:t>Appendix A</w:t>
      </w:r>
      <w:r>
        <w:rPr>
          <w:rFonts w:ascii="Arial" w:cs="Arial" w:eastAsia="Arial" w:hAnsi="Arial"/>
          <w:sz w:val="22"/>
          <w:szCs w:val="22"/>
          <w:color w:val="auto"/>
        </w:rPr>
        <w:t xml:space="preserve"> and will acknowledge such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651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Covenant Agreement by signing the Covenant Agreement simultaneously with this offer of employment.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409A of the Internal Revenue Code of 1986, as amended (the “Code”)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 otherwise payable but in the later such taxable year and shall include all payments that otherwise would have been made before such date.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22"/>
          <w:szCs w:val="22"/>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651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61" w:lineRule="exact"/>
        <w:rPr>
          <w:sz w:val="20"/>
          <w:szCs w:val="20"/>
          <w:color w:val="auto"/>
        </w:rPr>
      </w:pPr>
    </w:p>
    <w:p>
      <w:pPr>
        <w:ind w:left="660" w:hanging="652"/>
        <w:spacing w:after="0" w:line="252" w:lineRule="auto"/>
        <w:tabs>
          <w:tab w:leader="none" w:pos="47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ind w:left="660" w:right="20" w:hanging="652"/>
        <w:spacing w:after="0" w:line="243" w:lineRule="auto"/>
        <w:tabs>
          <w:tab w:leader="none" w:pos="539"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calendar year in which the expense was incurred; and</w:t>
      </w:r>
    </w:p>
    <w:p>
      <w:pPr>
        <w:ind w:left="540" w:hanging="532"/>
        <w:spacing w:after="0"/>
        <w:tabs>
          <w:tab w:leader="none" w:pos="5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your right to reimbursement or in-kind benefits is not subject to liquidation or exchange for any other benefit.</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Terms and Conditions</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You will be a U.S. employee of Mondelēz Global LLC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 successful completion of our pre-employment checks. These include:</w:t>
      </w:r>
    </w:p>
    <w:p>
      <w:pPr>
        <w:spacing w:after="0" w:line="32" w:lineRule="exact"/>
        <w:rPr>
          <w:sz w:val="20"/>
          <w:szCs w:val="20"/>
          <w:color w:val="auto"/>
        </w:rPr>
      </w:pPr>
    </w:p>
    <w:p>
      <w:pPr>
        <w:jc w:val="both"/>
        <w:ind w:left="720" w:hanging="323"/>
        <w:spacing w:after="0" w:line="243" w:lineRule="auto"/>
        <w:tabs>
          <w:tab w:leader="none" w:pos="711" w:val="left"/>
        </w:tabs>
        <w:numPr>
          <w:ilvl w:val="0"/>
          <w:numId w:val="98"/>
        </w:numPr>
        <w:rPr>
          <w:rFonts w:ascii="Arial" w:cs="Arial" w:eastAsia="Arial" w:hAnsi="Arial"/>
          <w:sz w:val="22"/>
          <w:szCs w:val="22"/>
          <w:color w:val="auto"/>
        </w:rPr>
      </w:pPr>
      <w:r>
        <w:rPr>
          <w:rFonts w:ascii="Arial" w:cs="Arial" w:eastAsia="Arial" w:hAnsi="Arial"/>
          <w:sz w:val="22"/>
          <w:szCs w:val="22"/>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spacing w:after="0" w:line="1" w:lineRule="exact"/>
        <w:rPr>
          <w:rFonts w:ascii="Arial" w:cs="Arial" w:eastAsia="Arial" w:hAnsi="Arial"/>
          <w:sz w:val="22"/>
          <w:szCs w:val="22"/>
          <w:color w:val="auto"/>
        </w:rPr>
      </w:pPr>
    </w:p>
    <w:p>
      <w:pPr>
        <w:ind w:left="720" w:hanging="323"/>
        <w:spacing w:after="0"/>
        <w:tabs>
          <w:tab w:leader="none" w:pos="7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post-offer drug screen via current Company protocols and</w:t>
      </w:r>
    </w:p>
    <w:p>
      <w:pPr>
        <w:spacing w:after="0" w:line="3" w:lineRule="exact"/>
        <w:rPr>
          <w:rFonts w:ascii="Arial" w:cs="Arial" w:eastAsia="Arial" w:hAnsi="Arial"/>
          <w:sz w:val="22"/>
          <w:szCs w:val="22"/>
          <w:color w:val="auto"/>
        </w:rPr>
      </w:pPr>
    </w:p>
    <w:p>
      <w:pPr>
        <w:ind w:left="720" w:hanging="323"/>
        <w:spacing w:after="0"/>
        <w:tabs>
          <w:tab w:leader="none" w:pos="7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proof of eligibility to work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985520" cy="651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595959"/>
        </w:rPr>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concerning this information, please contact me.</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H. Pendleton</w:t>
            </w:r>
          </w:p>
        </w:tc>
        <w:tc>
          <w:tcPr>
            <w:tcW w:w="3180" w:type="dxa"/>
            <w:vAlign w:val="bottom"/>
          </w:tcPr>
          <w:p>
            <w:pPr>
              <w:spacing w:after="0"/>
              <w:rPr>
                <w:sz w:val="24"/>
                <w:szCs w:val="24"/>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November 9, 2020</w:t>
            </w:r>
          </w:p>
        </w:tc>
      </w:tr>
      <w:tr>
        <w:trPr>
          <w:trHeight w:val="298"/>
        </w:trPr>
        <w:tc>
          <w:tcPr>
            <w:tcW w:w="7220" w:type="dxa"/>
            <w:vAlign w:val="bottom"/>
            <w:gridSpan w:val="2"/>
          </w:tcPr>
          <w:p>
            <w:pPr>
              <w:ind w:left="20"/>
              <w:spacing w:after="0"/>
              <w:rPr>
                <w:sz w:val="20"/>
                <w:szCs w:val="20"/>
                <w:color w:val="auto"/>
              </w:rPr>
            </w:pPr>
            <w:r>
              <w:rPr>
                <w:rFonts w:ascii="Arial" w:cs="Arial" w:eastAsia="Arial" w:hAnsi="Arial"/>
                <w:sz w:val="22"/>
                <w:szCs w:val="22"/>
                <w:color w:val="auto"/>
              </w:rPr>
              <w:t>David H. Pendleton</w:t>
            </w:r>
          </w:p>
        </w:tc>
        <w:tc>
          <w:tcPr>
            <w:tcW w:w="226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311"/>
        </w:trPr>
        <w:tc>
          <w:tcPr>
            <w:tcW w:w="7220" w:type="dxa"/>
            <w:vAlign w:val="bottom"/>
            <w:gridSpan w:val="2"/>
          </w:tcPr>
          <w:p>
            <w:pPr>
              <w:ind w:left="20"/>
              <w:spacing w:after="0"/>
              <w:rPr>
                <w:sz w:val="20"/>
                <w:szCs w:val="20"/>
                <w:color w:val="auto"/>
              </w:rPr>
            </w:pPr>
            <w:r>
              <w:rPr>
                <w:rFonts w:ascii="Arial" w:cs="Arial" w:eastAsia="Arial" w:hAnsi="Arial"/>
                <w:sz w:val="22"/>
                <w:szCs w:val="22"/>
                <w:color w:val="auto"/>
              </w:rPr>
              <w:t>SVP Total Rewards &amp; HR Solutions</w:t>
            </w:r>
          </w:p>
        </w:tc>
        <w:tc>
          <w:tcPr>
            <w:tcW w:w="2260" w:type="dxa"/>
            <w:vAlign w:val="bottom"/>
          </w:tcPr>
          <w:p>
            <w:pPr>
              <w:spacing w:after="0"/>
              <w:rPr>
                <w:sz w:val="24"/>
                <w:szCs w:val="24"/>
                <w:color w:val="auto"/>
              </w:rPr>
            </w:pPr>
          </w:p>
        </w:tc>
      </w:tr>
      <w:tr>
        <w:trPr>
          <w:trHeight w:val="310"/>
        </w:trPr>
        <w:tc>
          <w:tcPr>
            <w:tcW w:w="7220" w:type="dxa"/>
            <w:vAlign w:val="bottom"/>
            <w:gridSpan w:val="2"/>
          </w:tcPr>
          <w:p>
            <w:pPr>
              <w:ind w:left="20"/>
              <w:spacing w:after="0"/>
              <w:rPr>
                <w:sz w:val="20"/>
                <w:szCs w:val="20"/>
                <w:color w:val="auto"/>
              </w:rPr>
            </w:pPr>
            <w:r>
              <w:rPr>
                <w:rFonts w:ascii="Arial" w:cs="Arial" w:eastAsia="Arial" w:hAnsi="Arial"/>
                <w:sz w:val="22"/>
                <w:szCs w:val="22"/>
                <w:color w:val="auto"/>
              </w:rPr>
              <w:t>Mondelēz Global LLC</w:t>
            </w: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79" w:lineRule="auto"/>
        <w:rPr>
          <w:sz w:val="20"/>
          <w:szCs w:val="20"/>
          <w:color w:val="auto"/>
        </w:rPr>
      </w:pPr>
      <w:r>
        <w:rPr>
          <w:rFonts w:ascii="Arial" w:cs="Arial" w:eastAsia="Arial" w:hAnsi="Arial"/>
          <w:sz w:val="22"/>
          <w:szCs w:val="22"/>
          <w:color w:val="auto"/>
        </w:rPr>
        <w:t>I have read the above terms and conditions and, by signing below, do accept this offer. This letter does not, in any way, constitute an express or implied contract for employment.</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Laura Stein</w:t>
            </w:r>
          </w:p>
        </w:tc>
        <w:tc>
          <w:tcPr>
            <w:tcW w:w="3780" w:type="dxa"/>
            <w:vAlign w:val="bottom"/>
          </w:tcPr>
          <w:p>
            <w:pPr>
              <w:spacing w:after="0"/>
              <w:rPr>
                <w:sz w:val="24"/>
                <w:szCs w:val="24"/>
                <w:color w:val="auto"/>
              </w:rPr>
            </w:pPr>
          </w:p>
        </w:tc>
        <w:tc>
          <w:tcPr>
            <w:tcW w:w="2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November 13, 2020</w:t>
            </w:r>
          </w:p>
        </w:tc>
      </w:tr>
      <w:tr>
        <w:trPr>
          <w:trHeight w:val="298"/>
        </w:trPr>
        <w:tc>
          <w:tcPr>
            <w:tcW w:w="3320" w:type="dxa"/>
            <w:vAlign w:val="bottom"/>
          </w:tcPr>
          <w:p>
            <w:pPr>
              <w:ind w:left="20"/>
              <w:spacing w:after="0"/>
              <w:rPr>
                <w:sz w:val="20"/>
                <w:szCs w:val="20"/>
                <w:color w:val="auto"/>
              </w:rPr>
            </w:pPr>
            <w:r>
              <w:rPr>
                <w:rFonts w:ascii="Arial" w:cs="Arial" w:eastAsia="Arial" w:hAnsi="Arial"/>
                <w:sz w:val="22"/>
                <w:szCs w:val="22"/>
                <w:color w:val="auto"/>
              </w:rPr>
              <w:t>Laura Stein</w:t>
            </w:r>
          </w:p>
        </w:tc>
        <w:tc>
          <w:tcPr>
            <w:tcW w:w="378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854"/>
        </w:trPr>
        <w:tc>
          <w:tcPr>
            <w:tcW w:w="3320" w:type="dxa"/>
            <w:vAlign w:val="bottom"/>
          </w:tcPr>
          <w:p>
            <w:pPr>
              <w:spacing w:after="0"/>
              <w:rPr>
                <w:sz w:val="24"/>
                <w:szCs w:val="24"/>
                <w:color w:val="auto"/>
              </w:rPr>
            </w:pPr>
          </w:p>
        </w:tc>
        <w:tc>
          <w:tcPr>
            <w:tcW w:w="6660" w:type="dxa"/>
            <w:vAlign w:val="bottom"/>
            <w:gridSpan w:val="2"/>
          </w:tcPr>
          <w:p>
            <w:pPr>
              <w:jc w:val="center"/>
              <w:ind w:right="1952"/>
              <w:spacing w:after="0"/>
              <w:rPr>
                <w:sz w:val="20"/>
                <w:szCs w:val="20"/>
                <w:color w:val="auto"/>
              </w:rPr>
            </w:pPr>
            <w:r>
              <w:rPr>
                <w:rFonts w:ascii="Arial" w:cs="Arial" w:eastAsia="Arial" w:hAnsi="Arial"/>
                <w:sz w:val="18"/>
                <w:szCs w:val="18"/>
                <w:i w:val="1"/>
                <w:iCs w:val="1"/>
                <w:color w:val="auto"/>
                <w:w w:val="99"/>
              </w:rPr>
              <w:t>[Signature Page to Ms. Laura Stein Offer Letter]</w:t>
            </w:r>
          </w:p>
        </w:tc>
      </w:tr>
      <w:tr>
        <w:trPr>
          <w:trHeight w:val="1053"/>
        </w:trPr>
        <w:tc>
          <w:tcPr>
            <w:tcW w:w="3320" w:type="dxa"/>
            <w:vAlign w:val="bottom"/>
          </w:tcPr>
          <w:p>
            <w:pPr>
              <w:spacing w:after="0"/>
              <w:rPr>
                <w:sz w:val="24"/>
                <w:szCs w:val="24"/>
                <w:color w:val="auto"/>
              </w:rPr>
            </w:pPr>
          </w:p>
        </w:tc>
        <w:tc>
          <w:tcPr>
            <w:tcW w:w="3780" w:type="dxa"/>
            <w:vAlign w:val="bottom"/>
          </w:tcPr>
          <w:p>
            <w:pPr>
              <w:jc w:val="right"/>
              <w:ind w:right="133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Appendix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Restrictive Covenants Agreement</w:t>
      </w:r>
    </w:p>
    <w:p>
      <w:pPr>
        <w:spacing w:after="0" w:line="21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Covenant Agreement is an extension of and incorporated into the offer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Executive and MG under which MG desires and agrees to employ Executive and Executive desires and agrees to be employed by MG (the “Offer Letter”); and</w:t>
      </w:r>
    </w:p>
    <w:p>
      <w:pPr>
        <w:spacing w:after="0" w:line="15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part of performing Executive’s responsibilities for MG, Executive will have access to MG’s</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(as defined in Paragraph 2(a) below) and Intellectual Property (as defined in Paragraph 3(a) below).</w:t>
      </w:r>
    </w:p>
    <w:p>
      <w:pPr>
        <w:spacing w:after="0" w:line="15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including the promises and covenants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including monetary consideration, Executive’s employment with MG and Executive’s access to and use of MG’s Confidential Information and Intellectual Property, MG and Executive hereby agree as follows:</w:t>
      </w:r>
    </w:p>
    <w:p>
      <w:pPr>
        <w:spacing w:after="0" w:line="163" w:lineRule="exact"/>
        <w:rPr>
          <w:sz w:val="20"/>
          <w:szCs w:val="20"/>
          <w:color w:val="auto"/>
        </w:rPr>
      </w:pPr>
    </w:p>
    <w:p>
      <w:pPr>
        <w:jc w:val="both"/>
        <w:ind w:firstLine="656"/>
        <w:spacing w:after="0" w:line="249" w:lineRule="auto"/>
        <w:tabs>
          <w:tab w:leader="none" w:pos="1287"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Executive’s employment with MG and Executive’s access to and use of</w:t>
      </w:r>
      <w:r>
        <w:rPr>
          <w:rFonts w:ascii="Arial" w:cs="Arial" w:eastAsia="Arial" w:hAnsi="Arial"/>
          <w:sz w:val="22"/>
          <w:szCs w:val="22"/>
          <w:b w:val="1"/>
          <w:bCs w:val="1"/>
          <w:color w:val="auto"/>
        </w:rPr>
        <w:t xml:space="preserve"> </w:t>
      </w:r>
      <w:r>
        <w:rPr>
          <w:rFonts w:ascii="Arial" w:cs="Arial" w:eastAsia="Arial" w:hAnsi="Arial"/>
          <w:sz w:val="22"/>
          <w:szCs w:val="22"/>
          <w:color w:val="auto"/>
        </w:rPr>
        <w:t>MG’s Confidential Information, as 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221" w:lineRule="exact"/>
        <w:rPr>
          <w:rFonts w:ascii="Arial" w:cs="Arial" w:eastAsia="Arial" w:hAnsi="Arial"/>
          <w:sz w:val="22"/>
          <w:szCs w:val="22"/>
          <w:color w:val="auto"/>
        </w:rPr>
      </w:pPr>
    </w:p>
    <w:p>
      <w:pPr>
        <w:jc w:val="both"/>
        <w:ind w:left="660" w:firstLine="644"/>
        <w:spacing w:after="0" w:line="249" w:lineRule="auto"/>
        <w:tabs>
          <w:tab w:leader="none" w:pos="1950" w:val="left"/>
        </w:tabs>
        <w:numPr>
          <w:ilvl w:val="1"/>
          <w:numId w:val="99"/>
        </w:numPr>
        <w:rPr>
          <w:rFonts w:ascii="Arial" w:cs="Arial" w:eastAsia="Arial" w:hAnsi="Arial"/>
          <w:sz w:val="22"/>
          <w:szCs w:val="22"/>
          <w:color w:val="auto"/>
        </w:rPr>
      </w:pPr>
      <w:r>
        <w:rPr>
          <w:rFonts w:ascii="Arial" w:cs="Arial" w:eastAsia="Arial" w:hAnsi="Arial"/>
          <w:sz w:val="22"/>
          <w:szCs w:val="22"/>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47" w:right="339" w:bottom="1440" w:gutter="0" w:footer="0" w:header="0"/>
          <w:type w:val="continuous"/>
        </w:sectPr>
      </w:pPr>
    </w:p>
    <w:bookmarkStart w:id="174" w:name="page175"/>
    <w:bookmarkEnd w:id="174"/>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to a reasonable person to be confidential or proprietary in the context and circumstances in which the 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 information that is or may become known to Executive or to the public from sources outside MG and through means other than a breach of this Covenant Agreement.</w:t>
      </w:r>
    </w:p>
    <w:p>
      <w:pPr>
        <w:spacing w:after="0" w:line="228" w:lineRule="exact"/>
        <w:rPr>
          <w:sz w:val="20"/>
          <w:szCs w:val="20"/>
          <w:color w:val="auto"/>
        </w:rPr>
      </w:pPr>
    </w:p>
    <w:p>
      <w:pPr>
        <w:jc w:val="both"/>
        <w:ind w:firstLine="644"/>
        <w:spacing w:after="0" w:line="248" w:lineRule="auto"/>
        <w:tabs>
          <w:tab w:leader="none" w:pos="129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 (iii) 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174" w:lineRule="exact"/>
        <w:rPr>
          <w:rFonts w:ascii="Arial" w:cs="Arial" w:eastAsia="Arial" w:hAnsi="Arial"/>
          <w:sz w:val="22"/>
          <w:szCs w:val="22"/>
          <w:color w:val="auto"/>
        </w:rPr>
      </w:pPr>
    </w:p>
    <w:p>
      <w:pPr>
        <w:jc w:val="both"/>
        <w:ind w:firstLine="644"/>
        <w:spacing w:after="0" w:line="247"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Executive agrees and understands that the obligations under this Covenant Agreement with regard to the non-disclosure and non-use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181" w:lineRule="exact"/>
        <w:rPr>
          <w:rFonts w:ascii="Arial" w:cs="Arial" w:eastAsia="Arial" w:hAnsi="Arial"/>
          <w:sz w:val="22"/>
          <w:szCs w:val="22"/>
          <w:color w:val="auto"/>
        </w:rPr>
      </w:pPr>
    </w:p>
    <w:p>
      <w:pPr>
        <w:ind w:firstLine="644"/>
        <w:spacing w:after="0" w:line="279" w:lineRule="auto"/>
        <w:tabs>
          <w:tab w:leader="none" w:pos="129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Executive understands that improper use or disclosure of the Confidential Information by Executive will cause MG to incur financial costs, loss of business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247"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6" w:lineRule="exact"/>
        <w:rPr>
          <w:sz w:val="20"/>
          <w:szCs w:val="20"/>
          <w:color w:val="auto"/>
        </w:rPr>
      </w:pPr>
    </w:p>
    <w:p>
      <w:pPr>
        <w:ind w:left="4"/>
        <w:spacing w:after="0"/>
        <w:rPr>
          <w:sz w:val="20"/>
          <w:szCs w:val="20"/>
          <w:color w:val="auto"/>
        </w:rPr>
      </w:pPr>
      <w:r>
        <w:rPr>
          <w:rFonts w:ascii="Arial" w:cs="Arial" w:eastAsia="Arial" w:hAnsi="Arial"/>
          <w:sz w:val="22"/>
          <w:szCs w:val="22"/>
          <w:color w:val="auto"/>
        </w:rPr>
        <w:t>liability under confidentiality agreements with third parties, civil damages and criminal penalties.</w:t>
      </w:r>
    </w:p>
    <w:p>
      <w:pPr>
        <w:spacing w:after="0" w:line="220" w:lineRule="exact"/>
        <w:rPr>
          <w:sz w:val="20"/>
          <w:szCs w:val="20"/>
          <w:color w:val="auto"/>
        </w:rPr>
      </w:pPr>
    </w:p>
    <w:p>
      <w:pPr>
        <w:jc w:val="both"/>
        <w:ind w:left="4" w:firstLine="644"/>
        <w:spacing w:after="0" w:line="247" w:lineRule="auto"/>
        <w:tabs>
          <w:tab w:leader="none" w:pos="1294"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Protected Rights</w:t>
      </w:r>
      <w:r>
        <w:rPr>
          <w:rFonts w:ascii="Arial" w:cs="Arial" w:eastAsia="Arial" w:hAnsi="Arial"/>
          <w:sz w:val="22"/>
          <w:szCs w:val="22"/>
          <w:color w:val="auto"/>
        </w:rPr>
        <w:t>. Executive understands that 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color w:val="auto"/>
        </w:rPr>
        <w:t>.</w:t>
      </w:r>
    </w:p>
    <w:p>
      <w:pPr>
        <w:spacing w:after="0" w:line="248" w:lineRule="exact"/>
        <w:rPr>
          <w:rFonts w:ascii="Arial" w:cs="Arial" w:eastAsia="Arial" w:hAnsi="Arial"/>
          <w:sz w:val="22"/>
          <w:szCs w:val="22"/>
          <w:color w:val="auto"/>
        </w:rPr>
      </w:pPr>
    </w:p>
    <w:p>
      <w:pPr>
        <w:jc w:val="both"/>
        <w:ind w:left="4" w:firstLine="644"/>
        <w:spacing w:after="0" w:line="260" w:lineRule="auto"/>
        <w:tabs>
          <w:tab w:leader="none" w:pos="1169"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Disclosure and Assignment</w:t>
      </w:r>
      <w:r>
        <w:rPr>
          <w:rFonts w:ascii="Arial" w:cs="Arial" w:eastAsia="Arial" w:hAnsi="Arial"/>
          <w:sz w:val="21"/>
          <w:szCs w:val="21"/>
          <w:color w:val="auto"/>
        </w:rPr>
        <w:t>. Executive agrees to make prompt written disclosure to MG, to hold in trust for the sole right and benefit of MG, and to assign to MG all Executive’s right, title and 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168" w:lineRule="exact"/>
        <w:rPr>
          <w:rFonts w:ascii="Arial" w:cs="Arial" w:eastAsia="Arial" w:hAnsi="Arial"/>
          <w:sz w:val="21"/>
          <w:szCs w:val="21"/>
          <w:color w:val="auto"/>
        </w:rPr>
      </w:pPr>
    </w:p>
    <w:p>
      <w:pPr>
        <w:jc w:val="both"/>
        <w:ind w:left="4" w:firstLine="644"/>
        <w:spacing w:after="0" w:line="252" w:lineRule="auto"/>
        <w:tabs>
          <w:tab w:leader="none" w:pos="1196"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Original Works</w:t>
      </w:r>
      <w:r>
        <w:rPr>
          <w:rFonts w:ascii="Arial" w:cs="Arial" w:eastAsia="Arial" w:hAnsi="Arial"/>
          <w:sz w:val="22"/>
          <w:szCs w:val="22"/>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170" w:lineRule="exact"/>
        <w:rPr>
          <w:rFonts w:ascii="Arial" w:cs="Arial" w:eastAsia="Arial" w:hAnsi="Arial"/>
          <w:sz w:val="22"/>
          <w:szCs w:val="22"/>
          <w:color w:val="auto"/>
        </w:rPr>
      </w:pPr>
    </w:p>
    <w:p>
      <w:pPr>
        <w:jc w:val="both"/>
        <w:ind w:left="4" w:firstLine="644"/>
        <w:spacing w:after="0" w:line="261" w:lineRule="auto"/>
        <w:tabs>
          <w:tab w:leader="none" w:pos="1238"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Executive agrees to assist MG in every reasonable and proper way to obtain and enforce United States and foreign proprietary rights relating to any and all patents, trademarks, inventions, original works of authorship, developments, improvements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247"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trade secrets of MG in any and all countries. Executive will execute, verify and deliver (i) 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174" w:lineRule="exact"/>
        <w:rPr>
          <w:sz w:val="20"/>
          <w:szCs w:val="20"/>
          <w:color w:val="auto"/>
        </w:rPr>
      </w:pPr>
    </w:p>
    <w:p>
      <w:pPr>
        <w:jc w:val="both"/>
        <w:ind w:left="660" w:firstLine="644"/>
        <w:spacing w:after="0" w:line="244" w:lineRule="auto"/>
        <w:tabs>
          <w:tab w:leader="none" w:pos="1879"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Other Obligations</w:t>
      </w:r>
      <w:r>
        <w:rPr>
          <w:rFonts w:ascii="Arial" w:cs="Arial" w:eastAsia="Arial" w:hAnsi="Arial"/>
          <w:sz w:val="22"/>
          <w:szCs w:val="22"/>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 Executive agrees to keep and maintain adequate and current records (in the form of notes, sketches, drawings and in any other form that may be required by MG) of all proprietary 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6" w:lineRule="exact"/>
        <w:rPr>
          <w:rFonts w:ascii="Arial" w:cs="Arial" w:eastAsia="Arial" w:hAnsi="Arial"/>
          <w:sz w:val="22"/>
          <w:szCs w:val="22"/>
          <w:color w:val="auto"/>
        </w:rPr>
      </w:pPr>
    </w:p>
    <w:p>
      <w:pPr>
        <w:jc w:val="both"/>
        <w:ind w:firstLine="656"/>
        <w:spacing w:after="0" w:line="252" w:lineRule="auto"/>
        <w:tabs>
          <w:tab w:leader="none" w:pos="1287" w:val="left"/>
        </w:tabs>
        <w:numPr>
          <w:ilvl w:val="0"/>
          <w:numId w:val="10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understands and agrees that the nature of Executive’s position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MG provides Executive with access to and 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4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6"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months following the termination of Executive’s employment from MG for any reason (the “Restricted Period”), Executive shall not engage in the following Prohibited Conduct:</w:t>
      </w:r>
    </w:p>
    <w:p>
      <w:pPr>
        <w:spacing w:after="0" w:line="141" w:lineRule="exact"/>
        <w:rPr>
          <w:sz w:val="20"/>
          <w:szCs w:val="20"/>
          <w:color w:val="auto"/>
        </w:rPr>
      </w:pPr>
    </w:p>
    <w:p>
      <w:pPr>
        <w:jc w:val="both"/>
        <w:ind w:left="660" w:firstLine="644"/>
        <w:spacing w:after="0" w:line="246" w:lineRule="auto"/>
        <w:tabs>
          <w:tab w:leader="none" w:pos="185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 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58" w:lineRule="exact"/>
        <w:rPr>
          <w:rFonts w:ascii="Arial" w:cs="Arial" w:eastAsia="Arial" w:hAnsi="Arial"/>
          <w:sz w:val="22"/>
          <w:szCs w:val="22"/>
          <w:color w:val="auto"/>
        </w:rPr>
      </w:pPr>
    </w:p>
    <w:p>
      <w:pPr>
        <w:jc w:val="both"/>
        <w:ind w:left="660" w:firstLine="644"/>
        <w:spacing w:after="0" w:line="258" w:lineRule="auto"/>
        <w:tabs>
          <w:tab w:leader="none" w:pos="192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 or Accounts</w:t>
      </w:r>
      <w:r>
        <w:rPr>
          <w:rFonts w:ascii="Arial" w:cs="Arial" w:eastAsia="Arial" w:hAnsi="Arial"/>
          <w:sz w:val="21"/>
          <w:szCs w:val="21"/>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Executive will not (i) solicit business from or perform services for, or for the benefit of, any customer or account of MG with which Executive had contact, participated in the contact, or about which Executive had knowledge of Confidential Information by reason of Executive’s relationship with MG within the twelve (12) month period prior to Executive’s separation of employment from MG, or (ii) 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34" w:lineRule="exact"/>
        <w:rPr>
          <w:rFonts w:ascii="Arial" w:cs="Arial" w:eastAsia="Arial" w:hAnsi="Arial"/>
          <w:sz w:val="21"/>
          <w:szCs w:val="21"/>
          <w:color w:val="auto"/>
        </w:rPr>
      </w:pPr>
    </w:p>
    <w:p>
      <w:pPr>
        <w:jc w:val="both"/>
        <w:ind w:left="660" w:firstLine="644"/>
        <w:spacing w:after="0" w:line="255" w:lineRule="auto"/>
        <w:tabs>
          <w:tab w:leader="none" w:pos="18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47"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spacing w:after="0" w:line="279" w:lineRule="auto"/>
        <w:rPr>
          <w:sz w:val="20"/>
          <w:szCs w:val="20"/>
          <w:color w:val="auto"/>
        </w:rPr>
      </w:pPr>
      <w:r>
        <w:rPr>
          <w:rFonts w:ascii="Arial" w:cs="Arial" w:eastAsia="Arial" w:hAnsi="Arial"/>
          <w:sz w:val="22"/>
          <w:szCs w:val="22"/>
          <w:color w:val="auto"/>
        </w:rPr>
        <w:t>Executive will not directly, or indirectly, solicit, hire, recruit, attempt to hire or recruit, or induce the termination of employment of any executive of MG.</w:t>
      </w:r>
    </w:p>
    <w:p>
      <w:pPr>
        <w:spacing w:after="0" w:line="6" w:lineRule="exact"/>
        <w:rPr>
          <w:sz w:val="20"/>
          <w:szCs w:val="20"/>
          <w:color w:val="auto"/>
        </w:rPr>
      </w:pPr>
    </w:p>
    <w:p>
      <w:pPr>
        <w:jc w:val="both"/>
        <w:ind w:left="660" w:firstLine="644"/>
        <w:spacing w:after="0" w:line="248" w:lineRule="auto"/>
        <w:tabs>
          <w:tab w:leader="none" w:pos="1852"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Judicial Amendment</w:t>
      </w:r>
      <w:r>
        <w:rPr>
          <w:rFonts w:ascii="Arial" w:cs="Arial" w:eastAsia="Arial" w:hAnsi="Arial"/>
          <w:sz w:val="22"/>
          <w:szCs w:val="22"/>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 contained in this Section 4 are unreasonable, illegal or offensive under any applicable law and may not be enforced as agreed herein, the parties agree that the unreasonable, illegal or offensive portions of this Section 4, whether they relate to duration, area or subject matter, shall be and hereby are revised to conform with all applicable laws and that this Agreement, as modified, shall remain in full force and effect and shall not be rendered void or illegal</w:t>
      </w:r>
      <w:r>
        <w:rPr>
          <w:rFonts w:ascii="Arial" w:cs="Arial" w:eastAsia="Arial" w:hAnsi="Arial"/>
          <w:sz w:val="22"/>
          <w:szCs w:val="22"/>
          <w:b w:val="1"/>
          <w:bCs w:val="1"/>
          <w:color w:val="auto"/>
        </w:rPr>
        <w:t>.</w:t>
      </w:r>
    </w:p>
    <w:p>
      <w:pPr>
        <w:spacing w:after="0" w:line="38" w:lineRule="exact"/>
        <w:rPr>
          <w:rFonts w:ascii="Arial" w:cs="Arial" w:eastAsia="Arial" w:hAnsi="Arial"/>
          <w:sz w:val="22"/>
          <w:szCs w:val="22"/>
          <w:color w:val="auto"/>
        </w:rPr>
      </w:pPr>
    </w:p>
    <w:p>
      <w:pPr>
        <w:jc w:val="both"/>
        <w:ind w:firstLine="656"/>
        <w:spacing w:after="0" w:line="252" w:lineRule="auto"/>
        <w:tabs>
          <w:tab w:leader="none" w:pos="1287"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MG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by MG in a separation or other similar-type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within five (5) days of Executive’s 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197" w:lineRule="exact"/>
        <w:rPr>
          <w:rFonts w:ascii="Arial" w:cs="Arial" w:eastAsia="Arial" w:hAnsi="Arial"/>
          <w:sz w:val="22"/>
          <w:szCs w:val="22"/>
          <w:color w:val="auto"/>
        </w:rPr>
      </w:pPr>
    </w:p>
    <w:p>
      <w:pPr>
        <w:jc w:val="both"/>
        <w:ind w:firstLine="656"/>
        <w:spacing w:after="0" w:line="246" w:lineRule="auto"/>
        <w:tabs>
          <w:tab w:leader="none" w:pos="1287"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No Disparagement or Harm</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discussing Executive’s relationship with MG</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affiliated and parent companies and 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Respectively, and to the extent legally permissible, executive shall promptly provide written notice of any such order to MG’s legal department and the Company shall promptly provide written notice of any such order to Executive.</w:t>
      </w:r>
    </w:p>
    <w:p>
      <w:pPr>
        <w:spacing w:after="0" w:line="176" w:lineRule="exact"/>
        <w:rPr>
          <w:rFonts w:ascii="Arial" w:cs="Arial" w:eastAsia="Arial" w:hAnsi="Arial"/>
          <w:sz w:val="22"/>
          <w:szCs w:val="22"/>
          <w:color w:val="auto"/>
        </w:rPr>
      </w:pPr>
    </w:p>
    <w:p>
      <w:pPr>
        <w:jc w:val="both"/>
        <w:ind w:right="20" w:firstLine="656"/>
        <w:spacing w:after="0" w:line="262" w:lineRule="auto"/>
        <w:tabs>
          <w:tab w:leader="none" w:pos="1287"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or MG breach any of the provisions contained in Paragraphs 2 through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Covenant Agreement, in addition to any other remedies available to MG or Executive, as applies, if Executive is the breaching party, Executive will be obligated to pay</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247" w:right="3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172" w:lineRule="exact"/>
        <w:rPr>
          <w:sz w:val="20"/>
          <w:szCs w:val="20"/>
          <w:color w:val="auto"/>
        </w:rPr>
      </w:pPr>
    </w:p>
    <w:p>
      <w:pPr>
        <w:jc w:val="both"/>
        <w:ind w:firstLine="656"/>
        <w:spacing w:after="0" w:line="256" w:lineRule="auto"/>
        <w:tabs>
          <w:tab w:leader="none" w:pos="1287"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the event Executive is offered to enter into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with a third party at any time during the Restricted Period, Executive shall immediately advise said other third party of the existence of this Covenant Agreement and shall immediately provide said person or entity with a copy of this Covenant Agreement.</w:t>
      </w:r>
    </w:p>
    <w:p>
      <w:pPr>
        <w:spacing w:after="0" w:line="162" w:lineRule="exact"/>
        <w:rPr>
          <w:rFonts w:ascii="Arial" w:cs="Arial" w:eastAsia="Arial" w:hAnsi="Arial"/>
          <w:sz w:val="22"/>
          <w:szCs w:val="22"/>
          <w:color w:val="auto"/>
        </w:rPr>
      </w:pPr>
    </w:p>
    <w:p>
      <w:pPr>
        <w:jc w:val="both"/>
        <w:ind w:firstLine="656"/>
        <w:spacing w:after="0" w:line="259" w:lineRule="auto"/>
        <w:tabs>
          <w:tab w:leader="none" w:pos="1287" w:val="left"/>
        </w:tabs>
        <w:numPr>
          <w:ilvl w:val="0"/>
          <w:numId w:val="108"/>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 of Claims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either Executive or MG contests the interpretation or application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of the terms of this Covenant 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 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62" w:lineRule="exact"/>
        <w:rPr>
          <w:rFonts w:ascii="Arial" w:cs="Arial" w:eastAsia="Arial" w:hAnsi="Arial"/>
          <w:sz w:val="21"/>
          <w:szCs w:val="21"/>
          <w:color w:val="auto"/>
        </w:rPr>
      </w:pPr>
    </w:p>
    <w:p>
      <w:pPr>
        <w:jc w:val="both"/>
        <w:ind w:firstLine="656"/>
        <w:spacing w:after="0" w:line="247" w:lineRule="auto"/>
        <w:tabs>
          <w:tab w:leader="none" w:pos="1286"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and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is the entire agreement between Executive and MG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of this Covenant Agreement. 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 release and waiver of claims provisions of any agreement related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47"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6"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Covenant Agreement are held to be unenforceable, the parties agree to enter into a release and waiver agreement that is enforceable</w:t>
      </w:r>
      <w:r>
        <w:rPr>
          <w:rFonts w:ascii="Arial" w:cs="Arial" w:eastAsia="Arial" w:hAnsi="Arial"/>
          <w:sz w:val="22"/>
          <w:szCs w:val="22"/>
          <w:b w:val="1"/>
          <w:bCs w:val="1"/>
          <w:color w:val="auto"/>
        </w:rPr>
        <w:t>.</w:t>
      </w:r>
    </w:p>
    <w:p>
      <w:pPr>
        <w:spacing w:after="0" w:line="114" w:lineRule="exact"/>
        <w:rPr>
          <w:sz w:val="20"/>
          <w:szCs w:val="20"/>
          <w:color w:val="auto"/>
        </w:rPr>
      </w:pPr>
    </w:p>
    <w:p>
      <w:pPr>
        <w:jc w:val="both"/>
        <w:ind w:firstLine="656"/>
        <w:spacing w:after="0" w:line="251" w:lineRule="auto"/>
        <w:tabs>
          <w:tab w:leader="none" w:pos="1270"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Not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understands that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is intended to, nor should be 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167" w:lineRule="exact"/>
        <w:rPr>
          <w:rFonts w:ascii="Arial" w:cs="Arial" w:eastAsia="Arial" w:hAnsi="Arial"/>
          <w:sz w:val="22"/>
          <w:szCs w:val="22"/>
          <w:color w:val="auto"/>
        </w:rPr>
      </w:pPr>
    </w:p>
    <w:p>
      <w:pPr>
        <w:jc w:val="both"/>
        <w:ind w:firstLine="656"/>
        <w:spacing w:after="0" w:line="262" w:lineRule="auto"/>
        <w:tabs>
          <w:tab w:leader="none" w:pos="128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Tolling</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violate any of the terms of the confidentiality or restrictive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in this Covenant Agreement, the obligation at issue will run from the first date on which Executive ceases to be in violation of such obligation.</w:t>
      </w:r>
    </w:p>
    <w:p>
      <w:pPr>
        <w:spacing w:after="0" w:line="157" w:lineRule="exact"/>
        <w:rPr>
          <w:rFonts w:ascii="Arial" w:cs="Arial" w:eastAsia="Arial" w:hAnsi="Arial"/>
          <w:sz w:val="22"/>
          <w:szCs w:val="22"/>
          <w:color w:val="auto"/>
        </w:rPr>
      </w:pPr>
    </w:p>
    <w:p>
      <w:pPr>
        <w:jc w:val="both"/>
        <w:ind w:firstLine="656"/>
        <w:spacing w:after="0" w:line="252" w:lineRule="auto"/>
        <w:tabs>
          <w:tab w:leader="none" w:pos="128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either party breach any of the provisions of Paragraphs 2 through 6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to the extent authorized 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70" w:lineRule="exact"/>
        <w:rPr>
          <w:rFonts w:ascii="Arial" w:cs="Arial" w:eastAsia="Arial" w:hAnsi="Arial"/>
          <w:sz w:val="22"/>
          <w:szCs w:val="22"/>
          <w:color w:val="auto"/>
        </w:rPr>
      </w:pPr>
    </w:p>
    <w:p>
      <w:pPr>
        <w:jc w:val="both"/>
        <w:ind w:firstLine="656"/>
        <w:spacing w:after="0" w:line="251" w:lineRule="auto"/>
        <w:tabs>
          <w:tab w:leader="none" w:pos="128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shall be governed under and construed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Illinois without 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167" w:lineRule="exact"/>
        <w:rPr>
          <w:rFonts w:ascii="Arial" w:cs="Arial" w:eastAsia="Arial" w:hAnsi="Arial"/>
          <w:sz w:val="22"/>
          <w:szCs w:val="22"/>
          <w:color w:val="auto"/>
        </w:rPr>
      </w:pPr>
    </w:p>
    <w:p>
      <w:pPr>
        <w:jc w:val="both"/>
        <w:ind w:firstLine="656"/>
        <w:spacing w:after="0" w:line="267" w:lineRule="auto"/>
        <w:tabs>
          <w:tab w:leader="none" w:pos="1286" w:val="left"/>
        </w:tabs>
        <w:numPr>
          <w:ilvl w:val="0"/>
          <w:numId w:val="109"/>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Covenant Agreement shall be binding upon, and inure to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and their respective successors 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47"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Chicago, IL 60607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agree that this Covenant Agreement is an extension of and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into the Offer Letter between Executive and Mondelēz International, Inc., and the parties have executed this Offer Letter freely and voluntarily with the intention of being legally bound by 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Mondelez International, Inc.</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/s/ David H.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0346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 Name : David H. Pendleton</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November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/s/ Laura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922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 Name : Laura Stein</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November 13,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Confidential Information, Intellectual Property and Restrictive Covenants Agreement-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Appendix A to Laura Stein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47" w:right="339" w:bottom="1440" w:gutter="0" w:footer="0" w:header="0"/>
        </w:sectPr>
      </w:pPr>
    </w:p>
    <w:bookmarkStart w:id="182" w:name="page183"/>
    <w:bookmarkEnd w:id="18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8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Arial" w:cs="Arial" w:eastAsia="Arial" w:hAnsi="Arial"/>
                <w:sz w:val="22"/>
                <w:szCs w:val="22"/>
                <w:b w:val="1"/>
                <w:bCs w:val="1"/>
                <w:color w:val="auto"/>
              </w:rPr>
              <w:t>Exhibit 21.1</w:t>
            </w:r>
          </w:p>
        </w:tc>
      </w:tr>
      <w:tr>
        <w:trPr>
          <w:trHeight w:val="545"/>
        </w:trPr>
        <w:tc>
          <w:tcPr>
            <w:tcW w:w="9220" w:type="dxa"/>
            <w:vAlign w:val="bottom"/>
            <w:gridSpan w:val="2"/>
          </w:tcPr>
          <w:p>
            <w:pPr>
              <w:ind w:left="4160"/>
              <w:spacing w:after="0"/>
              <w:rPr>
                <w:sz w:val="20"/>
                <w:szCs w:val="20"/>
                <w:color w:val="auto"/>
              </w:rPr>
            </w:pPr>
            <w:r>
              <w:rPr>
                <w:rFonts w:ascii="Arial" w:cs="Arial" w:eastAsia="Arial" w:hAnsi="Arial"/>
                <w:sz w:val="22"/>
                <w:szCs w:val="22"/>
                <w:b w:val="1"/>
                <w:bCs w:val="1"/>
                <w:color w:val="auto"/>
              </w:rPr>
              <w:t>Mondelēz International, Inc.</w:t>
            </w:r>
          </w:p>
        </w:tc>
        <w:tc>
          <w:tcPr>
            <w:tcW w:w="1940" w:type="dxa"/>
            <w:vAlign w:val="bottom"/>
          </w:tcPr>
          <w:p>
            <w:pPr>
              <w:spacing w:after="0"/>
              <w:rPr>
                <w:sz w:val="24"/>
                <w:szCs w:val="24"/>
                <w:color w:val="auto"/>
              </w:rPr>
            </w:pPr>
          </w:p>
        </w:tc>
      </w:tr>
      <w:tr>
        <w:trPr>
          <w:trHeight w:val="305"/>
        </w:trPr>
        <w:tc>
          <w:tcPr>
            <w:tcW w:w="9220" w:type="dxa"/>
            <w:vAlign w:val="bottom"/>
            <w:gridSpan w:val="2"/>
          </w:tcPr>
          <w:p>
            <w:pPr>
              <w:ind w:left="3840"/>
              <w:spacing w:after="0"/>
              <w:rPr>
                <w:sz w:val="20"/>
                <w:szCs w:val="20"/>
                <w:color w:val="auto"/>
              </w:rPr>
            </w:pPr>
            <w:r>
              <w:rPr>
                <w:rFonts w:ascii="Arial" w:cs="Arial" w:eastAsia="Arial" w:hAnsi="Arial"/>
                <w:sz w:val="22"/>
                <w:szCs w:val="22"/>
                <w:b w:val="1"/>
                <w:bCs w:val="1"/>
                <w:color w:val="auto"/>
              </w:rPr>
              <w:t>Subsidiaries – December 31, 2020</w:t>
            </w:r>
          </w:p>
        </w:tc>
        <w:tc>
          <w:tcPr>
            <w:tcW w:w="1940" w:type="dxa"/>
            <w:vAlign w:val="bottom"/>
          </w:tcPr>
          <w:p>
            <w:pPr>
              <w:spacing w:after="0"/>
              <w:rPr>
                <w:sz w:val="24"/>
                <w:szCs w:val="24"/>
                <w:color w:val="auto"/>
              </w:rPr>
            </w:pPr>
          </w:p>
        </w:tc>
      </w:tr>
      <w:tr>
        <w:trPr>
          <w:trHeight w:val="858"/>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Entity Name</w:t>
            </w:r>
          </w:p>
        </w:tc>
        <w:tc>
          <w:tcPr>
            <w:tcW w:w="1000" w:type="dxa"/>
            <w:vAlign w:val="bottom"/>
          </w:tcPr>
          <w:p>
            <w:pPr>
              <w:spacing w:after="0"/>
              <w:rPr>
                <w:sz w:val="24"/>
                <w:szCs w:val="24"/>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Country</w:t>
            </w:r>
          </w:p>
        </w:tc>
      </w:tr>
      <w:tr>
        <w:trPr>
          <w:trHeight w:val="247"/>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LU Algerie S.p.A.</w:t>
            </w:r>
          </w:p>
        </w:tc>
        <w:tc>
          <w:tcPr>
            <w:tcW w:w="1940" w:type="dxa"/>
            <w:vAlign w:val="bottom"/>
          </w:tcPr>
          <w:p>
            <w:pPr>
              <w:ind w:left="20"/>
              <w:spacing w:after="0"/>
              <w:rPr>
                <w:sz w:val="20"/>
                <w:szCs w:val="20"/>
                <w:color w:val="auto"/>
              </w:rPr>
            </w:pPr>
            <w:r>
              <w:rPr>
                <w:rFonts w:ascii="Arial" w:cs="Arial" w:eastAsia="Arial" w:hAnsi="Arial"/>
                <w:sz w:val="18"/>
                <w:szCs w:val="18"/>
                <w:color w:val="auto"/>
              </w:rPr>
              <w:t>Algeria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Argentina S.A.</w:t>
            </w:r>
          </w:p>
        </w:tc>
        <w:tc>
          <w:tcPr>
            <w:tcW w:w="194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Nabisco Inversiones S.R.L.</w:t>
            </w:r>
          </w:p>
        </w:tc>
        <w:tc>
          <w:tcPr>
            <w:tcW w:w="194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Van Mar SA</w:t>
            </w:r>
          </w:p>
        </w:tc>
        <w:tc>
          <w:tcPr>
            <w:tcW w:w="194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Cadbury Marketing Services Pty Limited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KF (Australia) Pty.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Australia (Foods)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Australia Group Co Pty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Australia Group Investments LP</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Australia Holdings Pty.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Australia Pty.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Australia Services Pty.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New Zealand Holdings (Australia) Pty. Ltd.</w:t>
            </w:r>
          </w:p>
        </w:tc>
        <w:tc>
          <w:tcPr>
            <w:tcW w:w="19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Mirabell Salzburger Confiserie-und Bisquit GmbH</w:t>
            </w:r>
          </w:p>
        </w:tc>
        <w:tc>
          <w:tcPr>
            <w:tcW w:w="194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Austria Services GmbH</w:t>
            </w:r>
          </w:p>
        </w:tc>
        <w:tc>
          <w:tcPr>
            <w:tcW w:w="194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Oesterreich GmbH</w:t>
            </w:r>
          </w:p>
        </w:tc>
        <w:tc>
          <w:tcPr>
            <w:tcW w:w="194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Oesterreich Production GmbH</w:t>
            </w:r>
          </w:p>
        </w:tc>
        <w:tc>
          <w:tcPr>
            <w:tcW w:w="194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Salzburger Suesswarenfabrik K.G.</w:t>
            </w:r>
          </w:p>
        </w:tc>
        <w:tc>
          <w:tcPr>
            <w:tcW w:w="194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Bahrain Biscuits WLL</w:t>
            </w:r>
          </w:p>
        </w:tc>
        <w:tc>
          <w:tcPr>
            <w:tcW w:w="1940" w:type="dxa"/>
            <w:vAlign w:val="bottom"/>
          </w:tcPr>
          <w:p>
            <w:pPr>
              <w:ind w:left="20"/>
              <w:spacing w:after="0"/>
              <w:rPr>
                <w:sz w:val="20"/>
                <w:szCs w:val="20"/>
                <w:color w:val="auto"/>
              </w:rPr>
            </w:pPr>
            <w:r>
              <w:rPr>
                <w:rFonts w:ascii="Arial" w:cs="Arial" w:eastAsia="Arial" w:hAnsi="Arial"/>
                <w:sz w:val="18"/>
                <w:szCs w:val="18"/>
                <w:color w:val="auto"/>
              </w:rPr>
              <w:t>Bahrain</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Bahrain W.L.L.</w:t>
            </w:r>
          </w:p>
        </w:tc>
        <w:tc>
          <w:tcPr>
            <w:tcW w:w="1940" w:type="dxa"/>
            <w:vAlign w:val="bottom"/>
          </w:tcPr>
          <w:p>
            <w:pPr>
              <w:ind w:left="20"/>
              <w:spacing w:after="0"/>
              <w:rPr>
                <w:sz w:val="20"/>
                <w:szCs w:val="20"/>
                <w:color w:val="auto"/>
              </w:rPr>
            </w:pPr>
            <w:r>
              <w:rPr>
                <w:rFonts w:ascii="Arial" w:cs="Arial" w:eastAsia="Arial" w:hAnsi="Arial"/>
                <w:sz w:val="18"/>
                <w:szCs w:val="18"/>
                <w:color w:val="auto"/>
              </w:rPr>
              <w:t>Bahrain</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Bangladesh Private Limited</w:t>
            </w:r>
          </w:p>
        </w:tc>
        <w:tc>
          <w:tcPr>
            <w:tcW w:w="1940" w:type="dxa"/>
            <w:vAlign w:val="bottom"/>
          </w:tcPr>
          <w:p>
            <w:pPr>
              <w:ind w:left="20"/>
              <w:spacing w:after="0"/>
              <w:rPr>
                <w:sz w:val="20"/>
                <w:szCs w:val="20"/>
                <w:color w:val="auto"/>
              </w:rPr>
            </w:pPr>
            <w:r>
              <w:rPr>
                <w:rFonts w:ascii="Arial" w:cs="Arial" w:eastAsia="Arial" w:hAnsi="Arial"/>
                <w:sz w:val="18"/>
                <w:szCs w:val="18"/>
                <w:color w:val="auto"/>
              </w:rPr>
              <w:t>Bangladesh</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Confibel SPRL</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Kraft Foods Belgium Intellectual Property</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Belgium Biscuits Production NV</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Belgium BVBA</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Belgium Chocolate Production BVBA</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Belgium Manufacturing Services BVBA</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Belgium Services BVBA</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Namur Production SPRL</w:t>
            </w:r>
          </w:p>
        </w:tc>
        <w:tc>
          <w:tcPr>
            <w:tcW w:w="1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de Alimentos Bolivia S.R.L.</w:t>
            </w:r>
          </w:p>
        </w:tc>
        <w:tc>
          <w:tcPr>
            <w:tcW w:w="1940" w:type="dxa"/>
            <w:vAlign w:val="bottom"/>
          </w:tcPr>
          <w:p>
            <w:pPr>
              <w:ind w:left="20"/>
              <w:spacing w:after="0"/>
              <w:rPr>
                <w:sz w:val="20"/>
                <w:szCs w:val="20"/>
                <w:color w:val="auto"/>
              </w:rPr>
            </w:pPr>
            <w:r>
              <w:rPr>
                <w:rFonts w:ascii="Arial" w:cs="Arial" w:eastAsia="Arial" w:hAnsi="Arial"/>
                <w:sz w:val="18"/>
                <w:szCs w:val="18"/>
                <w:color w:val="auto"/>
              </w:rPr>
              <w:t>Bolivia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Cadbury Botswana (Proprietary) Limited</w:t>
            </w:r>
          </w:p>
        </w:tc>
        <w:tc>
          <w:tcPr>
            <w:tcW w:w="1940" w:type="dxa"/>
            <w:vAlign w:val="bottom"/>
          </w:tcPr>
          <w:p>
            <w:pPr>
              <w:ind w:left="20"/>
              <w:spacing w:after="0"/>
              <w:rPr>
                <w:sz w:val="20"/>
                <w:szCs w:val="20"/>
                <w:color w:val="auto"/>
              </w:rPr>
            </w:pPr>
            <w:r>
              <w:rPr>
                <w:rFonts w:ascii="Arial" w:cs="Arial" w:eastAsia="Arial" w:hAnsi="Arial"/>
                <w:sz w:val="18"/>
                <w:szCs w:val="18"/>
                <w:color w:val="auto"/>
              </w:rPr>
              <w:t>Botswana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Brasil Ltda.</w:t>
            </w:r>
          </w:p>
        </w:tc>
        <w:tc>
          <w:tcPr>
            <w:tcW w:w="194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Brasil Norte Nordeste Ltda.</w:t>
            </w:r>
          </w:p>
        </w:tc>
        <w:tc>
          <w:tcPr>
            <w:tcW w:w="194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Bulgaria EOOD</w:t>
            </w:r>
          </w:p>
        </w:tc>
        <w:tc>
          <w:tcPr>
            <w:tcW w:w="1940" w:type="dxa"/>
            <w:vAlign w:val="bottom"/>
          </w:tcPr>
          <w:p>
            <w:pPr>
              <w:ind w:left="20"/>
              <w:spacing w:after="0"/>
              <w:rPr>
                <w:sz w:val="20"/>
                <w:szCs w:val="20"/>
                <w:color w:val="auto"/>
              </w:rPr>
            </w:pPr>
            <w:r>
              <w:rPr>
                <w:rFonts w:ascii="Arial" w:cs="Arial" w:eastAsia="Arial" w:hAnsi="Arial"/>
                <w:sz w:val="18"/>
                <w:szCs w:val="18"/>
                <w:color w:val="auto"/>
              </w:rPr>
              <w:t>Bulgaria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Bulgaria Holding AD</w:t>
            </w:r>
          </w:p>
        </w:tc>
        <w:tc>
          <w:tcPr>
            <w:tcW w:w="1940" w:type="dxa"/>
            <w:vAlign w:val="bottom"/>
          </w:tcPr>
          <w:p>
            <w:pPr>
              <w:ind w:left="20"/>
              <w:spacing w:after="0"/>
              <w:rPr>
                <w:sz w:val="20"/>
                <w:szCs w:val="20"/>
                <w:color w:val="auto"/>
              </w:rPr>
            </w:pPr>
            <w:r>
              <w:rPr>
                <w:rFonts w:ascii="Arial" w:cs="Arial" w:eastAsia="Arial" w:hAnsi="Arial"/>
                <w:sz w:val="18"/>
                <w:szCs w:val="18"/>
                <w:color w:val="auto"/>
              </w:rPr>
              <w:t>Bulgaria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Mondelez Bulgaria Production EOOD</w:t>
            </w:r>
          </w:p>
        </w:tc>
        <w:tc>
          <w:tcPr>
            <w:tcW w:w="1940" w:type="dxa"/>
            <w:vAlign w:val="bottom"/>
          </w:tcPr>
          <w:p>
            <w:pPr>
              <w:ind w:left="20"/>
              <w:spacing w:after="0"/>
              <w:rPr>
                <w:sz w:val="20"/>
                <w:szCs w:val="20"/>
                <w:color w:val="auto"/>
              </w:rPr>
            </w:pPr>
            <w:r>
              <w:rPr>
                <w:rFonts w:ascii="Arial" w:cs="Arial" w:eastAsia="Arial" w:hAnsi="Arial"/>
                <w:sz w:val="18"/>
                <w:szCs w:val="18"/>
                <w:color w:val="auto"/>
              </w:rPr>
              <w:t>Bulgaria</w:t>
            </w:r>
          </w:p>
        </w:tc>
      </w:tr>
      <w:tr>
        <w:trPr>
          <w:trHeight w:val="27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Give and Go Prepared Foods Corp. (fka GG Foods Holding Corporation)</w:t>
            </w:r>
          </w:p>
        </w:tc>
        <w:tc>
          <w:tcPr>
            <w:tcW w:w="1940" w:type="dxa"/>
            <w:vAlign w:val="bottom"/>
          </w:tcPr>
          <w:p>
            <w:pPr>
              <w:ind w:left="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160"/>
          </w:cols>
          <w:pgMar w:left="320" w:top="1440" w:right="419" w:bottom="1440" w:gutter="0" w:footer="0" w:header="0"/>
        </w:sectPr>
      </w:pPr>
    </w:p>
    <w:bookmarkStart w:id="183" w:name="page184"/>
    <w:bookmarkEnd w:id="183"/>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MCI Finance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Asia Pacific (Alberta) GP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Canada GG Acquisition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Canada Holdings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Canada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TCI Realty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Chile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(Guangzhou)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Food Co. Limited 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Beijing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China Co.,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Shanghai Foods Corporate Management Co., Ltd.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Mondelez Suzhou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Food (Suzhou)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Comerciales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 Gallito Industrial,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Costa Rica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Costa Rica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Zagreb d.o.o.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CR Biscuit Production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Opavia Lu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Danmark Intellectual Property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Danmark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Dominicana,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Ecuador Cia.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Foods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Trading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El Salvador, Ltda.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Eesti Osauhing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Finland OY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Glico 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Biscuit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Intellectual Property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Antilles Guyane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Biscuits Production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Company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Ocean Indien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R&amp;D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Georgia LLC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Dominican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ectPr>
          <w:pgSz w:w="11900" w:h="16838" w:orient="portrait"/>
          <w:cols w:equalWidth="0" w:num="2">
            <w:col w:w="8500" w:space="720"/>
            <w:col w:w="1600"/>
          </w:cols>
          <w:pgMar w:left="340" w:top="1440" w:right="739" w:bottom="1440" w:gutter="0" w:footer="0" w:header="0"/>
        </w:sectPr>
      </w:pPr>
    </w:p>
    <w:bookmarkStart w:id="184" w:name="page185"/>
    <w:bookmarkEnd w:id="184"/>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Carlton Lebensmittel Vertriebs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Deutschland Biscuits Grundstuecksverwaltungs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Deutschland Holding Grundstuecksverwaltungs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Deutschland Production Grundstuecksverwaltungs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Biscuits Production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Services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Snacks Production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Suchard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Ghana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Lapworth Commodities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Production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Guatemala,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Honduras, S. de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Gyori Keksz Kft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IP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 S Business Services (India) Pvt.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Induri Farm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India Foods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Cadbury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Cipta Manis Makmur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Kraft Symphoni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Kraft Ultrajaya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Manufacturing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Trading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Alreford DAC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Berkeley Re DAC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America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International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Ireland Intellectual Property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Insurance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Production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(Dublin)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Fattorie Osella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Italia Intellectual Property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Biscuits Production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S.r.l.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ectPr>
          <w:pgSz w:w="11900" w:h="16838" w:orient="portrait"/>
          <w:cols w:equalWidth="0" w:num="2">
            <w:col w:w="8500" w:space="720"/>
            <w:col w:w="900"/>
          </w:cols>
          <w:pgMar w:left="340" w:top="1440" w:right="1439" w:bottom="1440" w:gutter="0" w:footer="0" w:header="0"/>
        </w:sectPr>
      </w:pPr>
    </w:p>
    <w:bookmarkStart w:id="185" w:name="page186"/>
    <w:bookmarkEnd w:id="185"/>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Services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Meito Adams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Ltd TK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Kazakhstan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Kenya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Dong Suh Foods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Migabang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SIA Mondelez Latvija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Adams Middle East 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 Kraft Foods Lietuva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UAB Mondelez Baltic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UAB Mondelez Lietuva Production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Sales (M)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Sales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Mauritius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Mexico,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Productos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Integrales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Maroc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 Immobiliere Ibrahim D'Ain Sebaa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Springer Schokoladenfabrik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CIS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Enterprises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Netherlands International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Česko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Entity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Intercontinental Netherlands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MB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MC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NMB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NVA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VA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Nederland Biscuit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Nederland Intellectual Property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North America and Asia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Coffee Holdco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Biscuits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Holdings Netherlands B.V.</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International Intercontinental Netherlands B.V.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Nederland Biscuit B.V.</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8500" w:space="720"/>
            <w:col w:w="980"/>
          </w:cols>
          <w:pgMar w:left="340" w:top="1440" w:right="1359" w:bottom="1440" w:gutter="0" w:footer="0" w:header="0"/>
        </w:sectPr>
      </w:pPr>
    </w:p>
    <w:bookmarkStart w:id="186" w:name="page187"/>
    <w:bookmarkEnd w:id="186"/>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Services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Nicaragua,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Nigeria PLC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Norge Intellectual Property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Production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Pakistan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Panama, S. de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Peru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RD&amp;Q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Production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Portugal, Unipessoal Lda.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Puerto Rico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Romania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Rus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Arabia for Trading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Arabia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d.o.o.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Procurement d.o.o.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Kuan Enterprises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Asia Pacific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AP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Helix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Holdings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AMEA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Trading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Symphony Biscuits Holdings Pte.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European Business Services Centre s.r.o.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Holding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Intellectual Property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SR Production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trgovska druzba, d.o.o, Ljubjana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Chapelat-Humphries Investments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Intellectual Property SLU</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New Zealand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New Zealand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8500" w:space="720"/>
            <w:col w:w="1060"/>
          </w:cols>
          <w:pgMar w:left="340" w:top="1440" w:right="1279" w:bottom="1440" w:gutter="0" w:footer="0" w:header="0"/>
        </w:sectPr>
      </w:pPr>
    </w:p>
    <w:bookmarkStart w:id="187" w:name="page188"/>
    <w:bookmarkEnd w:id="187"/>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Commercial,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Confectionery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Galletas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Postres Production, S.A.U.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Services,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Iberia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Iberia Snacking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Chapelat Swaziland (Proprietary)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(Swaziland)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Holding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Intellectual Property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Production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Schweiz Holding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Procurement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Services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Finance AG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Production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World Travel Retail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Taloca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(Trinidad) Unlimited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Kent Gida Maddeleri Sanayii ve Ticaret Anonim Sirketi</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LLC Chipsy LYUKS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Private Joint Stock Company "Mondelez Ukraina"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Eastern Europe Middle East &amp; Africa FZE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Brentwick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Eight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Four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Nine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Nominees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Two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Finance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Investments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Overseas Limited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Swaziland/South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Trinidad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8500" w:space="720"/>
            <w:col w:w="1860"/>
          </w:cols>
          <w:pgMar w:left="340" w:top="1440" w:right="479" w:bottom="1440" w:gutter="0" w:footer="0" w:header="0"/>
        </w:sectPr>
      </w:pPr>
    </w:p>
    <w:bookmarkStart w:id="188" w:name="page189"/>
    <w:bookmarkEnd w:id="188"/>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Cadbury Seven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Six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South Africa (Holdings)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Cadbury Ten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US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Acquisitions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Assets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Suchex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Craven Keiller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Ernest Jackson &amp;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Galactogen Products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Investment Holdings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Intellectual Property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IP &amp; Production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Russia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 Rose &amp;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Biscuit Financing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UK Confectionery Production Limited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Mondelez UK Finance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Holdings &amp;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R&amp;D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Reading Scientific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Schweppes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Somerdale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Speedy Assetco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Old Leo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Bassett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Vantas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Enjoy Life Natural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Give and Go Prepared Foods (USA)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Great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VII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VIII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XI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XIV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Asia Pacific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Biscuit Brands Kuan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Europe Holdings LLC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Kingdom/South</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Africa</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ectPr>
          <w:pgSz w:w="11900" w:h="16838" w:orient="portrait"/>
          <w:cols w:equalWidth="0" w:num="2">
            <w:col w:w="8500" w:space="720"/>
            <w:col w:w="1800"/>
          </w:cols>
          <w:pgMar w:left="340" w:top="1440" w:right="539" w:bottom="1440" w:gutter="0" w:footer="0" w:header="0"/>
        </w:sectPr>
      </w:pPr>
    </w:p>
    <w:bookmarkStart w:id="189" w:name="page190"/>
    <w:bookmarkEnd w:id="189"/>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Holdings Delaware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Latin America Holding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R &amp; 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BTN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Global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Delaware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Financing Delaware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Perfect Bar Blocker,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Perfect Bar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Perfect Bar,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Sapien Merger Sub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SMR Concepts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Bake Shop,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Holding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Wholesale,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Uruguay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Adams,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Beverages de Venezuela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Compania Venezolana de Conservas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Covenco Holding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VZ,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Promotora Cadbury Adams,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Tevalca Holdings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Kinh Do Vietnam JSC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North Kinh Do One Member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Zimbabwe (Private) Limited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ectPr>
          <w:pgSz w:w="11900" w:h="16838" w:orient="portrait"/>
          <w:cols w:equalWidth="0" w:num="2">
            <w:col w:w="8500" w:space="720"/>
            <w:col w:w="1080"/>
          </w:cols>
          <w:pgMar w:left="340" w:top="1440" w:right="1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333-236787) and Form S-8 (Nos. 333-197088, 333-184178, 333-183993, 333-182066, 333-174665, 333-165736, 333-133559 and 333-125992) of Mondelēz International, Inc. of our report dated February 5, 2021 relating to the financial statements, financial statement schedule and the effectiveness of internal control over financial reporting, which appears in this Form 10-K.</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Chicago, IL</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5, 2021</w:t>
      </w:r>
    </w:p>
    <w:p>
      <w:pPr>
        <w:sectPr>
          <w:pgSz w:w="11900" w:h="16838" w:orient="portrait"/>
          <w:cols w:equalWidth="0" w:num="1">
            <w:col w:w="11240"/>
          </w:cols>
          <w:pgMar w:left="320" w:top="141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66" w:lineRule="exact"/>
        <w:rPr>
          <w:sz w:val="20"/>
          <w:szCs w:val="20"/>
          <w:color w:val="auto"/>
        </w:rPr>
      </w:pPr>
    </w:p>
    <w:p>
      <w:pPr>
        <w:ind w:left="480" w:hanging="454"/>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ind w:left="480" w:right="120" w:hanging="454"/>
        <w:spacing w:after="0" w:line="229"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8"/>
          <w:szCs w:val="18"/>
          <w:color w:val="auto"/>
        </w:rPr>
      </w:pPr>
    </w:p>
    <w:p>
      <w:pPr>
        <w:ind w:left="480" w:right="20" w:hanging="454"/>
        <w:spacing w:after="0" w:line="273" w:lineRule="auto"/>
        <w:tabs>
          <w:tab w:leader="none" w:pos="4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7"/>
          <w:szCs w:val="17"/>
          <w:color w:val="auto"/>
        </w:rPr>
      </w:pPr>
    </w:p>
    <w:p>
      <w:pPr>
        <w:ind w:left="480" w:right="100" w:hanging="454"/>
        <w:spacing w:after="0" w:line="229"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1" w:lineRule="exact"/>
        <w:rPr>
          <w:rFonts w:ascii="Arial" w:cs="Arial" w:eastAsia="Arial" w:hAnsi="Arial"/>
          <w:sz w:val="18"/>
          <w:szCs w:val="18"/>
          <w:color w:val="auto"/>
        </w:rPr>
      </w:pPr>
    </w:p>
    <w:p>
      <w:pPr>
        <w:jc w:val="both"/>
        <w:ind w:left="940" w:right="20" w:hanging="469"/>
        <w:spacing w:after="0" w:line="229" w:lineRule="auto"/>
        <w:tabs>
          <w:tab w:leader="none" w:pos="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8"/>
          <w:szCs w:val="18"/>
          <w:color w:val="auto"/>
        </w:rPr>
      </w:pPr>
    </w:p>
    <w:p>
      <w:pPr>
        <w:ind w:left="940" w:right="360" w:hanging="469"/>
        <w:spacing w:after="0" w:line="229" w:lineRule="auto"/>
        <w:tabs>
          <w:tab w:leader="none" w:pos="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Arial" w:cs="Arial" w:eastAsia="Arial" w:hAnsi="Arial"/>
          <w:sz w:val="18"/>
          <w:szCs w:val="18"/>
          <w:color w:val="auto"/>
        </w:rPr>
      </w:pPr>
    </w:p>
    <w:p>
      <w:pPr>
        <w:jc w:val="both"/>
        <w:ind w:left="940" w:right="300" w:hanging="469"/>
        <w:spacing w:after="0" w:line="229" w:lineRule="auto"/>
        <w:tabs>
          <w:tab w:leader="none" w:pos="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8"/>
          <w:szCs w:val="18"/>
          <w:color w:val="auto"/>
        </w:rPr>
      </w:pPr>
    </w:p>
    <w:p>
      <w:pPr>
        <w:ind w:left="940" w:right="120" w:hanging="469"/>
        <w:spacing w:after="0" w:line="229" w:lineRule="auto"/>
        <w:tabs>
          <w:tab w:leader="none" w:pos="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8"/>
          <w:szCs w:val="18"/>
          <w:color w:val="auto"/>
        </w:rPr>
      </w:pPr>
    </w:p>
    <w:p>
      <w:pPr>
        <w:ind w:left="480" w:right="320" w:hanging="454"/>
        <w:spacing w:after="0" w:line="229" w:lineRule="auto"/>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8"/>
          <w:szCs w:val="18"/>
          <w:color w:val="auto"/>
        </w:rPr>
      </w:pPr>
    </w:p>
    <w:p>
      <w:pPr>
        <w:ind w:left="940" w:right="40" w:hanging="469"/>
        <w:spacing w:after="0" w:line="273" w:lineRule="auto"/>
        <w:tabs>
          <w:tab w:leader="none" w:pos="9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7"/>
          <w:szCs w:val="17"/>
          <w:color w:val="auto"/>
        </w:rPr>
      </w:pPr>
    </w:p>
    <w:p>
      <w:pPr>
        <w:ind w:left="940" w:right="220" w:hanging="469"/>
        <w:spacing w:after="0" w:line="245" w:lineRule="auto"/>
        <w:tabs>
          <w:tab w:leader="none" w:pos="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28575</wp:posOffset>
            </wp:positionV>
            <wp:extent cx="28371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Dirk Van de Put</w:t>
      </w:r>
    </w:p>
    <w:p>
      <w:pPr>
        <w:spacing w:after="0" w:line="3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763"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66" w:lineRule="exact"/>
        <w:rPr>
          <w:sz w:val="20"/>
          <w:szCs w:val="20"/>
          <w:color w:val="auto"/>
        </w:rPr>
      </w:pPr>
    </w:p>
    <w:p>
      <w:pPr>
        <w:ind w:left="480" w:hanging="454"/>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ind w:left="480" w:right="120" w:hanging="454"/>
        <w:spacing w:after="0" w:line="229" w:lineRule="auto"/>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8"/>
          <w:szCs w:val="18"/>
          <w:color w:val="auto"/>
        </w:rPr>
      </w:pPr>
    </w:p>
    <w:p>
      <w:pPr>
        <w:ind w:left="480" w:right="20" w:hanging="454"/>
        <w:spacing w:after="0" w:line="273" w:lineRule="auto"/>
        <w:tabs>
          <w:tab w:leader="none" w:pos="4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7"/>
          <w:szCs w:val="17"/>
          <w:color w:val="auto"/>
        </w:rPr>
      </w:pPr>
    </w:p>
    <w:p>
      <w:pPr>
        <w:ind w:left="480" w:right="100" w:hanging="454"/>
        <w:spacing w:after="0" w:line="229" w:lineRule="auto"/>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1" w:lineRule="exact"/>
        <w:rPr>
          <w:rFonts w:ascii="Arial" w:cs="Arial" w:eastAsia="Arial" w:hAnsi="Arial"/>
          <w:sz w:val="18"/>
          <w:szCs w:val="18"/>
          <w:color w:val="auto"/>
        </w:rPr>
      </w:pPr>
    </w:p>
    <w:p>
      <w:pPr>
        <w:jc w:val="both"/>
        <w:ind w:left="940" w:right="20" w:hanging="469"/>
        <w:spacing w:after="0" w:line="229" w:lineRule="auto"/>
        <w:tabs>
          <w:tab w:leader="none" w:pos="9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8"/>
          <w:szCs w:val="18"/>
          <w:color w:val="auto"/>
        </w:rPr>
      </w:pPr>
    </w:p>
    <w:p>
      <w:pPr>
        <w:ind w:left="940" w:right="360" w:hanging="469"/>
        <w:spacing w:after="0" w:line="229" w:lineRule="auto"/>
        <w:tabs>
          <w:tab w:leader="none" w:pos="9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Arial" w:cs="Arial" w:eastAsia="Arial" w:hAnsi="Arial"/>
          <w:sz w:val="18"/>
          <w:szCs w:val="18"/>
          <w:color w:val="auto"/>
        </w:rPr>
      </w:pPr>
    </w:p>
    <w:p>
      <w:pPr>
        <w:jc w:val="both"/>
        <w:ind w:left="940" w:right="300" w:hanging="469"/>
        <w:spacing w:after="0" w:line="229" w:lineRule="auto"/>
        <w:tabs>
          <w:tab w:leader="none" w:pos="9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8"/>
          <w:szCs w:val="18"/>
          <w:color w:val="auto"/>
        </w:rPr>
      </w:pPr>
    </w:p>
    <w:p>
      <w:pPr>
        <w:ind w:left="940" w:right="120" w:hanging="469"/>
        <w:spacing w:after="0" w:line="229" w:lineRule="auto"/>
        <w:tabs>
          <w:tab w:leader="none" w:pos="9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8"/>
          <w:szCs w:val="18"/>
          <w:color w:val="auto"/>
        </w:rPr>
      </w:pPr>
    </w:p>
    <w:p>
      <w:pPr>
        <w:ind w:left="480" w:right="320" w:hanging="454"/>
        <w:spacing w:after="0" w:line="229" w:lineRule="auto"/>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8"/>
          <w:szCs w:val="18"/>
          <w:color w:val="auto"/>
        </w:rPr>
      </w:pPr>
    </w:p>
    <w:p>
      <w:pPr>
        <w:ind w:left="940" w:right="40" w:hanging="469"/>
        <w:spacing w:after="0" w:line="273" w:lineRule="auto"/>
        <w:tabs>
          <w:tab w:leader="none" w:pos="9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7"/>
          <w:szCs w:val="17"/>
          <w:color w:val="auto"/>
        </w:rPr>
      </w:pPr>
    </w:p>
    <w:p>
      <w:pPr>
        <w:ind w:left="940" w:right="220" w:hanging="469"/>
        <w:spacing w:after="0" w:line="245" w:lineRule="auto"/>
        <w:tabs>
          <w:tab w:leader="none" w:pos="9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28575</wp:posOffset>
            </wp:positionV>
            <wp:extent cx="28371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Luca Zaramella</w:t>
      </w:r>
    </w:p>
    <w:p>
      <w:pPr>
        <w:spacing w:after="0" w:line="3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63"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2020,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837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2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2020,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837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14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Georgia">
    <w:panose1 w:val="02040502050405020303"/>
    <w:charset w:val="BA"/>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amp;"/>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3"/>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lvl w:ilvl="1">
      <w:lvlJc w:val="left"/>
      <w:lvlText w:val="\endash "/>
      <w:numFmt w:val="bullet"/>
      <w:start w:val="1"/>
    </w:lvl>
  </w:abstractNum>
  <w:abstractNum w:abstractNumId="22">
    <w:nsid w:val="1F48EAA1"/>
    <w:multiLevelType w:val="hybridMultilevel"/>
    <w:lvl w:ilvl="0">
      <w:lvlJc w:val="left"/>
      <w:lvlText w:val="%1."/>
      <w:numFmt w:val="decimal"/>
      <w:start w:val="19"/>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9"/>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decimal"/>
      <w:start w:val="6"/>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5"/>
    </w:lvl>
  </w:abstractNum>
  <w:abstractNum w:abstractNumId="29">
    <w:nsid w:val="98A3148"/>
    <w:multiLevelType w:val="hybridMultilevel"/>
    <w:lvl w:ilvl="0">
      <w:lvlJc w:val="left"/>
      <w:lvlText w:val="(%1)"/>
      <w:numFmt w:val="decimal"/>
      <w:start w:val="1"/>
    </w:lvl>
  </w:abstractNum>
  <w:abstractNum w:abstractNumId="30">
    <w:nsid w:val="799D0247"/>
    <w:multiLevelType w:val="hybridMultilevel"/>
    <w:lvl w:ilvl="0">
      <w:lvlJc w:val="left"/>
      <w:lvlText w:val="(%1)"/>
      <w:numFmt w:val="decimal"/>
      <w:start w:val="6"/>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1)"/>
      <w:numFmt w:val="decimal"/>
      <w:start w:val="4"/>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
      <w:numFmt w:val="bullet"/>
      <w:start w:val="1"/>
    </w:lvl>
    <w:lvl w:ilvl="1">
      <w:lvlJc w:val="left"/>
      <w:lvlText w:val="•"/>
      <w:numFmt w:val="bullet"/>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4"/>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1)"/>
      <w:numFmt w:val="decimal"/>
      <w:start w:val="1"/>
    </w:lvl>
    <w:lvl w:ilvl="1">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
      <w:numFmt w:val="bullet"/>
      <w:start w:val="1"/>
    </w:lvl>
    <w:lvl w:ilvl="1">
      <w:lvlJc w:val="left"/>
      <w:lvlText w:val="•"/>
      <w:numFmt w:val="bullet"/>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decimal"/>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lowerLetter"/>
      <w:start w:val="2"/>
    </w:lvl>
  </w:abstractNum>
  <w:abstractNum w:abstractNumId="62">
    <w:nsid w:val="76272110"/>
    <w:multiLevelType w:val="hybridMultilevel"/>
    <w:lvl w:ilvl="0">
      <w:lvlJc w:val="left"/>
      <w:lvlText w:val="%1"/>
      <w:numFmt w:val="decimal"/>
      <w:start w:val="101"/>
    </w:lvl>
  </w:abstractNum>
  <w:abstractNum w:abstractNumId="63">
    <w:nsid w:val="4C04A8AF"/>
    <w:multiLevelType w:val="hybridMultilevel"/>
    <w:lvl w:ilvl="0">
      <w:lvlJc w:val="left"/>
      <w:lvlText w:val="%1"/>
      <w:numFmt w:val="decimal"/>
      <w:start w:val="104"/>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1)"/>
      <w:numFmt w:val="lowerRoman"/>
      <w:start w:val="1"/>
    </w:lvl>
  </w:abstractNum>
  <w:abstractNum w:abstractNumId="70">
    <w:nsid w:val="46B7D447"/>
    <w:multiLevelType w:val="hybridMultilevel"/>
    <w:lvl w:ilvl="0">
      <w:lvlJc w:val="left"/>
      <w:lvlText w:val="(%1)"/>
      <w:numFmt w:val="lowerLetter"/>
      <w:start w:val="1"/>
    </w:lvl>
  </w:abstractNum>
  <w:abstractNum w:abstractNumId="71">
    <w:nsid w:val="4A2AC315"/>
    <w:multiLevelType w:val="hybridMultilevel"/>
    <w:lvl w:ilvl="0">
      <w:lvlJc w:val="left"/>
      <w:lvlText w:val="(%1)"/>
      <w:numFmt w:val="lowerLetter"/>
      <w:start w:val="2"/>
    </w:lvl>
  </w:abstractNum>
  <w:abstractNum w:abstractNumId="72">
    <w:nsid w:val="39EE015C"/>
    <w:multiLevelType w:val="hybridMultilevel"/>
    <w:lvl w:ilvl="0">
      <w:lvlJc w:val="left"/>
      <w:lvlText w:val="(%1)"/>
      <w:numFmt w:val="lowerLetter"/>
      <w:start w:val="11"/>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4"/>
    </w:lvl>
  </w:abstractNum>
  <w:abstractNum w:abstractNumId="75">
    <w:nsid w:val="43F18422"/>
    <w:multiLevelType w:val="hybridMultilevel"/>
    <w:lvl w:ilvl="0">
      <w:lvlJc w:val="left"/>
      <w:lvlText w:val="(%1)"/>
      <w:numFmt w:val="lowerLetter"/>
      <w:start w:val="15"/>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amp;"/>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lvl w:ilvl="1">
      <w:lvlJc w:val="left"/>
      <w:lvlText w:val="%2."/>
      <w:numFmt w:val="lowerLetter"/>
      <w:start w:val="1"/>
    </w:lvl>
  </w:abstractNum>
  <w:abstractNum w:abstractNumId="94">
    <w:nsid w:val="3FA62ACA"/>
    <w:multiLevelType w:val="hybridMultilevel"/>
    <w:lvl w:ilvl="0">
      <w:lvlJc w:val="left"/>
      <w:lvlText w:val="%1."/>
      <w:numFmt w:val="lowerLetter"/>
      <w:start w:val="3"/>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1)"/>
      <w:numFmt w:val="lowerRoman"/>
      <w:start w:val="1"/>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1"/>
    </w:lvl>
    <w:lvl w:ilvl="1">
      <w:lvlJc w:val="left"/>
      <w:lvlText w:val="(%2)"/>
      <w:numFmt w:val="lowerLetter"/>
      <w:start w:val="1"/>
    </w:lvl>
  </w:abstractNum>
  <w:abstractNum w:abstractNumId="99">
    <w:nsid w:val="53299938"/>
    <w:multiLevelType w:val="hybridMultilevel"/>
    <w:lvl w:ilvl="0">
      <w:lvlJc w:val="left"/>
      <w:lvlText w:val="(%1)"/>
      <w:numFmt w:val="lowerLetter"/>
      <w:start w:val="2"/>
    </w:lvl>
  </w:abstractNum>
  <w:abstractNum w:abstractNumId="100">
    <w:nsid w:val="1FBFE8E0"/>
    <w:multiLevelType w:val="hybridMultilevel"/>
    <w:lvl w:ilvl="0">
      <w:lvlJc w:val="left"/>
      <w:lvlText w:val="%1"/>
      <w:numFmt w:val="decimal"/>
      <w:start w:val="1"/>
    </w:lvl>
    <w:lvl w:ilvl="1">
      <w:lvlJc w:val="left"/>
      <w:lvlText w:val="(%2)"/>
      <w:numFmt w:val="lowerLetter"/>
      <w:start w:val="5"/>
    </w:lvl>
  </w:abstractNum>
  <w:abstractNum w:abstractNumId="101">
    <w:nsid w:val="5092CA79"/>
    <w:multiLevelType w:val="hybridMultilevel"/>
    <w:lvl w:ilvl="0">
      <w:lvlJc w:val="left"/>
      <w:lvlText w:val="%1."/>
      <w:numFmt w:val="decimal"/>
      <w:start w:val="3"/>
    </w:lvl>
    <w:lvl w:ilvl="1">
      <w:lvlJc w:val="left"/>
      <w:lvlText w:val="(%2)"/>
      <w:numFmt w:val="lowerLetter"/>
      <w:start w:val="1"/>
    </w:lvl>
  </w:abstractNum>
  <w:abstractNum w:abstractNumId="102">
    <w:nsid w:val="1D545C4D"/>
    <w:multiLevelType w:val="hybridMultilevel"/>
    <w:lvl w:ilvl="0">
      <w:lvlJc w:val="left"/>
      <w:lvlText w:val="%1"/>
      <w:numFmt w:val="decimal"/>
      <w:start w:val="1"/>
    </w:lvl>
    <w:lvl w:ilvl="1">
      <w:lvlJc w:val="left"/>
      <w:lvlText w:val="(%2)"/>
      <w:numFmt w:val="lowerLetter"/>
      <w:start w:val="4"/>
    </w:lvl>
  </w:abstractNum>
  <w:abstractNum w:abstractNumId="103">
    <w:nsid w:val="59ADEA3D"/>
    <w:multiLevelType w:val="hybridMultilevel"/>
    <w:lvl w:ilvl="0">
      <w:lvlJc w:val="left"/>
      <w:lvlText w:val="%1."/>
      <w:numFmt w:val="decimal"/>
      <w:start w:val="4"/>
    </w:lvl>
    <w:lvl w:ilvl="1">
      <w:lvlJc w:val="left"/>
      <w:lvlText w:val="%2"/>
      <w:numFmt w:val="lowerLetter"/>
      <w:start w:val="1"/>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decimal"/>
      <w:start w:val="1"/>
    </w:lvl>
    <w:lvl w:ilvl="1">
      <w:lvlJc w:val="left"/>
      <w:lvlText w:val="(%2)"/>
      <w:numFmt w:val="lowerLetter"/>
      <w:start w:val="4"/>
    </w:lvl>
  </w:abstractNum>
  <w:abstractNum w:abstractNumId="106">
    <w:nsid w:val="1D9F6E5F"/>
    <w:multiLevelType w:val="hybridMultilevel"/>
    <w:lvl w:ilvl="0">
      <w:lvlJc w:val="left"/>
      <w:lvlText w:val="%1."/>
      <w:numFmt w:val="decimal"/>
      <w:start w:val="5"/>
    </w:lvl>
    <w:lvl w:ilvl="1">
      <w:lvlJc w:val="left"/>
      <w:lvlText w:val="%2"/>
      <w:numFmt w:val="lowerLetter"/>
      <w:start w:val="1"/>
    </w:lvl>
  </w:abstractNum>
  <w:abstractNum w:abstractNumId="107">
    <w:nsid w:val="97E1B4E"/>
    <w:multiLevelType w:val="hybridMultilevel"/>
    <w:lvl w:ilvl="0">
      <w:lvlJc w:val="left"/>
      <w:lvlText w:val="%1."/>
      <w:numFmt w:val="decimal"/>
      <w:start w:val="8"/>
    </w:lvl>
  </w:abstractNum>
  <w:abstractNum w:abstractNumId="108">
    <w:nsid w:val="51088277"/>
    <w:multiLevelType w:val="hybridMultilevel"/>
    <w:lvl w:ilvl="0">
      <w:lvlJc w:val="left"/>
      <w:lvlText w:val="%1."/>
      <w:numFmt w:val="decimal"/>
      <w:start w:val="1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4" Type="http://schemas.openxmlformats.org/officeDocument/2006/relationships/image" Target="media/image165.png"/><Relationship Id="rId235" Type="http://schemas.openxmlformats.org/officeDocument/2006/relationships/image" Target="media/image166.png"/><Relationship Id="rId236" Type="http://schemas.openxmlformats.org/officeDocument/2006/relationships/image" Target="media/image167.png"/><Relationship Id="rId237" Type="http://schemas.openxmlformats.org/officeDocument/2006/relationships/image" Target="media/image168.jpeg"/><Relationship Id="rId238" Type="http://schemas.openxmlformats.org/officeDocument/2006/relationships/image" Target="media/image169.jpeg"/><Relationship Id="rId239" Type="http://schemas.openxmlformats.org/officeDocument/2006/relationships/image" Target="media/image170.jpeg"/><Relationship Id="rId240" Type="http://schemas.openxmlformats.org/officeDocument/2006/relationships/image" Target="media/image171.jpeg"/><Relationship Id="rId241" Type="http://schemas.openxmlformats.org/officeDocument/2006/relationships/image" Target="media/image172.jpeg"/><Relationship Id="rId242" Type="http://schemas.openxmlformats.org/officeDocument/2006/relationships/image" Target="media/image173.jpeg"/><Relationship Id="rId243" Type="http://schemas.openxmlformats.org/officeDocument/2006/relationships/image" Target="media/image174.jpeg"/><Relationship Id="rId244" Type="http://schemas.openxmlformats.org/officeDocument/2006/relationships/image" Target="media/image175.jpeg"/><Relationship Id="rId245" Type="http://schemas.openxmlformats.org/officeDocument/2006/relationships/image" Target="media/image176.jpeg"/><Relationship Id="rId246" Type="http://schemas.openxmlformats.org/officeDocument/2006/relationships/image" Target="media/image177.jpeg"/><Relationship Id="rId247" Type="http://schemas.openxmlformats.org/officeDocument/2006/relationships/image" Target="media/image178.jpeg"/><Relationship Id="rId248" Type="http://schemas.openxmlformats.org/officeDocument/2006/relationships/image" Target="media/image179.jpeg"/><Relationship Id="rId249" Type="http://schemas.openxmlformats.org/officeDocument/2006/relationships/image" Target="media/image180.jpeg"/><Relationship Id="rId250" Type="http://schemas.openxmlformats.org/officeDocument/2006/relationships/image" Target="media/image181.jpeg"/><Relationship Id="rId251" Type="http://schemas.openxmlformats.org/officeDocument/2006/relationships/image" Target="media/image182.jpeg"/><Relationship Id="rId252" Type="http://schemas.openxmlformats.org/officeDocument/2006/relationships/image" Target="media/image183.jpeg"/><Relationship Id="rId253" Type="http://schemas.openxmlformats.org/officeDocument/2006/relationships/image" Target="media/image184.png"/><Relationship Id="rId254"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57" Type="http://schemas.openxmlformats.org/officeDocument/2006/relationships/image" Target="media/image188.png"/><Relationship Id="rId258" Type="http://schemas.openxmlformats.org/officeDocument/2006/relationships/image" Target="media/image189.png"/><Relationship Id="rId164" Type="http://schemas.openxmlformats.org/officeDocument/2006/relationships/hyperlink" Target="http://www.sec.gov/Archives/edgar/data/1103982/000119312512411522/d418430dex21.htm" TargetMode="External"/><Relationship Id="rId165" Type="http://schemas.openxmlformats.org/officeDocument/2006/relationships/hyperlink" Target="http://www.sec.gov/Archives/edgar/data/1103982/000119312513073227/d456052dex23.htm" TargetMode="External"/><Relationship Id="rId166" Type="http://schemas.openxmlformats.org/officeDocument/2006/relationships/hyperlink" Target="http://www.sec.gov/Archives/edgar/data/1103982/000119312512411522/d418430dex103.htm" TargetMode="External"/><Relationship Id="rId167" Type="http://schemas.openxmlformats.org/officeDocument/2006/relationships/hyperlink" Target="http://www.sec.gov/Archives/edgar/data/1103982/000119312512411522/d418430dex104.htm" TargetMode="External"/><Relationship Id="rId168" Type="http://schemas.openxmlformats.org/officeDocument/2006/relationships/hyperlink" Target="http://www.sec.gov/Archives/edgar/data/1103982/000119312515160034/d893461dex21.htm" TargetMode="External"/><Relationship Id="rId169" Type="http://schemas.openxmlformats.org/officeDocument/2006/relationships/hyperlink" Target="http://www.sec.gov/Archives/edgar/data/1103982/000119312515160034/d893461dex22.htm" TargetMode="External"/><Relationship Id="rId170" Type="http://schemas.openxmlformats.org/officeDocument/2006/relationships/hyperlink" Target="http://www.sec.gov/Archives/edgar/data/1103982/000119312517245459/d412472dex21.htm" TargetMode="External"/><Relationship Id="rId171" Type="http://schemas.openxmlformats.org/officeDocument/2006/relationships/hyperlink" Target="http://www.sec.gov/Archives/edgar/data/1103982/000110398220000003/a123119ex28.htm" TargetMode="External"/><Relationship Id="rId172" Type="http://schemas.openxmlformats.org/officeDocument/2006/relationships/hyperlink" Target="http://www.sec.gov/Archives/edgar/data/1103982/000119312513207666/d512925dex31.htm" TargetMode="External"/><Relationship Id="rId173" Type="http://schemas.openxmlformats.org/officeDocument/2006/relationships/hyperlink" Target="http://www.sec.gov/Archives/edgar/data/1103982/000119312520077134/d902481dex31.htm" TargetMode="External"/><Relationship Id="rId176" Type="http://schemas.openxmlformats.org/officeDocument/2006/relationships/hyperlink" Target="http://www.sec.gov/Archives/edgar/data/1103982/000095013002002716/dex41.txt" TargetMode="External"/><Relationship Id="rId177" Type="http://schemas.openxmlformats.org/officeDocument/2006/relationships/hyperlink" Target="http://www.sec.gov/Archives/edgar/data/1103982/000119312513469814/d644133dex42.htm" TargetMode="External"/><Relationship Id="rId178" Type="http://schemas.openxmlformats.org/officeDocument/2006/relationships/hyperlink" Target="http://www.sec.gov/Archives/edgar/data/1103982/000119312517055858/d288385dex44.htm" TargetMode="External"/><Relationship Id="rId179" Type="http://schemas.openxmlformats.org/officeDocument/2006/relationships/hyperlink" Target="http://www.sec.gov/Archives/edgar/data/1103982/000119312519038074/d706206dex42.htm" TargetMode="External"/><Relationship Id="rId180" Type="http://schemas.openxmlformats.org/officeDocument/2006/relationships/hyperlink" Target="http://www.sec.gov/Archives/edgar/data/1103982/000119312520105325/d916110dex43.htm" TargetMode="External"/><Relationship Id="rId181" Type="http://schemas.openxmlformats.org/officeDocument/2006/relationships/hyperlink" Target="http://www.sec.gov/Archives/edgar/data/1103982/000119312516750814/d281401dex41.htm" TargetMode="External"/><Relationship Id="rId182" Type="http://schemas.openxmlformats.org/officeDocument/2006/relationships/hyperlink" Target="http://www.sec.gov/Archives/edgar/data/1103982/000119312519249830/d807102dex42.htm" TargetMode="External"/><Relationship Id="rId183" Type="http://schemas.openxmlformats.org/officeDocument/2006/relationships/hyperlink" Target="http://www.sec.gov/Archives/edgar/data/1103982/000119312519260755/d804026dex42.htm" TargetMode="External"/><Relationship Id="rId184" Type="http://schemas.openxmlformats.org/officeDocument/2006/relationships/hyperlink" Target="http://www.sec.gov/Archives/edgar/data/1103982/000119312520253361/d69877dex42.htm" TargetMode="External"/><Relationship Id="rId185" Type="http://schemas.openxmlformats.org/officeDocument/2006/relationships/hyperlink" Target="http://www.sec.gov/Archives/edgar/data/1103982/000119312519054359/d682610dex102.htm" TargetMode="External"/><Relationship Id="rId186" Type="http://schemas.openxmlformats.org/officeDocument/2006/relationships/hyperlink" Target="http://www.sec.gov/Archives/edgar/data/1103982/000119312520052651/d896930dex101.htm" TargetMode="External"/><Relationship Id="rId187" Type="http://schemas.openxmlformats.org/officeDocument/2006/relationships/hyperlink" Target="http://www.sec.gov/Archives/edgar/data/1103982/000119312519244971/d803887dex101.htm" TargetMode="External"/><Relationship Id="rId188" Type="http://schemas.openxmlformats.org/officeDocument/2006/relationships/hyperlink" Target="http://www.sec.gov/Archives/edgar/data/1103982/000119312512411522/d418430dex101.htm" TargetMode="External"/><Relationship Id="rId189" Type="http://schemas.openxmlformats.org/officeDocument/2006/relationships/hyperlink" Target="http://www.sec.gov/Archives/edgar/data/1103982/000119312514302145/d744588dex101.htm" TargetMode="External"/><Relationship Id="rId192" Type="http://schemas.openxmlformats.org/officeDocument/2006/relationships/hyperlink" Target="http://www.sec.gov/Archives/edgar/data/1103982/000119312515272328/d940616dex103.htm" TargetMode="External"/><Relationship Id="rId193" Type="http://schemas.openxmlformats.org/officeDocument/2006/relationships/hyperlink" Target="http://www.sec.gov/Archives/edgar/data/1103982/000119312520157978/d830096dex101.htm" TargetMode="External"/><Relationship Id="rId194" Type="http://schemas.openxmlformats.org/officeDocument/2006/relationships/hyperlink" Target="http://www.sec.gov/Archives/edgar/data/1103982/000119312520157978/d830096dex102.htm" TargetMode="External"/><Relationship Id="rId195" Type="http://schemas.openxmlformats.org/officeDocument/2006/relationships/hyperlink" Target="http://www.sec.gov/Archives/edgar/data/1103982/000119312518215145/d889773dex101.htm" TargetMode="External"/><Relationship Id="rId196" Type="http://schemas.openxmlformats.org/officeDocument/2006/relationships/hyperlink" Target="http://www.sec.gov/Archives/edgar/data/1103982/000119312515272328/d940616dex102.htm" TargetMode="External"/><Relationship Id="rId197" Type="http://schemas.openxmlformats.org/officeDocument/2006/relationships/hyperlink" Target="http://www.sec.gov/Archives/edgar/data/1103982/000119312517155252/d346910dex102.htm" TargetMode="External"/><Relationship Id="rId198" Type="http://schemas.openxmlformats.org/officeDocument/2006/relationships/hyperlink" Target="http://www.sec.gov/Archives/edgar/data/1103982/000110398218000005/a33118ex102.htm" TargetMode="External"/><Relationship Id="rId199" Type="http://schemas.openxmlformats.org/officeDocument/2006/relationships/hyperlink" Target="http://www.sec.gov/Archives/edgar/data/1103982/000110398219000010/a33119ex103.htm" TargetMode="External"/><Relationship Id="rId200" Type="http://schemas.openxmlformats.org/officeDocument/2006/relationships/hyperlink" Target="http://www.sec.gov/Archives/edgar/data/1103982/000110398220000006/a33120ex104.htm" TargetMode="External"/><Relationship Id="rId201" Type="http://schemas.openxmlformats.org/officeDocument/2006/relationships/hyperlink" Target="http://www.sec.gov/Archives/edgar/data/1103982/000110398218000005/a33118ex103.htm" TargetMode="External"/><Relationship Id="rId202" Type="http://schemas.openxmlformats.org/officeDocument/2006/relationships/hyperlink" Target="http://www.sec.gov/Archives/edgar/data/1103982/000110398219000010/a33119ex104.htm" TargetMode="External"/><Relationship Id="rId203" Type="http://schemas.openxmlformats.org/officeDocument/2006/relationships/hyperlink" Target="http://www.sec.gov/Archives/edgar/data/1103982/000110398220000006/a33120ex105.htm" TargetMode="External"/><Relationship Id="rId204" Type="http://schemas.openxmlformats.org/officeDocument/2006/relationships/hyperlink" Target="http://www.sec.gov/Archives/edgar/data/1103982/000110398218000005/a33118ex104.htm" TargetMode="External"/><Relationship Id="rId205" Type="http://schemas.openxmlformats.org/officeDocument/2006/relationships/hyperlink" Target="http://www.sec.gov/Archives/edgar/data/1103982/000110398219000010/a33119ex105.htm" TargetMode="External"/><Relationship Id="rId206" Type="http://schemas.openxmlformats.org/officeDocument/2006/relationships/hyperlink" Target="http://www.sec.gov/Archives/edgar/data/1103982/000110398220000006/a33120ex106.htm" TargetMode="External"/><Relationship Id="rId207" Type="http://schemas.openxmlformats.org/officeDocument/2006/relationships/hyperlink" Target="http://www.sec.gov/Archives/edgar/data/1103982/000119312513073227/d456052dex1010.htm" TargetMode="External"/><Relationship Id="rId208" Type="http://schemas.openxmlformats.org/officeDocument/2006/relationships/hyperlink" Target="http://www.sec.gov/Archives/edgar/data/1103982/000110398219000005/a123118ex1026.htm" TargetMode="External"/><Relationship Id="rId209" Type="http://schemas.openxmlformats.org/officeDocument/2006/relationships/hyperlink" Target="http://www.sec.gov/Archives/edgar/data/1103982/000119312513073227/d456052dex1011.htm" TargetMode="External"/><Relationship Id="rId212" Type="http://schemas.openxmlformats.org/officeDocument/2006/relationships/hyperlink" Target="http://www.sec.gov/Archives/edgar/data/1103982/000110398219000005/a123118ex1028.htm" TargetMode="External"/><Relationship Id="rId213" Type="http://schemas.openxmlformats.org/officeDocument/2006/relationships/hyperlink" Target="http://www.sec.gov/Archives/edgar/data/1103982/000119312513073227/d456052dex1012.htm" TargetMode="External"/><Relationship Id="rId214" Type="http://schemas.openxmlformats.org/officeDocument/2006/relationships/hyperlink" Target="http://www.sec.gov/Archives/edgar/data/1103982/000119312513073227/d456052dex1013.htm" TargetMode="External"/><Relationship Id="rId215" Type="http://schemas.openxmlformats.org/officeDocument/2006/relationships/hyperlink" Target="http://www.sec.gov/Archives/edgar/data/1103982/000119312513073227/d456052dex1014.htm" TargetMode="External"/><Relationship Id="rId216" Type="http://schemas.openxmlformats.org/officeDocument/2006/relationships/hyperlink" Target="http://www.sec.gov/Archives/edgar/data/1103982/000119312513073227/d456052dex1015.htm" TargetMode="External"/><Relationship Id="rId217" Type="http://schemas.openxmlformats.org/officeDocument/2006/relationships/hyperlink" Target="http://www.sec.gov/Archives/edgar/data/1103982/000110398219000014/a63019ex102.htm" TargetMode="External"/><Relationship Id="rId218" Type="http://schemas.openxmlformats.org/officeDocument/2006/relationships/hyperlink" Target="http://www.sec.gov/Archives/edgar/data/1103982/000119312513073227/d456052dex1017.htm" TargetMode="External"/><Relationship Id="rId219" Type="http://schemas.openxmlformats.org/officeDocument/2006/relationships/hyperlink" Target="http://www.sec.gov/Archives/edgar/data/1103982/000119312513073227/d456052dex1018.htm" TargetMode="External"/><Relationship Id="rId220" Type="http://schemas.openxmlformats.org/officeDocument/2006/relationships/hyperlink" Target="http://www.sec.gov/Archives/edgar/data/1103982/000119312513073227/d456052dex1019.htm" TargetMode="External"/><Relationship Id="rId221" Type="http://schemas.openxmlformats.org/officeDocument/2006/relationships/hyperlink" Target="http://www.sec.gov/Archives/edgar/data/1103982/000119312517244953/d627607dex101.htm" TargetMode="External"/><Relationship Id="rId222" Type="http://schemas.openxmlformats.org/officeDocument/2006/relationships/hyperlink" Target="http://www.sec.gov/Archives/edgar/data/1103982/000119312518037332/d466496dex1031.htm" TargetMode="External"/><Relationship Id="rId223" Type="http://schemas.openxmlformats.org/officeDocument/2006/relationships/hyperlink" Target="http://www.sec.gov/Archives/edgar/data/1103982/000110398218000009/a63018ex105.htm" TargetMode="External"/><Relationship Id="rId224" Type="http://schemas.openxmlformats.org/officeDocument/2006/relationships/hyperlink" Target="http://www.sec.gov/Archives/edgar/data/1103982/000110398218000009/a63018ex106.htm" TargetMode="External"/><Relationship Id="rId225" Type="http://schemas.openxmlformats.org/officeDocument/2006/relationships/hyperlink" Target="http://www.sec.gov/Archives/edgar/data/1103982/000119312518241085/d556751dex101.htm" TargetMode="External"/><Relationship Id="rId226" Type="http://schemas.openxmlformats.org/officeDocument/2006/relationships/hyperlink" Target="http://www.sec.gov/Archives/edgar/data/1103982/000110398219000010/a33119ex106.htm" TargetMode="External"/><Relationship Id="rId227" Type="http://schemas.openxmlformats.org/officeDocument/2006/relationships/hyperlink" Target="http://www.sec.gov/Archives/edgar/data/1103982/000110398219000014/a63019ex101.htm" TargetMode="External"/><Relationship Id="rId228" Type="http://schemas.openxmlformats.org/officeDocument/2006/relationships/hyperlink" Target="http://www.sec.gov/Archives/edgar/data/1103982/000110398220000006/a33120ex107.htm" TargetMode="External"/><Relationship Id="rId229" Type="http://schemas.openxmlformats.org/officeDocument/2006/relationships/hyperlink" Target="http://www.sec.gov/Archives/edgar/data/1103982/000119312509040798/dex1028.htm" TargetMode="External"/><Relationship Id="rId230" Type="http://schemas.openxmlformats.org/officeDocument/2006/relationships/hyperlink" Target="http://www.sec.gov/Archives/edgar/data/1103982/000119312509016418/dex101.htm" TargetMode="External"/><Relationship Id="rId233" Type="http://schemas.openxmlformats.org/officeDocument/2006/relationships/hyperlink" Target="http://www.sec.gov/Archives/edgar/data/1103982/000119312518037332/d466496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2021-02-05T09:29:19Z</dcterms:created>
  <dcterms:modified xsi:type="dcterms:W3CDTF">2021-02-05T09:29:19Z</dcterms:modified>
</cp:coreProperties>
</file>