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0" w:lineRule="exact"/>
        <w:rPr>
          <w:sz w:val="24"/>
          <w:szCs w:val="24"/>
          <w:color w:val="auto"/>
        </w:rPr>
      </w:pPr>
    </w:p>
    <w:p>
      <w:pPr>
        <w:ind w:left="1020" w:hanging="330"/>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5" w:lineRule="exact"/>
        <w:rPr>
          <w:sz w:val="24"/>
          <w:szCs w:val="24"/>
          <w:color w:val="auto"/>
        </w:rPr>
      </w:pPr>
    </w:p>
    <w:p>
      <w:pPr>
        <w:ind w:left="1040" w:hanging="337"/>
        <w:spacing w:after="0"/>
        <w:tabs>
          <w:tab w:leader="none" w:pos="10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0" w:lineRule="exact"/>
        <w:rPr>
          <w:sz w:val="24"/>
          <w:szCs w:val="24"/>
          <w:color w:val="auto"/>
        </w:rPr>
      </w:pPr>
    </w:p>
    <w:p>
      <w:pPr>
        <w:jc w:val="right"/>
        <w:ind w:right="4400"/>
        <w:spacing w:after="0"/>
        <w:tabs>
          <w:tab w:leader="none" w:pos="45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3" w:lineRule="exact"/>
        <w:rPr>
          <w:sz w:val="24"/>
          <w:szCs w:val="24"/>
          <w:color w:val="auto"/>
        </w:rPr>
      </w:pPr>
    </w:p>
    <w:p>
      <w:pPr>
        <w:jc w:val="right"/>
        <w:ind w:right="4360"/>
        <w:spacing w:after="0"/>
        <w:rPr>
          <w:sz w:val="20"/>
          <w:szCs w:val="20"/>
          <w:color w:val="auto"/>
        </w:rPr>
      </w:pPr>
      <w:r>
        <w:rPr>
          <w:rFonts w:ascii="Arial" w:cs="Arial" w:eastAsia="Arial" w:hAnsi="Arial"/>
          <w:sz w:val="16"/>
          <w:szCs w:val="16"/>
          <w:b w:val="1"/>
          <w:bCs w:val="1"/>
          <w:color w:val="auto"/>
        </w:rPr>
        <w:t>Commission file number 1-16483</w:t>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Mondelēz International,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48" w:lineRule="exact"/>
        <w:rPr>
          <w:sz w:val="24"/>
          <w:szCs w:val="24"/>
          <w:color w:val="auto"/>
        </w:rPr>
      </w:pPr>
    </w:p>
    <w:tbl>
      <w:tblPr>
        <w:tblLayout w:type="fixed"/>
        <w:tblInd w:w="960" w:type="dxa"/>
        <w:tblCellMar>
          <w:top w:w="0" w:type="dxa"/>
          <w:left w:w="0" w:type="dxa"/>
          <w:bottom w:w="0" w:type="dxa"/>
          <w:right w:w="0" w:type="dxa"/>
        </w:tblCellMar>
      </w:tblPr>
      <w:tr>
        <w:trPr>
          <w:trHeight w:val="196"/>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Virginia</w:t>
            </w:r>
          </w:p>
        </w:tc>
        <w:tc>
          <w:tcPr>
            <w:tcW w:w="3540" w:type="dxa"/>
            <w:vAlign w:val="bottom"/>
          </w:tcPr>
          <w:p>
            <w:pPr>
              <w:jc w:val="right"/>
              <w:ind w:right="668"/>
              <w:spacing w:after="0"/>
              <w:rPr>
                <w:sz w:val="20"/>
                <w:szCs w:val="20"/>
                <w:color w:val="auto"/>
              </w:rPr>
            </w:pPr>
            <w:r>
              <w:rPr>
                <w:rFonts w:ascii="Arial" w:cs="Arial" w:eastAsia="Arial" w:hAnsi="Arial"/>
                <w:sz w:val="14"/>
                <w:szCs w:val="14"/>
                <w:b w:val="1"/>
                <w:bCs w:val="1"/>
                <w:color w:val="auto"/>
              </w:rPr>
              <w:t>52-2284372</w:t>
            </w:r>
          </w:p>
        </w:tc>
      </w:tr>
      <w:tr>
        <w:trPr>
          <w:trHeight w:val="197"/>
        </w:trPr>
        <w:tc>
          <w:tcPr>
            <w:tcW w:w="5040" w:type="dxa"/>
            <w:vAlign w:val="bottom"/>
          </w:tcPr>
          <w:p>
            <w:pPr>
              <w:jc w:val="center"/>
              <w:ind w:right="1248"/>
              <w:spacing w:after="0"/>
              <w:rPr>
                <w:sz w:val="20"/>
                <w:szCs w:val="20"/>
                <w:color w:val="auto"/>
              </w:rPr>
            </w:pPr>
            <w:r>
              <w:rPr>
                <w:rFonts w:ascii="Arial" w:cs="Arial" w:eastAsia="Arial" w:hAnsi="Arial"/>
                <w:sz w:val="14"/>
                <w:szCs w:val="14"/>
                <w:color w:val="auto"/>
              </w:rPr>
              <w:t>(State or other jurisdiction of incorporation or organization)</w:t>
            </w:r>
          </w:p>
        </w:tc>
        <w:tc>
          <w:tcPr>
            <w:tcW w:w="3540" w:type="dxa"/>
            <w:vAlign w:val="bottom"/>
          </w:tcPr>
          <w:p>
            <w:pPr>
              <w:jc w:val="center"/>
              <w:ind w:left="1248"/>
              <w:spacing w:after="0"/>
              <w:rPr>
                <w:sz w:val="20"/>
                <w:szCs w:val="20"/>
                <w:color w:val="auto"/>
              </w:rPr>
            </w:pPr>
            <w:r>
              <w:rPr>
                <w:rFonts w:ascii="Arial" w:cs="Arial" w:eastAsia="Arial" w:hAnsi="Arial"/>
                <w:sz w:val="14"/>
                <w:szCs w:val="14"/>
                <w:color w:val="auto"/>
              </w:rPr>
              <w:t>(I.R.S. Employer Identification No.)</w:t>
            </w:r>
          </w:p>
        </w:tc>
      </w:tr>
      <w:tr>
        <w:trPr>
          <w:trHeight w:val="262"/>
        </w:trPr>
        <w:tc>
          <w:tcPr>
            <w:tcW w:w="5040" w:type="dxa"/>
            <w:vAlign w:val="bottom"/>
          </w:tcPr>
          <w:p>
            <w:pPr>
              <w:jc w:val="center"/>
              <w:ind w:right="1248"/>
              <w:spacing w:after="0"/>
              <w:rPr>
                <w:sz w:val="20"/>
                <w:szCs w:val="20"/>
                <w:color w:val="auto"/>
              </w:rPr>
            </w:pPr>
            <w:r>
              <w:rPr>
                <w:rFonts w:ascii="Arial" w:cs="Arial" w:eastAsia="Arial" w:hAnsi="Arial"/>
                <w:sz w:val="14"/>
                <w:szCs w:val="14"/>
                <w:b w:val="1"/>
                <w:bCs w:val="1"/>
                <w:color w:val="auto"/>
              </w:rPr>
              <w:t>905 West Fulton Market, Suite 200</w:t>
            </w:r>
          </w:p>
        </w:tc>
        <w:tc>
          <w:tcPr>
            <w:tcW w:w="3540" w:type="dxa"/>
            <w:vAlign w:val="bottom"/>
          </w:tcPr>
          <w:p>
            <w:pPr>
              <w:spacing w:after="0"/>
              <w:rPr>
                <w:sz w:val="22"/>
                <w:szCs w:val="22"/>
                <w:color w:val="auto"/>
              </w:rPr>
            </w:pPr>
          </w:p>
        </w:tc>
      </w:tr>
      <w:tr>
        <w:trPr>
          <w:trHeight w:val="203"/>
        </w:trPr>
        <w:tc>
          <w:tcPr>
            <w:tcW w:w="5040" w:type="dxa"/>
            <w:vAlign w:val="bottom"/>
          </w:tcPr>
          <w:p>
            <w:pPr>
              <w:ind w:left="1240"/>
              <w:spacing w:after="0"/>
              <w:rPr>
                <w:sz w:val="20"/>
                <w:szCs w:val="20"/>
                <w:color w:val="auto"/>
              </w:rPr>
            </w:pPr>
            <w:r>
              <w:rPr>
                <w:rFonts w:ascii="Arial" w:cs="Arial" w:eastAsia="Arial" w:hAnsi="Arial"/>
                <w:sz w:val="14"/>
                <w:szCs w:val="14"/>
                <w:b w:val="1"/>
                <w:bCs w:val="1"/>
                <w:color w:val="auto"/>
              </w:rPr>
              <w:t>Chicago, Illinois</w:t>
            </w:r>
          </w:p>
        </w:tc>
        <w:tc>
          <w:tcPr>
            <w:tcW w:w="3540" w:type="dxa"/>
            <w:vAlign w:val="bottom"/>
          </w:tcPr>
          <w:p>
            <w:pPr>
              <w:jc w:val="right"/>
              <w:ind w:right="848"/>
              <w:spacing w:after="0"/>
              <w:rPr>
                <w:sz w:val="20"/>
                <w:szCs w:val="20"/>
                <w:color w:val="auto"/>
              </w:rPr>
            </w:pPr>
            <w:r>
              <w:rPr>
                <w:rFonts w:ascii="Arial" w:cs="Arial" w:eastAsia="Arial" w:hAnsi="Arial"/>
                <w:sz w:val="14"/>
                <w:szCs w:val="14"/>
                <w:b w:val="1"/>
                <w:bCs w:val="1"/>
                <w:color w:val="auto"/>
              </w:rPr>
              <w:t>60607</w:t>
            </w:r>
          </w:p>
        </w:tc>
      </w:tr>
      <w:tr>
        <w:trPr>
          <w:trHeight w:val="197"/>
        </w:trPr>
        <w:tc>
          <w:tcPr>
            <w:tcW w:w="5040" w:type="dxa"/>
            <w:vAlign w:val="bottom"/>
          </w:tcPr>
          <w:p>
            <w:pPr>
              <w:jc w:val="center"/>
              <w:ind w:right="1228"/>
              <w:spacing w:after="0"/>
              <w:rPr>
                <w:sz w:val="20"/>
                <w:szCs w:val="20"/>
                <w:color w:val="auto"/>
              </w:rPr>
            </w:pPr>
            <w:r>
              <w:rPr>
                <w:rFonts w:ascii="Arial" w:cs="Arial" w:eastAsia="Arial" w:hAnsi="Arial"/>
                <w:sz w:val="14"/>
                <w:szCs w:val="14"/>
                <w:color w:val="auto"/>
              </w:rPr>
              <w:t>(Address of principal executive offices)</w:t>
            </w:r>
          </w:p>
        </w:tc>
        <w:tc>
          <w:tcPr>
            <w:tcW w:w="3540" w:type="dxa"/>
            <w:vAlign w:val="bottom"/>
          </w:tcPr>
          <w:p>
            <w:pPr>
              <w:jc w:val="center"/>
              <w:ind w:left="1228"/>
              <w:spacing w:after="0"/>
              <w:rPr>
                <w:sz w:val="20"/>
                <w:szCs w:val="20"/>
                <w:color w:val="auto"/>
              </w:rPr>
            </w:pPr>
            <w:r>
              <w:rPr>
                <w:rFonts w:ascii="Arial" w:cs="Arial" w:eastAsia="Arial" w:hAnsi="Arial"/>
                <w:sz w:val="14"/>
                <w:szCs w:val="14"/>
                <w:color w:val="auto"/>
              </w:rPr>
              <w:t>(Zip Code)</w:t>
            </w:r>
          </w:p>
        </w:tc>
      </w:tr>
    </w:tbl>
    <w:p>
      <w:pPr>
        <w:spacing w:after="0" w:line="80"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(847) 943-4000</w:t>
      </w:r>
    </w:p>
    <w:p>
      <w:pPr>
        <w:spacing w:after="0" w:line="69" w:lineRule="exact"/>
        <w:rPr>
          <w:sz w:val="24"/>
          <w:szCs w:val="24"/>
          <w:color w:val="auto"/>
        </w:rPr>
      </w:pPr>
    </w:p>
    <w:p>
      <w:pPr>
        <w:ind w:left="5120"/>
        <w:spacing w:after="0"/>
        <w:rPr>
          <w:sz w:val="20"/>
          <w:szCs w:val="20"/>
          <w:color w:val="auto"/>
        </w:rPr>
      </w:pPr>
      <w:r>
        <w:rPr>
          <w:rFonts w:ascii="Arial" w:cs="Arial" w:eastAsia="Arial" w:hAnsi="Arial"/>
          <w:sz w:val="14"/>
          <w:szCs w:val="14"/>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10"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vMerge w:val="restart"/>
          </w:tcPr>
          <w:p>
            <w:pPr>
              <w:spacing w:after="0"/>
              <w:rPr>
                <w:sz w:val="14"/>
                <w:szCs w:val="14"/>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Trading</w:t>
            </w:r>
          </w:p>
        </w:tc>
        <w:tc>
          <w:tcPr>
            <w:tcW w:w="4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6"/>
                <w:szCs w:val="16"/>
                <w:color w:val="auto"/>
              </w:rPr>
            </w:pPr>
          </w:p>
        </w:tc>
        <w:tc>
          <w:tcPr>
            <w:tcW w:w="4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00" w:type="dxa"/>
            <w:vAlign w:val="bottom"/>
            <w:gridSpan w:val="2"/>
          </w:tcPr>
          <w:p>
            <w:pPr>
              <w:jc w:val="center"/>
              <w:ind w:right="120"/>
              <w:spacing w:after="0"/>
              <w:rPr>
                <w:sz w:val="20"/>
                <w:szCs w:val="20"/>
                <w:color w:val="auto"/>
              </w:rPr>
            </w:pPr>
            <w:r>
              <w:rPr>
                <w:rFonts w:ascii="Arial" w:cs="Arial" w:eastAsia="Arial" w:hAnsi="Arial"/>
                <w:sz w:val="14"/>
                <w:szCs w:val="14"/>
                <w:color w:val="auto"/>
              </w:rPr>
              <w:t>Class A Common Stock, no par value</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MDLZ</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1.625% Notes due 2027</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MDLZ27</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0.250% Notes due 2028</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MDLZ28</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0.750% Notes due 2033</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MDLZ33</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2.375%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MDLZ35</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4.500%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MDLZ35A</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2"/>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1.375% Notes due 2041</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MDLZ41</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203"/>
        </w:trPr>
        <w:tc>
          <w:tcPr>
            <w:tcW w:w="4600" w:type="dxa"/>
            <w:vAlign w:val="bottom"/>
            <w:gridSpan w:val="2"/>
          </w:tcPr>
          <w:p>
            <w:pPr>
              <w:jc w:val="center"/>
              <w:ind w:right="140"/>
              <w:spacing w:after="0"/>
              <w:rPr>
                <w:sz w:val="20"/>
                <w:szCs w:val="20"/>
                <w:color w:val="auto"/>
              </w:rPr>
            </w:pPr>
            <w:r>
              <w:rPr>
                <w:rFonts w:ascii="Arial" w:cs="Arial" w:eastAsia="Arial" w:hAnsi="Arial"/>
                <w:sz w:val="14"/>
                <w:szCs w:val="14"/>
                <w:color w:val="auto"/>
              </w:rPr>
              <w:t>3.875% Notes due 2045</w:t>
            </w: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color w:val="auto"/>
              </w:rPr>
              <w:t>MDLZ45</w:t>
            </w:r>
          </w:p>
        </w:tc>
        <w:tc>
          <w:tcPr>
            <w:tcW w:w="46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bl>
    <w:p>
      <w:pPr>
        <w:spacing w:after="0" w:line="107" w:lineRule="exact"/>
        <w:rPr>
          <w:sz w:val="24"/>
          <w:szCs w:val="24"/>
          <w:color w:val="auto"/>
        </w:rPr>
      </w:pPr>
    </w:p>
    <w:p>
      <w:pPr>
        <w:jc w:val="both"/>
        <w:spacing w:after="0" w:line="21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9" w:lineRule="exact"/>
        <w:rPr>
          <w:sz w:val="24"/>
          <w:szCs w:val="24"/>
          <w:color w:val="auto"/>
        </w:rPr>
      </w:pPr>
    </w:p>
    <w:p>
      <w:pPr>
        <w:jc w:val="both"/>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3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00" w:type="dxa"/>
            <w:vAlign w:val="bottom"/>
          </w:tcPr>
          <w:p>
            <w:pPr>
              <w:ind w:left="920"/>
              <w:spacing w:after="0"/>
              <w:rPr>
                <w:sz w:val="20"/>
                <w:szCs w:val="20"/>
                <w:color w:val="auto"/>
              </w:rPr>
            </w:pPr>
            <w:r>
              <w:rPr>
                <w:rFonts w:ascii="Wingdings" w:cs="Wingdings" w:eastAsia="Wingdings" w:hAnsi="Wingdings"/>
                <w:sz w:val="14"/>
                <w:szCs w:val="14"/>
                <w:b w:val="1"/>
                <w:bCs w:val="1"/>
                <w:color w:val="auto"/>
              </w:rPr>
              <w:t>x</w:t>
            </w:r>
          </w:p>
        </w:tc>
        <w:tc>
          <w:tcPr>
            <w:tcW w:w="4420" w:type="dxa"/>
            <w:vAlign w:val="bottom"/>
          </w:tcPr>
          <w:p>
            <w:pPr>
              <w:ind w:left="192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360" w:type="dxa"/>
            <w:vAlign w:val="bottom"/>
          </w:tcPr>
          <w:p>
            <w:pPr>
              <w:spacing w:after="0"/>
              <w:rPr>
                <w:sz w:val="20"/>
                <w:szCs w:val="20"/>
                <w:color w:val="auto"/>
              </w:rPr>
            </w:pPr>
            <w:r>
              <w:rPr>
                <w:rFonts w:ascii="Arial" w:cs="Arial" w:eastAsia="Arial" w:hAnsi="Arial"/>
                <w:sz w:val="14"/>
                <w:szCs w:val="14"/>
                <w:color w:val="auto"/>
              </w:rPr>
              <w:t>Non-accelerated filer</w:t>
            </w:r>
          </w:p>
        </w:tc>
        <w:tc>
          <w:tcPr>
            <w:tcW w:w="300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420" w:type="dxa"/>
            <w:vAlign w:val="bottom"/>
          </w:tcPr>
          <w:p>
            <w:pPr>
              <w:ind w:left="1920"/>
              <w:spacing w:after="0"/>
              <w:rPr>
                <w:sz w:val="20"/>
                <w:szCs w:val="20"/>
                <w:color w:val="auto"/>
              </w:rPr>
            </w:pPr>
            <w:r>
              <w:rPr>
                <w:rFonts w:ascii="Arial" w:cs="Arial" w:eastAsia="Arial" w:hAnsi="Arial"/>
                <w:sz w:val="14"/>
                <w:szCs w:val="14"/>
                <w:color w:val="auto"/>
              </w:rPr>
              <w:t>Smaller reporting company</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3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4420" w:type="dxa"/>
            <w:vAlign w:val="bottom"/>
          </w:tcPr>
          <w:p>
            <w:pPr>
              <w:ind w:left="1920"/>
              <w:spacing w:after="0"/>
              <w:rPr>
                <w:sz w:val="20"/>
                <w:szCs w:val="20"/>
                <w:color w:val="auto"/>
              </w:rPr>
            </w:pPr>
            <w:r>
              <w:rPr>
                <w:rFonts w:ascii="Arial" w:cs="Arial" w:eastAsia="Arial" w:hAnsi="Arial"/>
                <w:sz w:val="14"/>
                <w:szCs w:val="14"/>
                <w:color w:val="auto"/>
              </w:rPr>
              <w:t>Emerging growth company</w:t>
            </w:r>
          </w:p>
        </w:tc>
        <w:tc>
          <w:tcPr>
            <w:tcW w:w="9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7"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x</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At October 24, 2024, there were 1,337,194,254 shares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44"/>
        </w:trPr>
        <w:tc>
          <w:tcPr>
            <w:tcW w:w="800" w:type="dxa"/>
            <w:vAlign w:val="bottom"/>
            <w:gridSpan w:val="3"/>
          </w:tcPr>
          <w:p>
            <w:pPr>
              <w:spacing w:after="0" w:line="144" w:lineRule="exact"/>
              <w:rPr>
                <w:sz w:val="20"/>
                <w:szCs w:val="20"/>
                <w:color w:val="auto"/>
              </w:rPr>
            </w:pPr>
            <w:r>
              <w:rPr>
                <w:rFonts w:ascii="Arial" w:cs="Arial" w:eastAsia="Arial" w:hAnsi="Arial"/>
                <w:sz w:val="14"/>
                <w:szCs w:val="14"/>
                <w:b w:val="1"/>
                <w:bCs w:val="1"/>
                <w:color w:val="0000FF"/>
              </w:rPr>
              <w:t>PART I</w:t>
            </w:r>
          </w:p>
        </w:tc>
        <w:tc>
          <w:tcPr>
            <w:tcW w:w="9760" w:type="dxa"/>
            <w:vAlign w:val="bottom"/>
            <w:gridSpan w:val="17"/>
          </w:tcPr>
          <w:p>
            <w:pPr>
              <w:spacing w:after="0" w:line="144" w:lineRule="exact"/>
              <w:rPr>
                <w:sz w:val="20"/>
                <w:szCs w:val="20"/>
                <w:color w:val="auto"/>
              </w:rPr>
            </w:pPr>
            <w:r>
              <w:rPr>
                <w:rFonts w:ascii="Arial" w:cs="Arial" w:eastAsia="Arial" w:hAnsi="Arial"/>
                <w:sz w:val="14"/>
                <w:szCs w:val="14"/>
                <w:b w:val="1"/>
                <w:bCs w:val="1"/>
                <w:color w:val="auto"/>
              </w:rPr>
              <w:t>FINANCIAL INFORMATION</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460" w:type="dxa"/>
            <w:vAlign w:val="bottom"/>
            <w:tcBorders>
              <w:top w:val="single" w:sz="8" w:color="0000FF"/>
            </w:tcBorders>
          </w:tcPr>
          <w:p>
            <w:pPr>
              <w:spacing w:after="0"/>
              <w:rPr>
                <w:sz w:val="20"/>
                <w:szCs w:val="20"/>
                <w:color w:val="auto"/>
              </w:rPr>
            </w:pPr>
            <w:r>
              <w:rPr>
                <w:rFonts w:ascii="Arial" w:cs="Arial" w:eastAsia="Arial" w:hAnsi="Arial"/>
                <w:sz w:val="14"/>
                <w:szCs w:val="14"/>
                <w:color w:val="auto"/>
              </w:rPr>
              <w:t>Item 1.</w:t>
            </w:r>
          </w:p>
        </w:tc>
        <w:tc>
          <w:tcPr>
            <w:tcW w:w="340" w:type="dxa"/>
            <w:vAlign w:val="bottom"/>
            <w:gridSpan w:val="2"/>
          </w:tcPr>
          <w:p>
            <w:pPr>
              <w:spacing w:after="0"/>
              <w:rPr>
                <w:sz w:val="23"/>
                <w:szCs w:val="23"/>
                <w:color w:val="auto"/>
              </w:rPr>
            </w:pPr>
          </w:p>
        </w:tc>
        <w:tc>
          <w:tcPr>
            <w:tcW w:w="9760" w:type="dxa"/>
            <w:vAlign w:val="bottom"/>
            <w:gridSpan w:val="17"/>
          </w:tcPr>
          <w:p>
            <w:pPr>
              <w:spacing w:after="0"/>
              <w:rPr>
                <w:sz w:val="20"/>
                <w:szCs w:val="20"/>
                <w:color w:val="auto"/>
              </w:rPr>
            </w:pPr>
            <w:r>
              <w:rPr>
                <w:rFonts w:ascii="Arial" w:cs="Arial" w:eastAsia="Arial" w:hAnsi="Arial"/>
                <w:sz w:val="14"/>
                <w:szCs w:val="14"/>
                <w:color w:val="auto"/>
              </w:rPr>
              <w:t>Financial Statements (Unaudited)</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560" w:type="dxa"/>
            <w:vAlign w:val="bottom"/>
            <w:tcBorders>
              <w:bottom w:val="single" w:sz="8" w:color="0000FF"/>
            </w:tcBorders>
            <w:gridSpan w:val="16"/>
          </w:tcPr>
          <w:p>
            <w:pPr>
              <w:spacing w:after="0"/>
              <w:rPr>
                <w:sz w:val="20"/>
                <w:szCs w:val="20"/>
                <w:color w:val="auto"/>
              </w:rPr>
            </w:pPr>
            <w:r>
              <w:rPr>
                <w:rFonts w:ascii="Arial" w:cs="Arial" w:eastAsia="Arial" w:hAnsi="Arial"/>
                <w:sz w:val="14"/>
                <w:szCs w:val="14"/>
                <w:color w:val="0000FF"/>
              </w:rPr>
              <w:t>Condensed Consolidated Statements of Earnings for the Three and Nine Months Ended September 30, 2024 and 2023</w:t>
            </w:r>
          </w:p>
        </w:tc>
        <w:tc>
          <w:tcPr>
            <w:tcW w:w="2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18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rPr>
              <w:t>Condensed Consolidated Statements of Comprehensive Earnings</w:t>
            </w:r>
          </w:p>
        </w:tc>
        <w:tc>
          <w:tcPr>
            <w:tcW w:w="5580" w:type="dxa"/>
            <w:vAlign w:val="bottom"/>
            <w:gridSpan w:val="7"/>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760" w:type="dxa"/>
            <w:vAlign w:val="bottom"/>
            <w:gridSpan w:val="17"/>
          </w:tcPr>
          <w:p>
            <w:pPr>
              <w:spacing w:after="0" w:line="115" w:lineRule="exact"/>
              <w:rPr>
                <w:sz w:val="20"/>
                <w:szCs w:val="20"/>
                <w:color w:val="auto"/>
              </w:rPr>
            </w:pPr>
            <w:r>
              <w:rPr>
                <w:rFonts w:ascii="Arial" w:cs="Arial" w:eastAsia="Arial" w:hAnsi="Arial"/>
                <w:sz w:val="13"/>
                <w:szCs w:val="13"/>
                <w:color w:val="0000FF"/>
              </w:rPr>
              <w:t>for the Three and Nine Months Ended September 30, 2024 and 2023</w:t>
            </w: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760" w:type="dxa"/>
            <w:vAlign w:val="bottom"/>
            <w:gridSpan w:val="17"/>
          </w:tcPr>
          <w:p>
            <w:pPr>
              <w:spacing w:after="0"/>
              <w:rPr>
                <w:sz w:val="20"/>
                <w:szCs w:val="20"/>
                <w:color w:val="auto"/>
              </w:rPr>
            </w:pPr>
            <w:r>
              <w:rPr>
                <w:rFonts w:ascii="Arial" w:cs="Arial" w:eastAsia="Arial" w:hAnsi="Arial"/>
                <w:sz w:val="14"/>
                <w:szCs w:val="14"/>
                <w:color w:val="0000FF"/>
              </w:rPr>
              <w:t>Condensed Consolidated Balance Sheets at September 30, 2024 and December 31, 2023</w:t>
            </w: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760" w:type="dxa"/>
            <w:vAlign w:val="bottom"/>
            <w:gridSpan w:val="17"/>
          </w:tcPr>
          <w:p>
            <w:pPr>
              <w:spacing w:after="0"/>
              <w:rPr>
                <w:sz w:val="20"/>
                <w:szCs w:val="20"/>
                <w:color w:val="auto"/>
              </w:rPr>
            </w:pPr>
            <w:r>
              <w:rPr>
                <w:rFonts w:ascii="Arial" w:cs="Arial" w:eastAsia="Arial" w:hAnsi="Arial"/>
                <w:sz w:val="14"/>
                <w:szCs w:val="14"/>
                <w:color w:val="0000FF"/>
              </w:rPr>
              <w:t>Condensed Consolidated Statements of Equity for the Three and Nine Months Ended September 30, 2024 and 2023</w:t>
            </w: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380" w:type="dxa"/>
            <w:vAlign w:val="bottom"/>
            <w:tcBorders>
              <w:top w:val="single" w:sz="8" w:color="0000FF"/>
            </w:tcBorders>
            <w:gridSpan w:val="15"/>
          </w:tcPr>
          <w:p>
            <w:pPr>
              <w:spacing w:after="0"/>
              <w:rPr>
                <w:sz w:val="20"/>
                <w:szCs w:val="20"/>
                <w:color w:val="auto"/>
              </w:rPr>
            </w:pPr>
            <w:r>
              <w:rPr>
                <w:rFonts w:ascii="Arial" w:cs="Arial" w:eastAsia="Arial" w:hAnsi="Arial"/>
                <w:sz w:val="14"/>
                <w:szCs w:val="14"/>
                <w:color w:val="0000FF"/>
              </w:rPr>
              <w:t>Condensed Consolidated Statements of Cash Flows for the Nine Months Ended September 30, 2024 and 2023</w:t>
            </w:r>
          </w:p>
        </w:tc>
        <w:tc>
          <w:tcPr>
            <w:tcW w:w="2380" w:type="dxa"/>
            <w:vAlign w:val="bottom"/>
            <w:gridSpan w:val="2"/>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6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4"/>
                <w:szCs w:val="14"/>
                <w:color w:val="0000FF"/>
              </w:rPr>
              <w:t>Notes to Condensed Consolidated Financial Statements</w:t>
            </w:r>
          </w:p>
        </w:tc>
        <w:tc>
          <w:tcPr>
            <w:tcW w:w="3480" w:type="dxa"/>
            <w:vAlign w:val="bottom"/>
            <w:tcBorders>
              <w:top w:val="single" w:sz="8" w:color="0000FF"/>
            </w:tcBorders>
            <w:gridSpan w:val="7"/>
          </w:tcPr>
          <w:p>
            <w:pPr>
              <w:spacing w:after="0"/>
              <w:rPr>
                <w:sz w:val="15"/>
                <w:szCs w:val="15"/>
                <w:color w:val="auto"/>
              </w:rPr>
            </w:pPr>
          </w:p>
        </w:tc>
        <w:tc>
          <w:tcPr>
            <w:tcW w:w="2720" w:type="dxa"/>
            <w:vAlign w:val="bottom"/>
            <w:gridSpan w:val="3"/>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2.</w:t>
            </w:r>
          </w:p>
        </w:tc>
        <w:tc>
          <w:tcPr>
            <w:tcW w:w="564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4120" w:type="dxa"/>
            <w:vAlign w:val="bottom"/>
            <w:gridSpan w:val="5"/>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3.</w:t>
            </w:r>
          </w:p>
        </w:tc>
        <w:tc>
          <w:tcPr>
            <w:tcW w:w="9760" w:type="dxa"/>
            <w:vAlign w:val="bottom"/>
            <w:gridSpan w:val="17"/>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37"/>
        </w:trPr>
        <w:tc>
          <w:tcPr>
            <w:tcW w:w="800" w:type="dxa"/>
            <w:vAlign w:val="bottom"/>
            <w:gridSpan w:val="3"/>
          </w:tcPr>
          <w:p>
            <w:pPr>
              <w:spacing w:after="0"/>
              <w:rPr>
                <w:sz w:val="20"/>
                <w:szCs w:val="20"/>
                <w:color w:val="auto"/>
              </w:rPr>
            </w:pPr>
            <w:r>
              <w:rPr>
                <w:rFonts w:ascii="Arial" w:cs="Arial" w:eastAsia="Arial" w:hAnsi="Arial"/>
                <w:sz w:val="14"/>
                <w:szCs w:val="14"/>
                <w:color w:val="auto"/>
              </w:rPr>
              <w:t>Item 4.</w:t>
            </w:r>
          </w:p>
        </w:tc>
        <w:tc>
          <w:tcPr>
            <w:tcW w:w="3720" w:type="dxa"/>
            <w:vAlign w:val="bottom"/>
            <w:tcBorders>
              <w:top w:val="single" w:sz="8" w:color="0000FF"/>
            </w:tcBorders>
            <w:gridSpan w:val="8"/>
          </w:tcPr>
          <w:p>
            <w:pPr>
              <w:spacing w:after="0"/>
              <w:rPr>
                <w:sz w:val="20"/>
                <w:szCs w:val="20"/>
                <w:color w:val="auto"/>
              </w:rPr>
            </w:pPr>
            <w:r>
              <w:rPr>
                <w:rFonts w:ascii="Arial" w:cs="Arial" w:eastAsia="Arial" w:hAnsi="Arial"/>
                <w:sz w:val="14"/>
                <w:szCs w:val="14"/>
                <w:color w:val="0000FF"/>
              </w:rPr>
              <w:t>Controls and Procedures</w:t>
            </w:r>
          </w:p>
        </w:tc>
        <w:tc>
          <w:tcPr>
            <w:tcW w:w="6040" w:type="dxa"/>
            <w:vAlign w:val="bottom"/>
            <w:gridSpan w:val="9"/>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37"/>
        </w:trPr>
        <w:tc>
          <w:tcPr>
            <w:tcW w:w="800" w:type="dxa"/>
            <w:vAlign w:val="bottom"/>
            <w:gridSpan w:val="3"/>
          </w:tcPr>
          <w:p>
            <w:pPr>
              <w:spacing w:after="0"/>
              <w:rPr>
                <w:sz w:val="20"/>
                <w:szCs w:val="20"/>
                <w:color w:val="auto"/>
              </w:rPr>
            </w:pPr>
            <w:r>
              <w:rPr>
                <w:rFonts w:ascii="Arial" w:cs="Arial" w:eastAsia="Arial" w:hAnsi="Arial"/>
                <w:sz w:val="14"/>
                <w:szCs w:val="14"/>
                <w:b w:val="1"/>
                <w:bCs w:val="1"/>
                <w:color w:val="0000FF"/>
              </w:rPr>
              <w:t>PART II</w:t>
            </w:r>
          </w:p>
        </w:tc>
        <w:tc>
          <w:tcPr>
            <w:tcW w:w="1560" w:type="dxa"/>
            <w:vAlign w:val="bottom"/>
            <w:tcBorders>
              <w:top w:val="single" w:sz="8" w:color="0000FF"/>
            </w:tcBorders>
            <w:gridSpan w:val="6"/>
          </w:tcPr>
          <w:p>
            <w:pPr>
              <w:spacing w:after="0"/>
              <w:rPr>
                <w:sz w:val="20"/>
                <w:szCs w:val="20"/>
                <w:color w:val="auto"/>
              </w:rPr>
            </w:pPr>
            <w:r>
              <w:rPr>
                <w:rFonts w:ascii="Arial" w:cs="Arial" w:eastAsia="Arial" w:hAnsi="Arial"/>
                <w:sz w:val="14"/>
                <w:szCs w:val="14"/>
                <w:b w:val="1"/>
                <w:bCs w:val="1"/>
                <w:color w:val="auto"/>
              </w:rPr>
              <w:t>OTHER INFORMATION</w:t>
            </w:r>
          </w:p>
        </w:tc>
        <w:tc>
          <w:tcPr>
            <w:tcW w:w="8200" w:type="dxa"/>
            <w:vAlign w:val="bottom"/>
            <w:gridSpan w:val="11"/>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auto"/>
              </w:rPr>
              <w:t>Item 1.</w:t>
            </w:r>
          </w:p>
        </w:tc>
        <w:tc>
          <w:tcPr>
            <w:tcW w:w="300" w:type="dxa"/>
            <w:vAlign w:val="bottom"/>
          </w:tcPr>
          <w:p>
            <w:pPr>
              <w:spacing w:after="0"/>
              <w:rPr>
                <w:sz w:val="20"/>
                <w:szCs w:val="20"/>
                <w:color w:val="auto"/>
              </w:rPr>
            </w:pPr>
          </w:p>
        </w:tc>
        <w:tc>
          <w:tcPr>
            <w:tcW w:w="9760" w:type="dxa"/>
            <w:vAlign w:val="bottom"/>
            <w:gridSpan w:val="17"/>
          </w:tcPr>
          <w:p>
            <w:pPr>
              <w:spacing w:after="0"/>
              <w:rPr>
                <w:sz w:val="20"/>
                <w:szCs w:val="20"/>
                <w:color w:val="auto"/>
              </w:rPr>
            </w:pPr>
            <w:r>
              <w:rPr>
                <w:rFonts w:ascii="Arial" w:cs="Arial" w:eastAsia="Arial" w:hAnsi="Arial"/>
                <w:sz w:val="14"/>
                <w:szCs w:val="14"/>
                <w:color w:val="0000FF"/>
              </w:rPr>
              <w:t>Legal Proceedings</w:t>
            </w:r>
          </w:p>
        </w:tc>
        <w:tc>
          <w:tcPr>
            <w:tcW w:w="66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1A.</w:t>
            </w:r>
          </w:p>
        </w:tc>
        <w:tc>
          <w:tcPr>
            <w:tcW w:w="7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4"/>
                <w:szCs w:val="14"/>
                <w:color w:val="0000FF"/>
                <w:w w:val="97"/>
              </w:rPr>
              <w:t>Risk Factors</w:t>
            </w:r>
          </w:p>
        </w:tc>
        <w:tc>
          <w:tcPr>
            <w:tcW w:w="380" w:type="dxa"/>
            <w:vAlign w:val="bottom"/>
            <w:tcBorders>
              <w:top w:val="single" w:sz="8" w:color="0000FF"/>
            </w:tcBorders>
            <w:gridSpan w:val="2"/>
          </w:tcPr>
          <w:p>
            <w:pPr>
              <w:spacing w:after="0"/>
              <w:rPr>
                <w:sz w:val="15"/>
                <w:szCs w:val="15"/>
                <w:color w:val="auto"/>
              </w:rPr>
            </w:pPr>
          </w:p>
        </w:tc>
        <w:tc>
          <w:tcPr>
            <w:tcW w:w="8600" w:type="dxa"/>
            <w:vAlign w:val="bottom"/>
            <w:gridSpan w:val="12"/>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36"/>
        </w:trPr>
        <w:tc>
          <w:tcPr>
            <w:tcW w:w="800" w:type="dxa"/>
            <w:vAlign w:val="bottom"/>
            <w:gridSpan w:val="3"/>
          </w:tcPr>
          <w:p>
            <w:pPr>
              <w:spacing w:after="0"/>
              <w:rPr>
                <w:sz w:val="20"/>
                <w:szCs w:val="20"/>
                <w:color w:val="auto"/>
              </w:rPr>
            </w:pPr>
            <w:r>
              <w:rPr>
                <w:rFonts w:ascii="Arial" w:cs="Arial" w:eastAsia="Arial" w:hAnsi="Arial"/>
                <w:sz w:val="14"/>
                <w:szCs w:val="14"/>
                <w:color w:val="auto"/>
              </w:rPr>
              <w:t>Item 2.</w:t>
            </w:r>
          </w:p>
        </w:tc>
        <w:tc>
          <w:tcPr>
            <w:tcW w:w="386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5900" w:type="dxa"/>
            <w:vAlign w:val="bottom"/>
            <w:gridSpan w:val="8"/>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3"/>
        </w:trPr>
        <w:tc>
          <w:tcPr>
            <w:tcW w:w="800" w:type="dxa"/>
            <w:vAlign w:val="bottom"/>
            <w:gridSpan w:val="3"/>
          </w:tcPr>
          <w:p>
            <w:pPr>
              <w:spacing w:after="0"/>
              <w:rPr>
                <w:sz w:val="20"/>
                <w:szCs w:val="20"/>
                <w:color w:val="auto"/>
              </w:rPr>
            </w:pPr>
            <w:r>
              <w:rPr>
                <w:rFonts w:ascii="Arial" w:cs="Arial" w:eastAsia="Arial" w:hAnsi="Arial"/>
                <w:sz w:val="14"/>
                <w:szCs w:val="14"/>
                <w:color w:val="auto"/>
              </w:rPr>
              <w:t>Item 5.</w:t>
            </w:r>
          </w:p>
        </w:tc>
        <w:tc>
          <w:tcPr>
            <w:tcW w:w="110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w w:val="99"/>
              </w:rPr>
              <w:t>Other Information</w:t>
            </w:r>
          </w:p>
        </w:tc>
        <w:tc>
          <w:tcPr>
            <w:tcW w:w="8660" w:type="dxa"/>
            <w:vAlign w:val="bottom"/>
            <w:gridSpan w:val="13"/>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37"/>
        </w:trPr>
        <w:tc>
          <w:tcPr>
            <w:tcW w:w="800" w:type="dxa"/>
            <w:vAlign w:val="bottom"/>
            <w:gridSpan w:val="3"/>
          </w:tcPr>
          <w:p>
            <w:pPr>
              <w:spacing w:after="0"/>
              <w:rPr>
                <w:sz w:val="20"/>
                <w:szCs w:val="20"/>
                <w:color w:val="auto"/>
              </w:rPr>
            </w:pPr>
            <w:r>
              <w:rPr>
                <w:rFonts w:ascii="Arial" w:cs="Arial" w:eastAsia="Arial" w:hAnsi="Arial"/>
                <w:sz w:val="14"/>
                <w:szCs w:val="14"/>
                <w:color w:val="auto"/>
              </w:rPr>
              <w:t>Item 6.</w:t>
            </w:r>
          </w:p>
        </w:tc>
        <w:tc>
          <w:tcPr>
            <w:tcW w:w="48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w w:val="93"/>
              </w:rPr>
              <w:t>Exhibits</w:t>
            </w:r>
          </w:p>
        </w:tc>
        <w:tc>
          <w:tcPr>
            <w:tcW w:w="9280" w:type="dxa"/>
            <w:vAlign w:val="bottom"/>
            <w:gridSpan w:val="16"/>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760" w:type="dxa"/>
            <w:vAlign w:val="bottom"/>
            <w:gridSpan w:val="17"/>
          </w:tcPr>
          <w:p>
            <w:pPr>
              <w:spacing w:after="0"/>
              <w:rPr>
                <w:sz w:val="20"/>
                <w:szCs w:val="20"/>
                <w:color w:val="auto"/>
              </w:rPr>
            </w:pPr>
            <w:r>
              <w:rPr>
                <w:rFonts w:ascii="Arial" w:cs="Arial" w:eastAsia="Arial" w:hAnsi="Arial"/>
                <w:sz w:val="14"/>
                <w:szCs w:val="14"/>
                <w:color w:val="0000FF"/>
              </w:rPr>
              <w:t>Signature</w:t>
            </w:r>
          </w:p>
        </w:tc>
        <w:tc>
          <w:tcPr>
            <w:tcW w:w="66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229870</wp:posOffset>
            </wp:positionV>
            <wp:extent cx="248920"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25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26,702</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(16,408)</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10,294</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(5,459)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and exit costs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Benefit plan non-service income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(Loss)/gain on marketable securities</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175"/>
        </w:trPr>
        <w:tc>
          <w:tcPr>
            <w:tcW w:w="5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(Loss)/gain on equity method investment transactions including</w:t>
            </w:r>
          </w:p>
        </w:tc>
        <w:tc>
          <w:tcPr>
            <w:tcW w:w="2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impairments</w:t>
            </w:r>
          </w:p>
        </w:tc>
        <w:tc>
          <w:tcPr>
            <w:tcW w:w="28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 net earnings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Noncontrolling interest earnings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55"/>
        </w:trPr>
        <w:tc>
          <w:tcPr>
            <w:tcW w:w="540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rPr>
              <w:t>Net earnings attributable to</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2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Mondelēz International</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Basic earnings per share attributable to</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Mondelēz International</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20"/>
              <w:spacing w:after="0" w:line="163" w:lineRule="exact"/>
              <w:rPr>
                <w:sz w:val="20"/>
                <w:szCs w:val="20"/>
                <w:color w:val="auto"/>
              </w:rPr>
            </w:pPr>
            <w:r>
              <w:rPr>
                <w:rFonts w:ascii="Arial" w:cs="Arial" w:eastAsia="Arial" w:hAnsi="Arial"/>
                <w:sz w:val="18"/>
                <w:szCs w:val="18"/>
                <w:color w:val="auto"/>
              </w:rPr>
              <w:t>Diluted earnings per share attributable to</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400" w:type="dxa"/>
            <w:vAlign w:val="bottom"/>
            <w:vMerge w:val="continue"/>
          </w:tcPr>
          <w:p>
            <w:pPr>
              <w:spacing w:after="0"/>
              <w:rPr>
                <w:sz w:val="10"/>
                <w:szCs w:val="10"/>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0"/>
                <w:szCs w:val="10"/>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10"/>
                <w:szCs w:val="10"/>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0"/>
                <w:szCs w:val="10"/>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1"/>
        </w:trPr>
        <w:tc>
          <w:tcPr>
            <w:tcW w:w="5400" w:type="dxa"/>
            <w:vAlign w:val="bottom"/>
          </w:tcPr>
          <w:p>
            <w:pPr>
              <w:ind w:left="380"/>
              <w:spacing w:after="0"/>
              <w:rPr>
                <w:sz w:val="20"/>
                <w:szCs w:val="20"/>
                <w:color w:val="auto"/>
              </w:rPr>
            </w:pPr>
            <w:r>
              <w:rPr>
                <w:rFonts w:ascii="Arial" w:cs="Arial" w:eastAsia="Arial" w:hAnsi="Arial"/>
                <w:sz w:val="18"/>
                <w:szCs w:val="18"/>
                <w:color w:val="auto"/>
              </w:rPr>
              <w:t>Mondelēz International</w:t>
            </w:r>
          </w:p>
        </w:tc>
        <w:tc>
          <w:tcPr>
            <w:tcW w:w="2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635</wp:posOffset>
            </wp:positionV>
            <wp:extent cx="248920" cy="240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940" w:type="dxa"/>
            <w:vAlign w:val="bottom"/>
            <w:gridSpan w:val="6"/>
          </w:tcPr>
          <w:p>
            <w:pPr>
              <w:ind w:left="44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6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3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w:t>
            </w: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5320" w:type="dxa"/>
            <w:vAlign w:val="bottom"/>
          </w:tcPr>
          <w:p>
            <w:pPr>
              <w:ind w:left="140"/>
              <w:spacing w:after="0"/>
              <w:rPr>
                <w:sz w:val="20"/>
                <w:szCs w:val="20"/>
                <w:color w:val="auto"/>
              </w:rPr>
            </w:pPr>
            <w:r>
              <w:rPr>
                <w:rFonts w:ascii="Arial" w:cs="Arial" w:eastAsia="Arial" w:hAnsi="Arial"/>
                <w:sz w:val="18"/>
                <w:szCs w:val="18"/>
                <w:color w:val="auto"/>
              </w:rPr>
              <w:t>Pension and other benefit plans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cash flow hedges</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earnings/(losses)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175"/>
        </w:trPr>
        <w:tc>
          <w:tcPr>
            <w:tcW w:w="5320" w:type="dxa"/>
            <w:vAlign w:val="bottom"/>
          </w:tcPr>
          <w:p>
            <w:pPr>
              <w:ind w:left="140"/>
              <w:spacing w:after="0" w:line="176" w:lineRule="exact"/>
              <w:rPr>
                <w:sz w:val="20"/>
                <w:szCs w:val="20"/>
                <w:color w:val="auto"/>
              </w:rPr>
            </w:pPr>
            <w:r>
              <w:rPr>
                <w:rFonts w:ascii="Arial" w:cs="Arial" w:eastAsia="Arial" w:hAnsi="Arial"/>
                <w:sz w:val="18"/>
                <w:szCs w:val="18"/>
                <w:color w:val="auto"/>
              </w:rPr>
              <w:t>less: Comprehensive earnings/(losses)</w:t>
            </w:r>
          </w:p>
        </w:tc>
        <w:tc>
          <w:tcPr>
            <w:tcW w:w="88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3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attributable to noncontrolling interests</w:t>
            </w:r>
          </w:p>
        </w:tc>
        <w:tc>
          <w:tcPr>
            <w:tcW w:w="8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53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Comprehensive earnings/(losses) attributable to</w:t>
            </w:r>
          </w:p>
        </w:tc>
        <w:tc>
          <w:tcPr>
            <w:tcW w:w="880" w:type="dxa"/>
            <w:vAlign w:val="bottom"/>
            <w:vMerge w:val="restart"/>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635</wp:posOffset>
            </wp:positionV>
            <wp:extent cx="24892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85"/>
        </w:trPr>
        <w:tc>
          <w:tcPr>
            <w:tcW w:w="79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less allowance ($38 and $66, respectively)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Other receivables, less allowance ($39 and $50, respectively)</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9,694</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23,773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23,896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19,836</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Prepaid pension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71,391</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8,321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marketing</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employment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21,073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19,013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16,887</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postretirement health care costs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43,025</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Common Stock, no par value (5,000,000,000 shares authorized, 1,996,537,778 shares issued)</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35,331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34,236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Treasury stock, at cost (659,362,849 and 648,055,073 shares, respectively)</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Mondelēz International Shareholders’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28,332</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28,366</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71,391</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-7620</wp:posOffset>
            </wp:positionV>
            <wp:extent cx="24892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8"/>
          </w:tcPr>
          <w:p>
            <w:pPr>
              <w:ind w:left="320"/>
              <w:spacing w:after="0"/>
              <w:rPr>
                <w:sz w:val="20"/>
                <w:szCs w:val="20"/>
                <w:color w:val="auto"/>
              </w:rPr>
            </w:pPr>
            <w:r>
              <w:rPr>
                <w:rFonts w:ascii="Arial" w:cs="Arial" w:eastAsia="Arial" w:hAnsi="Arial"/>
                <w:sz w:val="13"/>
                <w:szCs w:val="13"/>
                <w:b w:val="1"/>
                <w:bCs w:val="1"/>
                <w:color w:val="auto"/>
              </w:rPr>
              <w:t>Mondelēz International Shareholders’ Equity</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1"/>
                <w:szCs w:val="11"/>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Treasury</w:t>
            </w: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1"/>
                <w:szCs w:val="11"/>
                <w:color w:val="auto"/>
              </w:rPr>
            </w:pPr>
          </w:p>
        </w:tc>
        <w:tc>
          <w:tcPr>
            <w:tcW w:w="80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Earnings/</w:t>
            </w: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(Losses)</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Stock</w:t>
            </w:r>
          </w:p>
        </w:tc>
        <w:tc>
          <w:tcPr>
            <w:tcW w:w="1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Three Months Ended September 30, 2024</w:t>
            </w: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July 1, 2024</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32,200</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35,108</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(11,515)</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(28,104)</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27,718</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853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856</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22"/>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($0.470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(632)</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September 30, 2024</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32,244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35,331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(11,579)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(28,142)</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27,891</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Nine Months Ended September 30, 2024</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2024</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32,216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34,236</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(10,946)</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(27,174)</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28,366</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2,875</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($1.320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(1,776)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(1,776)</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September 30, 2024</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32,244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35,331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(11,579)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(28,142)</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27,891</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Three Months Ended September 30, 2023</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July 1, 2023</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32,148</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33,458</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(10,710)</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(26,249)</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28,679</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988</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($0.425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(580)</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September 30, 2023</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32,181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33,866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(11,232)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(26,280)</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28,560</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Nine Months Ended September 30, 2023</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2023</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32,143</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31,481</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(10,947)</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(25,794)</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26,920</w:t>
            </w: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4,018</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140"/>
              <w:spacing w:after="0" w:line="126"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w:t>
            </w:r>
          </w:p>
        </w:tc>
        <w:tc>
          <w:tcPr>
            <w:tcW w:w="0" w:type="dxa"/>
            <w:vAlign w:val="bottom"/>
          </w:tcPr>
          <w:p>
            <w:pPr>
              <w:spacing w:after="0"/>
              <w:rPr>
                <w:sz w:val="1"/>
                <w:szCs w:val="1"/>
                <w:color w:val="auto"/>
              </w:rPr>
            </w:pPr>
          </w:p>
        </w:tc>
      </w:tr>
      <w:tr>
        <w:trPr>
          <w:trHeight w:val="171"/>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($1.195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(1,633)</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4"/>
        </w:trPr>
        <w:tc>
          <w:tcPr>
            <w:tcW w:w="3200" w:type="dxa"/>
            <w:vAlign w:val="bottom"/>
          </w:tcPr>
          <w:p>
            <w:pPr>
              <w:ind w:left="20"/>
              <w:spacing w:after="0" w:line="146" w:lineRule="exact"/>
              <w:rPr>
                <w:sz w:val="20"/>
                <w:szCs w:val="20"/>
                <w:color w:val="auto"/>
              </w:rPr>
            </w:pPr>
            <w:r>
              <w:rPr>
                <w:rFonts w:ascii="Arial" w:cs="Arial" w:eastAsia="Arial" w:hAnsi="Arial"/>
                <w:sz w:val="13"/>
                <w:szCs w:val="13"/>
                <w:color w:val="auto"/>
              </w:rPr>
              <w:t>Balances at September 30, 2023</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32,181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33,866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(11,232)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(26,280)</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28,560</w:t>
            </w:r>
          </w:p>
        </w:tc>
        <w:tc>
          <w:tcPr>
            <w:tcW w:w="0" w:type="dxa"/>
            <w:vAlign w:val="bottom"/>
          </w:tcPr>
          <w:p>
            <w:pPr>
              <w:spacing w:after="0"/>
              <w:rPr>
                <w:sz w:val="1"/>
                <w:szCs w:val="1"/>
                <w:color w:val="auto"/>
              </w:rPr>
            </w:pPr>
          </w:p>
        </w:tc>
      </w:tr>
      <w:tr>
        <w:trPr>
          <w:trHeight w:val="25"/>
        </w:trPr>
        <w:tc>
          <w:tcPr>
            <w:tcW w:w="3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635</wp:posOffset>
            </wp:positionV>
            <wp:extent cx="24892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For the Nine Months Ended</w:t>
      </w:r>
    </w:p>
    <w:p>
      <w:pPr>
        <w:jc w:val="center"/>
        <w:ind w:left="74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399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2023</w:t>
            </w:r>
          </w:p>
        </w:tc>
      </w:tr>
      <w:tr>
        <w:trPr>
          <w:trHeight w:val="19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OPERATING ACTIVITIES</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1140" w:type="dxa"/>
            <w:vAlign w:val="bottom"/>
          </w:tcPr>
          <w:p>
            <w:pPr>
              <w:jc w:val="right"/>
              <w:ind w:right="96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2,875</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4,018</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earnings to operating cash flows: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902</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 expense</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Deferred income tax provision</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 impairments and accelerated depreciation</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Loss/(gain) on equity method investment transactions including impairments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(465)</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method investment net earnings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Distributions from equity method investments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loss/(gain) on derivative contracts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Gain on marketable securities</w:t>
            </w:r>
          </w:p>
        </w:tc>
        <w:tc>
          <w:tcPr>
            <w:tcW w:w="1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(593)</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Contingent consideration adjustments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Other non-cash items, net</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63"/>
        </w:trPr>
        <w:tc>
          <w:tcPr>
            <w:tcW w:w="75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color w:val="auto"/>
              </w:rPr>
              <w:t>Change in assets and liabilities,</w:t>
            </w:r>
          </w:p>
        </w:tc>
        <w:tc>
          <w:tcPr>
            <w:tcW w:w="1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16"/>
        </w:trPr>
        <w:tc>
          <w:tcPr>
            <w:tcW w:w="75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of acquisitions and divestitures: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520" w:type="dxa"/>
            <w:vAlign w:val="bottom"/>
          </w:tcPr>
          <w:p>
            <w:pPr>
              <w:ind w:left="560"/>
              <w:spacing w:after="0"/>
              <w:rPr>
                <w:sz w:val="20"/>
                <w:szCs w:val="20"/>
                <w:color w:val="auto"/>
              </w:rPr>
            </w:pPr>
            <w:r>
              <w:rPr>
                <w:rFonts w:ascii="Arial" w:cs="Arial" w:eastAsia="Arial" w:hAnsi="Arial"/>
                <w:sz w:val="16"/>
                <w:szCs w:val="16"/>
                <w:color w:val="auto"/>
              </w:rPr>
              <w:t>Receivables, net</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(687)</w:t>
            </w:r>
          </w:p>
        </w:tc>
      </w:tr>
      <w:tr>
        <w:trPr>
          <w:trHeight w:val="217"/>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Inventories, net</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r>
      <w:tr>
        <w:trPr>
          <w:trHeight w:val="215"/>
        </w:trPr>
        <w:tc>
          <w:tcPr>
            <w:tcW w:w="752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current assets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5"/>
        </w:trPr>
        <w:tc>
          <w:tcPr>
            <w:tcW w:w="7520" w:type="dxa"/>
            <w:vAlign w:val="bottom"/>
          </w:tcPr>
          <w:p>
            <w:pPr>
              <w:ind w:left="560"/>
              <w:spacing w:after="0"/>
              <w:rPr>
                <w:sz w:val="20"/>
                <w:szCs w:val="20"/>
                <w:color w:val="auto"/>
              </w:rPr>
            </w:pPr>
            <w:r>
              <w:rPr>
                <w:rFonts w:ascii="Arial" w:cs="Arial" w:eastAsia="Arial" w:hAnsi="Arial"/>
                <w:sz w:val="16"/>
                <w:szCs w:val="16"/>
                <w:color w:val="auto"/>
              </w:rPr>
              <w:t>Other current liabilities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637</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pension and postretirement assets and liabilities, net</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09"/>
        </w:trPr>
        <w:tc>
          <w:tcPr>
            <w:tcW w:w="752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w:t>
            </w:r>
          </w:p>
        </w:tc>
      </w:tr>
      <w:tr>
        <w:trPr>
          <w:trHeight w:val="19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BY/(USED IN) INVESTING ACTIVITIES</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(780)</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 net of cash received</w:t>
            </w:r>
          </w:p>
        </w:tc>
        <w:tc>
          <w:tcPr>
            <w:tcW w:w="1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Proceeds from divestitures including equity method and marketable security investments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2,727</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derivative settlements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15"/>
        </w:trPr>
        <w:tc>
          <w:tcPr>
            <w:tcW w:w="7520" w:type="dxa"/>
            <w:vAlign w:val="bottom"/>
          </w:tcPr>
          <w:p>
            <w:pPr>
              <w:ind w:left="160"/>
              <w:spacing w:after="0"/>
              <w:rPr>
                <w:sz w:val="20"/>
                <w:szCs w:val="20"/>
                <w:color w:val="auto"/>
              </w:rPr>
            </w:pPr>
            <w:r>
              <w:rPr>
                <w:rFonts w:ascii="Arial" w:cs="Arial" w:eastAsia="Arial" w:hAnsi="Arial"/>
                <w:sz w:val="16"/>
                <w:szCs w:val="16"/>
                <w:color w:val="auto"/>
              </w:rPr>
              <w:t>Payments for derivative settlements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Contributions to investments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15"/>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sale of property, plant and equipment and other</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(used in)/provided by investing activities</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1,786</w:t>
            </w:r>
          </w:p>
        </w:tc>
      </w:tr>
      <w:tr>
        <w:trPr>
          <w:trHeight w:val="195"/>
        </w:trPr>
        <w:tc>
          <w:tcPr>
            <w:tcW w:w="7520" w:type="dxa"/>
            <w:vAlign w:val="bottom"/>
          </w:tcPr>
          <w:p>
            <w:pPr>
              <w:ind w:left="20"/>
              <w:spacing w:after="0"/>
              <w:rPr>
                <w:sz w:val="20"/>
                <w:szCs w:val="20"/>
                <w:color w:val="auto"/>
              </w:rPr>
            </w:pPr>
            <w:r>
              <w:rPr>
                <w:rFonts w:ascii="Arial" w:cs="Arial" w:eastAsia="Arial" w:hAnsi="Arial"/>
                <w:sz w:val="16"/>
                <w:szCs w:val="16"/>
                <w:color w:val="auto"/>
              </w:rPr>
              <w:t>CASH PROVIDED BY/(USED IN) FINANCING ACTIVITIES</w:t>
            </w: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Issuances of commercial paper, maturities greater than 90 days</w:t>
            </w:r>
          </w:p>
        </w:tc>
        <w:tc>
          <w:tcPr>
            <w:tcW w:w="1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Repayments of commercial paper, maturities greater than 90 days</w:t>
            </w:r>
          </w:p>
        </w:tc>
        <w:tc>
          <w:tcPr>
            <w:tcW w:w="1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issuances/(repayments) of short-term borrowings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Long-term debt proceeds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repayments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w:t>
            </w: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(659)</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w:t>
            </w:r>
          </w:p>
        </w:tc>
      </w:tr>
      <w:tr>
        <w:trPr>
          <w:trHeight w:val="215"/>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r>
      <w:tr>
        <w:trPr>
          <w:trHeight w:val="210"/>
        </w:trPr>
        <w:tc>
          <w:tcPr>
            <w:tcW w:w="75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used in financing activities</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(5,074)</w:t>
            </w:r>
          </w:p>
        </w:tc>
      </w:tr>
      <w:tr>
        <w:trPr>
          <w:trHeight w:val="20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19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5"/>
        </w:trPr>
        <w:tc>
          <w:tcPr>
            <w:tcW w:w="7520" w:type="dxa"/>
            <w:vAlign w:val="bottom"/>
          </w:tcPr>
          <w:p>
            <w:pPr>
              <w:ind w:left="140"/>
              <w:spacing w:after="0"/>
              <w:rPr>
                <w:sz w:val="20"/>
                <w:szCs w:val="20"/>
                <w:color w:val="auto"/>
              </w:rPr>
            </w:pPr>
            <w:r>
              <w:rPr>
                <w:rFonts w:ascii="Arial" w:cs="Arial" w:eastAsia="Arial" w:hAnsi="Arial"/>
                <w:sz w:val="16"/>
                <w:szCs w:val="16"/>
                <w:color w:val="auto"/>
              </w:rPr>
              <w:t>Decrease</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w:t>
            </w:r>
          </w:p>
        </w:tc>
      </w:tr>
      <w:tr>
        <w:trPr>
          <w:trHeight w:val="209"/>
        </w:trPr>
        <w:tc>
          <w:tcPr>
            <w:tcW w:w="7520" w:type="dxa"/>
            <w:vAlign w:val="bottom"/>
          </w:tcPr>
          <w:p>
            <w:pPr>
              <w:ind w:left="14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bottom w:val="single" w:sz="8" w:color="auto"/>
            </w:tcBorders>
          </w:tcPr>
          <w:p>
            <w:pPr>
              <w:jc w:val="right"/>
              <w:ind w:right="96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w:t>
            </w:r>
          </w:p>
        </w:tc>
      </w:tr>
      <w:tr>
        <w:trPr>
          <w:trHeight w:val="21"/>
        </w:trPr>
        <w:tc>
          <w:tcPr>
            <w:tcW w:w="7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635</wp:posOffset>
            </wp:positionV>
            <wp:extent cx="24892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with readily determinable fair values for which we do not have the ability to exercise significant influence are measured at fair value.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 in Ukraine</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2022, Russia began a military invasion of Ukraine and we closed our operations and facilities in Ukraine. In March 2022, our two Ukrainian manufacturing facilities in Trostyanets and Vyshhorod were significantly damaged. In the second quarter of 2024, we fully resumed production at both facilities after completing targeted repairs. We continue to consolidate both our Ukrainian and Russian subsidiaries and continue to evaluate our ability to control our operating activities and businesses on an ongoing basis. We continue to evaluate the uncertainty of the ongoing effects of the war in Ukraine and its impact on the global economic environment, and we cannot predict if it will have a significant impact in the future.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Highly Inflationary Accounting</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Within our consolidated entities, Argentina and </w:t>
      </w:r>
      <w:r>
        <w:rPr>
          <w:rFonts w:ascii="Arial" w:cs="Arial" w:eastAsia="Arial" w:hAnsi="Arial"/>
          <w:sz w:val="18"/>
          <w:szCs w:val="18"/>
          <w:i w:val="1"/>
          <w:iCs w:val="1"/>
          <w:color w:val="auto"/>
        </w:rPr>
        <w:t>Türkiye</w:t>
      </w:r>
      <w:r>
        <w:rPr>
          <w:rFonts w:ascii="Arial" w:cs="Arial" w:eastAsia="Arial" w:hAnsi="Arial"/>
          <w:sz w:val="18"/>
          <w:szCs w:val="18"/>
          <w:color w:val="auto"/>
        </w:rPr>
        <w:t xml:space="preserve"> (Turkey) are accounted for as highly inflationary economies. Argentina and Türkiye represent 1.6% and 0.6% of our consolidated net revenues with remeasurement losses of $4 million and $5 million for the three months ended September 30, 2024, respectively, and 1.5% and 0.7% of our consolidated net revenues with remeasurement losses of $14 million and $12 million for the nine months ended September 30, 2024</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Given the continued volatility of these currencies, impacts to our financial statements in future periods could be significantly different from historical levels.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Restricted cash primarily includes cash held on behalf of financial institutions in accordance with accounts receivable factoring arrangements and letters of credit arrangements with legally restricted cash collateral provisions. Restricted cash is recorded within other current assets and was $56 million as of September 30, 2024 and $74 million as of December 31, 2023. Total cash, cash equivalents and restricted cash was $1,573 million as of September 30, 2024 and $1,884 million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1971040</wp:posOffset>
            </wp:positionV>
            <wp:extent cx="24892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48"/>
        </w:trPr>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 Current</w:t>
            </w:r>
          </w:p>
        </w:tc>
        <w:tc>
          <w:tcPr>
            <w:tcW w:w="180" w:type="dxa"/>
            <w:vAlign w:val="bottom"/>
          </w:tcPr>
          <w:p>
            <w:pPr>
              <w:spacing w:after="0"/>
              <w:rPr>
                <w:sz w:val="12"/>
                <w:szCs w:val="12"/>
                <w:color w:val="auto"/>
              </w:rPr>
            </w:pPr>
          </w:p>
        </w:tc>
        <w:tc>
          <w:tcPr>
            <w:tcW w:w="12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9"/>
        </w:trPr>
        <w:tc>
          <w:tcPr>
            <w:tcW w:w="6840" w:type="dxa"/>
            <w:vAlign w:val="bottom"/>
          </w:tcPr>
          <w:p>
            <w:pPr>
              <w:spacing w:after="0"/>
              <w:rPr>
                <w:sz w:val="16"/>
                <w:szCs w:val="16"/>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Trade Receivables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8"/>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Net recovery for expected credit losses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 and other</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outstanding principal amount of receivables under our uncommitted revolving non-recourse accounts receivable factoring arrangements amounted to $737 million as of September 30, 2024 and $262 million as of December 31, 2023.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Lease Transactions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recorded $244 million in operating lease and $90 million in finance lease right-of-use assets obtained in exchange for lease obligations during the nine months ended September 30, 2024 and $86 million in operating lease and $101 million in finance lease right-of-use assets obtained in exchange for lease obligations during the nine months ended September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Financing</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continued efforts to improve our working capital efficiency, we have worked with our suppliers over the past several years to optimize our terms and conditions, which include the extension of payment terms. We also facilitate voluntary supply chain financing (“SCF”) programs through several participating financial institutions. We have been informed by the participating financial institutions that our outstanding accounts payable related to suppliers that participate in the SCF programs was $3.2 billion and $2.4 billion, respectively, as of September 30, 2024 and December 31,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2022, the FASB issued an ASU which enhances the transparency of supplier finance programs by requiring additional disclosure about the key terms of these programs and a roll-forward of the related obligations to understand the effects of these programs on working capital, liquidity and cash flows. The ASU is effective for fiscal years beginning after December 15, 2022, except for the roll-forward requirement, which is effective for fiscal years beginning after December 15, 2023. We adopted, with the exception of the roll-forward requirement, this standard in the first quarter of 2023 and it did not have a material impact on our consolidated financial statements and related disclosures.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November 2023, the FASB issued an ASU which improves reportable segment disclosure requirements, primarily through enhanced disclosures about significant segment expenses. The ASU is effective for fiscal years beginning after December 15, 2023 and early adoption is permitted. We are currently assessing the impact on our consolidated financial statements and related segment disclosures.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December 2023, the FASB issued an ASU which enhances the transparency of income tax disclosures, primarily related to the rate reconciliation and income taxes paid information. The ASU is effective for fiscal years beginning after December 15, 2024 and early adoption is permitted. We are currently assessing the impact on our consolidated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891540</wp:posOffset>
            </wp:positionV>
            <wp:extent cx="24892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September 20, 2024, we announced that we signed an agreement to acquire a majority stake of Evirth (Shanghai) Industrial Co., Ltd ("Evirth"), a leading manufacturer of cakes and pastries in China. The transaction is subject to customary closing conditions, including regulatory approval, and is expected to close in the fourth quarter of 2024. We recorded acquisition-related costs of $2 million in the three months ended September 30, 2024.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October 1, 2023, we completed the sale of our developed market gum business in the United States, Canada and Europe to Perfetti Van Melle Group, excluding the Portugal business which we sold on October 23, 2023 after obtaining regulatory approval.</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reversed $2 million of previously recorded divestiture-related costs no longer required in the three months ended September 30, 2024 and recorded divestiture-related costs of $14 million in the three months ended September 30, 2023 and recorded net divestiture-related costs of $2 million in the nine months ended September 30, 2024 and $66 million in the nine months ended September 30, 2023.</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This disposition was not considered a strategic shift that would have a major effect on our operations or financial results; therefore, the results of the disposed business were not classified as discontinued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As of September 30,</w:t>
            </w:r>
          </w:p>
        </w:tc>
        <w:tc>
          <w:tcPr>
            <w:tcW w:w="1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As of December 31, 2023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ind w:left="976"/>
              <w:spacing w:after="0"/>
              <w:rPr>
                <w:sz w:val="20"/>
                <w:szCs w:val="20"/>
                <w:color w:val="auto"/>
              </w:rPr>
            </w:pPr>
            <w:r>
              <w:rPr>
                <w:rFonts w:ascii="Arial" w:cs="Arial" w:eastAsia="Arial" w:hAnsi="Arial"/>
                <w:sz w:val="18"/>
                <w:szCs w:val="18"/>
                <w:color w:val="auto"/>
              </w:rPr>
              <w:t>1,141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product</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976"/>
              <w:spacing w:after="0"/>
              <w:rPr>
                <w:sz w:val="20"/>
                <w:szCs w:val="20"/>
                <w:color w:val="auto"/>
              </w:rPr>
            </w:pPr>
            <w:r>
              <w:rPr>
                <w:rFonts w:ascii="Arial" w:cs="Arial" w:eastAsia="Arial" w:hAnsi="Arial"/>
                <w:sz w:val="18"/>
                <w:szCs w:val="18"/>
                <w:color w:val="auto"/>
              </w:rPr>
              <w:t>3,286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976"/>
              <w:spacing w:after="0"/>
              <w:rPr>
                <w:sz w:val="20"/>
                <w:szCs w:val="20"/>
                <w:color w:val="auto"/>
              </w:rPr>
            </w:pPr>
            <w:r>
              <w:rPr>
                <w:rFonts w:ascii="Arial" w:cs="Arial" w:eastAsia="Arial" w:hAnsi="Arial"/>
                <w:sz w:val="18"/>
                <w:szCs w:val="18"/>
                <w:color w:val="auto"/>
              </w:rPr>
              <w:t>4,427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Inventory reserves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center"/>
              <w:ind w:left="976"/>
              <w:spacing w:after="0"/>
              <w:rPr>
                <w:sz w:val="20"/>
                <w:szCs w:val="20"/>
                <w:color w:val="auto"/>
              </w:rPr>
            </w:pPr>
            <w:r>
              <w:rPr>
                <w:rFonts w:ascii="Arial" w:cs="Arial" w:eastAsia="Arial" w:hAnsi="Arial"/>
                <w:sz w:val="18"/>
                <w:szCs w:val="18"/>
                <w:color w:val="auto"/>
              </w:rPr>
              <w:t>4,270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74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4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As of September 30,</w:t>
            </w:r>
          </w:p>
        </w:tc>
        <w:tc>
          <w:tcPr>
            <w:tcW w:w="1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As of December 31, 2023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116"/>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936"/>
              <w:spacing w:after="0"/>
              <w:rPr>
                <w:sz w:val="20"/>
                <w:szCs w:val="20"/>
                <w:color w:val="auto"/>
              </w:rPr>
            </w:pPr>
            <w:r>
              <w:rPr>
                <w:rFonts w:ascii="Arial" w:cs="Arial" w:eastAsia="Arial" w:hAnsi="Arial"/>
                <w:sz w:val="18"/>
                <w:szCs w:val="18"/>
                <w:color w:val="auto"/>
              </w:rPr>
              <w:t>(8,430)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2024, capital expenditures of $982 million excluded $387 million of accrued capital expenditures remaining unpaid at September 30, 2024 and included payment for the $471 million of capital expenditures that were accrued and unpaid at December 31, 2023. For the nine months ended September 30, 2023, capital expenditures of $780 million excluded $321 million of accrued capital expenditures remaining unpaid at September 30, 2023 and included payment for the $324 million of capital expenditures that were accrued and unpaid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-27940</wp:posOffset>
            </wp:positionV>
            <wp:extent cx="24892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consisted of:</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Latin America</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AMEA</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North America</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Total</w:t>
            </w:r>
          </w:p>
        </w:tc>
      </w:tr>
      <w:tr>
        <w:trPr>
          <w:trHeight w:val="196"/>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23,450</w:t>
            </w: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Currency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29"/>
        </w:trPr>
        <w:tc>
          <w:tcPr>
            <w:tcW w:w="32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Balance at December 31, 2023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23,896</w:t>
            </w:r>
          </w:p>
        </w:tc>
      </w:tr>
      <w:tr>
        <w:trPr>
          <w:trHeight w:val="229"/>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Balance at September 30, 2024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23,773</w:t>
            </w: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Purchase price allocation adjustments for Ricolino and Clif Bar during 2023.</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center"/>
              <w:ind w:left="717"/>
              <w:spacing w:after="0"/>
              <w:rPr>
                <w:sz w:val="20"/>
                <w:szCs w:val="20"/>
                <w:color w:val="auto"/>
              </w:rPr>
            </w:pPr>
            <w:r>
              <w:rPr>
                <w:rFonts w:ascii="Arial" w:cs="Arial" w:eastAsia="Arial" w:hAnsi="Arial"/>
                <w:sz w:val="14"/>
                <w:szCs w:val="14"/>
                <w:b w:val="1"/>
                <w:bCs w:val="1"/>
                <w:color w:val="auto"/>
              </w:rPr>
              <w:t>As of September 30, 2024</w:t>
            </w: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center"/>
              <w:ind w:left="757"/>
              <w:spacing w:after="0"/>
              <w:rPr>
                <w:sz w:val="20"/>
                <w:szCs w:val="20"/>
                <w:color w:val="auto"/>
              </w:rPr>
            </w:pPr>
            <w:r>
              <w:rPr>
                <w:rFonts w:ascii="Arial" w:cs="Arial" w:eastAsia="Arial" w:hAnsi="Arial"/>
                <w:sz w:val="14"/>
                <w:szCs w:val="14"/>
                <w:b w:val="1"/>
                <w:bCs w:val="1"/>
                <w:color w:val="auto"/>
              </w:rPr>
              <w:t>As of December 31, 2023</w:t>
            </w:r>
          </w:p>
        </w:tc>
        <w:tc>
          <w:tcPr>
            <w:tcW w:w="1040" w:type="dxa"/>
            <w:vAlign w:val="bottom"/>
            <w:tcBorders>
              <w:bottom w:val="single" w:sz="8" w:color="auto"/>
            </w:tcBorders>
          </w:tcPr>
          <w:p>
            <w:pPr>
              <w:spacing w:after="0"/>
              <w:rPr>
                <w:sz w:val="17"/>
                <w:szCs w:val="17"/>
                <w:color w:val="auto"/>
              </w:rPr>
            </w:pPr>
          </w:p>
        </w:tc>
      </w:tr>
      <w:tr>
        <w:trPr>
          <w:trHeight w:val="147"/>
        </w:trPr>
        <w:tc>
          <w:tcPr>
            <w:tcW w:w="3500" w:type="dxa"/>
            <w:vAlign w:val="bottom"/>
          </w:tcPr>
          <w:p>
            <w:pPr>
              <w:spacing w:after="0"/>
              <w:rPr>
                <w:sz w:val="12"/>
                <w:szCs w:val="12"/>
                <w:color w:val="auto"/>
              </w:rPr>
            </w:pPr>
          </w:p>
        </w:tc>
        <w:tc>
          <w:tcPr>
            <w:tcW w:w="128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Net carrying</w:t>
            </w:r>
          </w:p>
        </w:tc>
        <w:tc>
          <w:tcPr>
            <w:tcW w:w="132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040" w:type="dxa"/>
            <w:vAlign w:val="bottom"/>
          </w:tcPr>
          <w:p>
            <w:pPr>
              <w:jc w:val="right"/>
              <w:ind w:right="77"/>
              <w:spacing w:after="0" w:line="147" w:lineRule="exact"/>
              <w:rPr>
                <w:sz w:val="20"/>
                <w:szCs w:val="20"/>
                <w:color w:val="auto"/>
              </w:rPr>
            </w:pPr>
            <w:r>
              <w:rPr>
                <w:rFonts w:ascii="Arial" w:cs="Arial" w:eastAsia="Arial" w:hAnsi="Arial"/>
                <w:sz w:val="14"/>
                <w:szCs w:val="14"/>
                <w:b w:val="1"/>
                <w:bCs w:val="1"/>
                <w:color w:val="auto"/>
              </w:rPr>
              <w:t>Net carrying</w:t>
            </w:r>
          </w:p>
        </w:tc>
      </w:tr>
      <w:tr>
        <w:trPr>
          <w:trHeight w:val="185"/>
        </w:trPr>
        <w:tc>
          <w:tcPr>
            <w:tcW w:w="3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r>
      <w:tr>
        <w:trPr>
          <w:trHeight w:val="195"/>
        </w:trPr>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Definite-life intangible assets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29"/>
        </w:trPr>
        <w:tc>
          <w:tcPr>
            <w:tcW w:w="3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Indefinite-life intangible assets </w:t>
            </w:r>
            <w:r>
              <w:rPr>
                <w:rFonts w:ascii="Arial" w:cs="Arial" w:eastAsia="Arial" w:hAnsi="Arial"/>
                <w:sz w:val="23"/>
                <w:szCs w:val="23"/>
                <w:color w:val="auto"/>
                <w:vertAlign w:val="superscript"/>
              </w:rPr>
              <w:t>(1) (2)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18,669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18,669</w:t>
            </w:r>
          </w:p>
        </w:tc>
      </w:tr>
      <w:tr>
        <w:trPr>
          <w:trHeight w:val="248"/>
        </w:trPr>
        <w:tc>
          <w:tcPr>
            <w:tcW w:w="35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19,836</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line="272"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the third quarter of 2023, we recorded $26 million of intangible asset impairment charges related to one chocolate brand in the North America segment for $20 million and one biscuit brand in the Europe segment for $6 million.</w:t>
      </w:r>
    </w:p>
    <w:p>
      <w:pPr>
        <w:ind w:left="340" w:right="20" w:hanging="332"/>
        <w:spacing w:after="0" w:line="284" w:lineRule="auto"/>
        <w:tabs>
          <w:tab w:leader="none" w:pos="327"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the third quarter of 2024, we recorded $153 million of intangible asset impairment charges related to two biscuit brands in the Europe segment for $143 million, one biscuit brand in the AMEA segment for $5 million and one candy and one biscuit brand in the Latin America segment for a total of $5 million.</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Indefinite-life intangible assets consist principally of brand names purchased through our acquisitions of Nabisco Holdings Corp., the global </w:t>
      </w:r>
      <w:r>
        <w:rPr>
          <w:rFonts w:ascii="Arial" w:cs="Arial" w:eastAsia="Arial" w:hAnsi="Arial"/>
          <w:sz w:val="18"/>
          <w:szCs w:val="18"/>
          <w:i w:val="1"/>
          <w:iCs w:val="1"/>
          <w:color w:val="auto"/>
        </w:rPr>
        <w:t xml:space="preserve">LU </w:t>
      </w:r>
      <w:r>
        <w:rPr>
          <w:rFonts w:ascii="Arial" w:cs="Arial" w:eastAsia="Arial" w:hAnsi="Arial"/>
          <w:sz w:val="18"/>
          <w:szCs w:val="18"/>
          <w:color w:val="auto"/>
        </w:rPr>
        <w:t>biscuit business of Groupe Danone S.A., Cadbury Limited and Clif Bar. Definite-life intangible assets consist primarily of trademarks,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customer-related intangibles, process technology, licenses and non-compete agreements.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Amortization expense for intangible assets was $40 million for the three months and $115 million for the nine months ended September 30, 2024 and $38 million for the three months and $ 114 million for the nine months ended September 30, 2023. For the next five years, we currently estimate annual amortization expense of approximately $130 million in 2024-2026 and approximately $90 million in 2027 and 2028 (reflecting September 30, 2024 exchange rates).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Assessment:</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test our reporting units and brands for impairment annually as of July 1, or more frequently if events or circumstances indicate it is more likely than not that the fair value of a reporting unit or brand is less than its carrying amount. During the third quarter of 2024, we performed our annual impairment assessment test for goodwill and indefinite-life intangible assets as of July 1, 2024.</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2024 annual testing of goodwill resulted in no impairments as each reporting unit had fair value in excess of carrying value. As part of our goodwill quantitative assessment, we compare a reporting unit's estimated fair value to its carrying value. If the carrying value of the reporting unit exceeds the fair value, we would record an impairment for the difference. We estimate a reporting unit's fair value using a discounted cash flow method that incorporates discount rates, planned growth rates, and estimates of residual value. We used a market-based weighted average cost of capital of 6.8% for our Europe and North America reporting units and a risk-rated weighted average cost of capital of 9.8% for our Latin America and AMEA reporting units, to discount projected cash flows from those operations. Estimating the fair value of individual reporting units requires us to make assumptions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-26035</wp:posOffset>
            </wp:positionV>
            <wp:extent cx="24892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regarding our future plans, industry conditions and economic conditions based on available information. Given the uncertainty of the global macroeconomic environment, those estimates could be significantly different than future performance. While all reporting units passed our annual impairment testing, if planned business performance expectations are not met or specific valuation factors outside our control, such as discount rates, change significantly, then the estimated fair values of a reporting unit might decline and lead to a goodwill impairment in the future.</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2024 annual testing of indefinite-life intangible assets resulted in an impairment of $153 million related to two biscuit brands in the Europe segment, one biscuit brand in the AMEA segment and one candy and one biscuit brand in the Latin America segment. The impairments were driven by changes in projections, resulting primarily from the impact of customer price negotiation disruptions and continued commodity cost pressures in the third quarter of 2024, which are expected to result in a slower recovery than previously expected. The impairment charges were calculated as the excess of the carrying value over the estimated fair value of the intangible assets on a global basis and were recorded within asset impairment and exit costs.</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several accepted valuation methods, including Relief from Royalty, excess earnings and excess margin. The valuation methods utilize estimates of future sales, earnings growth rates, royalty rates and discount rates to determine the fair value of each intangible asset. We identified thirteen brands that each had a fair value in excess of book value of 10% or less. The aggregate book value of the thirteen brands was $ 3.0 billion as of September 30, 2024. We believe our current plans for each of these brands will allow them to not be impaired, but if plans to grow brand revenue and expand margin are not met or specific valuation factors outside of our control, such as discount rates, change then a brand or brands could become impaired in the future.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2023, our ownership in Keurig Dr Pepper Inc. (NASDAQ: "KDP") fell below 5% of the outstanding shares, resulting in a change of accounting for our KDP investment, from equity method investment accounting to accounting for equity interests with readily determinable fair values ("marketable securities") as we no longer had significant influence over KDP. Marketable securities are measured at fair value based on quoted prices in active markets for identical assets (Level 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On July 13, 2023, we sold 23 million shares, the remainder of our shares of KDP. We received proceeds of approximately $704 million.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June 8, 2023, we sold 23 million shares of KDP, which reduced our ownership by 1.6 percentage points, from 3.2% to 1.6% of the total outstanding shares. We received proceeds of approximately $708 million.</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March 2, 2023, we sold 30 million shares of KDP, which reduced our ownership by 2.1 percentage points, from 5.3% to 3.2% of the total outstanding shares. We received proceeds of approximately $1.0 billion and prior to the change of accounting for our KDP investment, recorded a pre-tax gain on equity method transactions of $493 million ($368 million after-tax) during the first quarter of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Pre-tax (losses)/gains for marketable securities are summarized below:</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right"/>
              <w:ind w:right="237"/>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7180" w:type="dxa"/>
            <w:vAlign w:val="bottom"/>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September 30, 2023</w:t>
            </w:r>
          </w:p>
        </w:tc>
      </w:tr>
      <w:tr>
        <w:trPr>
          <w:trHeight w:val="195"/>
        </w:trPr>
        <w:tc>
          <w:tcPr>
            <w:tcW w:w="7180" w:type="dxa"/>
            <w:vAlign w:val="bottom"/>
          </w:tcPr>
          <w:p>
            <w:pPr>
              <w:spacing w:after="0"/>
              <w:rPr>
                <w:sz w:val="16"/>
                <w:szCs w:val="16"/>
                <w:color w:val="auto"/>
              </w:rPr>
            </w:pPr>
          </w:p>
        </w:tc>
        <w:tc>
          <w:tcPr>
            <w:tcW w:w="4060" w:type="dxa"/>
            <w:vAlign w:val="bottom"/>
            <w:gridSpan w:val="5"/>
          </w:tcPr>
          <w:p>
            <w:pPr>
              <w:jc w:val="right"/>
              <w:ind w:right="1537"/>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marketable securities sold during the period</w:t>
            </w:r>
          </w:p>
        </w:tc>
        <w:tc>
          <w:tcPr>
            <w:tcW w:w="1720" w:type="dxa"/>
            <w:vAlign w:val="bottom"/>
            <w:shd w:val="clear" w:color="auto" w:fill="CCEEFF"/>
          </w:tcPr>
          <w:p>
            <w:pPr>
              <w:jc w:val="right"/>
              <w:ind w:right="1521"/>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 income and other</w:t>
            </w:r>
          </w:p>
        </w:tc>
        <w:tc>
          <w:tcPr>
            <w:tcW w:w="1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7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(loss)/gain on marketable securities</w:t>
            </w:r>
          </w:p>
        </w:tc>
        <w:tc>
          <w:tcPr>
            <w:tcW w:w="1720" w:type="dxa"/>
            <w:vAlign w:val="bottom"/>
            <w:tcBorders>
              <w:bottom w:val="single" w:sz="8" w:color="auto"/>
            </w:tcBorders>
            <w:shd w:val="clear" w:color="auto" w:fill="CCEEFF"/>
          </w:tcPr>
          <w:p>
            <w:pPr>
              <w:jc w:val="right"/>
              <w:ind w:right="1521"/>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table above, gain on marketable securities sold during the period reflects the difference between the sale proceeds and the carrying value of the marketable securities at the beginning of the period or the date of the change of accounting for our investment in KDP, if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408940</wp:posOffset>
            </wp:positionV>
            <wp:extent cx="24892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equity method investments include, but are not limited to, our ownership interests in JDE Peet's (Euronext Amsterdam: "JDEP"), Dong Suh Foods Corporation and Dong Suh Oil &amp; Fats Co. Ltd. Our ownership interests may change over time due to investee stock-based compensation arrangements, share issuances or other equity-related transactions. As of September 30, 2024, we owned 17.6%, 50.0% and 49.0%, respectively, of these companies' outstanding shares. We continue to have board representation with two directors on JDEP's Board of Directors and have retained certain additional governance rights. As we continue to have significant influence, we continue to account for our investment in JDEP under the equity method.</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investments accounted for under the equity method of accounting totaled $2.6 billion as of September 30, 2024 and $3.2 billion as of December 31, 2023. We recorded equity earnings of $54 million and cash dividends of $33 million in the three months ended September 30, 2024, and equity earnings of $10 million and cash dividends of $34 million in the three months ended September 30, 2023. We recorded equity earnings of $133 million and cash dividends of $115 million in the nine months ended September 30, 2024 and equity earnings of $116 million and cash dividends of $136 million in the nine months ended September 30, 2023.</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quoted closing prices as of September 30, 2024, the fair value of our publicly-traded investment in JDEP was $1.8 billion, and there was no other than temporary impairment identified during the three months ended September 30, 2024.</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During the three months ended March 31, 2024, we determined there was an other-than-temporary impairment based on the period of time for which the quoted market price fair value had been less than the carrying value of the investment and the uncertainty surrounding JDEP's stock price recovering to the carrying value. As a result, the investment was written down to its estimated fair value based on the closing price of the underlying equity security of €19.46 per share on March 28, 2024, resulting in an impairment charge of €612 million ($665 million). This charge was included within </w:t>
      </w:r>
      <w:r>
        <w:rPr>
          <w:rFonts w:ascii="Arial" w:cs="Arial" w:eastAsia="Arial" w:hAnsi="Arial"/>
          <w:sz w:val="18"/>
          <w:szCs w:val="18"/>
          <w:i w:val="1"/>
          <w:iCs w:val="1"/>
          <w:color w:val="auto"/>
        </w:rPr>
        <w:t>(Loss)/gain on equity method investment transactions including impairments</w:t>
      </w:r>
      <w:r>
        <w:rPr>
          <w:rFonts w:ascii="Arial" w:cs="Arial" w:eastAsia="Arial" w:hAnsi="Arial"/>
          <w:sz w:val="18"/>
          <w:szCs w:val="18"/>
          <w:color w:val="auto"/>
        </w:rPr>
        <w:t xml:space="preserve"> in the condensed consolidated statement of earnings. There was no other than temporary impairment identified in the three and nine months ended September 30,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JDEP Transactions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30, 2023, we issued options to sell shares of JDEP in tranches equivalent to approximately 7.7 million shares. These options were exercisable at their maturities which were between July 3, 2023 and September 29, 2023, with strike prices ranging from €26.10 to €28.71 per share. During the three months ended September 30, 2023, options were exercised on 2.2 million shares, which reduced our ownership percentage by 0.4 percentage point, from 18.1% to 17.7% of the total outstanding shares. We received cash proceeds of €57 million ($62 million) and recorded a loss of €3 million ($4 million) for these shares during the three months ended September 30, 2023.</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April 3, 2023, we sold approximately 7.7 million shares of JDEP, which reduced our ownership by 1.6 percentage points, from 19.7% to 18.1% of the total outstanding shares. We received cash proceeds of €198 million ($217 million) and recorded a loss of €18 million ($19 million) on this sale during the during the second quarter of 2023.</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2021, we issued €300 million exchangeable bonds, which were redeemable at maturity during September 2024 at their principal amount in cash or, at our option, through the delivery of an equivalent number of JDEP’s ordinary shares based on an initial exchange price of €35.40 and, as the case may be, an additional amount in cash. At maturity, we repaid the exchangeable bonds in cash. Refer to Note 8,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Borrowing Arrangements </w:t>
      </w:r>
      <w:r>
        <w:rPr>
          <w:rFonts w:ascii="Arial" w:cs="Arial" w:eastAsia="Arial" w:hAnsi="Arial"/>
          <w:sz w:val="18"/>
          <w:szCs w:val="18"/>
          <w:color w:val="auto"/>
        </w:rPr>
        <w:t>for additional detail on this repayment.</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October 21, 2024, we announced the sale of our remaining 85.9 million shares in JDEP to JAB Holdings Company for approximately €2.2 billion ($2.4 billion), at a price of €25.10 per share. The sale transaction is expected to be completed in the fourth quarter of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Program</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6, 2014, our Board of Directors approved a $ 3.5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charges ($3.1 billion cash costs and $1.0 billion non-cash costs) and up to $1.6 billion of capital expenditures. On September 6, 2018, our Board of Directors approved an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-36195</wp:posOffset>
            </wp:positionV>
            <wp:extent cx="248920"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the restructuring program through 2022, an increase of $1.3 billion in the program charges and an increase of $700 million in capital expenditures. On October 21, 2021, our Board of Directors approved an extension of the restructuring program through 2023, and on July 25, 2023, our Board of Directors approved a further extension of the restructuring program through December 31, 2024. The total $7.7 billion program now consists of $ 5.4 billion of program charges ($4.1 billion of cash costs and $1.3 billion of non-cash costs) and total capital expenditures of $2.3 billion to be incurred over the life of the program. The current restructuring program, as increased and extended by these actions, is now called the Simplify to Grow Program.</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implementation charges of $5.4 billion related to the Simplify to Grow Program. We expect to incur the remainder of the program charges by year-end 2024.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nine months ended September 30, 2024 was: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200" w:type="dxa"/>
            <w:vAlign w:val="bottom"/>
          </w:tcPr>
          <w:p>
            <w:pPr>
              <w:jc w:val="center"/>
              <w:ind w:left="321"/>
              <w:spacing w:after="0"/>
              <w:rPr>
                <w:sz w:val="20"/>
                <w:szCs w:val="20"/>
                <w:color w:val="auto"/>
              </w:rPr>
            </w:pPr>
            <w:r>
              <w:rPr>
                <w:rFonts w:ascii="Arial" w:cs="Arial" w:eastAsia="Arial" w:hAnsi="Arial"/>
                <w:sz w:val="14"/>
                <w:szCs w:val="14"/>
                <w:b w:val="1"/>
                <w:bCs w:val="1"/>
                <w:color w:val="auto"/>
              </w:rPr>
              <w:t>Severance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Asset</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260" w:type="dxa"/>
            <w:vAlign w:val="bottom"/>
          </w:tcPr>
          <w:p>
            <w:pPr>
              <w:spacing w:after="0"/>
              <w:rPr>
                <w:sz w:val="12"/>
                <w:szCs w:val="12"/>
                <w:color w:val="auto"/>
              </w:rPr>
            </w:pPr>
          </w:p>
        </w:tc>
        <w:tc>
          <w:tcPr>
            <w:tcW w:w="1200" w:type="dxa"/>
            <w:vAlign w:val="bottom"/>
          </w:tcPr>
          <w:p>
            <w:pPr>
              <w:jc w:val="center"/>
              <w:ind w:left="321"/>
              <w:spacing w:after="0" w:line="145" w:lineRule="exact"/>
              <w:rPr>
                <w:sz w:val="20"/>
                <w:szCs w:val="20"/>
                <w:color w:val="auto"/>
              </w:rPr>
            </w:pPr>
            <w:r>
              <w:rPr>
                <w:rFonts w:ascii="Arial" w:cs="Arial" w:eastAsia="Arial" w:hAnsi="Arial"/>
                <w:sz w:val="14"/>
                <w:szCs w:val="14"/>
                <w:b w:val="1"/>
                <w:bCs w:val="1"/>
                <w:color w:val="auto"/>
              </w:rPr>
              <w:t>and related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Write-downs and</w:t>
            </w:r>
          </w:p>
        </w:tc>
        <w:tc>
          <w:tcPr>
            <w:tcW w:w="380" w:type="dxa"/>
            <w:vAlign w:val="bottom"/>
          </w:tcPr>
          <w:p>
            <w:pPr>
              <w:spacing w:after="0"/>
              <w:rPr>
                <w:sz w:val="12"/>
                <w:szCs w:val="12"/>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0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8"/>
              </w:rPr>
              <w:t>costs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9"/>
                <w:szCs w:val="9"/>
                <w:b w:val="1"/>
                <w:bCs w:val="1"/>
                <w:color w:val="auto"/>
              </w:rPr>
              <w:t>(1)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January 1, 2024</w:t>
            </w:r>
          </w:p>
        </w:tc>
        <w:tc>
          <w:tcPr>
            <w:tcW w:w="1200" w:type="dxa"/>
            <w:vAlign w:val="bottom"/>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62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(2)</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spent </w:t>
            </w:r>
            <w:r>
              <w:rPr>
                <w:rFonts w:ascii="Arial" w:cs="Arial" w:eastAsia="Arial" w:hAnsi="Arial"/>
                <w:sz w:val="23"/>
                <w:szCs w:val="23"/>
                <w:color w:val="auto"/>
                <w:vertAlign w:val="superscript"/>
              </w:rPr>
              <w:t>(3)</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62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Non-cash settlements/adjustments </w:t>
            </w:r>
            <w:r>
              <w:rPr>
                <w:rFonts w:ascii="Arial" w:cs="Arial" w:eastAsia="Arial" w:hAnsi="Arial"/>
                <w:sz w:val="23"/>
                <w:szCs w:val="23"/>
                <w:color w:val="auto"/>
                <w:vertAlign w:val="superscript"/>
              </w:rPr>
              <w:t>(4)</w:t>
            </w:r>
          </w:p>
        </w:tc>
        <w:tc>
          <w:tcPr>
            <w:tcW w:w="12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Liability balance, September 30, 2024 </w:t>
            </w:r>
            <w:r>
              <w:rPr>
                <w:rFonts w:ascii="Arial" w:cs="Arial" w:eastAsia="Arial" w:hAnsi="Arial"/>
                <w:sz w:val="23"/>
                <w:szCs w:val="23"/>
                <w:color w:val="auto"/>
                <w:vertAlign w:val="superscript"/>
              </w:rPr>
              <w:t>(5)</w:t>
            </w:r>
          </w:p>
        </w:tc>
        <w:tc>
          <w:tcPr>
            <w:tcW w:w="1200" w:type="dxa"/>
            <w:vAlign w:val="bottom"/>
            <w:tcBorders>
              <w:top w:val="single" w:sz="8" w:color="auto"/>
              <w:bottom w:val="single" w:sz="8" w:color="auto"/>
            </w:tcBorders>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gains as a result of assets sold which are included in the restructuring program.</w:t>
      </w:r>
    </w:p>
    <w:p>
      <w:pPr>
        <w:spacing w:after="0" w:line="15" w:lineRule="exact"/>
        <w:rPr>
          <w:rFonts w:ascii="Arial" w:cs="Arial" w:eastAsia="Arial" w:hAnsi="Arial"/>
          <w:sz w:val="14"/>
          <w:szCs w:val="14"/>
          <w:color w:val="auto"/>
        </w:rPr>
      </w:pPr>
    </w:p>
    <w:p>
      <w:pPr>
        <w:jc w:val="both"/>
        <w:ind w:left="340" w:hanging="332"/>
        <w:spacing w:after="0" w:line="261"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recorded net reversals of previously recorded restructuring charges of $5 million in the three months ended September 30, 2024 and restructuring charges of $16 million in the three months ended September 30, 2023 and net restructuring charges of $40 million in the nine months ended September 30, 2024 and $48 million in the nine months ended September 30, 2023 within asset impairment and exit costs and benefit plan non-service income.</w:t>
      </w:r>
    </w:p>
    <w:p>
      <w:pPr>
        <w:spacing w:after="0" w:line="1" w:lineRule="exact"/>
        <w:rPr>
          <w:rFonts w:ascii="Arial" w:cs="Arial" w:eastAsia="Arial" w:hAnsi="Arial"/>
          <w:sz w:val="14"/>
          <w:szCs w:val="14"/>
          <w:color w:val="auto"/>
        </w:rPr>
      </w:pPr>
    </w:p>
    <w:p>
      <w:pPr>
        <w:ind w:left="340" w:hanging="332"/>
        <w:spacing w:after="0" w:line="251"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spent $12 million in the three months ended September 30, 2024 and $12 million in the three months ended September 30, 2023 and spent $35 million in the nine months ended September 30, 2024 and $47 million in the nine months ended September 30, 2023 in cash severance and related costs.</w:t>
      </w:r>
    </w:p>
    <w:p>
      <w:pPr>
        <w:jc w:val="both"/>
        <w:ind w:left="340" w:right="20" w:hanging="332"/>
        <w:spacing w:after="0" w:line="261"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recognized non-cash asset write-downs (including accelerated depreciation and asset impairments) and other non-cash adjustments, including any gains on sale of restructuring program assets, which totaled a charge of $6 million in the three months ended September 30, 2024 and a charge of $8 million in the three months ended September 30, 2023 and a charge of $12 million in the nine months ended September 30, 2024 and $14 million in the nine months ended September 30, 2023.</w:t>
      </w:r>
    </w:p>
    <w:p>
      <w:pPr>
        <w:spacing w:after="0" w:line="1" w:lineRule="exact"/>
        <w:rPr>
          <w:rFonts w:ascii="Arial" w:cs="Arial" w:eastAsia="Arial" w:hAnsi="Arial"/>
          <w:sz w:val="14"/>
          <w:szCs w:val="14"/>
          <w:color w:val="auto"/>
        </w:rPr>
      </w:pPr>
    </w:p>
    <w:p>
      <w:pPr>
        <w:ind w:left="340" w:right="20" w:hanging="332"/>
        <w:spacing w:after="0" w:line="262" w:lineRule="auto"/>
        <w:tabs>
          <w:tab w:leader="none" w:pos="327" w:val="left"/>
        </w:tabs>
        <w:numPr>
          <w:ilvl w:val="0"/>
          <w:numId w:val="4"/>
        </w:numPr>
        <w:rPr>
          <w:rFonts w:ascii="Arial" w:cs="Arial" w:eastAsia="Arial" w:hAnsi="Arial"/>
          <w:sz w:val="14"/>
          <w:szCs w:val="14"/>
          <w:color w:val="auto"/>
        </w:rPr>
      </w:pPr>
      <w:r>
        <w:rPr>
          <w:rFonts w:ascii="Arial" w:cs="Arial" w:eastAsia="Arial" w:hAnsi="Arial"/>
          <w:sz w:val="14"/>
          <w:szCs w:val="14"/>
          <w:color w:val="auto"/>
        </w:rPr>
        <w:t>At September 30, 2024, $102 million of our net restructuring liability was recorded within other current liabilities and $83 million was recorded within other long-term liabilities.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additional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$17 million in the three months ended September 30, 2024 and $4 million in the three months ended September 30, 2023, and we recorded implementation costs of $40 million in the nine months ended September 30, 2024 and $13 million in the nine months ended September 30, 2023. We recorded these costs within cost of sales and general corporate expense within 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130175</wp:posOffset>
            </wp:positionV>
            <wp:extent cx="24892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w:t>
      </w:r>
    </w:p>
    <w:p>
      <w:pPr>
        <w:spacing w:after="0" w:line="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During the three and nine months ended September 30, 2024 and September 30, 2023, and since inception of the Simplify to Grow Program, we recorded the following restructuring and implementation costs within segment operating income and earnings before income taxes: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Latin</w:t>
            </w:r>
          </w:p>
        </w:tc>
        <w:tc>
          <w:tcPr>
            <w:tcW w:w="26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AMEA</w:t>
            </w:r>
          </w:p>
        </w:tc>
        <w:tc>
          <w:tcPr>
            <w:tcW w:w="24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Europe</w:t>
            </w: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North</w:t>
            </w:r>
          </w:p>
        </w:tc>
        <w:tc>
          <w:tcPr>
            <w:tcW w:w="20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4"/>
                <w:szCs w:val="14"/>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America</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America</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For the Three Months Ended</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2024</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326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Three Months Ended</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260" w:type="dxa"/>
            <w:vAlign w:val="bottom"/>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Nine Months Ended</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2024</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Nine Months Ended</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 xml:space="preserve">Total Project </w:t>
            </w:r>
            <w:r>
              <w:rPr>
                <w:rFonts w:ascii="Arial" w:cs="Arial" w:eastAsia="Arial" w:hAnsi="Arial"/>
                <w:sz w:val="14"/>
                <w:szCs w:val="14"/>
                <w:b w:val="1"/>
                <w:bCs w:val="1"/>
                <w:color w:val="auto"/>
              </w:rPr>
              <w:t>(Inception to Date)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3145790</wp:posOffset>
            </wp:positionV>
            <wp:extent cx="248920"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and Borrowing Arrangements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2"/>
          </w:tcPr>
          <w:p>
            <w:pPr>
              <w:jc w:val="right"/>
              <w:ind w:right="741"/>
              <w:spacing w:after="0"/>
              <w:rPr>
                <w:sz w:val="20"/>
                <w:szCs w:val="20"/>
                <w:color w:val="auto"/>
              </w:rPr>
            </w:pPr>
            <w:r>
              <w:rPr>
                <w:rFonts w:ascii="Arial" w:cs="Arial" w:eastAsia="Arial" w:hAnsi="Arial"/>
                <w:sz w:val="14"/>
                <w:szCs w:val="14"/>
                <w:b w:val="1"/>
                <w:bCs w:val="1"/>
                <w:color w:val="auto"/>
              </w:rPr>
              <w:t>As of September 30, 2024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4"/>
                <w:szCs w:val="14"/>
                <w:b w:val="1"/>
                <w:bCs w:val="1"/>
                <w:color w:val="auto"/>
              </w:rPr>
              <w:t>As of December 31, 2023</w:t>
            </w:r>
          </w:p>
        </w:tc>
      </w:tr>
      <w:tr>
        <w:trPr>
          <w:trHeight w:val="143"/>
        </w:trPr>
        <w:tc>
          <w:tcPr>
            <w:tcW w:w="4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419"/>
              <w:spacing w:after="0" w:line="143" w:lineRule="exact"/>
              <w:rPr>
                <w:sz w:val="20"/>
                <w:szCs w:val="20"/>
                <w:color w:val="auto"/>
              </w:rPr>
            </w:pPr>
            <w:r>
              <w:rPr>
                <w:rFonts w:ascii="Arial" w:cs="Arial" w:eastAsia="Arial" w:hAnsi="Arial"/>
                <w:sz w:val="14"/>
                <w:szCs w:val="14"/>
                <w:b w:val="1"/>
                <w:bCs w:val="1"/>
                <w:color w:val="auto"/>
              </w:rPr>
              <w:t>Amount</w:t>
            </w:r>
          </w:p>
        </w:tc>
        <w:tc>
          <w:tcPr>
            <w:tcW w:w="19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2"/>
                <w:szCs w:val="12"/>
                <w:color w:val="auto"/>
              </w:rPr>
            </w:pPr>
          </w:p>
        </w:tc>
        <w:tc>
          <w:tcPr>
            <w:tcW w:w="1320" w:type="dxa"/>
            <w:vAlign w:val="bottom"/>
          </w:tcPr>
          <w:p>
            <w:pPr>
              <w:jc w:val="right"/>
              <w:ind w:right="439"/>
              <w:spacing w:after="0" w:line="143" w:lineRule="exact"/>
              <w:rPr>
                <w:sz w:val="20"/>
                <w:szCs w:val="20"/>
                <w:color w:val="auto"/>
              </w:rPr>
            </w:pPr>
            <w:r>
              <w:rPr>
                <w:rFonts w:ascii="Arial" w:cs="Arial" w:eastAsia="Arial" w:hAnsi="Arial"/>
                <w:sz w:val="14"/>
                <w:szCs w:val="14"/>
                <w:b w:val="1"/>
                <w:bCs w:val="1"/>
                <w:color w:val="auto"/>
              </w:rPr>
              <w:t>Amount</w:t>
            </w:r>
          </w:p>
        </w:tc>
        <w:tc>
          <w:tcPr>
            <w:tcW w:w="1800" w:type="dxa"/>
            <w:vAlign w:val="bottom"/>
          </w:tcPr>
          <w:p>
            <w:pPr>
              <w:jc w:val="right"/>
              <w:ind w:right="419"/>
              <w:spacing w:after="0" w:line="143" w:lineRule="exact"/>
              <w:rPr>
                <w:sz w:val="20"/>
                <w:szCs w:val="20"/>
                <w:color w:val="auto"/>
              </w:rPr>
            </w:pPr>
            <w:r>
              <w:rPr>
                <w:rFonts w:ascii="Arial" w:cs="Arial" w:eastAsia="Arial" w:hAnsi="Arial"/>
                <w:sz w:val="14"/>
                <w:szCs w:val="14"/>
                <w:b w:val="1"/>
                <w:bCs w:val="1"/>
                <w:color w:val="auto"/>
              </w:rPr>
              <w:t>Weighted-</w:t>
            </w:r>
          </w:p>
        </w:tc>
      </w:tr>
      <w:tr>
        <w:trPr>
          <w:trHeight w:val="189"/>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Outstanding</w:t>
            </w: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Average Rate</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Outstanding</w:t>
            </w:r>
          </w:p>
        </w:tc>
        <w:tc>
          <w:tcPr>
            <w:tcW w:w="1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Average Rate</w:t>
            </w:r>
          </w:p>
        </w:tc>
      </w:tr>
      <w:tr>
        <w:trPr>
          <w:trHeight w:val="195"/>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80" w:type="dxa"/>
            <w:vAlign w:val="bottom"/>
            <w:gridSpan w:val="4"/>
          </w:tcPr>
          <w:p>
            <w:pPr>
              <w:jc w:val="right"/>
              <w:ind w:right="419"/>
              <w:spacing w:after="0"/>
              <w:rPr>
                <w:sz w:val="20"/>
                <w:szCs w:val="20"/>
                <w:color w:val="auto"/>
              </w:rPr>
            </w:pPr>
            <w:r>
              <w:rPr>
                <w:rFonts w:ascii="Arial" w:cs="Arial" w:eastAsia="Arial" w:hAnsi="Arial"/>
                <w:sz w:val="14"/>
                <w:szCs w:val="14"/>
                <w:b w:val="1"/>
                <w:bCs w:val="1"/>
                <w:color w:val="auto"/>
              </w:rPr>
              <w:t>(in millions, except percentages)</w:t>
            </w:r>
          </w:p>
        </w:tc>
        <w:tc>
          <w:tcPr>
            <w:tcW w:w="1800" w:type="dxa"/>
            <w:vAlign w:val="bottom"/>
          </w:tcPr>
          <w:p>
            <w:pPr>
              <w:spacing w:after="0"/>
              <w:rPr>
                <w:sz w:val="16"/>
                <w:szCs w:val="16"/>
                <w:color w:val="auto"/>
              </w:rPr>
            </w:pPr>
          </w:p>
        </w:tc>
      </w:tr>
      <w:tr>
        <w:trPr>
          <w:trHeight w:val="231"/>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loans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14.7 %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17.2 %</w:t>
            </w:r>
          </w:p>
        </w:tc>
      </w:tr>
      <w:tr>
        <w:trPr>
          <w:trHeight w:val="248"/>
        </w:trPr>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short-term borrowings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Our uncommitted credit lines and committed credit lines available as of September 30, 2024 and December 31, 2023 include: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As of September 30, 2024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As of December 31, 2023</w:t>
            </w:r>
          </w:p>
        </w:tc>
      </w:tr>
      <w:tr>
        <w:trPr>
          <w:trHeight w:val="196"/>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Borrowed Amount</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Borrowed Amount</w:t>
            </w:r>
          </w:p>
        </w:tc>
      </w:tr>
      <w:tr>
        <w:trPr>
          <w:trHeight w:val="196"/>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4"/>
          </w:tcPr>
          <w:p>
            <w:pPr>
              <w:jc w:val="right"/>
              <w:ind w:right="1176"/>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1"/>
        </w:trPr>
        <w:tc>
          <w:tcPr>
            <w:tcW w:w="460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Uncommitted credit facilities </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Credit facilities: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6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February 19, 2025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February 23, 2027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4,500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Various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bl>
    <w:p>
      <w:pPr>
        <w:spacing w:after="0" w:line="99"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Prior year facility amount has been revised.</w:t>
      </w:r>
    </w:p>
    <w:p>
      <w:pPr>
        <w:spacing w:after="0" w:line="28" w:lineRule="exact"/>
        <w:rPr>
          <w:rFonts w:ascii="Arial" w:cs="Arial" w:eastAsia="Arial" w:hAnsi="Arial"/>
          <w:sz w:val="14"/>
          <w:szCs w:val="14"/>
          <w:color w:val="auto"/>
        </w:rPr>
      </w:pPr>
    </w:p>
    <w:p>
      <w:pPr>
        <w:ind w:left="340" w:right="60" w:hanging="332"/>
        <w:spacing w:after="0" w:line="258"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maintain senior unsecured revolving credit facilities for general corporate purposes, including working capital needs, and to support our commercial paper program. The revolving credit agreements include a covenant that we maintain a minimum shareholders' equity of at least $25.0 billion, excluding accumulated other comprehensive earnings/(losses), the cumulative effects of any changes in accounting principles and earnings/(losses) recognized in connection with the ongoing application of any mark-to-market accounting for pensions and other retirement plans. At September 30, 2024, we complied with this covenant as our shareholders' equity, as defined by the covenant, was $39.4 billion. The revolving credit facility also contains customary representations, covenants and events of default. There are no credit rating triggers, provisions or other financial covenants that could require us to post collateral as security.</w:t>
      </w:r>
    </w:p>
    <w:p>
      <w:pPr>
        <w:spacing w:after="0" w:line="1" w:lineRule="exact"/>
        <w:rPr>
          <w:rFonts w:ascii="Arial" w:cs="Arial" w:eastAsia="Arial" w:hAnsi="Arial"/>
          <w:sz w:val="14"/>
          <w:szCs w:val="14"/>
          <w:color w:val="auto"/>
        </w:rPr>
      </w:pPr>
    </w:p>
    <w:p>
      <w:pPr>
        <w:ind w:left="340" w:right="80" w:hanging="332"/>
        <w:spacing w:after="0" w:line="262"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April 18, 2023, and subsequently amended on October 3, 2023 and April 4, 2024, we entered into a credit facility secured by pledged deposits classified as long-term other assets. Draw downs on the facility bore a variable rate based on SOFR plus applicable margin. On August 13, 2024, we repaid all amounts borrowed and terminated this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-28575</wp:posOffset>
            </wp:positionV>
            <wp:extent cx="248920"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2024, we repaid the following notes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2820" w:type="dxa"/>
            <w:vAlign w:val="bottom"/>
            <w:gridSpan w:val="2"/>
          </w:tcPr>
          <w:p>
            <w:pPr>
              <w:ind w:left="1080"/>
              <w:spacing w:after="0"/>
              <w:rPr>
                <w:sz w:val="20"/>
                <w:szCs w:val="20"/>
                <w:color w:val="auto"/>
              </w:rPr>
            </w:pPr>
            <w:r>
              <w:rPr>
                <w:rFonts w:ascii="Arial" w:cs="Arial" w:eastAsia="Arial" w:hAnsi="Arial"/>
                <w:sz w:val="14"/>
                <w:szCs w:val="14"/>
                <w:b w:val="1"/>
                <w:bCs w:val="1"/>
                <w:color w:val="auto"/>
              </w:rPr>
              <w:t>Amount</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24"/>
        </w:trPr>
        <w:tc>
          <w:tcPr>
            <w:tcW w:w="2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2.125%</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March 2024</w:t>
            </w:r>
          </w:p>
        </w:tc>
        <w:tc>
          <w:tcPr>
            <w:tcW w:w="1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$500</w:t>
            </w: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w w:val="98"/>
              </w:rPr>
              <w:t>2.250%</w:t>
            </w:r>
          </w:p>
        </w:tc>
        <w:tc>
          <w:tcPr>
            <w:tcW w:w="120" w:type="dxa"/>
            <w:vAlign w:val="bottom"/>
          </w:tcPr>
          <w:p>
            <w:pPr>
              <w:spacing w:after="0"/>
              <w:rPr>
                <w:sz w:val="19"/>
                <w:szCs w:val="19"/>
                <w:color w:val="auto"/>
              </w:rPr>
            </w:pPr>
          </w:p>
        </w:tc>
        <w:tc>
          <w:tcPr>
            <w:tcW w:w="2840" w:type="dxa"/>
            <w:vAlign w:val="bottom"/>
            <w:gridSpan w:val="2"/>
          </w:tcPr>
          <w:p>
            <w:pPr>
              <w:jc w:val="center"/>
              <w:ind w:right="120"/>
              <w:spacing w:after="0" w:line="230" w:lineRule="exact"/>
              <w:rPr>
                <w:sz w:val="20"/>
                <w:szCs w:val="20"/>
                <w:color w:val="auto"/>
              </w:rPr>
            </w:pPr>
            <w:r>
              <w:rPr>
                <w:rFonts w:ascii="Arial" w:cs="Arial" w:eastAsia="Arial" w:hAnsi="Arial"/>
                <w:sz w:val="18"/>
                <w:szCs w:val="18"/>
                <w:color w:val="auto"/>
                <w:w w:val="96"/>
              </w:rPr>
              <w:t xml:space="preserve">September 2024 </w:t>
            </w:r>
            <w:r>
              <w:rPr>
                <w:rFonts w:ascii="Arial" w:cs="Arial" w:eastAsia="Arial" w:hAnsi="Arial"/>
                <w:sz w:val="23"/>
                <w:szCs w:val="23"/>
                <w:color w:val="auto"/>
                <w:w w:val="96"/>
                <w:vertAlign w:val="superscript"/>
              </w:rPr>
              <w:t>(1)</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$500</w:t>
            </w:r>
          </w:p>
        </w:tc>
      </w:tr>
      <w:tr>
        <w:trPr>
          <w:trHeight w:val="23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0.000%</w:t>
            </w:r>
          </w:p>
        </w:tc>
        <w:tc>
          <w:tcPr>
            <w:tcW w:w="1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20"/>
              <w:spacing w:after="0" w:line="230" w:lineRule="exact"/>
              <w:rPr>
                <w:sz w:val="20"/>
                <w:szCs w:val="20"/>
                <w:color w:val="auto"/>
              </w:rPr>
            </w:pPr>
            <w:r>
              <w:rPr>
                <w:rFonts w:ascii="Arial" w:cs="Arial" w:eastAsia="Arial" w:hAnsi="Arial"/>
                <w:sz w:val="18"/>
                <w:szCs w:val="18"/>
                <w:color w:val="auto"/>
                <w:w w:val="93"/>
              </w:rPr>
              <w:t xml:space="preserve">September 2024 </w:t>
            </w:r>
            <w:r>
              <w:rPr>
                <w:rFonts w:ascii="Arial" w:cs="Arial" w:eastAsia="Arial" w:hAnsi="Arial"/>
                <w:sz w:val="23"/>
                <w:szCs w:val="23"/>
                <w:color w:val="auto"/>
                <w:w w:val="93"/>
                <w:vertAlign w:val="superscript"/>
              </w:rPr>
              <w:t>(1) (2)</w:t>
            </w:r>
          </w:p>
        </w:tc>
        <w:tc>
          <w:tcPr>
            <w:tcW w:w="28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€300</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$333</w:t>
            </w: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w w:val="98"/>
              </w:rPr>
              <w:t>0.750%</w:t>
            </w:r>
          </w:p>
        </w:tc>
        <w:tc>
          <w:tcPr>
            <w:tcW w:w="120" w:type="dxa"/>
            <w:vAlign w:val="bottom"/>
          </w:tcPr>
          <w:p>
            <w:pPr>
              <w:spacing w:after="0"/>
              <w:rPr>
                <w:sz w:val="19"/>
                <w:szCs w:val="19"/>
                <w:color w:val="auto"/>
              </w:rPr>
            </w:pPr>
          </w:p>
        </w:tc>
        <w:tc>
          <w:tcPr>
            <w:tcW w:w="2840" w:type="dxa"/>
            <w:vAlign w:val="bottom"/>
            <w:gridSpan w:val="2"/>
          </w:tcPr>
          <w:p>
            <w:pPr>
              <w:jc w:val="center"/>
              <w:ind w:right="120"/>
              <w:spacing w:after="0" w:line="230" w:lineRule="exact"/>
              <w:rPr>
                <w:sz w:val="20"/>
                <w:szCs w:val="20"/>
                <w:color w:val="auto"/>
              </w:rPr>
            </w:pPr>
            <w:r>
              <w:rPr>
                <w:rFonts w:ascii="Arial" w:cs="Arial" w:eastAsia="Arial" w:hAnsi="Arial"/>
                <w:sz w:val="18"/>
                <w:szCs w:val="18"/>
                <w:color w:val="auto"/>
                <w:w w:val="96"/>
              </w:rPr>
              <w:t xml:space="preserve">September 2024 </w:t>
            </w:r>
            <w:r>
              <w:rPr>
                <w:rFonts w:ascii="Arial" w:cs="Arial" w:eastAsia="Arial" w:hAnsi="Arial"/>
                <w:sz w:val="23"/>
                <w:szCs w:val="23"/>
                <w:color w:val="auto"/>
                <w:w w:val="96"/>
                <w:vertAlign w:val="superscript"/>
              </w:rPr>
              <w:t>(1)</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$500</w:t>
            </w:r>
          </w:p>
        </w:tc>
      </w:tr>
      <w:tr>
        <w:trPr>
          <w:trHeight w:val="229"/>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0.617%</w:t>
            </w:r>
          </w:p>
        </w:tc>
        <w:tc>
          <w:tcPr>
            <w:tcW w:w="1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September 2024</w:t>
            </w:r>
          </w:p>
        </w:tc>
        <w:tc>
          <w:tcPr>
            <w:tcW w:w="2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Fr.125</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$148</w:t>
            </w:r>
          </w:p>
        </w:tc>
      </w:tr>
    </w:tbl>
    <w:p>
      <w:pPr>
        <w:spacing w:after="0" w:line="85" w:lineRule="exact"/>
        <w:rPr>
          <w:sz w:val="20"/>
          <w:szCs w:val="20"/>
          <w:color w:val="auto"/>
        </w:rPr>
      </w:pPr>
    </w:p>
    <w:p>
      <w:pPr>
        <w:sectPr>
          <w:pgSz w:w="11900" w:h="16838" w:orient="portrait"/>
          <w:cols w:equalWidth="0" w:num="1">
            <w:col w:w="11240"/>
          </w:cols>
          <w:pgMar w:left="320" w:top="364" w:right="339" w:bottom="1440" w:gutter="0" w:footer="0" w:header="0"/>
        </w:sect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Repaid by Mondelez International Holdings Netherlands B.V. ("MIHN"), a wholly owned Dutch subsidiary of Mondelēz International, Inc.</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Repayment of €300 million exchangeable bonds. Refer to Note 6, </w:t>
      </w:r>
      <w:r>
        <w:rPr>
          <w:rFonts w:ascii="Arial" w:cs="Arial" w:eastAsia="Arial" w:hAnsi="Arial"/>
          <w:sz w:val="14"/>
          <w:szCs w:val="14"/>
          <w:i w:val="1"/>
          <w:iCs w:val="1"/>
          <w:color w:val="auto"/>
        </w:rPr>
        <w:t>Investments</w:t>
      </w:r>
      <w:r>
        <w:rPr>
          <w:rFonts w:ascii="Arial" w:cs="Arial" w:eastAsia="Arial" w:hAnsi="Arial"/>
          <w:sz w:val="14"/>
          <w:szCs w:val="14"/>
          <w:color w:val="auto"/>
        </w:rPr>
        <w:t xml:space="preserve"> for additional detail on these exchangeable bonds.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2023, we did not complete any debt repayments.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2024, we issued the following notes (in millions):</w:t>
      </w:r>
    </w:p>
    <w:p>
      <w:pPr>
        <w:spacing w:after="0" w:line="200" w:lineRule="exact"/>
        <w:rPr>
          <w:sz w:val="20"/>
          <w:szCs w:val="20"/>
          <w:color w:val="auto"/>
        </w:rPr>
      </w:pPr>
    </w:p>
    <w:p>
      <w:pPr>
        <w:spacing w:after="0" w:line="219" w:lineRule="exact"/>
        <w:rPr>
          <w:sz w:val="20"/>
          <w:szCs w:val="20"/>
          <w:color w:val="auto"/>
        </w:rPr>
      </w:pPr>
    </w:p>
    <w:p>
      <w:pPr>
        <w:ind w:left="600"/>
        <w:spacing w:after="0"/>
        <w:tabs>
          <w:tab w:leader="none" w:pos="2880" w:val="left"/>
          <w:tab w:leader="none" w:pos="5120" w:val="left"/>
          <w:tab w:leader="none" w:pos="7240" w:val="left"/>
        </w:tabs>
        <w:rPr>
          <w:sz w:val="20"/>
          <w:szCs w:val="20"/>
          <w:color w:val="auto"/>
        </w:rPr>
      </w:pPr>
      <w:r>
        <w:rPr>
          <w:rFonts w:ascii="Arial" w:cs="Arial" w:eastAsia="Arial" w:hAnsi="Arial"/>
          <w:sz w:val="14"/>
          <w:szCs w:val="14"/>
          <w:b w:val="1"/>
          <w:bCs w:val="1"/>
          <w:color w:val="auto"/>
        </w:rPr>
        <w:t>Issuance Date</w:t>
      </w:r>
      <w:r>
        <w:rPr>
          <w:sz w:val="20"/>
          <w:szCs w:val="20"/>
          <w:color w:val="auto"/>
        </w:rPr>
        <w:tab/>
      </w:r>
      <w:r>
        <w:rPr>
          <w:rFonts w:ascii="Arial" w:cs="Arial" w:eastAsia="Arial" w:hAnsi="Arial"/>
          <w:sz w:val="14"/>
          <w:szCs w:val="14"/>
          <w:b w:val="1"/>
          <w:bCs w:val="1"/>
          <w:color w:val="auto"/>
        </w:rPr>
        <w:t>Interest Rate</w:t>
      </w:r>
      <w:r>
        <w:rPr>
          <w:sz w:val="20"/>
          <w:szCs w:val="20"/>
          <w:color w:val="auto"/>
        </w:rPr>
        <w:tab/>
      </w:r>
      <w:r>
        <w:rPr>
          <w:rFonts w:ascii="Arial" w:cs="Arial" w:eastAsia="Arial" w:hAnsi="Arial"/>
          <w:sz w:val="14"/>
          <w:szCs w:val="14"/>
          <w:b w:val="1"/>
          <w:bCs w:val="1"/>
          <w:color w:val="auto"/>
        </w:rPr>
        <w:t>Maturity Date</w:t>
      </w:r>
      <w:r>
        <w:rPr>
          <w:sz w:val="20"/>
          <w:szCs w:val="20"/>
          <w:color w:val="auto"/>
        </w:rPr>
        <w:tab/>
      </w:r>
      <w:r>
        <w:rPr>
          <w:rFonts w:ascii="Arial" w:cs="Arial" w:eastAsia="Arial" w:hAnsi="Arial"/>
          <w:sz w:val="14"/>
          <w:szCs w:val="14"/>
          <w:b w:val="1"/>
          <w:bCs w:val="1"/>
          <w:color w:val="auto"/>
        </w:rPr>
        <w:t xml:space="preserve">Gross Proceeds </w:t>
      </w:r>
      <w:r>
        <w:rPr>
          <w:rFonts w:ascii="Arial" w:cs="Arial" w:eastAsia="Arial" w:hAnsi="Arial"/>
          <w:sz w:val="9"/>
          <w:szCs w:val="9"/>
          <w:b w:val="1"/>
          <w:bCs w:val="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Gross Proceeds USD</w:t>
      </w:r>
    </w:p>
    <w:p>
      <w:pPr>
        <w:spacing w:after="0" w:line="2"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Equivalent</w:t>
      </w:r>
    </w:p>
    <w:p>
      <w:pPr>
        <w:spacing w:after="0" w:line="10" w:lineRule="exact"/>
        <w:rPr>
          <w:sz w:val="20"/>
          <w:szCs w:val="20"/>
          <w:color w:val="auto"/>
        </w:rPr>
      </w:pPr>
    </w:p>
    <w:p>
      <w:pPr>
        <w:sectPr>
          <w:pgSz w:w="11900" w:h="16838" w:orient="portrait"/>
          <w:cols w:equalWidth="0" w:num="2">
            <w:col w:w="8920" w:space="500"/>
            <w:col w:w="182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February 2024</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4.750%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February 2029</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$550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$550</w:t>
            </w:r>
          </w:p>
        </w:tc>
      </w:tr>
      <w:tr>
        <w:trPr>
          <w:trHeight w:val="229"/>
        </w:trPr>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July 2024</w:t>
            </w:r>
          </w:p>
        </w:tc>
        <w:tc>
          <w:tcPr>
            <w:tcW w:w="2160" w:type="dxa"/>
            <w:vAlign w:val="bottom"/>
          </w:tcPr>
          <w:p>
            <w:pPr>
              <w:jc w:val="right"/>
              <w:ind w:right="690"/>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July 2031</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rPr>
              <w:t>C$650</w:t>
            </w:r>
          </w:p>
        </w:tc>
        <w:tc>
          <w:tcPr>
            <w:tcW w:w="2180" w:type="dxa"/>
            <w:vAlign w:val="bottom"/>
          </w:tcPr>
          <w:p>
            <w:pPr>
              <w:jc w:val="right"/>
              <w:ind w:right="790"/>
              <w:spacing w:after="0"/>
              <w:rPr>
                <w:sz w:val="20"/>
                <w:szCs w:val="20"/>
                <w:color w:val="auto"/>
              </w:rPr>
            </w:pPr>
            <w:r>
              <w:rPr>
                <w:rFonts w:ascii="Arial" w:cs="Arial" w:eastAsia="Arial" w:hAnsi="Arial"/>
                <w:sz w:val="18"/>
                <w:szCs w:val="18"/>
                <w:color w:val="auto"/>
              </w:rPr>
              <w:t>$473</w:t>
            </w:r>
          </w:p>
        </w:tc>
      </w:tr>
      <w:tr>
        <w:trPr>
          <w:trHeight w:val="230"/>
        </w:trPr>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August 2024</w:t>
            </w:r>
          </w:p>
        </w:tc>
        <w:tc>
          <w:tcPr>
            <w:tcW w:w="21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4.750%</w:t>
            </w:r>
          </w:p>
        </w:tc>
        <w:tc>
          <w:tcPr>
            <w:tcW w:w="10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August 2034</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$500</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(1) Represents gross proceeds from the issuance of notes excluding debt issuance costs, discounts and premiums.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2023, we did not complete any debt issuances.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fair value of our short-term borrowings reflects current market interest rates and approximates the amounts we have recorded on our consolidated balance sheets. The fair value of our long-term debt was determined using quoted prices in active markets (Level 1 valuation data) for the publicly traded debt obligations.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As of September 30, 2024</w:t>
            </w:r>
          </w:p>
        </w:tc>
        <w:tc>
          <w:tcPr>
            <w:tcW w:w="304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As of December 31, 2023</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3"/>
          </w:tcPr>
          <w:p>
            <w:pPr>
              <w:ind w:left="24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1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18,164</w:t>
            </w:r>
          </w:p>
        </w:tc>
        <w:tc>
          <w:tcPr>
            <w:tcW w:w="1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17,506</w:t>
            </w:r>
          </w:p>
        </w:tc>
        <w:tc>
          <w:tcPr>
            <w:tcW w:w="0" w:type="dxa"/>
            <w:vAlign w:val="bottom"/>
          </w:tcPr>
          <w:p>
            <w:pPr>
              <w:spacing w:after="0"/>
              <w:rPr>
                <w:sz w:val="1"/>
                <w:szCs w:val="1"/>
                <w:color w:val="auto"/>
              </w:rPr>
            </w:pPr>
          </w:p>
        </w:tc>
      </w:tr>
      <w:tr>
        <w:trPr>
          <w:trHeight w:val="239"/>
        </w:trPr>
        <w:tc>
          <w:tcPr>
            <w:tcW w:w="386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1180" w:type="dxa"/>
            <w:vAlign w:val="bottom"/>
          </w:tcPr>
          <w:p>
            <w:pPr>
              <w:spacing w:after="0"/>
              <w:rPr>
                <w:sz w:val="20"/>
                <w:szCs w:val="20"/>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gridSpan w:val="2"/>
          </w:tcPr>
          <w:p>
            <w:pPr>
              <w:jc w:val="right"/>
              <w:ind w:right="19"/>
              <w:spacing w:after="0"/>
              <w:rPr>
                <w:sz w:val="20"/>
                <w:szCs w:val="20"/>
                <w:color w:val="auto"/>
              </w:rPr>
            </w:pPr>
            <w:r>
              <w:rPr>
                <w:rFonts w:ascii="Arial" w:cs="Arial" w:eastAsia="Arial" w:hAnsi="Arial"/>
                <w:sz w:val="18"/>
                <w:szCs w:val="18"/>
                <w:color w:val="auto"/>
              </w:rPr>
              <w:t>19,804</w:t>
            </w:r>
          </w:p>
        </w:tc>
        <w:tc>
          <w:tcPr>
            <w:tcW w:w="1160" w:type="dxa"/>
            <w:vAlign w:val="bottom"/>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19,408</w:t>
            </w:r>
          </w:p>
        </w:tc>
        <w:tc>
          <w:tcPr>
            <w:tcW w:w="0" w:type="dxa"/>
            <w:vAlign w:val="bottom"/>
          </w:tcPr>
          <w:p>
            <w:pPr>
              <w:spacing w:after="0"/>
              <w:rPr>
                <w:sz w:val="1"/>
                <w:szCs w:val="1"/>
                <w:color w:val="auto"/>
              </w:rPr>
            </w:pPr>
          </w:p>
        </w:tc>
      </w:tr>
      <w:tr>
        <w:trPr>
          <w:trHeight w:val="512"/>
        </w:trPr>
        <w:tc>
          <w:tcPr>
            <w:tcW w:w="3860" w:type="dxa"/>
            <w:vAlign w:val="bottom"/>
          </w:tcPr>
          <w:p>
            <w:pPr>
              <w:spacing w:after="0"/>
              <w:rPr>
                <w:sz w:val="20"/>
                <w:szCs w:val="20"/>
                <w:color w:val="auto"/>
              </w:rPr>
            </w:pPr>
            <w:r>
              <w:rPr>
                <w:rFonts w:ascii="Arial" w:cs="Arial" w:eastAsia="Arial" w:hAnsi="Arial"/>
                <w:sz w:val="18"/>
                <w:szCs w:val="18"/>
                <w:i w:val="1"/>
                <w:iCs w:val="1"/>
                <w:color w:val="auto"/>
              </w:rPr>
              <w:t>Interest and Other Expense, net</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r>
              <w:rPr>
                <w:rFonts w:ascii="Arial" w:cs="Arial" w:eastAsia="Arial" w:hAnsi="Arial"/>
                <w:sz w:val="18"/>
                <w:szCs w:val="18"/>
                <w:color w:val="auto"/>
              </w:rPr>
              <w:t>Interest and other expense, net consisted of:</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3"/>
                <w:szCs w:val="23"/>
                <w:color w:val="auto"/>
              </w:rPr>
            </w:pPr>
          </w:p>
        </w:tc>
        <w:tc>
          <w:tcPr>
            <w:tcW w:w="3080" w:type="dxa"/>
            <w:vAlign w:val="bottom"/>
            <w:gridSpan w:val="5"/>
          </w:tcPr>
          <w:p>
            <w:pPr>
              <w:jc w:val="right"/>
              <w:ind w:right="199"/>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40" w:type="dxa"/>
            <w:vAlign w:val="bottom"/>
            <w:gridSpan w:val="4"/>
          </w:tcPr>
          <w:p>
            <w:pPr>
              <w:ind w:left="2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60" w:type="dxa"/>
            <w:vAlign w:val="bottom"/>
            <w:gridSpan w:val="3"/>
          </w:tcPr>
          <w:p>
            <w:pPr>
              <w:ind w:left="82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debt</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700" w:type="dxa"/>
            <w:vAlign w:val="bottom"/>
            <w:gridSpan w:val="2"/>
            <w:shd w:val="clear" w:color="auto" w:fill="CCEEFF"/>
          </w:tcPr>
          <w:p>
            <w:pPr>
              <w:jc w:val="right"/>
              <w:ind w:right="399"/>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75"/>
        </w:trPr>
        <w:tc>
          <w:tcPr>
            <w:tcW w:w="3860" w:type="dxa"/>
            <w:vAlign w:val="bottom"/>
          </w:tcPr>
          <w:p>
            <w:pPr>
              <w:ind w:left="20"/>
              <w:spacing w:after="0" w:line="176" w:lineRule="exact"/>
              <w:rPr>
                <w:sz w:val="20"/>
                <w:szCs w:val="20"/>
                <w:color w:val="auto"/>
              </w:rPr>
            </w:pPr>
            <w:r>
              <w:rPr>
                <w:rFonts w:ascii="Arial" w:cs="Arial" w:eastAsia="Arial" w:hAnsi="Arial"/>
                <w:sz w:val="18"/>
                <w:szCs w:val="18"/>
                <w:color w:val="auto"/>
              </w:rPr>
              <w:t>Loss on debt extinguishment and related</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expenses</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gridSpan w:val="2"/>
            <w:vMerge w:val="continue"/>
          </w:tcPr>
          <w:p>
            <w:pPr>
              <w:spacing w:after="0"/>
              <w:rPr>
                <w:sz w:val="21"/>
                <w:szCs w:val="21"/>
                <w:color w:val="auto"/>
              </w:rPr>
            </w:pPr>
          </w:p>
        </w:tc>
        <w:tc>
          <w:tcPr>
            <w:tcW w:w="120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w w:val="99"/>
              </w:rPr>
              <w:t>(83)</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9"/>
              </w:rPr>
              <w:t>(235)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3860" w:type="dxa"/>
            <w:vAlign w:val="bottom"/>
          </w:tcPr>
          <w:p>
            <w:pPr>
              <w:ind w:left="140"/>
              <w:spacing w:after="0"/>
              <w:rPr>
                <w:sz w:val="20"/>
                <w:szCs w:val="20"/>
                <w:color w:val="auto"/>
              </w:rPr>
            </w:pPr>
            <w:r>
              <w:rPr>
                <w:rFonts w:ascii="Arial" w:cs="Arial" w:eastAsia="Arial" w:hAnsi="Arial"/>
                <w:sz w:val="18"/>
                <w:szCs w:val="18"/>
                <w:color w:val="auto"/>
              </w:rPr>
              <w:t>Interest and other expense, net</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Other income, net includes amounts excluded from hedge effectiveness related to our net investment hedge derivative contracts and movement in foreign currency exchange rates on certain foreign currency denominated assets and liabilities and related economic hedges. Refer to Note 9, </w:t>
      </w:r>
      <w:r>
        <w:rPr>
          <w:rFonts w:ascii="Arial" w:cs="Arial" w:eastAsia="Arial" w:hAnsi="Arial"/>
          <w:sz w:val="18"/>
          <w:szCs w:val="18"/>
          <w:i w:val="1"/>
          <w:iCs w:val="1"/>
          <w:color w:val="auto"/>
        </w:rPr>
        <w:t>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119380</wp:posOffset>
            </wp:positionV>
            <wp:extent cx="24892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295275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As of September 30, 2024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As of December 31, 2023</w:t>
            </w:r>
          </w:p>
        </w:tc>
      </w:tr>
      <w:tr>
        <w:trPr>
          <w:trHeight w:val="143"/>
        </w:trPr>
        <w:tc>
          <w:tcPr>
            <w:tcW w:w="4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Liability</w:t>
            </w:r>
          </w:p>
        </w:tc>
        <w:tc>
          <w:tcPr>
            <w:tcW w:w="380" w:type="dxa"/>
            <w:vAlign w:val="bottom"/>
          </w:tcPr>
          <w:p>
            <w:pPr>
              <w:spacing w:after="0"/>
              <w:rPr>
                <w:sz w:val="12"/>
                <w:szCs w:val="12"/>
                <w:color w:val="auto"/>
              </w:rPr>
            </w:pPr>
          </w:p>
        </w:tc>
        <w:tc>
          <w:tcPr>
            <w:tcW w:w="1320" w:type="dxa"/>
            <w:vAlign w:val="bottom"/>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2"/>
                <w:szCs w:val="12"/>
                <w:color w:val="auto"/>
              </w:rPr>
            </w:pPr>
          </w:p>
        </w:tc>
        <w:tc>
          <w:tcPr>
            <w:tcW w:w="1320" w:type="dxa"/>
            <w:vAlign w:val="bottom"/>
          </w:tcPr>
          <w:p>
            <w:pPr>
              <w:jc w:val="right"/>
              <w:ind w:right="434"/>
              <w:spacing w:after="0" w:line="143" w:lineRule="exact"/>
              <w:rPr>
                <w:sz w:val="20"/>
                <w:szCs w:val="20"/>
                <w:color w:val="auto"/>
              </w:rPr>
            </w:pPr>
            <w:r>
              <w:rPr>
                <w:rFonts w:ascii="Arial" w:cs="Arial" w:eastAsia="Arial" w:hAnsi="Arial"/>
                <w:sz w:val="14"/>
                <w:szCs w:val="14"/>
                <w:b w:val="1"/>
                <w:bCs w:val="1"/>
                <w:color w:val="auto"/>
              </w:rPr>
              <w:t>Liability</w:t>
            </w:r>
          </w:p>
        </w:tc>
      </w:tr>
      <w:tr>
        <w:trPr>
          <w:trHeight w:val="189"/>
        </w:trPr>
        <w:tc>
          <w:tcPr>
            <w:tcW w:w="4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Derivatives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Derivatives</w:t>
            </w:r>
          </w:p>
        </w:tc>
      </w:tr>
      <w:tr>
        <w:trPr>
          <w:trHeight w:val="195"/>
        </w:trPr>
        <w:tc>
          <w:tcPr>
            <w:tcW w:w="4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7"/>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Derivatives designated as</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4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23"/>
        </w:trPr>
        <w:tc>
          <w:tcPr>
            <w:tcW w:w="4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r>
      <w:tr>
        <w:trPr>
          <w:trHeight w:val="155"/>
        </w:trPr>
        <w:tc>
          <w:tcPr>
            <w:tcW w:w="45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43"/>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Currency exchange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5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23"/>
        </w:trPr>
        <w:tc>
          <w:tcPr>
            <w:tcW w:w="4540" w:type="dxa"/>
            <w:vAlign w:val="bottom"/>
          </w:tcPr>
          <w:p>
            <w:pPr>
              <w:ind w:left="140"/>
              <w:spacing w:after="0"/>
              <w:rPr>
                <w:sz w:val="20"/>
                <w:szCs w:val="20"/>
                <w:color w:val="auto"/>
              </w:rPr>
            </w:pPr>
            <w:r>
              <w:rPr>
                <w:rFonts w:ascii="Arial" w:cs="Arial" w:eastAsia="Arial" w:hAnsi="Arial"/>
                <w:sz w:val="18"/>
                <w:szCs w:val="18"/>
                <w:color w:val="auto"/>
              </w:rPr>
              <w:t>Total fair value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r>
      <w:tr>
        <w:trPr>
          <w:trHeight w:val="21"/>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left="340" w:hanging="332"/>
        <w:spacing w:after="0" w:line="276"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Net investment hedge derivative contracts consist of cross-currency interest rate swaps, forward contracts and options. We also designate some of our non-U.S. dollar denominated debt to hedge a portion of our net investments in our non-U.S. operations. This debt is not reflected in the table above, but is included in long-term debt discussed in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xml:space="preserve">. Both net investment hedge derivative contracts and non-U.S. dollar denominated debt acting as net investment hedges are also disclosed in the </w:t>
      </w:r>
      <w:r>
        <w:rPr>
          <w:rFonts w:ascii="Arial" w:cs="Arial" w:eastAsia="Arial" w:hAnsi="Arial"/>
          <w:sz w:val="14"/>
          <w:szCs w:val="14"/>
          <w:i w:val="1"/>
          <w:iCs w:val="1"/>
          <w:color w:val="auto"/>
        </w:rPr>
        <w:t>Derivative Volume</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We recorded the fair value of our derivative instruments in the condensed consolidated balance sheet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20" w:type="dxa"/>
            <w:vAlign w:val="bottom"/>
          </w:tcPr>
          <w:p>
            <w:pPr>
              <w:spacing w:after="0"/>
              <w:rPr>
                <w:sz w:val="17"/>
                <w:szCs w:val="17"/>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September 30, 2024</w:t>
            </w:r>
          </w:p>
        </w:tc>
        <w:tc>
          <w:tcPr>
            <w:tcW w:w="6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As of December 31, 2023</w:t>
            </w:r>
          </w:p>
        </w:tc>
      </w:tr>
      <w:tr>
        <w:trPr>
          <w:trHeight w:val="196"/>
        </w:trPr>
        <w:tc>
          <w:tcPr>
            <w:tcW w:w="46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2660" w:type="dxa"/>
            <w:vAlign w:val="bottom"/>
          </w:tcPr>
          <w:p>
            <w:pPr>
              <w:spacing w:after="0"/>
              <w:rPr>
                <w:sz w:val="17"/>
                <w:szCs w:val="17"/>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600" w:type="dxa"/>
            <w:vAlign w:val="bottom"/>
            <w:shd w:val="clear" w:color="auto" w:fill="CCEEFF"/>
          </w:tcPr>
          <w:p>
            <w:pPr>
              <w:jc w:val="right"/>
              <w:ind w:right="239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2,225</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0" w:type="dxa"/>
            <w:vAlign w:val="bottom"/>
          </w:tcPr>
          <w:p>
            <w:pPr>
              <w:spacing w:after="0"/>
              <w:rPr>
                <w:sz w:val="19"/>
                <w:szCs w:val="19"/>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326</w:t>
            </w:r>
          </w:p>
        </w:tc>
        <w:tc>
          <w:tcPr>
            <w:tcW w:w="64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6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2,242</w:t>
            </w:r>
          </w:p>
        </w:tc>
        <w:tc>
          <w:tcPr>
            <w:tcW w:w="64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r>
      <w:tr>
        <w:trPr>
          <w:trHeight w:val="239"/>
        </w:trPr>
        <w:tc>
          <w:tcPr>
            <w:tcW w:w="46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600" w:type="dxa"/>
            <w:vAlign w:val="bottom"/>
          </w:tcPr>
          <w:p>
            <w:pPr>
              <w:spacing w:after="0"/>
              <w:rPr>
                <w:sz w:val="20"/>
                <w:szCs w:val="20"/>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403</w:t>
            </w:r>
          </w:p>
        </w:tc>
        <w:tc>
          <w:tcPr>
            <w:tcW w:w="640" w:type="dxa"/>
            <w:vAlign w:val="bottom"/>
          </w:tcPr>
          <w:p>
            <w:pPr>
              <w:spacing w:after="0"/>
              <w:rPr>
                <w:sz w:val="20"/>
                <w:szCs w:val="20"/>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350</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rPr>
              <w:t>As of September 30, 2024</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4"/>
        </w:trPr>
        <w:tc>
          <w:tcPr>
            <w:tcW w:w="45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360" w:type="dxa"/>
            <w:vAlign w:val="bottom"/>
            <w:tcBorders>
              <w:top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center"/>
              <w:ind w:left="881"/>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center"/>
              <w:ind w:left="981"/>
              <w:spacing w:after="0"/>
              <w:rPr>
                <w:sz w:val="20"/>
                <w:szCs w:val="20"/>
                <w:color w:val="auto"/>
              </w:rPr>
            </w:pPr>
            <w:r>
              <w:rPr>
                <w:rFonts w:ascii="Arial" w:cs="Arial" w:eastAsia="Arial" w:hAnsi="Arial"/>
                <w:sz w:val="18"/>
                <w:szCs w:val="18"/>
                <w:color w:val="auto"/>
                <w:w w:val="99"/>
              </w:rPr>
              <w:t>(69)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left="881"/>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center"/>
              <w:ind w:left="881"/>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center"/>
              <w:ind w:left="981"/>
              <w:spacing w:after="0"/>
              <w:rPr>
                <w:sz w:val="20"/>
                <w:szCs w:val="20"/>
                <w:color w:val="auto"/>
              </w:rPr>
            </w:pPr>
            <w:r>
              <w:rPr>
                <w:rFonts w:ascii="Arial" w:cs="Arial" w:eastAsia="Arial" w:hAnsi="Arial"/>
                <w:sz w:val="18"/>
                <w:szCs w:val="18"/>
                <w:color w:val="auto"/>
                <w:w w:val="99"/>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4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296"/>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4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-599440</wp:posOffset>
            </wp:positionV>
            <wp:extent cx="24892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As of December 31, 2023</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2"/>
                <w:szCs w:val="12"/>
                <w:color w:val="auto"/>
              </w:rPr>
            </w:pPr>
          </w:p>
        </w:tc>
        <w:tc>
          <w:tcPr>
            <w:tcW w:w="16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1"/>
                <w:szCs w:val="11"/>
                <w:color w:val="auto"/>
              </w:rPr>
            </w:pPr>
          </w:p>
        </w:tc>
        <w:tc>
          <w:tcPr>
            <w:tcW w:w="16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Fair Value of Net</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2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net investment hedge contracts;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values of our hedging instruments were: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4"/>
                <w:szCs w:val="14"/>
                <w:b w:val="1"/>
                <w:bCs w:val="1"/>
                <w:color w:val="auto"/>
              </w:rPr>
              <w:t>Notional Amount</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7440" w:type="dxa"/>
            <w:vAlign w:val="bottom"/>
          </w:tcPr>
          <w:p>
            <w:pPr>
              <w:spacing w:after="0"/>
              <w:rPr>
                <w:sz w:val="12"/>
                <w:szCs w:val="12"/>
                <w:color w:val="auto"/>
              </w:rPr>
            </w:pPr>
          </w:p>
        </w:tc>
        <w:tc>
          <w:tcPr>
            <w:tcW w:w="19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As of September 30,</w:t>
            </w:r>
          </w:p>
        </w:tc>
        <w:tc>
          <w:tcPr>
            <w:tcW w:w="1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As of December 31, 2023</w:t>
            </w:r>
          </w:p>
        </w:tc>
        <w:tc>
          <w:tcPr>
            <w:tcW w:w="0" w:type="dxa"/>
            <w:vAlign w:val="bottom"/>
          </w:tcPr>
          <w:p>
            <w:pPr>
              <w:spacing w:after="0"/>
              <w:rPr>
                <w:sz w:val="1"/>
                <w:szCs w:val="1"/>
                <w:color w:val="auto"/>
              </w:rPr>
            </w:pPr>
          </w:p>
        </w:tc>
      </w:tr>
      <w:tr>
        <w:trPr>
          <w:trHeight w:val="185"/>
        </w:trPr>
        <w:tc>
          <w:tcPr>
            <w:tcW w:w="7440" w:type="dxa"/>
            <w:vAlign w:val="bottom"/>
          </w:tcPr>
          <w:p>
            <w:pPr>
              <w:spacing w:after="0"/>
              <w:rPr>
                <w:sz w:val="16"/>
                <w:szCs w:val="16"/>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2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Intercompany loans and forecasted interest payments</w:t>
            </w:r>
          </w:p>
        </w:tc>
        <w:tc>
          <w:tcPr>
            <w:tcW w:w="1200" w:type="dxa"/>
            <w:vAlign w:val="bottom"/>
          </w:tcPr>
          <w:p>
            <w:pPr>
              <w:jc w:val="right"/>
              <w:ind w:right="100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7,712</w:t>
            </w:r>
          </w:p>
        </w:tc>
        <w:tc>
          <w:tcPr>
            <w:tcW w:w="900" w:type="dxa"/>
            <w:vAlign w:val="bottom"/>
          </w:tcPr>
          <w:p>
            <w:pPr>
              <w:jc w:val="right"/>
              <w:ind w:right="61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9,213</w:t>
            </w:r>
          </w:p>
        </w:tc>
        <w:tc>
          <w:tcPr>
            <w:tcW w:w="9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120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15,467</w:t>
            </w:r>
          </w:p>
        </w:tc>
        <w:tc>
          <w:tcPr>
            <w:tcW w:w="9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16,631</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5,836</w:t>
            </w:r>
          </w:p>
        </w:tc>
        <w:tc>
          <w:tcPr>
            <w:tcW w:w="9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Net investment hedges:</w:t>
            </w: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hedge derivative contracts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8,878</w:t>
            </w:r>
          </w:p>
        </w:tc>
        <w:tc>
          <w:tcPr>
            <w:tcW w:w="9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7,456</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Non-U.S. dollar debt designated as net investment hedges:</w:t>
            </w: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 notes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3,547</w:t>
            </w:r>
          </w:p>
        </w:tc>
        <w:tc>
          <w:tcPr>
            <w:tcW w:w="9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29"/>
        </w:trPr>
        <w:tc>
          <w:tcPr>
            <w:tcW w:w="7440" w:type="dxa"/>
            <w:vAlign w:val="bottom"/>
          </w:tcPr>
          <w:p>
            <w:pPr>
              <w:ind w:left="440"/>
              <w:spacing w:after="0"/>
              <w:rPr>
                <w:sz w:val="20"/>
                <w:szCs w:val="20"/>
                <w:color w:val="auto"/>
              </w:rPr>
            </w:pPr>
            <w:r>
              <w:rPr>
                <w:rFonts w:ascii="Arial" w:cs="Arial" w:eastAsia="Arial" w:hAnsi="Arial"/>
                <w:sz w:val="18"/>
                <w:szCs w:val="18"/>
                <w:color w:val="auto"/>
              </w:rPr>
              <w:t>Swiss franc notes</w:t>
            </w:r>
          </w:p>
        </w:tc>
        <w:tc>
          <w:tcPr>
            <w:tcW w:w="120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237</w:t>
            </w:r>
          </w:p>
        </w:tc>
        <w:tc>
          <w:tcPr>
            <w:tcW w:w="9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Canadian dollar notes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924</w:t>
            </w:r>
          </w:p>
        </w:tc>
        <w:tc>
          <w:tcPr>
            <w:tcW w:w="9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Cash flow hedge activity, net of taxes, is recorded within accumulated other comprehensive earnings/(losses). Refer to Note 13, </w:t>
      </w:r>
      <w:r>
        <w:rPr>
          <w:rFonts w:ascii="Arial" w:cs="Arial" w:eastAsia="Arial" w:hAnsi="Arial"/>
          <w:sz w:val="18"/>
          <w:szCs w:val="18"/>
          <w:i w:val="1"/>
          <w:iCs w:val="1"/>
          <w:color w:val="auto"/>
        </w:rPr>
        <w:t xml:space="preserve">Reclassifications from Accumulated Other Comprehensive Income </w:t>
      </w:r>
      <w:r>
        <w:rPr>
          <w:rFonts w:ascii="Arial" w:cs="Arial" w:eastAsia="Arial" w:hAnsi="Arial"/>
          <w:sz w:val="18"/>
          <w:szCs w:val="18"/>
          <w:color w:val="auto"/>
        </w:rPr>
        <w:t>for additional information on current period activity. Based on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conditions, we would expect to transfer losses of $70 million (net of taxes) for interest rate cash flow hedges to earnings during the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119380</wp:posOffset>
            </wp:positionV>
            <wp:extent cx="248920"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As of September 30, 2024, our longest dated cash flow hedges were interest rate swaps that hedge forecasted interest rate payments over the next 4 years, 3 months.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("NIH") derivative contracts</w:t>
      </w:r>
    </w:p>
    <w:p>
      <w:pPr>
        <w:spacing w:after="0" w:line="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enter into cross-currency interest rate swaps, forwards and options to hedge certain investments in our non-U.S. operations against movements in exchange rates. The aggregate notional value as of September 30, 2024 was $8.9 billion.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hedge derivative contract impacts on other comprehensive earnings and net earnings were: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56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3"/>
          </w:tcPr>
          <w:p>
            <w:pPr>
              <w:ind w:left="560"/>
              <w:spacing w:after="0"/>
              <w:rPr>
                <w:sz w:val="20"/>
                <w:szCs w:val="20"/>
                <w:color w:val="auto"/>
              </w:rPr>
            </w:pPr>
            <w:r>
              <w:rPr>
                <w:rFonts w:ascii="Arial" w:cs="Arial" w:eastAsia="Arial" w:hAnsi="Arial"/>
                <w:sz w:val="14"/>
                <w:szCs w:val="14"/>
                <w:b w:val="1"/>
                <w:bCs w:val="1"/>
                <w:color w:val="auto"/>
              </w:rPr>
              <w:t>For the Nine Months Ended</w:t>
            </w:r>
          </w:p>
        </w:tc>
        <w:tc>
          <w:tcPr>
            <w:tcW w:w="420" w:type="dxa"/>
            <w:vAlign w:val="bottom"/>
          </w:tcPr>
          <w:p>
            <w:pPr>
              <w:spacing w:after="0"/>
              <w:rPr>
                <w:sz w:val="14"/>
                <w:szCs w:val="14"/>
                <w:color w:val="auto"/>
              </w:rPr>
            </w:pPr>
          </w:p>
        </w:tc>
      </w:tr>
      <w:tr>
        <w:trPr>
          <w:trHeight w:val="189"/>
        </w:trPr>
        <w:tc>
          <w:tcPr>
            <w:tcW w:w="51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r>
      <w:tr>
        <w:trPr>
          <w:trHeight w:val="195"/>
        </w:trPr>
        <w:tc>
          <w:tcPr>
            <w:tcW w:w="51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r>
      <w:tr>
        <w:trPr>
          <w:trHeight w:val="196"/>
        </w:trPr>
        <w:tc>
          <w:tcPr>
            <w:tcW w:w="5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gridSpan w:val="3"/>
          </w:tcPr>
          <w:p>
            <w:pPr>
              <w:jc w:val="right"/>
              <w:ind w:right="522"/>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1"/>
        </w:trPr>
        <w:tc>
          <w:tcPr>
            <w:tcW w:w="516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After-tax (loss)/gain on NIH contracts </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(250)</w:t>
            </w:r>
          </w:p>
        </w:tc>
        <w:tc>
          <w:tcPr>
            <w:tcW w:w="108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6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bl>
    <w:p>
      <w:pPr>
        <w:spacing w:after="0" w:line="315" w:lineRule="exact"/>
        <w:rPr>
          <w:sz w:val="20"/>
          <w:szCs w:val="20"/>
          <w:color w:val="auto"/>
        </w:rPr>
      </w:pPr>
    </w:p>
    <w:p>
      <w:pPr>
        <w:ind w:left="340" w:hanging="332"/>
        <w:spacing w:after="0" w:line="305"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in the cumulative translation adjustment within other comprehensive earnings. The cash flows from the settled contracts are reported within other investing activities in the condensed consolidated statement of cash flows.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560" w:type="dxa"/>
            <w:vAlign w:val="bottom"/>
            <w:gridSpan w:val="3"/>
          </w:tcPr>
          <w:p>
            <w:pPr>
              <w:jc w:val="center"/>
              <w:ind w:left="322"/>
              <w:spacing w:after="0"/>
              <w:rPr>
                <w:sz w:val="20"/>
                <w:szCs w:val="20"/>
                <w:color w:val="auto"/>
              </w:rPr>
            </w:pPr>
            <w:r>
              <w:rPr>
                <w:rFonts w:ascii="Arial" w:cs="Arial" w:eastAsia="Arial" w:hAnsi="Arial"/>
                <w:sz w:val="14"/>
                <w:szCs w:val="14"/>
                <w:b w:val="1"/>
                <w:bCs w:val="1"/>
                <w:color w:val="auto"/>
              </w:rPr>
              <w:t>For the 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40" w:type="dxa"/>
            <w:vAlign w:val="bottom"/>
            <w:gridSpan w:val="3"/>
          </w:tcPr>
          <w:p>
            <w:pPr>
              <w:ind w:left="12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439"/>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excluded from the assessment of hedge effectiveness</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100" w:type="dxa"/>
            <w:vAlign w:val="bottom"/>
            <w:shd w:val="clear" w:color="auto" w:fill="CCEEFF"/>
          </w:tcPr>
          <w:p>
            <w:pPr>
              <w:ind w:left="20"/>
              <w:spacing w:after="0" w:line="122" w:lineRule="exact"/>
              <w:rPr>
                <w:sz w:val="20"/>
                <w:szCs w:val="20"/>
                <w:color w:val="auto"/>
              </w:rPr>
            </w:pPr>
            <w:r>
              <w:rPr>
                <w:rFonts w:ascii="Arial" w:cs="Arial" w:eastAsia="Arial" w:hAnsi="Arial"/>
                <w:sz w:val="12"/>
                <w:szCs w:val="12"/>
                <w:color w:val="auto"/>
              </w:rPr>
              <w:t>(1)</w:t>
            </w:r>
          </w:p>
        </w:tc>
        <w:tc>
          <w:tcPr>
            <w:tcW w:w="940" w:type="dxa"/>
            <w:vAlign w:val="bottom"/>
            <w:vMerge w:val="restart"/>
            <w:shd w:val="clear" w:color="auto" w:fill="CCEEFF"/>
          </w:tcPr>
          <w:p>
            <w:pPr>
              <w:jc w:val="right"/>
              <w:ind w:right="742"/>
              <w:spacing w:after="0" w:line="176" w:lineRule="exact"/>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ind w:right="19"/>
              <w:spacing w:after="0" w:line="176" w:lineRule="exact"/>
              <w:rPr>
                <w:sz w:val="20"/>
                <w:szCs w:val="20"/>
                <w:color w:val="auto"/>
              </w:rPr>
            </w:pPr>
            <w:r>
              <w:rPr>
                <w:rFonts w:ascii="Arial" w:cs="Arial" w:eastAsia="Arial" w:hAnsi="Arial"/>
                <w:sz w:val="18"/>
                <w:szCs w:val="18"/>
                <w:color w:val="auto"/>
              </w:rPr>
              <w:t>45</w:t>
            </w:r>
          </w:p>
        </w:tc>
        <w:tc>
          <w:tcPr>
            <w:tcW w:w="1100" w:type="dxa"/>
            <w:vAlign w:val="bottom"/>
            <w:vMerge w:val="restart"/>
            <w:shd w:val="clear" w:color="auto" w:fill="CCEEFF"/>
          </w:tcPr>
          <w:p>
            <w:pPr>
              <w:jc w:val="right"/>
              <w:ind w:right="819"/>
              <w:spacing w:after="0" w:line="176" w:lineRule="exact"/>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ind w:right="230"/>
              <w:spacing w:after="0" w:line="176" w:lineRule="exact"/>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24"/>
              <w:spacing w:after="0" w:line="176" w:lineRule="exact"/>
              <w:rPr>
                <w:sz w:val="20"/>
                <w:szCs w:val="20"/>
                <w:color w:val="auto"/>
              </w:rPr>
            </w:pPr>
            <w:r>
              <w:rPr>
                <w:rFonts w:ascii="Arial" w:cs="Arial" w:eastAsia="Arial" w:hAnsi="Arial"/>
                <w:sz w:val="18"/>
                <w:szCs w:val="18"/>
                <w:color w:val="auto"/>
              </w:rPr>
              <w:t>132</w:t>
            </w:r>
          </w:p>
        </w:tc>
        <w:tc>
          <w:tcPr>
            <w:tcW w:w="580" w:type="dxa"/>
            <w:vAlign w:val="bottom"/>
            <w:vMerge w:val="restart"/>
            <w:shd w:val="clear" w:color="auto" w:fill="CCEEFF"/>
          </w:tcPr>
          <w:p>
            <w:pPr>
              <w:jc w:val="right"/>
              <w:ind w:right="290"/>
              <w:spacing w:after="0" w:line="176" w:lineRule="exact"/>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line="17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54"/>
        </w:trPr>
        <w:tc>
          <w:tcPr>
            <w:tcW w:w="5100" w:type="dxa"/>
            <w:vAlign w:val="bottom"/>
            <w:shd w:val="clear" w:color="auto" w:fill="CCEEFF"/>
          </w:tcPr>
          <w:p>
            <w:pPr>
              <w:spacing w:after="0"/>
              <w:rPr>
                <w:sz w:val="4"/>
                <w:szCs w:val="4"/>
                <w:color w:val="auto"/>
              </w:rPr>
            </w:pPr>
          </w:p>
        </w:tc>
        <w:tc>
          <w:tcPr>
            <w:tcW w:w="940" w:type="dxa"/>
            <w:vAlign w:val="bottom"/>
            <w:vMerge w:val="continue"/>
            <w:shd w:val="clear" w:color="auto" w:fill="CCEEFF"/>
          </w:tcPr>
          <w:p>
            <w:pPr>
              <w:spacing w:after="0"/>
              <w:rPr>
                <w:sz w:val="4"/>
                <w:szCs w:val="4"/>
                <w:color w:val="auto"/>
              </w:rPr>
            </w:pPr>
          </w:p>
        </w:tc>
        <w:tc>
          <w:tcPr>
            <w:tcW w:w="520" w:type="dxa"/>
            <w:vAlign w:val="bottom"/>
            <w:vMerge w:val="continue"/>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400" w:type="dxa"/>
            <w:vAlign w:val="bottom"/>
            <w:vMerge w:val="continue"/>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40" w:type="dxa"/>
            <w:vAlign w:val="bottom"/>
            <w:vMerge w:val="continue"/>
            <w:shd w:val="clear" w:color="auto" w:fill="CCEEFF"/>
          </w:tcPr>
          <w:p>
            <w:pPr>
              <w:spacing w:after="0"/>
              <w:rPr>
                <w:sz w:val="4"/>
                <w:szCs w:val="4"/>
                <w:color w:val="auto"/>
              </w:rPr>
            </w:pPr>
          </w:p>
        </w:tc>
        <w:tc>
          <w:tcPr>
            <w:tcW w:w="1020" w:type="dxa"/>
            <w:vAlign w:val="bottom"/>
            <w:vMerge w:val="continue"/>
            <w:shd w:val="clear" w:color="auto" w:fill="CCEEFF"/>
          </w:tcPr>
          <w:p>
            <w:pPr>
              <w:spacing w:after="0"/>
              <w:rPr>
                <w:sz w:val="4"/>
                <w:szCs w:val="4"/>
                <w:color w:val="auto"/>
              </w:rPr>
            </w:pPr>
          </w:p>
        </w:tc>
        <w:tc>
          <w:tcPr>
            <w:tcW w:w="580" w:type="dxa"/>
            <w:vAlign w:val="bottom"/>
            <w:vMerge w:val="continue"/>
            <w:shd w:val="clear" w:color="auto" w:fill="CCEEFF"/>
          </w:tcPr>
          <w:p>
            <w:pPr>
              <w:spacing w:after="0"/>
              <w:rPr>
                <w:sz w:val="4"/>
                <w:szCs w:val="4"/>
                <w:color w:val="auto"/>
              </w:rPr>
            </w:pPr>
          </w:p>
        </w:tc>
        <w:tc>
          <w:tcPr>
            <w:tcW w:w="9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We elected to record changes in the fair value of amounts excluded from the assessment of effectiveness in net earnings within interest and other expense,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After-tax gains/(losses) related to hedges of net investments in international operations were recorded within the cumulative translation adjustment section of other comprehensive income and were: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56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3"/>
          </w:tcPr>
          <w:p>
            <w:pPr>
              <w:jc w:val="right"/>
              <w:ind w:right="455"/>
              <w:spacing w:after="0"/>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51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43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51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r>
      <w:tr>
        <w:trPr>
          <w:trHeight w:val="196"/>
        </w:trPr>
        <w:tc>
          <w:tcPr>
            <w:tcW w:w="5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8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Swiss franc notes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0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Canadian notes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530"/>
        </w:trPr>
        <w:tc>
          <w:tcPr>
            <w:tcW w:w="5160" w:type="dxa"/>
            <w:vAlign w:val="bottom"/>
          </w:tcPr>
          <w:p>
            <w:pPr>
              <w:spacing w:after="0"/>
              <w:rPr>
                <w:sz w:val="24"/>
                <w:szCs w:val="24"/>
                <w:color w:val="auto"/>
              </w:rPr>
            </w:pPr>
          </w:p>
        </w:tc>
        <w:tc>
          <w:tcPr>
            <w:tcW w:w="940" w:type="dxa"/>
            <w:vAlign w:val="bottom"/>
          </w:tcPr>
          <w:p>
            <w:pPr>
              <w:jc w:val="right"/>
              <w:ind w:right="299"/>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8"/>
        </w:trPr>
        <w:tc>
          <w:tcPr>
            <w:tcW w:w="5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-599440</wp:posOffset>
            </wp:positionV>
            <wp:extent cx="24892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Hedges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Location of Gain/(Loss)</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Recognized in Earnings</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20"/>
              <w:spacing w:after="0"/>
              <w:rPr>
                <w:sz w:val="20"/>
                <w:szCs w:val="20"/>
                <w:color w:val="auto"/>
              </w:rPr>
            </w:pPr>
            <w:r>
              <w:rPr>
                <w:rFonts w:ascii="Arial" w:cs="Arial" w:eastAsia="Arial" w:hAnsi="Arial"/>
                <w:sz w:val="18"/>
                <w:szCs w:val="18"/>
                <w:color w:val="auto"/>
              </w:rPr>
              <w:t>Intercompany loans and forecasted</w:t>
            </w:r>
          </w:p>
        </w:tc>
        <w:tc>
          <w:tcPr>
            <w:tcW w:w="920" w:type="dxa"/>
            <w:vAlign w:val="bottom"/>
            <w:vMerge w:val="restart"/>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000" w:type="dxa"/>
            <w:vAlign w:val="bottom"/>
            <w:vMerge w:val="restart"/>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739"/>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80" w:type="dxa"/>
            <w:vAlign w:val="bottom"/>
            <w:vMerge w:val="restart"/>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89"/>
        </w:trPr>
        <w:tc>
          <w:tcPr>
            <w:tcW w:w="3120" w:type="dxa"/>
            <w:vAlign w:val="bottom"/>
          </w:tcPr>
          <w:p>
            <w:pPr>
              <w:ind w:left="220"/>
              <w:spacing w:after="0" w:line="189" w:lineRule="exact"/>
              <w:rPr>
                <w:sz w:val="20"/>
                <w:szCs w:val="20"/>
                <w:color w:val="auto"/>
              </w:rPr>
            </w:pPr>
            <w:r>
              <w:rPr>
                <w:rFonts w:ascii="Arial" w:cs="Arial" w:eastAsia="Arial" w:hAnsi="Arial"/>
                <w:sz w:val="18"/>
                <w:szCs w:val="18"/>
                <w:color w:val="auto"/>
              </w:rPr>
              <w:t>interest payments</w:t>
            </w:r>
          </w:p>
        </w:tc>
        <w:tc>
          <w:tcPr>
            <w:tcW w:w="92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48"/>
        </w:trPr>
        <w:tc>
          <w:tcPr>
            <w:tcW w:w="3120" w:type="dxa"/>
            <w:vAlign w:val="bottom"/>
            <w:vMerge w:val="restart"/>
          </w:tcPr>
          <w:p>
            <w:pPr>
              <w:ind w:left="220"/>
              <w:spacing w:after="0"/>
              <w:rPr>
                <w:sz w:val="20"/>
                <w:szCs w:val="20"/>
                <w:color w:val="auto"/>
              </w:rPr>
            </w:pPr>
            <w:r>
              <w:rPr>
                <w:rFonts w:ascii="Arial" w:cs="Arial" w:eastAsia="Arial" w:hAnsi="Arial"/>
                <w:sz w:val="18"/>
                <w:szCs w:val="18"/>
                <w:color w:val="auto"/>
              </w:rPr>
              <w:t>Forecasted transactions</w:t>
            </w:r>
          </w:p>
        </w:tc>
        <w:tc>
          <w:tcPr>
            <w:tcW w:w="9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89"/>
        </w:trPr>
        <w:tc>
          <w:tcPr>
            <w:tcW w:w="312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8"/>
        </w:trPr>
        <w:tc>
          <w:tcPr>
            <w:tcW w:w="31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9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89"/>
        </w:trPr>
        <w:tc>
          <w:tcPr>
            <w:tcW w:w="3120" w:type="dxa"/>
            <w:vAlign w:val="bottom"/>
            <w:vMerge w:val="continue"/>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administrative expenses</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48"/>
        </w:trPr>
        <w:tc>
          <w:tcPr>
            <w:tcW w:w="3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 xml:space="preserve">Equity method investment contracts </w:t>
            </w:r>
            <w:r>
              <w:rPr>
                <w:rFonts w:ascii="Arial" w:cs="Arial" w:eastAsia="Arial" w:hAnsi="Arial"/>
                <w:sz w:val="23"/>
                <w:szCs w:val="23"/>
                <w:color w:val="auto"/>
                <w:w w:val="99"/>
                <w:vertAlign w:val="superscript"/>
              </w:rPr>
              <w:t>(1)</w:t>
            </w:r>
          </w:p>
        </w:tc>
        <w:tc>
          <w:tcPr>
            <w:tcW w:w="92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Gain on equity method</w:t>
            </w:r>
          </w:p>
        </w:tc>
        <w:tc>
          <w:tcPr>
            <w:tcW w:w="0" w:type="dxa"/>
            <w:vAlign w:val="bottom"/>
          </w:tcPr>
          <w:p>
            <w:pPr>
              <w:spacing w:after="0"/>
              <w:rPr>
                <w:sz w:val="1"/>
                <w:szCs w:val="1"/>
                <w:color w:val="auto"/>
              </w:rPr>
            </w:pPr>
          </w:p>
        </w:tc>
      </w:tr>
      <w:tr>
        <w:trPr>
          <w:trHeight w:val="189"/>
        </w:trPr>
        <w:tc>
          <w:tcPr>
            <w:tcW w:w="3120" w:type="dxa"/>
            <w:vAlign w:val="bottom"/>
            <w:vMerge w:val="continue"/>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investment transactions</w:t>
            </w:r>
          </w:p>
        </w:tc>
        <w:tc>
          <w:tcPr>
            <w:tcW w:w="0" w:type="dxa"/>
            <w:vAlign w:val="bottom"/>
          </w:tcPr>
          <w:p>
            <w:pPr>
              <w:spacing w:after="0"/>
              <w:rPr>
                <w:sz w:val="1"/>
                <w:szCs w:val="1"/>
                <w:color w:val="auto"/>
              </w:rPr>
            </w:pPr>
          </w:p>
        </w:tc>
      </w:tr>
      <w:tr>
        <w:trPr>
          <w:trHeight w:val="223"/>
        </w:trPr>
        <w:tc>
          <w:tcPr>
            <w:tcW w:w="3120" w:type="dxa"/>
            <w:vAlign w:val="bottom"/>
          </w:tcPr>
          <w:p>
            <w:pPr>
              <w:ind w:left="1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40" w:hanging="332"/>
        <w:spacing w:after="0" w:line="305" w:lineRule="auto"/>
        <w:tabs>
          <w:tab w:leader="none" w:pos="232"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Equity method investment contracts consisted of the bifurcated embedded derivative option that were a component of the September 20, 2021 €300 million exchangeable bonds issuance and expired on September 20, 2024. Refer to Note 6, </w:t>
      </w:r>
      <w:r>
        <w:rPr>
          <w:rFonts w:ascii="Arial" w:cs="Arial" w:eastAsia="Arial" w:hAnsi="Arial"/>
          <w:sz w:val="14"/>
          <w:szCs w:val="14"/>
          <w:i w:val="1"/>
          <w:iCs w:val="1"/>
          <w:color w:val="auto"/>
        </w:rPr>
        <w:t>Investments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-55880</wp:posOffset>
            </wp:positionV>
            <wp:extent cx="248920"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Contingent Consideration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contingent consideration liability activity:</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For the Nine Months Ended</w:t>
            </w:r>
          </w:p>
        </w:tc>
      </w:tr>
      <w:tr>
        <w:trPr>
          <w:trHeight w:val="185"/>
        </w:trPr>
        <w:tc>
          <w:tcPr>
            <w:tcW w:w="5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r>
      <w:tr>
        <w:trPr>
          <w:trHeight w:val="196"/>
        </w:trPr>
        <w:tc>
          <w:tcPr>
            <w:tcW w:w="5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at beginning of period</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left="438"/>
              <w:spacing w:after="0"/>
              <w:rPr>
                <w:sz w:val="20"/>
                <w:szCs w:val="20"/>
                <w:color w:val="auto"/>
              </w:rPr>
            </w:pPr>
            <w:r>
              <w:rPr>
                <w:rFonts w:ascii="Arial" w:cs="Arial" w:eastAsia="Arial" w:hAnsi="Arial"/>
                <w:sz w:val="18"/>
                <w:szCs w:val="18"/>
                <w:color w:val="auto"/>
                <w:w w:val="99"/>
              </w:rPr>
              <w:t>680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29"/>
        </w:trPr>
        <w:tc>
          <w:tcPr>
            <w:tcW w:w="520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Changes in fair value </w:t>
            </w:r>
            <w:r>
              <w:rPr>
                <w:rFonts w:ascii="Arial" w:cs="Arial" w:eastAsia="Arial" w:hAnsi="Arial"/>
                <w:sz w:val="23"/>
                <w:szCs w:val="23"/>
                <w:color w:val="auto"/>
                <w:vertAlign w:val="superscript"/>
              </w:rPr>
              <w:t>(1)</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center"/>
              <w:ind w:left="438"/>
              <w:spacing w:after="0"/>
              <w:rPr>
                <w:sz w:val="20"/>
                <w:szCs w:val="20"/>
                <w:color w:val="auto"/>
              </w:rPr>
            </w:pPr>
            <w:r>
              <w:rPr>
                <w:rFonts w:ascii="Arial" w:cs="Arial" w:eastAsia="Arial" w:hAnsi="Arial"/>
                <w:sz w:val="18"/>
                <w:szCs w:val="18"/>
                <w:color w:val="auto"/>
                <w:w w:val="99"/>
              </w:rPr>
              <w:t>(315)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438"/>
              <w:spacing w:after="0"/>
              <w:rPr>
                <w:sz w:val="20"/>
                <w:szCs w:val="20"/>
                <w:color w:val="auto"/>
              </w:rPr>
            </w:pPr>
            <w:r>
              <w:rPr>
                <w:rFonts w:ascii="Arial" w:cs="Arial" w:eastAsia="Arial" w:hAnsi="Arial"/>
                <w:sz w:val="18"/>
                <w:szCs w:val="18"/>
                <w:color w:val="auto"/>
                <w:w w:val="99"/>
              </w:rPr>
              <w:t>(147)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Liability at end of period</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center"/>
              <w:ind w:left="438"/>
              <w:spacing w:after="0"/>
              <w:rPr>
                <w:sz w:val="20"/>
                <w:szCs w:val="20"/>
                <w:color w:val="auto"/>
              </w:rPr>
            </w:pPr>
            <w:r>
              <w:rPr>
                <w:rFonts w:ascii="Arial" w:cs="Arial" w:eastAsia="Arial" w:hAnsi="Arial"/>
                <w:sz w:val="18"/>
                <w:szCs w:val="18"/>
                <w:color w:val="auto"/>
                <w:w w:val="99"/>
              </w:rPr>
              <w:t>218</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r>
      <w:tr>
        <w:trPr>
          <w:trHeight w:val="21"/>
        </w:trPr>
        <w:tc>
          <w:tcPr>
            <w:tcW w:w="5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Contingent consideration was recorded at fair value in the condensed consolidated balance sheets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As of September 30, 2024</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38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w:t>
            </w:r>
          </w:p>
        </w:tc>
        <w:tc>
          <w:tcPr>
            <w:tcW w:w="1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Total Fair Value of</w:t>
            </w: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for Identical</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 Observable</w:t>
            </w:r>
          </w:p>
        </w:tc>
        <w:tc>
          <w:tcPr>
            <w:tcW w:w="220" w:type="dxa"/>
            <w:vAlign w:val="bottom"/>
          </w:tcPr>
          <w:p>
            <w:pPr>
              <w:spacing w:after="0"/>
              <w:rPr>
                <w:sz w:val="12"/>
                <w:szCs w:val="12"/>
                <w:color w:val="auto"/>
              </w:rPr>
            </w:pPr>
          </w:p>
        </w:tc>
        <w:tc>
          <w:tcPr>
            <w:tcW w:w="13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2"/>
                <w:szCs w:val="12"/>
                <w:color w:val="auto"/>
              </w:rPr>
            </w:pPr>
          </w:p>
        </w:tc>
        <w:tc>
          <w:tcPr>
            <w:tcW w:w="13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Liability</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48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Clif Bar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4480" w:type="dxa"/>
            <w:vAlign w:val="bottom"/>
          </w:tcPr>
          <w:p>
            <w:pPr>
              <w:ind w:left="140"/>
              <w:spacing w:after="0"/>
              <w:rPr>
                <w:sz w:val="20"/>
                <w:szCs w:val="20"/>
                <w:color w:val="auto"/>
              </w:rPr>
            </w:pPr>
            <w:r>
              <w:rPr>
                <w:rFonts w:ascii="Arial" w:cs="Arial" w:eastAsia="Arial" w:hAnsi="Arial"/>
                <w:sz w:val="18"/>
                <w:szCs w:val="18"/>
                <w:color w:val="auto"/>
              </w:rPr>
              <w:t>Total contingent consideration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6"/>
        </w:trPr>
        <w:tc>
          <w:tcPr>
            <w:tcW w:w="4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As of December 31, 2023</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38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Active Markets</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Total Fair Value of</w:t>
            </w: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for Identical</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 Observable</w:t>
            </w:r>
          </w:p>
        </w:tc>
        <w:tc>
          <w:tcPr>
            <w:tcW w:w="220" w:type="dxa"/>
            <w:vAlign w:val="bottom"/>
          </w:tcPr>
          <w:p>
            <w:pPr>
              <w:spacing w:after="0"/>
              <w:rPr>
                <w:sz w:val="12"/>
                <w:szCs w:val="12"/>
                <w:color w:val="auto"/>
              </w:rPr>
            </w:pPr>
          </w:p>
        </w:tc>
        <w:tc>
          <w:tcPr>
            <w:tcW w:w="13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1"/>
                <w:szCs w:val="11"/>
                <w:color w:val="auto"/>
              </w:rPr>
            </w:pPr>
          </w:p>
        </w:tc>
        <w:tc>
          <w:tcPr>
            <w:tcW w:w="15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1"/>
                <w:szCs w:val="11"/>
                <w:color w:val="auto"/>
              </w:rPr>
            </w:pPr>
          </w:p>
        </w:tc>
        <w:tc>
          <w:tcPr>
            <w:tcW w:w="1380" w:type="dxa"/>
            <w:vAlign w:val="bottom"/>
          </w:tcPr>
          <w:p>
            <w:pPr>
              <w:jc w:val="center"/>
              <w:ind w:right="141"/>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Liability</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Clif Bar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tcPr>
          <w:p>
            <w:pPr>
              <w:jc w:val="right"/>
              <w:ind w:right="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contingent consideration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ind w:left="340" w:hanging="332"/>
        <w:spacing w:after="0" w:line="261"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connection with the Clif Bar acquisition, we entered into a contingent consideration arrangement that may require us to pay additional consideration to the sellers for achieving certain net revenue, gross profit and EBITDA targets in 2025 and 2026 that exceed our base financial projections for the business implied in the upfront purchase price. The contingent consideration liabilities are recorded at fair value within long-term liabilities. The estimated fair value of the contingent consideration obligation is determined using a Monte Carlo simulation. Significant assumptions used in assessing the fair value of the liability include financial projections for net revenue, gross profit, and EBITDA, as well as discount and volatility rates. Fair value adjustments are primarily recorded in selling, general and administrative expenses in the condensed consolidated statement of earnings. During the three months ended September 30, 2024, the expected forecast for 2025 and 2026 has been updated to reflect recent trends in business performance and market outlook which resulted in a reduction in the fair value of the contingent consideration.</w:t>
      </w:r>
    </w:p>
    <w:p>
      <w:pPr>
        <w:spacing w:after="0" w:line="3" w:lineRule="exact"/>
        <w:rPr>
          <w:rFonts w:ascii="Arial" w:cs="Arial" w:eastAsia="Arial" w:hAnsi="Arial"/>
          <w:sz w:val="14"/>
          <w:szCs w:val="14"/>
          <w:color w:val="auto"/>
        </w:rPr>
      </w:pPr>
    </w:p>
    <w:p>
      <w:pPr>
        <w:jc w:val="both"/>
        <w:ind w:left="340" w:hanging="332"/>
        <w:spacing w:after="0" w:line="262"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other contingent consideration liabilities were recorded at fair value, with $132 million classified as other current liabilities at December 31, 2023. Fair value adjustments were recorded in selling, general and administrative expenses in the condensed consolidated statement of earnings through the second quarter of 2024. Payments on outstanding amounts as of December 31, 2023 were made in the second and third quarter of 2024, and the majority was classified within cash flows provided by operating activities in the 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-37465</wp:posOffset>
            </wp:positionV>
            <wp:extent cx="24892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cost/(benefit)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center"/>
              <w:ind w:right="516"/>
              <w:spacing w:after="0"/>
              <w:rPr>
                <w:sz w:val="20"/>
                <w:szCs w:val="20"/>
                <w:color w:val="auto"/>
              </w:rPr>
            </w:pPr>
            <w:r>
              <w:rPr>
                <w:rFonts w:ascii="Arial" w:cs="Arial" w:eastAsia="Arial" w:hAnsi="Arial"/>
                <w:sz w:val="14"/>
                <w:szCs w:val="14"/>
                <w:b w:val="1"/>
                <w:bCs w:val="1"/>
                <w:color w:val="auto"/>
              </w:rPr>
              <w:t>U.S. Plans</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rPr>
              <w:t>Non-U.S. Plans</w:t>
            </w:r>
          </w:p>
        </w:tc>
        <w:tc>
          <w:tcPr>
            <w:tcW w:w="1020" w:type="dxa"/>
            <w:vAlign w:val="bottom"/>
            <w:tcBorders>
              <w:bottom w:val="single" w:sz="8" w:color="auto"/>
            </w:tcBorders>
          </w:tcPr>
          <w:p>
            <w:pPr>
              <w:spacing w:after="0"/>
              <w:rPr>
                <w:sz w:val="17"/>
                <w:szCs w:val="17"/>
                <w:color w:val="auto"/>
              </w:rPr>
            </w:pPr>
          </w:p>
        </w:tc>
      </w:tr>
      <w:tr>
        <w:trPr>
          <w:trHeight w:val="143"/>
        </w:trPr>
        <w:tc>
          <w:tcPr>
            <w:tcW w:w="4500" w:type="dxa"/>
            <w:vAlign w:val="bottom"/>
          </w:tcPr>
          <w:p>
            <w:pPr>
              <w:spacing w:after="0"/>
              <w:rPr>
                <w:sz w:val="12"/>
                <w:szCs w:val="12"/>
                <w:color w:val="auto"/>
              </w:rPr>
            </w:pPr>
          </w:p>
        </w:tc>
        <w:tc>
          <w:tcPr>
            <w:tcW w:w="2860" w:type="dxa"/>
            <w:vAlign w:val="bottom"/>
            <w:gridSpan w:val="4"/>
          </w:tcPr>
          <w:p>
            <w:pPr>
              <w:jc w:val="center"/>
              <w:ind w:left="459"/>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80" w:type="dxa"/>
            <w:vAlign w:val="bottom"/>
            <w:gridSpan w:val="4"/>
          </w:tcPr>
          <w:p>
            <w:pPr>
              <w:jc w:val="center"/>
              <w:ind w:right="352"/>
              <w:spacing w:after="0" w:line="143" w:lineRule="exact"/>
              <w:rPr>
                <w:sz w:val="20"/>
                <w:szCs w:val="20"/>
                <w:color w:val="auto"/>
              </w:rPr>
            </w:pPr>
            <w:r>
              <w:rPr>
                <w:rFonts w:ascii="Arial" w:cs="Arial" w:eastAsia="Arial" w:hAnsi="Arial"/>
                <w:sz w:val="14"/>
                <w:szCs w:val="14"/>
                <w:b w:val="1"/>
                <w:bCs w:val="1"/>
                <w:color w:val="auto"/>
              </w:rPr>
              <w:t>For the Three Months Ended</w:t>
            </w:r>
          </w:p>
        </w:tc>
      </w:tr>
      <w:tr>
        <w:trPr>
          <w:trHeight w:val="189"/>
        </w:trPr>
        <w:tc>
          <w:tcPr>
            <w:tcW w:w="45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51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95"/>
        </w:trPr>
        <w:tc>
          <w:tcPr>
            <w:tcW w:w="4500" w:type="dxa"/>
            <w:vAlign w:val="bottom"/>
          </w:tcPr>
          <w:p>
            <w:pPr>
              <w:spacing w:after="0"/>
              <w:rPr>
                <w:sz w:val="16"/>
                <w:szCs w:val="16"/>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r>
      <w:tr>
        <w:trPr>
          <w:trHeight w:val="196"/>
        </w:trPr>
        <w:tc>
          <w:tcPr>
            <w:tcW w:w="4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1"/>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from experience differences</w:t>
            </w:r>
          </w:p>
        </w:tc>
        <w:tc>
          <w:tcPr>
            <w:tcW w:w="1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500" w:type="dxa"/>
            <w:vAlign w:val="bottom"/>
          </w:tcPr>
          <w:p>
            <w:pPr>
              <w:ind w:left="360"/>
              <w:spacing w:after="0"/>
              <w:rPr>
                <w:sz w:val="20"/>
                <w:szCs w:val="20"/>
                <w:color w:val="auto"/>
              </w:rPr>
            </w:pPr>
            <w:r>
              <w:rPr>
                <w:rFonts w:ascii="Arial" w:cs="Arial" w:eastAsia="Arial" w:hAnsi="Arial"/>
                <w:sz w:val="18"/>
                <w:szCs w:val="18"/>
                <w:color w:val="auto"/>
              </w:rPr>
              <w:t>Prior service cost</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losses and other expenses</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Pr>
          <w:p>
            <w:pPr>
              <w:ind w:left="120"/>
              <w:spacing w:after="0"/>
              <w:rPr>
                <w:sz w:val="20"/>
                <w:szCs w:val="20"/>
                <w:color w:val="auto"/>
              </w:rPr>
            </w:pPr>
            <w:r>
              <w:rPr>
                <w:rFonts w:ascii="Arial" w:cs="Arial" w:eastAsia="Arial" w:hAnsi="Arial"/>
                <w:sz w:val="18"/>
                <w:szCs w:val="18"/>
                <w:color w:val="auto"/>
              </w:rPr>
              <w:t>Net periodic pension benefit</w:t>
            </w:r>
          </w:p>
        </w:tc>
        <w:tc>
          <w:tcPr>
            <w:tcW w:w="112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
        </w:trPr>
        <w:tc>
          <w:tcPr>
            <w:tcW w:w="4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30"/>
        </w:trPr>
        <w:tc>
          <w:tcPr>
            <w:tcW w:w="45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right="516"/>
              <w:spacing w:after="0"/>
              <w:rPr>
                <w:sz w:val="20"/>
                <w:szCs w:val="20"/>
                <w:color w:val="auto"/>
              </w:rPr>
            </w:pPr>
            <w:r>
              <w:rPr>
                <w:rFonts w:ascii="Arial" w:cs="Arial" w:eastAsia="Arial" w:hAnsi="Arial"/>
                <w:sz w:val="14"/>
                <w:szCs w:val="14"/>
                <w:b w:val="1"/>
                <w:bCs w:val="1"/>
                <w:color w:val="auto"/>
              </w:rPr>
              <w:t>U.S. Plans</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rPr>
              <w:t>Non-U.S. Plans</w:t>
            </w:r>
          </w:p>
        </w:tc>
        <w:tc>
          <w:tcPr>
            <w:tcW w:w="1020" w:type="dxa"/>
            <w:vAlign w:val="bottom"/>
            <w:tcBorders>
              <w:bottom w:val="single" w:sz="8" w:color="auto"/>
            </w:tcBorders>
          </w:tcPr>
          <w:p>
            <w:pPr>
              <w:spacing w:after="0"/>
              <w:rPr>
                <w:sz w:val="24"/>
                <w:szCs w:val="24"/>
                <w:color w:val="auto"/>
              </w:rPr>
            </w:pPr>
          </w:p>
        </w:tc>
      </w:tr>
      <w:tr>
        <w:trPr>
          <w:trHeight w:val="143"/>
        </w:trPr>
        <w:tc>
          <w:tcPr>
            <w:tcW w:w="4500" w:type="dxa"/>
            <w:vAlign w:val="bottom"/>
          </w:tcPr>
          <w:p>
            <w:pPr>
              <w:spacing w:after="0"/>
              <w:rPr>
                <w:sz w:val="12"/>
                <w:szCs w:val="12"/>
                <w:color w:val="auto"/>
              </w:rPr>
            </w:pPr>
          </w:p>
        </w:tc>
        <w:tc>
          <w:tcPr>
            <w:tcW w:w="2860" w:type="dxa"/>
            <w:vAlign w:val="bottom"/>
            <w:gridSpan w:val="4"/>
          </w:tcPr>
          <w:p>
            <w:pPr>
              <w:jc w:val="center"/>
              <w:ind w:left="459"/>
              <w:spacing w:after="0" w:line="143" w:lineRule="exact"/>
              <w:rPr>
                <w:sz w:val="20"/>
                <w:szCs w:val="20"/>
                <w:color w:val="auto"/>
              </w:rPr>
            </w:pPr>
            <w:r>
              <w:rPr>
                <w:rFonts w:ascii="Arial" w:cs="Arial" w:eastAsia="Arial" w:hAnsi="Arial"/>
                <w:sz w:val="14"/>
                <w:szCs w:val="14"/>
                <w:b w:val="1"/>
                <w:bCs w:val="1"/>
                <w:color w:val="auto"/>
              </w:rPr>
              <w:t>For the Nine Months Ended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80" w:type="dxa"/>
            <w:vAlign w:val="bottom"/>
            <w:gridSpan w:val="4"/>
          </w:tcPr>
          <w:p>
            <w:pPr>
              <w:jc w:val="center"/>
              <w:ind w:right="352"/>
              <w:spacing w:after="0" w:line="143" w:lineRule="exact"/>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45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51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95"/>
        </w:trPr>
        <w:tc>
          <w:tcPr>
            <w:tcW w:w="4500" w:type="dxa"/>
            <w:vAlign w:val="bottom"/>
          </w:tcPr>
          <w:p>
            <w:pPr>
              <w:spacing w:after="0"/>
              <w:rPr>
                <w:sz w:val="16"/>
                <w:szCs w:val="16"/>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r>
      <w:tr>
        <w:trPr>
          <w:trHeight w:val="192"/>
        </w:trPr>
        <w:tc>
          <w:tcPr>
            <w:tcW w:w="4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5"/>
        </w:trPr>
        <w:tc>
          <w:tcPr>
            <w:tcW w:w="450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500" w:type="dxa"/>
            <w:vAlign w:val="bottom"/>
          </w:tcPr>
          <w:p>
            <w:pPr>
              <w:ind w:left="360"/>
              <w:spacing w:after="0"/>
              <w:rPr>
                <w:sz w:val="20"/>
                <w:szCs w:val="20"/>
                <w:color w:val="auto"/>
              </w:rPr>
            </w:pPr>
            <w:r>
              <w:rPr>
                <w:rFonts w:ascii="Arial" w:cs="Arial" w:eastAsia="Arial" w:hAnsi="Arial"/>
                <w:sz w:val="18"/>
                <w:szCs w:val="18"/>
                <w:color w:val="auto"/>
              </w:rPr>
              <w:t>Net loss from experience differences</w:t>
            </w:r>
          </w:p>
        </w:tc>
        <w:tc>
          <w:tcPr>
            <w:tcW w:w="11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cost</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Settlement losses and other expenses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5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periodic pension benefit</w:t>
            </w:r>
          </w:p>
        </w:tc>
        <w:tc>
          <w:tcPr>
            <w:tcW w:w="112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nine months ended September 30, 2024, we contributed $2 million to our U.S. pension plans and $61 million to our non-U.S. pension plans.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September 30, 2024, we plan to make further contributions of approximately $2 million to our U.S. plans and $18 million to our non-U.S. plans for the remainder of 2024. Our actual contributions may be different due to many factors, including changes in tax and other benefit laws, significant differences between expected and actual pension asset performance or interest rates.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October 2024, we intend to terminate the Mondelēz Global LLC Retirement Plan (“MDLZ Global Plan”), pending completion of applicable regulatory approvals. The MDLZ Global Plan is the pension plan for US salaried employees and the termination process is part of a pension buyout transaction which is expected to be completed in 2025. The participants have been notified of the Company’s intent to terminate the MDLZ Global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11, 2019, we received an undiscounted withdrawal liability assessment from the Bakery and Confectionery Union and Industry International Pension Fund totaling $491 million requiring pro-rata monthly payments over 20 years beginning in the third quarter of 2019. In connection with the discounted long-term liability, we recorded accreted interest of $2 million for the three months ended September 30, 2024 and $3 million for the three months ended September 30, 2023 and $7 million for the nine months ended September 30, 2024 and $8 million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-34290</wp:posOffset>
            </wp:positionV>
            <wp:extent cx="24892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nine months ended September 30, 2023, within </w:t>
      </w:r>
      <w:r>
        <w:rPr>
          <w:rFonts w:ascii="Arial" w:cs="Arial" w:eastAsia="Arial" w:hAnsi="Arial"/>
          <w:sz w:val="18"/>
          <w:szCs w:val="18"/>
          <w:i w:val="1"/>
          <w:iCs w:val="1"/>
          <w:color w:val="auto"/>
        </w:rPr>
        <w:t>Interest and other expense, net</w:t>
      </w:r>
      <w:r>
        <w:rPr>
          <w:rFonts w:ascii="Arial" w:cs="Arial" w:eastAsia="Arial" w:hAnsi="Arial"/>
          <w:sz w:val="18"/>
          <w:szCs w:val="18"/>
          <w:color w:val="auto"/>
        </w:rPr>
        <w:t xml:space="preserve"> in the condensed consolidated statement of earnings. As of September 30, 2024, the remaining discounted withdrawal liability was $316 million, with $16 million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$300 million recorded in </w:t>
      </w:r>
      <w:r>
        <w:rPr>
          <w:rFonts w:ascii="Arial" w:cs="Arial" w:eastAsia="Arial" w:hAnsi="Arial"/>
          <w:sz w:val="18"/>
          <w:szCs w:val="18"/>
          <w:i w:val="1"/>
          <w:iCs w:val="1"/>
          <w:color w:val="auto"/>
        </w:rPr>
        <w:t>Long-term other liabilities</w:t>
      </w:r>
      <w:r>
        <w:rPr>
          <w:rFonts w:ascii="Arial" w:cs="Arial" w:eastAsia="Arial" w:hAnsi="Arial"/>
          <w:sz w:val="18"/>
          <w:szCs w:val="18"/>
          <w:color w:val="auto"/>
        </w:rPr>
        <w:t xml:space="preserve"> in the condensed consolidated balance sheet.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and Postemployment Benefit Plans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net periodic postretirement (benefit)/cost was $(3) million for the three months ended September 30, 2024 and $(8) million for the nine months ended September 30, 2024 and $(2) million for the three months ended September 30, 2023 and $(4) million for the nine months ended September 30, 2023. The net periodic postemployment cost was $5 million for the three months ended September 30, 2024 and $16 million for the nine months ended September 30, 2024 and $2 million for the three months ended September 30, 2023 and $3 million for the nine months ended September 30,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Plans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May 22, 2024, our shareholders approved the 2024 Performance Incentive Plan (the “2024 PIP”), which replaces our Amended and Restated 2005 Performance Incentive Plan (the “2005 Plan”). Under the 2024 PIP, we are now authorized to issue a maximum of 50.7 million shares of our Common Stock. As of May 22, 2024, we may not make any grants under the 2005 Plan. As of September 30, 2024, there were 50.7 million shares available to be granted under the 2024 PIP.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Average</w:t>
            </w:r>
          </w:p>
        </w:tc>
        <w:tc>
          <w:tcPr>
            <w:tcW w:w="14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vMerge w:val="restart"/>
          </w:tcPr>
          <w:p>
            <w:pPr>
              <w:jc w:val="center"/>
              <w:ind w:left="119"/>
              <w:spacing w:after="0"/>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Shares Subject</w:t>
            </w: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Exercise or</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Remaining</w:t>
            </w:r>
          </w:p>
        </w:tc>
        <w:tc>
          <w:tcPr>
            <w:tcW w:w="3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Grant Price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360" w:type="dxa"/>
            <w:vAlign w:val="bottom"/>
          </w:tcPr>
          <w:p>
            <w:pPr>
              <w:spacing w:after="0"/>
              <w:rPr>
                <w:sz w:val="12"/>
                <w:szCs w:val="12"/>
                <w:color w:val="auto"/>
              </w:rPr>
            </w:pPr>
          </w:p>
        </w:tc>
        <w:tc>
          <w:tcPr>
            <w:tcW w:w="980" w:type="dxa"/>
            <w:vAlign w:val="bottom"/>
          </w:tcPr>
          <w:p>
            <w:pPr>
              <w:jc w:val="center"/>
              <w:ind w:left="99"/>
              <w:spacing w:after="0" w:line="149" w:lineRule="exact"/>
              <w:rPr>
                <w:sz w:val="20"/>
                <w:szCs w:val="20"/>
                <w:color w:val="auto"/>
              </w:rPr>
            </w:pPr>
            <w:r>
              <w:rPr>
                <w:rFonts w:ascii="Arial" w:cs="Arial" w:eastAsia="Arial" w:hAnsi="Arial"/>
                <w:sz w:val="14"/>
                <w:szCs w:val="14"/>
                <w:b w:val="1"/>
                <w:bCs w:val="1"/>
                <w:color w:val="auto"/>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400" w:type="dxa"/>
            <w:vAlign w:val="bottom"/>
          </w:tcPr>
          <w:p>
            <w:pPr>
              <w:jc w:val="right"/>
              <w:ind w:right="294"/>
              <w:spacing w:after="0"/>
              <w:rPr>
                <w:sz w:val="20"/>
                <w:szCs w:val="20"/>
                <w:color w:val="auto"/>
              </w:rPr>
            </w:pPr>
            <w:r>
              <w:rPr>
                <w:rFonts w:ascii="Arial" w:cs="Arial" w:eastAsia="Arial" w:hAnsi="Arial"/>
                <w:sz w:val="14"/>
                <w:szCs w:val="14"/>
                <w:b w:val="1"/>
                <w:bCs w:val="1"/>
                <w:color w:val="auto"/>
              </w:rPr>
              <w:t>to Option</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Per Share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Term</w:t>
            </w:r>
          </w:p>
        </w:tc>
        <w:tc>
          <w:tcPr>
            <w:tcW w:w="360" w:type="dxa"/>
            <w:vAlign w:val="bottom"/>
          </w:tcPr>
          <w:p>
            <w:pPr>
              <w:spacing w:after="0"/>
              <w:rPr>
                <w:sz w:val="16"/>
                <w:szCs w:val="16"/>
                <w:color w:val="auto"/>
              </w:rPr>
            </w:pPr>
          </w:p>
        </w:tc>
        <w:tc>
          <w:tcPr>
            <w:tcW w:w="980" w:type="dxa"/>
            <w:vAlign w:val="bottom"/>
          </w:tcPr>
          <w:p>
            <w:pPr>
              <w:jc w:val="center"/>
              <w:ind w:left="119"/>
              <w:spacing w:after="0"/>
              <w:rPr>
                <w:sz w:val="20"/>
                <w:szCs w:val="20"/>
                <w:color w:val="auto"/>
              </w:rPr>
            </w:pPr>
            <w:r>
              <w:rPr>
                <w:rFonts w:ascii="Arial" w:cs="Arial" w:eastAsia="Arial" w:hAnsi="Arial"/>
                <w:sz w:val="14"/>
                <w:szCs w:val="14"/>
                <w:b w:val="1"/>
                <w:bCs w:val="1"/>
                <w:color w:val="auto"/>
              </w:rPr>
              <w:t>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18,678,120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$49.96</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5 years</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5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Annual grant to eligible employees</w:t>
            </w:r>
          </w:p>
        </w:tc>
        <w:tc>
          <w:tcPr>
            <w:tcW w:w="1400" w:type="dxa"/>
            <w:vAlign w:val="bottom"/>
          </w:tcPr>
          <w:p>
            <w:pPr>
              <w:jc w:val="right"/>
              <w:spacing w:after="0"/>
              <w:rPr>
                <w:sz w:val="20"/>
                <w:szCs w:val="20"/>
                <w:color w:val="auto"/>
              </w:rPr>
            </w:pPr>
            <w:r>
              <w:rPr>
                <w:rFonts w:ascii="Arial" w:cs="Arial" w:eastAsia="Arial" w:hAnsi="Arial"/>
                <w:sz w:val="18"/>
                <w:szCs w:val="18"/>
                <w:color w:val="auto"/>
              </w:rPr>
              <w:t>2,261,810</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rPr>
              <w:t>73.13</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options issued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15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7"/>
              </w:rPr>
              <w:t>66.11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480"/>
              <w:spacing w:after="0"/>
              <w:rPr>
                <w:sz w:val="20"/>
                <w:szCs w:val="20"/>
                <w:color w:val="auto"/>
              </w:rPr>
            </w:pPr>
            <w:r>
              <w:rPr>
                <w:rFonts w:ascii="Arial" w:cs="Arial" w:eastAsia="Arial" w:hAnsi="Arial"/>
                <w:sz w:val="18"/>
                <w:szCs w:val="18"/>
                <w:color w:val="auto"/>
              </w:rPr>
              <w:t>Total options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2,293,590</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rPr>
              <w:t>73.03</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(3,966,626)</w:t>
            </w:r>
          </w:p>
        </w:tc>
        <w:tc>
          <w:tcPr>
            <w:tcW w:w="15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43.20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Options canceled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(330,110)</w:t>
            </w:r>
          </w:p>
        </w:tc>
        <w:tc>
          <w:tcPr>
            <w:tcW w:w="15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rPr>
              <w:t>62.48</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16,674,974</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54.50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5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left="340" w:right="20" w:hanging="332"/>
        <w:spacing w:after="0" w:line="283"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Cash received from options exercised was $74 million in the three months and $170 million in the nine months ended September 30, 2024. The actual tax benefit realized and recorded in the provision for income taxes for the tax deductions from the option exercises totaled $8 million in the three months and $19 million in the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3039110</wp:posOffset>
            </wp:positionV>
            <wp:extent cx="24892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295275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(PSU), deferred stock unit (DSU) and other stock-based activity is reflected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4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Weighted-Average</w:t>
            </w:r>
          </w:p>
        </w:tc>
        <w:tc>
          <w:tcPr>
            <w:tcW w:w="16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1700" w:type="dxa"/>
            <w:vAlign w:val="bottom"/>
            <w:gridSpan w:val="4"/>
          </w:tcPr>
          <w:p>
            <w:pPr>
              <w:jc w:val="right"/>
              <w:ind w:right="680"/>
              <w:spacing w:after="0" w:line="149" w:lineRule="exact"/>
              <w:rPr>
                <w:sz w:val="20"/>
                <w:szCs w:val="20"/>
                <w:color w:val="auto"/>
              </w:rPr>
            </w:pPr>
            <w:r>
              <w:rPr>
                <w:rFonts w:ascii="Arial" w:cs="Arial" w:eastAsia="Arial" w:hAnsi="Arial"/>
                <w:sz w:val="14"/>
                <w:szCs w:val="14"/>
                <w:b w:val="1"/>
                <w:bCs w:val="1"/>
                <w:color w:val="auto"/>
              </w:rPr>
              <w:t>Fair Value</w:t>
            </w:r>
          </w:p>
        </w:tc>
        <w:tc>
          <w:tcPr>
            <w:tcW w:w="116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rPr>
              <w:t>Aggregate</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1400" w:type="dxa"/>
            <w:vAlign w:val="bottom"/>
          </w:tcPr>
          <w:p>
            <w:pPr>
              <w:jc w:val="right"/>
              <w:ind w:right="29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Per Share</w:t>
            </w:r>
          </w:p>
        </w:tc>
        <w:tc>
          <w:tcPr>
            <w:tcW w:w="400" w:type="dxa"/>
            <w:vAlign w:val="bottom"/>
          </w:tcPr>
          <w:p>
            <w:pPr>
              <w:jc w:val="right"/>
              <w:ind w:right="182"/>
              <w:spacing w:after="0"/>
              <w:rPr>
                <w:sz w:val="20"/>
                <w:szCs w:val="20"/>
                <w:color w:val="auto"/>
              </w:rPr>
            </w:pPr>
            <w:r>
              <w:rPr>
                <w:rFonts w:ascii="Arial" w:cs="Arial" w:eastAsia="Arial" w:hAnsi="Arial"/>
                <w:sz w:val="11"/>
                <w:szCs w:val="11"/>
                <w:b w:val="1"/>
                <w:bCs w:val="1"/>
                <w:color w:val="auto"/>
                <w:w w:val="88"/>
              </w:rPr>
              <w:t>(4)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left="221"/>
              <w:spacing w:after="0" w:line="189" w:lineRule="exact"/>
              <w:rPr>
                <w:sz w:val="20"/>
                <w:szCs w:val="20"/>
                <w:color w:val="auto"/>
              </w:rPr>
            </w:pPr>
            <w:r>
              <w:rPr>
                <w:rFonts w:ascii="Arial" w:cs="Arial" w:eastAsia="Arial" w:hAnsi="Arial"/>
                <w:sz w:val="14"/>
                <w:szCs w:val="14"/>
                <w:b w:val="1"/>
                <w:bCs w:val="1"/>
                <w:color w:val="auto"/>
                <w:w w:val="97"/>
              </w:rPr>
              <w:t xml:space="preserve">Fair Value </w:t>
            </w:r>
            <w:r>
              <w:rPr>
                <w:rFonts w:ascii="Arial" w:cs="Arial" w:eastAsia="Arial" w:hAnsi="Arial"/>
                <w:sz w:val="21"/>
                <w:szCs w:val="21"/>
                <w:b w:val="1"/>
                <w:bCs w:val="1"/>
                <w:color w:val="auto"/>
                <w:w w:val="97"/>
                <w:vertAlign w:val="superscript"/>
              </w:rPr>
              <w:t>(3)</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4,553,166</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ind w:left="335"/>
              <w:spacing w:after="0"/>
              <w:rPr>
                <w:sz w:val="20"/>
                <w:szCs w:val="20"/>
                <w:color w:val="auto"/>
              </w:rPr>
            </w:pPr>
            <w:r>
              <w:rPr>
                <w:rFonts w:ascii="Arial" w:cs="Arial" w:eastAsia="Arial" w:hAnsi="Arial"/>
                <w:sz w:val="18"/>
                <w:szCs w:val="18"/>
                <w:color w:val="auto"/>
                <w:w w:val="98"/>
              </w:rPr>
              <w:t>$62.53</w:t>
            </w: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20"/>
              <w:spacing w:after="0"/>
              <w:rPr>
                <w:sz w:val="20"/>
                <w:szCs w:val="20"/>
                <w:color w:val="auto"/>
              </w:rPr>
            </w:pPr>
            <w:r>
              <w:rPr>
                <w:rFonts w:ascii="Arial" w:cs="Arial" w:eastAsia="Arial" w:hAnsi="Arial"/>
                <w:sz w:val="18"/>
                <w:szCs w:val="18"/>
                <w:color w:val="auto"/>
              </w:rPr>
              <w:t>Annual grant to eligible employees: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Feb 27, 2024</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Performance share units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787,110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rPr>
              <w:t>75.05</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480"/>
              <w:spacing w:after="0"/>
              <w:rPr>
                <w:sz w:val="20"/>
                <w:szCs w:val="20"/>
                <w:color w:val="auto"/>
              </w:rPr>
            </w:pPr>
            <w:r>
              <w:rPr>
                <w:rFonts w:ascii="Arial" w:cs="Arial" w:eastAsia="Arial" w:hAnsi="Arial"/>
                <w:sz w:val="18"/>
                <w:szCs w:val="18"/>
                <w:color w:val="auto"/>
              </w:rPr>
              <w:t>Deferred stock units</w:t>
            </w:r>
          </w:p>
        </w:tc>
        <w:tc>
          <w:tcPr>
            <w:tcW w:w="1400" w:type="dxa"/>
            <w:vAlign w:val="bottom"/>
          </w:tcPr>
          <w:p>
            <w:pPr>
              <w:jc w:val="right"/>
              <w:spacing w:after="0"/>
              <w:rPr>
                <w:sz w:val="20"/>
                <w:szCs w:val="20"/>
                <w:color w:val="auto"/>
              </w:rPr>
            </w:pPr>
            <w:r>
              <w:rPr>
                <w:rFonts w:ascii="Arial" w:cs="Arial" w:eastAsia="Arial" w:hAnsi="Arial"/>
                <w:sz w:val="18"/>
                <w:szCs w:val="18"/>
                <w:color w:val="auto"/>
              </w:rPr>
              <w:t>571,490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left="335"/>
              <w:spacing w:after="0"/>
              <w:rPr>
                <w:sz w:val="20"/>
                <w:szCs w:val="20"/>
                <w:color w:val="auto"/>
              </w:rPr>
            </w:pPr>
            <w:r>
              <w:rPr>
                <w:rFonts w:ascii="Arial" w:cs="Arial" w:eastAsia="Arial" w:hAnsi="Arial"/>
                <w:sz w:val="18"/>
                <w:szCs w:val="18"/>
                <w:color w:val="auto"/>
              </w:rPr>
              <w:t>73.13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1,062,871</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Various</w:t>
            </w:r>
          </w:p>
        </w:tc>
        <w:tc>
          <w:tcPr>
            <w:tcW w:w="96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rPr>
              <w:t>63.35</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480"/>
              <w:spacing w:after="0"/>
              <w:rPr>
                <w:sz w:val="20"/>
                <w:szCs w:val="20"/>
                <w:color w:val="auto"/>
              </w:rPr>
            </w:pPr>
            <w:r>
              <w:rPr>
                <w:rFonts w:ascii="Arial" w:cs="Arial" w:eastAsia="Arial" w:hAnsi="Arial"/>
                <w:sz w:val="18"/>
                <w:szCs w:val="18"/>
                <w:color w:val="auto"/>
              </w:rPr>
              <w:t>Total shares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2,421,471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left="335"/>
              <w:spacing w:after="0"/>
              <w:rPr>
                <w:sz w:val="20"/>
                <w:szCs w:val="20"/>
                <w:color w:val="auto"/>
              </w:rPr>
            </w:pPr>
            <w:r>
              <w:rPr>
                <w:rFonts w:ascii="Arial" w:cs="Arial" w:eastAsia="Arial" w:hAnsi="Arial"/>
                <w:sz w:val="18"/>
                <w:szCs w:val="18"/>
                <w:color w:val="auto"/>
              </w:rPr>
              <w:t>69.46</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168</w:t>
            </w:r>
          </w:p>
        </w:tc>
        <w:tc>
          <w:tcPr>
            <w:tcW w:w="520" w:type="dxa"/>
            <w:vAlign w:val="bottom"/>
          </w:tcPr>
          <w:p>
            <w:pPr>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 (3)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(2,004,358)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rPr>
              <w:t>58.72</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118</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3"/>
                <w:szCs w:val="23"/>
                <w:color w:val="auto"/>
                <w:vertAlign w:val="superscript"/>
              </w:rPr>
              <w:t>(2)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(306,770)</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center"/>
              <w:ind w:left="335"/>
              <w:spacing w:after="0"/>
              <w:rPr>
                <w:sz w:val="20"/>
                <w:szCs w:val="20"/>
                <w:color w:val="auto"/>
              </w:rPr>
            </w:pPr>
            <w:r>
              <w:rPr>
                <w:rFonts w:ascii="Arial" w:cs="Arial" w:eastAsia="Arial" w:hAnsi="Arial"/>
                <w:sz w:val="18"/>
                <w:szCs w:val="18"/>
                <w:color w:val="auto"/>
              </w:rPr>
              <w:t>66.22</w:t>
            </w: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4,663,509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35"/>
              <w:spacing w:after="0"/>
              <w:rPr>
                <w:sz w:val="20"/>
                <w:szCs w:val="20"/>
                <w:color w:val="auto"/>
              </w:rPr>
            </w:pPr>
            <w:r>
              <w:rPr>
                <w:rFonts w:ascii="Arial" w:cs="Arial" w:eastAsia="Arial" w:hAnsi="Arial"/>
                <w:sz w:val="18"/>
                <w:szCs w:val="18"/>
                <w:color w:val="auto"/>
              </w:rPr>
              <w:t>67.52</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PSUs and DSUs.</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PSUs, DSUs and other stock-based awards.</w:t>
      </w:r>
    </w:p>
    <w:p>
      <w:pPr>
        <w:spacing w:after="0" w:line="14"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actual tax benefit realized and recorded in the provision for income taxes for the tax deductions from the shares vested was zero in the three months and $7 million in the nine months ended September 30, 2024.</w:t>
      </w:r>
    </w:p>
    <w:p>
      <w:pPr>
        <w:jc w:val="both"/>
        <w:ind w:left="340" w:hanging="332"/>
        <w:spacing w:after="0" w:line="262"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grant date fair value of PSUs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Effective January 1, 2023, our Board of Directors approved a program authorizing the repurchase of $6.0 billion of our Common Stock through December 31, 2025. During the year ended December 31, 2023, we repurchased approximately $1.6 billion of Common Stock pursuant to this authorization. Repurchases under the program are determined by management and are wholly discretionary.</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nine months ended September 30, 2024, we repurchased approximately 17 million shares of Common Stock at an average cost of $70.09 per share, or an aggregate cost of approximately $1.2 billion, all of which was paid during the period. All share repurchases were funded through available cash and commercial paper issuances. As of September 30, 2024, we have approximately $3.2 billion in remaining share repurchase capacity.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routinely are involved in various pending or threatened legal proceedings, claims, disputes, regulatory matters and governmental inquiries, inspections or investigations arising in the ordinary course of or incidental to our business, including those noted below in this section. We record provisions in the consolidated financial statements for pending legal matters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legal proceedings and regulatory and governmental matters, individually and in the aggregate, will not materially harm our financial position, results of operations or cash flows. However, legal proceedings and regulatory and governmental matters are subject to inherent uncertainties, and unfavorable rulings or other events could occur. Unfavorable resolutions could involve substantial fines, civil or criminal penalties, and other expenditures. In addition, in matters for which conduct remedies are sought, unfavorable resolutions could include an injunction or other order prohibiting us from selling one or more products at all or in particular ways, precluding particular business practices or requiring other equitable remedies. An unfavorable outcome might result in a material adverse impact on our business, results of operations or financial position.</w:t>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for the Northern District of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-53340</wp:posOffset>
            </wp:positionV>
            <wp:extent cx="248920"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"District Court") related to the trading of December 2011 wheat futures contracts that occurred prior to the spin-off of Kraft Foods Group. The complaint alleged that Mondelēz Global: (1) manipulated or attempted to manipulate the wheat markets during the fall of 2011; (2) violated position limit levels for wheat futures; and (3) engaged in non-competitive trades.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Mondelēz Global in the District Court by investors who copied and expanded upon the CFTC allegations in a series of private claims for monetary damages as well as injunctive, declaratory, and other unspecified relief. In June 2015, these suits were consolidated in the United States District Court for the Northern District of Illinois as case number 15-cv-2937, Harry Ploss et al. v. Kraft Foods Group, Inc. and Mondelēz Global LLC. On January 3, 2020, the District Court granted plaintiffs' request to certify a class. In November 2022, the District Court adjourned the trial date it had previously set for November 30, 2022 and ordered the parties to brief Kraft’s motions to decertify the class and for summary judgment, which has been completed. It is not possible to predict the outcome of these matters; however, based on our Separation and Distribution Agreement with Kraft Foods Group dated as of September 27, 2012, we expect to bear any monetary penalties or other payments in connection with the class action.</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previously disclosed,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As previously disclosed, we have cooperated with the investigation. In the fourth quarter of 2022, we had accrued (in accordance with U.S. GAAP), on a pre-tax basis, a liability of €300 million ($321 million) within other current liabilities in the consolidated balance sheet and selling, general and administrative expenses in the consolidated statement of earnings as an estimate of the possible cost to resolve this matter. During the fourth quarter of 2023, we adjusted our accrual to a liability of € 340 million ($375 million). In the second quarter of 2024, we reached a negotiated resolution in this matter and adjusted our accrual from a liability of €340 million to €337.5 million ($376 million), on a pre-tax basis. Pursuant to the terms of the agreed settlement, we fulfilled our payment obligation in August 2024. We do not anticipate any modification of our business practices and agreements that would have a material impact on our ongoing business operations within the European Union.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As of September 30, 2024 and December 31, 2023, we had no material third-party guarantees recorded on our condensed consolidated balance sheet.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-36830</wp:posOffset>
            </wp:positionV>
            <wp:extent cx="248920"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Reclassifications from Accumulated Other Comprehensive Income</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(losses)/gains of $(71) million in the third quarter of 2024 and $35 million in the third quarter of 2023 and $(50) million in the first nine months of 2024 and $(6) million in the first nine months of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25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68"/>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3"/>
          </w:tcPr>
          <w:p>
            <w:pPr>
              <w:jc w:val="right"/>
              <w:ind w:right="48"/>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Currency Translation Adjustments: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(10,177)</w:t>
            </w:r>
          </w:p>
        </w:tc>
        <w:tc>
          <w:tcPr>
            <w:tcW w:w="12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(9,505)</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(9,574)</w:t>
            </w:r>
          </w:p>
        </w:tc>
        <w:tc>
          <w:tcPr>
            <w:tcW w:w="10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(9,808)</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translation adjustments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 (expense)/benefit</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48"/>
        </w:trPr>
        <w:tc>
          <w:tcPr>
            <w:tcW w:w="5200" w:type="dxa"/>
            <w:vAlign w:val="bottom"/>
          </w:tcPr>
          <w:p>
            <w:pPr>
              <w:ind w:left="140"/>
              <w:spacing w:after="0" w:line="149" w:lineRule="exact"/>
              <w:rPr>
                <w:sz w:val="20"/>
                <w:szCs w:val="20"/>
                <w:color w:val="auto"/>
              </w:rPr>
            </w:pPr>
            <w:r>
              <w:rPr>
                <w:rFonts w:ascii="Arial" w:cs="Arial" w:eastAsia="Arial" w:hAnsi="Arial"/>
                <w:sz w:val="14"/>
                <w:szCs w:val="14"/>
                <w:color w:val="auto"/>
              </w:rPr>
              <w:t>Less: other comprehensive (earnings)/loss attributable to noncontrolling</w:t>
            </w:r>
          </w:p>
        </w:tc>
        <w:tc>
          <w:tcPr>
            <w:tcW w:w="3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interests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(10,187)</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(10,069)</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(10,187)</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(10,069)</w:t>
            </w:r>
          </w:p>
        </w:tc>
        <w:tc>
          <w:tcPr>
            <w:tcW w:w="0" w:type="dxa"/>
            <w:vAlign w:val="bottom"/>
          </w:tcPr>
          <w:p>
            <w:pPr>
              <w:spacing w:after="0"/>
              <w:rPr>
                <w:sz w:val="1"/>
                <w:szCs w:val="1"/>
                <w:color w:val="auto"/>
              </w:rPr>
            </w:pPr>
          </w:p>
        </w:tc>
      </w:tr>
      <w:tr>
        <w:trPr>
          <w:trHeight w:val="181"/>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Pension and Other Benefit Plans: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Net actuarial gain/(loss) arising during period</w:t>
            </w:r>
          </w:p>
        </w:tc>
        <w:tc>
          <w:tcPr>
            <w:tcW w:w="3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(expense)/benefit on net actuarial gain/(loss)</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Amortization of experience losses and prior service costs </w:t>
            </w:r>
            <w:r>
              <w:rPr>
                <w:rFonts w:ascii="Arial" w:cs="Arial" w:eastAsia="Arial" w:hAnsi="Arial"/>
                <w:sz w:val="18"/>
                <w:szCs w:val="18"/>
                <w:color w:val="auto"/>
                <w:vertAlign w:val="superscript"/>
              </w:rPr>
              <w:t>(1)</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3"/>
        </w:trPr>
        <w:tc>
          <w:tcPr>
            <w:tcW w:w="5200" w:type="dxa"/>
            <w:vAlign w:val="bottom"/>
          </w:tcPr>
          <w:p>
            <w:pPr>
              <w:ind w:left="360"/>
              <w:spacing w:after="0" w:line="202" w:lineRule="exact"/>
              <w:rPr>
                <w:sz w:val="20"/>
                <w:szCs w:val="20"/>
                <w:color w:val="auto"/>
              </w:rPr>
            </w:pPr>
            <w:r>
              <w:rPr>
                <w:rFonts w:ascii="Arial" w:cs="Arial" w:eastAsia="Arial" w:hAnsi="Arial"/>
                <w:sz w:val="14"/>
                <w:szCs w:val="14"/>
                <w:color w:val="auto"/>
              </w:rPr>
              <w:t xml:space="preserve">Settlement losses and other expenses </w:t>
            </w:r>
            <w:r>
              <w:rPr>
                <w:rFonts w:ascii="Arial" w:cs="Arial" w:eastAsia="Arial" w:hAnsi="Arial"/>
                <w:sz w:val="18"/>
                <w:szCs w:val="18"/>
                <w:color w:val="auto"/>
                <w:vertAlign w:val="superscript"/>
              </w:rPr>
              <w:t>(1)</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8"/>
                <w:szCs w:val="18"/>
                <w:color w:val="auto"/>
                <w:vertAlign w:val="superscript"/>
              </w:rPr>
              <w:t>(3)</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Currency impact</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(1,329)</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187"/>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 Cash Flow Hedges: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derivative gains/(losses)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Tax (expense)/benefit on net derivative gain/(loss)</w:t>
            </w:r>
          </w:p>
        </w:tc>
        <w:tc>
          <w:tcPr>
            <w:tcW w:w="3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360"/>
              <w:spacing w:after="0" w:line="202" w:lineRule="exact"/>
              <w:rPr>
                <w:sz w:val="20"/>
                <w:szCs w:val="20"/>
                <w:color w:val="auto"/>
              </w:rPr>
            </w:pPr>
            <w:r>
              <w:rPr>
                <w:rFonts w:ascii="Arial" w:cs="Arial" w:eastAsia="Arial" w:hAnsi="Arial"/>
                <w:sz w:val="14"/>
                <w:szCs w:val="14"/>
                <w:color w:val="auto"/>
              </w:rPr>
              <w:t>Currency exchange contracts</w:t>
            </w:r>
            <w:r>
              <w:rPr>
                <w:rFonts w:ascii="Arial" w:cs="Arial" w:eastAsia="Arial" w:hAnsi="Arial"/>
                <w:sz w:val="18"/>
                <w:szCs w:val="18"/>
                <w:color w:val="auto"/>
                <w:vertAlign w:val="superscript"/>
              </w:rPr>
              <w:t>(2)</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ind w:left="360"/>
              <w:spacing w:after="0" w:line="202" w:lineRule="exact"/>
              <w:rPr>
                <w:sz w:val="20"/>
                <w:szCs w:val="20"/>
                <w:color w:val="auto"/>
              </w:rPr>
            </w:pPr>
            <w:r>
              <w:rPr>
                <w:rFonts w:ascii="Arial" w:cs="Arial" w:eastAsia="Arial" w:hAnsi="Arial"/>
                <w:sz w:val="14"/>
                <w:szCs w:val="14"/>
                <w:color w:val="auto"/>
              </w:rPr>
              <w:t xml:space="preserve">Interest rate contracts </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3"/>
        </w:trPr>
        <w:tc>
          <w:tcPr>
            <w:tcW w:w="5200" w:type="dxa"/>
            <w:vAlign w:val="bottom"/>
          </w:tcPr>
          <w:p>
            <w:pPr>
              <w:ind w:left="360"/>
              <w:spacing w:after="0" w:line="202" w:lineRule="exact"/>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8"/>
                <w:szCs w:val="18"/>
                <w:color w:val="auto"/>
                <w:vertAlign w:val="superscript"/>
              </w:rPr>
              <w:t>(3)</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impact</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0"/>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29"/>
        </w:trPr>
        <w:tc>
          <w:tcPr>
            <w:tcW w:w="52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Accumulated other comprehensive income attributable to Mondelēz</w:t>
            </w: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(11,515)</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(10,947)</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rPr>
                <w:sz w:val="20"/>
                <w:szCs w:val="20"/>
                <w:color w:val="auto"/>
              </w:rPr>
            </w:pPr>
            <w:r>
              <w:rPr>
                <w:rFonts w:ascii="Arial" w:cs="Arial" w:eastAsia="Arial" w:hAnsi="Arial"/>
                <w:sz w:val="14"/>
                <w:szCs w:val="14"/>
                <w:color w:val="auto"/>
              </w:rPr>
              <w:t>Total other comprehensive earnings/(losses)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53"/>
        </w:trPr>
        <w:tc>
          <w:tcPr>
            <w:tcW w:w="520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Less: other comprehensive (earnings)/loss attributable to noncontrolling</w:t>
            </w:r>
          </w:p>
        </w:tc>
        <w:tc>
          <w:tcPr>
            <w:tcW w:w="3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interests</w:t>
            </w: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earnings/(losses) attributable to Mondelēz International</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(11,579)</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(11,579)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net periodic benefit costs disclosed in Note 10,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134620</wp:posOffset>
            </wp:positionV>
            <wp:extent cx="248920"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third quarter of 2024, our estimated annual effective tax rate, which excludes discrete tax impacts, was 27.3%. This rate reflected the impact of unfavorable foreign provisions under U.S. tax laws as well as the net unfavorable impact attributable to jurisdictional mix of pre-tax income and applicable tax rates. Our 2024 third quarter effective tax rate was 28.8% and includes discrete tax impacts in connection with unrealized gains and losses on hedging activities. Excluding these impacts, our effective tax rate for the three months ended September 30, 2024 was 25.6%. The 25.6% reflects the impact of unfavorable foreign provisions under U.S. tax laws as well as the net unfavorable impact attributable to jurisdictional mix of pre-tax income and applicable tax rates. Our effective tax rate for the nine months ended September 30, 2024 of 26.9% also includes discrete tax impacts in connection with unrealized gains and losses on hedging activities. Excluding these impacts, our effective tax rate for the nine months ended September 30, 2024 was 26.6%. The 26.6% reflects the impact of unfavorable foreign provisions under U.S. tax laws as well as the net unfavorable impact attributable to jurisdictional mix of pre-tax income and applicable tax rates.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third quarter of 2023, our estimated annual effective tax rate, which excluded discrete tax impacts, was 25.9%. This rate reflected the impact of unfavorable foreign provisions under U.S. tax laws partially offset by favorable impacts from the mix of pre-tax income as well as applicable tax rates in various non-U.S. jurisdictions. Our 2023 third quarter effective tax rate of 26.6% included a net tax expense incurred in connection with unrealized gains and losses on hedging activities as well as other discrete net tax benefits. Our effective tax rate for the nine months ended September 30, 2023 of 27.1% was higher due to a $127 million net tax expense incurred in connection with the KDP share sale during the first quarter (the earnings are reported separately on our statement of earnings and thus not included in earnings before income taxes). Excluding this impact, our effective tax rate for the nine months ended September 30, 2023 was 24.4%. The 24.4% rate also included net tax expense related to gains and losses on KDP marketable securities as well as the associated pre-tax impacts.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30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3"/>
                <w:szCs w:val="13"/>
                <w:color w:val="auto"/>
              </w:rPr>
            </w:pPr>
          </w:p>
        </w:tc>
        <w:tc>
          <w:tcPr>
            <w:tcW w:w="26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14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5"/>
          </w:tcPr>
          <w:p>
            <w:pPr>
              <w:ind w:left="80"/>
              <w:spacing w:after="0"/>
              <w:rPr>
                <w:sz w:val="20"/>
                <w:szCs w:val="20"/>
                <w:color w:val="auto"/>
              </w:rPr>
            </w:pPr>
            <w:r>
              <w:rPr>
                <w:rFonts w:ascii="Arial" w:cs="Arial" w:eastAsia="Arial" w:hAnsi="Arial"/>
                <w:sz w:val="14"/>
                <w:szCs w:val="14"/>
                <w:b w:val="1"/>
                <w:bCs w:val="1"/>
                <w:color w:val="auto"/>
              </w:rPr>
              <w:t>(in millions, except per share data)</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Noncontrolling interest earnings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earnings attributable to Mondelēz International</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for basic EPS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7"/>
              </w:rPr>
              <w:t>1,339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1,363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1,343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175"/>
        </w:trPr>
        <w:tc>
          <w:tcPr>
            <w:tcW w:w="5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Plus incremental shares from assumed conversions</w:t>
            </w:r>
          </w:p>
        </w:tc>
        <w:tc>
          <w:tcPr>
            <w:tcW w:w="8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stock options and long-term incentive plan shares</w:t>
            </w:r>
          </w:p>
        </w:tc>
        <w:tc>
          <w:tcPr>
            <w:tcW w:w="8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1,344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Basic earnings per share attributable to</w:t>
            </w:r>
          </w:p>
        </w:tc>
        <w:tc>
          <w:tcPr>
            <w:tcW w:w="86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Diluted earnings per share attributable to</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320" w:type="dxa"/>
            <w:vAlign w:val="bottom"/>
            <w:vMerge w:val="continue"/>
          </w:tcPr>
          <w:p>
            <w:pPr>
              <w:spacing w:after="0"/>
              <w:rPr>
                <w:sz w:val="10"/>
                <w:szCs w:val="10"/>
                <w:color w:val="auto"/>
              </w:rPr>
            </w:pPr>
          </w:p>
        </w:tc>
        <w:tc>
          <w:tcPr>
            <w:tcW w:w="860" w:type="dxa"/>
            <w:vAlign w:val="bottom"/>
            <w:vMerge w:val="restart"/>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0"/>
                <w:szCs w:val="10"/>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0"/>
                <w:szCs w:val="10"/>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1"/>
        </w:trPr>
        <w:tc>
          <w:tcPr>
            <w:tcW w:w="532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exclude antidilutive Mondelēz International stock options and long-term incentive plan shares from our calculation of weighted-average shares for diluted EPS. We excluded antidilutive stock options and performance share units of 3.7 million for the three months ended September 30, 2024 and 2.5 million for the three months ended September 30, 2023 and 3.3 million for the nine months ended September 30, 2024 and 2.8 million for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278130</wp:posOffset>
            </wp:positionV>
            <wp:extent cx="248920"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manufacture and market primarily snack food products, including chocolate, biscuits and baked snacks, as well as gum &amp; candy, cheese</w:t>
      </w:r>
    </w:p>
    <w:p>
      <w:pPr>
        <w:spacing w:after="0" w:line="27" w:lineRule="exact"/>
        <w:rPr>
          <w:sz w:val="20"/>
          <w:szCs w:val="20"/>
          <w:color w:val="auto"/>
        </w:rPr>
      </w:pPr>
    </w:p>
    <w:p>
      <w:pPr>
        <w:jc w:val="both"/>
        <w:ind w:firstLine="8"/>
        <w:spacing w:after="0" w:line="255" w:lineRule="auto"/>
        <w:tabs>
          <w:tab w:leader="none" w:pos="173"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grocery and powdered beverages. 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7" w:lineRule="exact"/>
        <w:rPr>
          <w:sz w:val="20"/>
          <w:szCs w:val="20"/>
          <w:color w:val="auto"/>
        </w:rPr>
      </w:pPr>
    </w:p>
    <w:p>
      <w:pPr>
        <w:ind w:left="320" w:hanging="1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reconciliation of segment net revenues and earnings to consolidated financial statement totals were: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60" w:type="dxa"/>
            <w:vAlign w:val="bottom"/>
            <w:gridSpan w:val="6"/>
          </w:tcPr>
          <w:p>
            <w:pPr>
              <w:ind w:left="52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5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900" w:type="dxa"/>
            <w:vAlign w:val="bottom"/>
          </w:tcPr>
          <w:p>
            <w:pPr>
              <w:jc w:val="right"/>
              <w:ind w:right="69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1,204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1,305</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Europe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3,323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9,565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9,319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2,826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90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9,204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9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AMEA</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Unrealized (losses)/gains on hedging activities</w:t>
            </w:r>
          </w:p>
        </w:tc>
        <w:tc>
          <w:tcPr>
            <w:tcW w:w="9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(mark-to-market impacts)</w:t>
            </w:r>
          </w:p>
        </w:tc>
        <w:tc>
          <w:tcPr>
            <w:tcW w:w="90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General corporate expenses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5200" w:type="dxa"/>
            <w:vAlign w:val="bottom"/>
          </w:tcPr>
          <w:p>
            <w:pPr>
              <w:ind w:left="100"/>
              <w:spacing w:after="0"/>
              <w:rPr>
                <w:sz w:val="20"/>
                <w:szCs w:val="20"/>
                <w:color w:val="auto"/>
              </w:rPr>
            </w:pPr>
            <w:r>
              <w:rPr>
                <w:rFonts w:ascii="Arial" w:cs="Arial" w:eastAsia="Arial" w:hAnsi="Arial"/>
                <w:sz w:val="18"/>
                <w:szCs w:val="18"/>
                <w:color w:val="auto"/>
              </w:rPr>
              <w:t>Acquisition-related costs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9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1,153</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Benefit plan non-service income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and other expense, net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(Loss)/gain on marketable securities</w:t>
            </w:r>
          </w:p>
        </w:tc>
        <w:tc>
          <w:tcPr>
            <w:tcW w:w="9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900" w:type="dxa"/>
            <w:vAlign w:val="bottom"/>
            <w:tcBorders>
              <w:top w:val="single" w:sz="8" w:color="auto"/>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5200" w:type="dxa"/>
            <w:vAlign w:val="bottom"/>
          </w:tcPr>
          <w:p>
            <w:pPr>
              <w:spacing w:after="0"/>
              <w:rPr>
                <w:sz w:val="24"/>
                <w:szCs w:val="24"/>
                <w:color w:val="auto"/>
              </w:rPr>
            </w:pPr>
          </w:p>
        </w:tc>
        <w:tc>
          <w:tcPr>
            <w:tcW w:w="900" w:type="dxa"/>
            <w:vAlign w:val="bottom"/>
          </w:tcPr>
          <w:p>
            <w:pPr>
              <w:jc w:val="right"/>
              <w:ind w:right="295"/>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-591185</wp:posOffset>
            </wp:positionV>
            <wp:extent cx="248920"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Note 3, </w:t>
      </w:r>
      <w:r>
        <w:rPr>
          <w:rFonts w:ascii="Arial" w:cs="Arial" w:eastAsia="Arial" w:hAnsi="Arial"/>
          <w:sz w:val="18"/>
          <w:szCs w:val="18"/>
          <w:i w:val="1"/>
          <w:iCs w:val="1"/>
          <w:color w:val="auto"/>
        </w:rPr>
        <w:t>Inventories</w:t>
      </w:r>
      <w:r>
        <w:rPr>
          <w:rFonts w:ascii="Arial" w:cs="Arial" w:eastAsia="Arial" w:hAnsi="Arial"/>
          <w:sz w:val="18"/>
          <w:szCs w:val="18"/>
          <w:color w:val="auto"/>
        </w:rPr>
        <w:t>, Note 4,</w:t>
      </w:r>
      <w:r>
        <w:rPr>
          <w:rFonts w:ascii="Arial" w:cs="Arial" w:eastAsia="Arial" w:hAnsi="Arial"/>
          <w:sz w:val="18"/>
          <w:szCs w:val="18"/>
          <w:i w:val="1"/>
          <w:iCs w:val="1"/>
          <w:color w:val="auto"/>
        </w:rPr>
        <w:t xml:space="preserve"> 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and Note 7,</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Also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additional information on our interest and other expense, net for each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Three Months Ended September 30, 2024</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9,204</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Three Months Ended September 30, 2023</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3"/>
        </w:trPr>
        <w:tc>
          <w:tcPr>
            <w:tcW w:w="3640" w:type="dxa"/>
            <w:vAlign w:val="bottom"/>
          </w:tcPr>
          <w:p>
            <w:pPr>
              <w:ind w:left="1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9,029</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Nine Months Ended September 30, 2024</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8,030</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23"/>
        </w:trPr>
        <w:tc>
          <w:tcPr>
            <w:tcW w:w="3640" w:type="dxa"/>
            <w:vAlign w:val="bottom"/>
          </w:tcPr>
          <w:p>
            <w:pPr>
              <w:ind w:left="1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26,837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Nine Months Ended September 30, 2023</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7,604</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23"/>
        </w:trPr>
        <w:tc>
          <w:tcPr>
            <w:tcW w:w="3640" w:type="dxa"/>
            <w:vAlign w:val="bottom"/>
          </w:tcPr>
          <w:p>
            <w:pPr>
              <w:ind w:left="14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26,702</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342900</wp:posOffset>
            </wp:positionV>
            <wp:extent cx="248920"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Strategy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core business is making and selling chocolate, biscuits and baked snacks, with additional businesses in adjacent, locally relevant categories including gum &amp; candy, cheese &amp; grocery and powdered beverages around the world.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four strategic priorities: accelerating consumer-centric growth, driving operational excellence, creating a winning growth culture and scaling sustainable snacking. We believe the successful implementation of our strategic priorities and leveraging of our attractive global footprint, strong core of iconic global and local brands, marketing, sales, distribution and cost excellence capabilities, and top talent with a growth mindset, will drive consistent top- and bottom-line growth, enabling us to continue to create long-term value for our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continue to observe significant market and geopolitical uncertainty, fluctuating consumer demand, inflationary pressures, supply constraints and exchange rate volatility. As a result, we experienced significantly higher operating costs, including higher overall raw material, labor and energy costs that have continued to rise. In particular, we expect to continue to face higher cocoa costs, as the market price for cocoa beans has increased significantly year-over-year and it is likely that prices will remain elevated for some time. Refer to </w:t>
      </w:r>
      <w:r>
        <w:rPr>
          <w:rFonts w:ascii="Arial" w:cs="Arial" w:eastAsia="Arial" w:hAnsi="Arial"/>
          <w:sz w:val="18"/>
          <w:szCs w:val="18"/>
          <w:i w:val="1"/>
          <w:iCs w:val="1"/>
          <w:color w:val="auto"/>
        </w:rPr>
        <w:t>Commodity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Trends </w:t>
      </w:r>
      <w:r>
        <w:rPr>
          <w:rFonts w:ascii="Arial" w:cs="Arial" w:eastAsia="Arial" w:hAnsi="Arial"/>
          <w:sz w:val="18"/>
          <w:szCs w:val="18"/>
          <w:color w:val="auto"/>
        </w:rPr>
        <w:t>for additional information.</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overall outlook for future snacks revenue growth remains strong; however, we anticipate ongoing volatility. We will continue to proactively manage our business in response to the evolving global economic environment, related uncertainty and business risks while also prioritizing and supporting our employees and customers. We continue to take steps to mitigate impacts to our supply chain, operations, technology and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 in Ukraine</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February 2022, following the Russian military invasion of Ukraine, we stopped production and closed our facilities in Ukraine; since then we have taken steps to protect the safety of our employees and to fully restore operations at our two manufacturing facilities, which were significantly damaged in March 2022.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 </w:t>
      </w:r>
      <w:r>
        <w:rPr>
          <w:rFonts w:ascii="Arial" w:cs="Arial" w:eastAsia="Arial" w:hAnsi="Arial"/>
          <w:sz w:val="18"/>
          <w:szCs w:val="18"/>
          <w:i w:val="1"/>
          <w:iCs w:val="1"/>
          <w:color w:val="auto"/>
        </w:rPr>
        <w:t>War in Ukraine</w:t>
      </w:r>
      <w:r>
        <w:rPr>
          <w:rFonts w:ascii="Arial" w:cs="Arial" w:eastAsia="Arial" w:hAnsi="Arial"/>
          <w:sz w:val="18"/>
          <w:szCs w:val="18"/>
          <w:color w:val="auto"/>
        </w:rPr>
        <w:t xml:space="preserve">, to the condensed consolidated financial statements, and refer to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for additional information.</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suspended new capital investments and our advertising spending in Russia, but as a food company with more than 2,500 employees in the country, we have not ceased operations given we believe we play a role in the continuity of the food supply. We continue to evaluate the situation in Ukraine and Russia and our ability to control our operating activities and businesses on an ongoing basis and comply with applicable international sanctions. We continue to consolidate both our Ukrainian and Russian subsidiaries. During the third quarter of 2024, Ukraine generated 0.4% and Russia generated 2.9% of consolidated net revenue and during the third quarter of 2023, Ukraine generated 0.4% and Russia generated 2.7% of consolidated net revenue. The profitability of and the assets held by our Russian business continue to remain above historical levels. We cannot predict if the recent performance of our Russian business will continue in the future.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in Russia are subject to risks, including the temporary or permanent loss of assets due to expropriation or further curtailment of our ability to conduct business operations in Russia. In the event this were to occur, this could lead to the partial or full impairment of our Russian assets or deconsolidation of the operations in Russia in future periods, or the termination of our business operations, based on actions taken by Russia, other parties or us. For additional information, see the risk factors in our Annual Report on Form 10-K for the year ended December 31, 2023, including the risk entitled “</w:t>
      </w:r>
      <w:r>
        <w:rPr>
          <w:rFonts w:ascii="Arial" w:cs="Arial" w:eastAsia="Arial" w:hAnsi="Arial"/>
          <w:sz w:val="18"/>
          <w:szCs w:val="18"/>
          <w:i w:val="1"/>
          <w:iCs w:val="1"/>
          <w:color w:val="auto"/>
        </w:rPr>
        <w:t>The war in Ukraine has impacted and could continue to impact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financial performance and results of operations.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273050</wp:posOffset>
            </wp:positionV>
            <wp:extent cx="248920" cy="2400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the Middle East</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October 2023, conflict developed in the Middle East between Hamas and Israel, and has expanded to other parts of the region. In the third quarter of 2024, we experienced sales impacts related to this conflict in certain AMEA markets, but this did not have a material impact on our business, results of operations or financial condition. We continue to evaluate the impacts of these developments on our business and we cannot predict if it will have a significant impact in the future.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ERP System Implementation</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July 2024, our Board of Directors approved funding of $1.2 billion for a multi-year systems transformation program to upgrade our global ERP and supply chain systems (the “ERP System Implementation”). The ERP System Implementation spending comprises both capital expenditures and operating expenses, of which a majority is expected to relate to operating expenses. The operating expenses associated with the ERP System Implementation represent incremental transformational costs above the normal ongoing level of spending on information technology to support operations. The ERP System Implementation program will be implemented by region in several phases with spending occurring over the next five years, with expected completion by year-end 2028.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additional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Extreme Price Growth in Argentina</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During December 2023, the Argentinean peso significantly devalued. The peso's devaluation and potential resulting distortion on our non-GAAP Organic Net Revenue, Organic Net Revenue growth and other constant currency growth rate measures resulted in our decision to exclude the impact of pricing in excess of 26% year-over-year ("extreme pricing") in Argentina, from these measures beginning in Q1 2024. The benchmark of 26% represents the minimum annual inflation rate for each year over a 3-year period which would result in a cumulative inflation rate in excess of 100%, the level at which an economy is considered hyperinflationary under U.S. GAAP. Throughout the following MD&amp;A discussion, we now exclude, on a prospective basis, the impact of extreme pricing in Argentina from the net pricing impact of Organic Net Revenue and Organic Net Revenue growth and its related impact on our other non-GAAP financial constant currency growth measures with a corresponding adjustment in changes in currency translation rates. Additionally within the MD&amp;A discussion, "currency-related items" totals the impact of extreme pricing and the currency translation rate changes.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Currency-related items impacted our non-GAAP financial measures for the three months ended September 30, 2024 as follows:</w:t>
      </w:r>
    </w:p>
    <w:p>
      <w:pPr>
        <w:spacing w:after="0" w:line="24" w:lineRule="exact"/>
        <w:rPr>
          <w:sz w:val="20"/>
          <w:szCs w:val="20"/>
          <w:color w:val="auto"/>
        </w:rPr>
      </w:pPr>
    </w:p>
    <w:p>
      <w:pPr>
        <w:jc w:val="both"/>
        <w:ind w:left="660" w:hanging="328"/>
        <w:spacing w:after="0" w:line="251" w:lineRule="auto"/>
        <w:tabs>
          <w:tab w:leader="none" w:pos="648" w:val="left"/>
        </w:tabs>
        <w:numPr>
          <w:ilvl w:val="0"/>
          <w:numId w:val="16"/>
        </w:numPr>
        <w:rPr>
          <w:rFonts w:ascii="Arial" w:cs="Arial" w:eastAsia="Arial" w:hAnsi="Arial"/>
          <w:sz w:val="20"/>
          <w:szCs w:val="20"/>
          <w:b w:val="1"/>
          <w:bCs w:val="1"/>
          <w:i w:val="1"/>
          <w:iCs w:val="1"/>
          <w:color w:val="auto"/>
        </w:rPr>
      </w:pPr>
      <w:r>
        <w:rPr>
          <w:rFonts w:ascii="Arial" w:cs="Arial" w:eastAsia="Arial" w:hAnsi="Arial"/>
          <w:sz w:val="18"/>
          <w:szCs w:val="18"/>
          <w:color w:val="auto"/>
        </w:rPr>
        <w:t>Organic Net Revenue: In total, unfavorable currency-related items of $120 million (1.4 pp) were driven by unfavorable currency translation rate changes of $393 million (4.4 pp), partially offset by the adjustment for extreme pricing of $273 million (3.0 pp). In Emerging Markets, unfavorable currency-related items of $170 million (4.8 pp) were driven by unfavorable currency translation rate changes of $443 million (12.6 pp), partially offset by the adjustment for extreme pricing of $273 million (7.8 pp). In Developed Markets, favorable currency-related items of $50 million (1.0 pp) were driven by favorable currency translation rate changes.</w:t>
      </w:r>
    </w:p>
    <w:p>
      <w:pPr>
        <w:spacing w:after="0" w:line="3" w:lineRule="exact"/>
        <w:rPr>
          <w:rFonts w:ascii="Arial" w:cs="Arial" w:eastAsia="Arial" w:hAnsi="Arial"/>
          <w:sz w:val="20"/>
          <w:szCs w:val="20"/>
          <w:b w:val="1"/>
          <w:bCs w:val="1"/>
          <w:i w:val="1"/>
          <w:iCs w:val="1"/>
          <w:color w:val="auto"/>
        </w:rPr>
      </w:pPr>
    </w:p>
    <w:p>
      <w:pPr>
        <w:ind w:left="660" w:hanging="328"/>
        <w:spacing w:after="0" w:line="250"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Adjusted Operating Income: Unfavorable currency-related items of $16 million were driven by unfavorable currency translation rate changes of $64 million, partially offset by the adjustment for extreme pricing of $48 million.</w:t>
      </w:r>
    </w:p>
    <w:p>
      <w:pPr>
        <w:ind w:left="660" w:hanging="328"/>
        <w:spacing w:after="0" w:line="266" w:lineRule="auto"/>
        <w:tabs>
          <w:tab w:leader="none" w:pos="65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Adjusted EPS: Unfavorable currency-related items were flat as unfavorable currency translation rate changes of $0.04 were offset by the adjustment for extreme pricing of $0.04.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Currency-related items impacted our non-GAAP financial measures for the nine months ended September 30, 2024 as follows:</w:t>
      </w:r>
    </w:p>
    <w:p>
      <w:pPr>
        <w:spacing w:after="0" w:line="27" w:lineRule="exact"/>
        <w:rPr>
          <w:sz w:val="20"/>
          <w:szCs w:val="20"/>
          <w:color w:val="auto"/>
        </w:rPr>
      </w:pPr>
    </w:p>
    <w:p>
      <w:pPr>
        <w:jc w:val="both"/>
        <w:ind w:left="660" w:hanging="328"/>
        <w:spacing w:after="0" w:line="25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Organic Net Revenue: In total, unfavorable currency-related items of $468 million (1.7 pp) were driven by unfavorable currency translation rate changes of $1,450 million (5.5 pp), partially offset by the adjustment for extreme pricing of $982 million (3.8 pp). In Emerging Markets, unfavorable currency-related items of $529 million (5.1 pp) were driven by unfavorable currency translation rate changes of $1,511 million (14.5 pp), partially offset by the adjustment for extreme pricing of $982 million (9.4 pp). In Developed Markets, favorable currency-related items of $61 million (0.4 pp) were driven by favorable currency translation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-34290</wp:posOffset>
            </wp:positionV>
            <wp:extent cx="248920" cy="2400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left="660" w:right="20" w:hanging="328"/>
        <w:spacing w:after="0" w:line="260" w:lineRule="auto"/>
        <w:tabs>
          <w:tab w:leader="none" w:pos="655"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Adjusted Operating Income: Unfavorable currency-related items of $143 million were driven by unfavorable currency translation rate changes of $373 million, partially offset by the adjustment for extreme pricing of $230 million.</w:t>
      </w:r>
    </w:p>
    <w:p>
      <w:pPr>
        <w:spacing w:after="0" w:line="1" w:lineRule="exact"/>
        <w:rPr>
          <w:rFonts w:ascii="Arial" w:cs="Arial" w:eastAsia="Arial" w:hAnsi="Arial"/>
          <w:sz w:val="18"/>
          <w:szCs w:val="18"/>
          <w:b w:val="1"/>
          <w:bCs w:val="1"/>
          <w:color w:val="auto"/>
        </w:rPr>
      </w:pPr>
    </w:p>
    <w:p>
      <w:pPr>
        <w:ind w:left="660" w:hanging="328"/>
        <w:spacing w:after="0" w:line="266" w:lineRule="auto"/>
        <w:tabs>
          <w:tab w:leader="none" w:pos="655"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Adjusted EPS: Unfavorable currency-related items of $0.09 were driven by unfavorable currency translation rate changes of $0.26, partially offset by the adjustment for extreme pricing of $0.17.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In the third quarter of 2024, we announced a signed agreement to acquire a majority stake of Evirth (Shanghai) Industrial Co., Ltd, a leading manufacturer of cakes and pastries in China.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details.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2022, we announced our intention to divest our developed market gum and global </w:t>
      </w:r>
      <w:r>
        <w:rPr>
          <w:rFonts w:ascii="Arial" w:cs="Arial" w:eastAsia="Arial" w:hAnsi="Arial"/>
          <w:sz w:val="18"/>
          <w:szCs w:val="18"/>
          <w:i w:val="1"/>
          <w:iCs w:val="1"/>
          <w:color w:val="auto"/>
        </w:rPr>
        <w:t>Halls</w:t>
      </w:r>
      <w:r>
        <w:rPr>
          <w:rFonts w:ascii="Arial" w:cs="Arial" w:eastAsia="Arial" w:hAnsi="Arial"/>
          <w:sz w:val="18"/>
          <w:szCs w:val="18"/>
          <w:color w:val="auto"/>
        </w:rPr>
        <w:t xml:space="preserve"> candy businesses and in the fourth quarter of 2022, we announced an agreement to sell the developed market gum business. On October 1, 2023, we completed the sale of our developed market gum business to Perfetti Van Melle Group, excluding the Portugal business which we retained pending regulatory approval. We completed the sale of the Portugal business to Perfetti Van Melle Group on October 23, 2023. Refer to Note 2, </w:t>
      </w:r>
      <w:r>
        <w:rPr>
          <w:rFonts w:ascii="Arial" w:cs="Arial" w:eastAsia="Arial" w:hAnsi="Arial"/>
          <w:sz w:val="18"/>
          <w:szCs w:val="18"/>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 for additional details.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Transactions (Nasdaq: "KDP")</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quarter of 2023, we sold approximately 30 million shares of KDP, which reduced our ownership interest to 3.2%. We recorded a pre-tax gain on equity method transactions of $493 million (or $368 million after-tax). Our reduction in ownership to below 5% resulted in a change of accounting from equity method investment accounting to accounting for equity interests with readily determinable fair values ("marketable securities"). On June 8, 2023, we sold 23 million shares of KDP, which reduced our ownership to 1.6%. On July 13, 2023, we sold our remaining 23 million shares and received approximately $704 million in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 Transactions (Euronext Amsterdam: “JDEP”)</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quarter of 2023, we sold approximately 7.7 million shares of JDEP, which reduced our ownership to 18.1%. We recorded a loss of €18 million ($19 million) on this sale. On March 30, 2023, we issued options to sell shares of JDEP in tranches equivalent to approximately 7.7 million shares, exercisable at maturity during the third quarter of 2023. During the three months ended September 30, 2023, options were exercised on 2.2 million shares, which reduced our ownership percentage by 0.4 percentage point, from 18.1% to 17.7% of the total outstanding shares. We recorded a loss of €3 million ($4 million) on this sale.</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first quarter of 2024, we determined there was an other-than-temporary impairment of our investment in JDEP, resulting in an impairment charge of €612 million ($665 million). On October 21, 2024, we announced the sale of our remaining 85.9 million shares in JDEP to JAB Holdings Company for approximately €2.2 billion ($2.4 billion). The sale transaction is expected to be completed in the fourth quarter of 2024.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refer to Note 6,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As of October 2024, the Company intends to terminate the Mondelēz Global LLC Retirement Plan. The termination process is expected to be completed as of June 30, 2025. Refer to Note 10,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monitor existing and potential future tax reform around the world. As of September 30, 2024, numerous countries have now enacted the Organization of Economic Cooperation and Development’s model rules on a global minimum tax with the earliest effective date being for taxable years beginning after December 31, 2023. Based on the guidance available thus far, we do not expect this legislation to have a material impact on our consolidated financial statements but we will continue to evaluate it as additional guidance and clarification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280035</wp:posOffset>
            </wp:positionV>
            <wp:extent cx="248920" cy="2400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U.S. GAAP results.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the definitions of our non-GAAP financial measures and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for the respective reconciliations.</w:t>
      </w:r>
    </w:p>
    <w:p>
      <w:pPr>
        <w:spacing w:after="0" w:line="20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addition to monitoring our key operating metrics, we monitor developments and trends that could impact our revenue and profitability objectives, as highlighted in our most recently filed Annual Report on Form 10-K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-53340</wp:posOffset>
            </wp:positionV>
            <wp:extent cx="248920" cy="240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66" w:lineRule="exact"/>
        <w:rPr>
          <w:sz w:val="20"/>
          <w:szCs w:val="20"/>
          <w:color w:val="auto"/>
        </w:rPr>
      </w:pPr>
    </w:p>
    <w:p>
      <w:pPr>
        <w:ind w:left="660" w:right="20" w:hanging="328"/>
        <w:spacing w:after="0" w:line="254"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Net revenues increased 1.9% to $9.2 billion in the third quarter of 2024 and increased 0.5% to $26.8 billion in the first nine months of 2024 as compared to the same periods in the prior year.</w:t>
      </w:r>
    </w:p>
    <w:p>
      <w:pPr>
        <w:spacing w:after="0" w:line="1" w:lineRule="exact"/>
        <w:rPr>
          <w:rFonts w:ascii="Arial" w:cs="Arial" w:eastAsia="Arial" w:hAnsi="Arial"/>
          <w:sz w:val="20"/>
          <w:szCs w:val="20"/>
          <w:color w:val="auto"/>
        </w:rPr>
      </w:pPr>
    </w:p>
    <w:p>
      <w:pPr>
        <w:ind w:left="1300" w:hanging="324"/>
        <w:spacing w:after="0" w:line="250" w:lineRule="auto"/>
        <w:rPr>
          <w:rFonts w:ascii="Arial" w:cs="Arial" w:eastAsia="Arial" w:hAnsi="Arial"/>
          <w:sz w:val="20"/>
          <w:szCs w:val="20"/>
          <w:color w:val="auto"/>
        </w:rPr>
      </w:pPr>
      <w:r>
        <w:rPr>
          <w:rFonts w:ascii="Arial" w:cs="Arial" w:eastAsia="Arial" w:hAnsi="Arial"/>
          <w:sz w:val="18"/>
          <w:szCs w:val="18"/>
          <w:color w:val="auto"/>
        </w:rPr>
        <w:t>– Net revenue growth in the third quarter of 2024 was driven by higher net pricing and favorable volume mix, partially offset by the impact of our 2023 divestiture of the developed market gum business and unfavorable currency-related items, as the U.S. dollar strengthened relative to most currencies we operate in compared to exchange rates in the prior year.</w:t>
      </w:r>
    </w:p>
    <w:p>
      <w:pPr>
        <w:spacing w:after="0" w:line="1" w:lineRule="exact"/>
        <w:rPr>
          <w:rFonts w:ascii="Arial" w:cs="Arial" w:eastAsia="Arial" w:hAnsi="Arial"/>
          <w:sz w:val="20"/>
          <w:szCs w:val="20"/>
          <w:color w:val="auto"/>
        </w:rPr>
      </w:pPr>
    </w:p>
    <w:p>
      <w:pPr>
        <w:ind w:left="1300" w:hanging="324"/>
        <w:spacing w:after="0" w:line="255" w:lineRule="auto"/>
        <w:rPr>
          <w:rFonts w:ascii="Arial" w:cs="Arial" w:eastAsia="Arial" w:hAnsi="Arial"/>
          <w:sz w:val="20"/>
          <w:szCs w:val="20"/>
          <w:color w:val="auto"/>
        </w:rPr>
      </w:pPr>
      <w:r>
        <w:rPr>
          <w:rFonts w:ascii="Arial" w:cs="Arial" w:eastAsia="Arial" w:hAnsi="Arial"/>
          <w:sz w:val="18"/>
          <w:szCs w:val="18"/>
          <w:color w:val="auto"/>
        </w:rPr>
        <w:t>– Net revenue growth in the first nine months of 2024 was driven by higher net pricing and incremental net revenue from a short-term distributor agreement related to the sale of our developed market gum business, partially offset by the impact of our 2023 divestiture of the developed market gum business, unfavorable currency-related items, as the U.S. dollar strengthened relative to most currencies we operate in compared to exchange rates in the prior year and unfavorable volume/mix.</w:t>
      </w:r>
    </w:p>
    <w:p>
      <w:pPr>
        <w:spacing w:after="0" w:line="205" w:lineRule="exact"/>
        <w:rPr>
          <w:rFonts w:ascii="Arial" w:cs="Arial" w:eastAsia="Arial" w:hAnsi="Arial"/>
          <w:sz w:val="20"/>
          <w:szCs w:val="20"/>
          <w:color w:val="auto"/>
        </w:rPr>
      </w:pPr>
    </w:p>
    <w:p>
      <w:pPr>
        <w:jc w:val="both"/>
        <w:ind w:left="660" w:hanging="328"/>
        <w:spacing w:after="0" w:line="248"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 xml:space="preserve">Organic Net Revenue, a non-GAAP financial measure, increased 5.4% to $9.3 billion in the third quarter of 2024 and increased 4.0% to $27.3 billion in the first nine months of 2024 as compared to the same periods in the prior year. During the third quarter Organic Net Revenue grew due to higher net pricing and favorable volume/mix. During the first nine months of 2024, Organic Net Revenue grew due to higher net pricing, partially offset by unfavorable volume/mix. Organic Net Revenue is on a constant currency basis and excludes revenue from acquisitions and divestitures.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the definition of Organic Net Revenue and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for our reconciliation with net revenues.</w:t>
      </w:r>
    </w:p>
    <w:p>
      <w:pPr>
        <w:spacing w:after="0" w:line="2" w:lineRule="exact"/>
        <w:rPr>
          <w:rFonts w:ascii="Arial" w:cs="Arial" w:eastAsia="Arial" w:hAnsi="Arial"/>
          <w:sz w:val="20"/>
          <w:szCs w:val="20"/>
          <w:color w:val="auto"/>
        </w:rPr>
      </w:pPr>
    </w:p>
    <w:p>
      <w:pPr>
        <w:ind w:left="660" w:hanging="328"/>
        <w:spacing w:after="0" w:line="249"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Diluted EPS attributable to Mondelēz International decreased (12.5)% to $0.63 in the third quarter of 2024 and decreased (27.4)% to $2.12 in the first nine months of 2024 as compared to the same periods in the prior year.</w:t>
      </w:r>
    </w:p>
    <w:p>
      <w:pPr>
        <w:ind w:left="1300" w:hanging="324"/>
        <w:spacing w:after="0" w:line="250" w:lineRule="auto"/>
        <w:rPr>
          <w:rFonts w:ascii="Arial" w:cs="Arial" w:eastAsia="Arial" w:hAnsi="Arial"/>
          <w:sz w:val="20"/>
          <w:szCs w:val="20"/>
          <w:color w:val="auto"/>
        </w:rPr>
      </w:pPr>
      <w:r>
        <w:rPr>
          <w:rFonts w:ascii="Arial" w:cs="Arial" w:eastAsia="Arial" w:hAnsi="Arial"/>
          <w:sz w:val="18"/>
          <w:szCs w:val="18"/>
          <w:color w:val="auto"/>
        </w:rPr>
        <w:t>– Diluted EPS decreased in the third quarter of 2024, driven by an unfavorable year-over-year change in mark-to-market impacts from commodity and currency derivatives, higher intangible asset impairment charges, lapping prior-year operating results from the developed market gum business divested in 2023, costs incurred for the ERP Systems Implementation program and lapping prior-year gain on marketable securities. These unfavorable items were partially offset by an increase in Adjusted EPS, favorable year-over-year change in acquisition integration costs and contingent consideration adjustments, lower equity method investee items, favorable year-over-year change in initial impacts from enacted tax law changes and lower loss on remeasurement of net monetary position.</w:t>
      </w:r>
    </w:p>
    <w:p>
      <w:pPr>
        <w:spacing w:after="0" w:line="2" w:lineRule="exact"/>
        <w:rPr>
          <w:rFonts w:ascii="Arial" w:cs="Arial" w:eastAsia="Arial" w:hAnsi="Arial"/>
          <w:sz w:val="20"/>
          <w:szCs w:val="20"/>
          <w:color w:val="auto"/>
        </w:rPr>
      </w:pPr>
    </w:p>
    <w:p>
      <w:pPr>
        <w:ind w:left="1300" w:hanging="324"/>
        <w:spacing w:after="0" w:line="251" w:lineRule="auto"/>
        <w:rPr>
          <w:rFonts w:ascii="Arial" w:cs="Arial" w:eastAsia="Arial" w:hAnsi="Arial"/>
          <w:sz w:val="20"/>
          <w:szCs w:val="20"/>
          <w:color w:val="auto"/>
        </w:rPr>
      </w:pPr>
      <w:r>
        <w:rPr>
          <w:rFonts w:ascii="Arial" w:cs="Arial" w:eastAsia="Arial" w:hAnsi="Arial"/>
          <w:sz w:val="18"/>
          <w:szCs w:val="18"/>
          <w:color w:val="auto"/>
        </w:rPr>
        <w:t>– Diluted EPS decreased in the first nine months of 2024, driven by an impairment charge on our JDEP equity method investment in 2024, lapping prior-year net gains on marketable securities and equity method investment transactions primarily related to our former KDP investment, unfavorable year-over-year change in mark-to-market impacts from commodity and currency derivatives, lapping prior-year operating results from the developed market gum business divested in 2023, higher intangible asset impairment charges, costs incurred for the ERP Systems Implementation program and higher costs incurred from our Simplify to Grow program. These unfavorable items were partially offset by an increase in Adjusted EPS, favorable year-over-year change in acquisition integration costs and contingent consideration adjustments, lower divestiture-related costs, lower loss on remeasurement of net monetary position and lower equity method investee items.</w:t>
      </w:r>
    </w:p>
    <w:p>
      <w:pPr>
        <w:jc w:val="both"/>
        <w:ind w:left="660" w:hanging="328"/>
        <w:spacing w:after="0" w:line="24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 xml:space="preserve">Adjusted EPS, a non-GAAP financial measure, increased 28.6% to $0.99 in the third quarter of 2024 and increased 19.1% to $2.80 in the first nine months of 2024 as compared to the same periods in the prior year. On a constant currency basis, Adjusted EPS increased 28.6% to $0.99 in the third quarter of 2024 and increased 23.0% to $2.89 in the first nine months of 2024 as compared to the same periods in the prior year.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the definition of Adjusted EPS and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for our reconciliation with diluted EPS.</w:t>
      </w:r>
    </w:p>
    <w:p>
      <w:pPr>
        <w:spacing w:after="0" w:line="4" w:lineRule="exact"/>
        <w:rPr>
          <w:rFonts w:ascii="Arial" w:cs="Arial" w:eastAsia="Arial" w:hAnsi="Arial"/>
          <w:sz w:val="20"/>
          <w:szCs w:val="20"/>
          <w:color w:val="auto"/>
        </w:rPr>
      </w:pPr>
    </w:p>
    <w:p>
      <w:pPr>
        <w:ind w:left="1300" w:hanging="324"/>
        <w:spacing w:after="0" w:line="253" w:lineRule="auto"/>
        <w:rPr>
          <w:rFonts w:ascii="Arial" w:cs="Arial" w:eastAsia="Arial" w:hAnsi="Arial"/>
          <w:sz w:val="20"/>
          <w:szCs w:val="20"/>
          <w:color w:val="auto"/>
        </w:rPr>
      </w:pPr>
      <w:r>
        <w:rPr>
          <w:rFonts w:ascii="Arial" w:cs="Arial" w:eastAsia="Arial" w:hAnsi="Arial"/>
          <w:sz w:val="18"/>
          <w:szCs w:val="18"/>
          <w:color w:val="auto"/>
        </w:rPr>
        <w:t>– Adjusted EPS increased in the third quarter of 2024, driven by operating gains, fewer shares outstanding, lower interest expense and lower taxes.</w:t>
      </w:r>
    </w:p>
    <w:p>
      <w:pPr>
        <w:ind w:left="1300" w:hanging="324"/>
        <w:spacing w:after="0" w:line="270" w:lineRule="auto"/>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Adjusted EPS increased in the first nine months of 2024, driven by operating gains, fewer shares outstanding, lower interest</w:t>
      </w:r>
      <w:r>
        <w:rPr>
          <w:rFonts w:ascii="Arial" w:cs="Arial" w:eastAsia="Arial" w:hAnsi="Arial"/>
          <w:sz w:val="20"/>
          <w:szCs w:val="20"/>
          <w:color w:val="auto"/>
        </w:rPr>
        <w:t xml:space="preserve"> </w:t>
      </w:r>
      <w:r>
        <w:rPr>
          <w:rFonts w:ascii="Arial" w:cs="Arial" w:eastAsia="Arial" w:hAnsi="Arial"/>
          <w:sz w:val="17"/>
          <w:szCs w:val="17"/>
          <w:color w:val="auto"/>
        </w:rPr>
        <w:t>expense and higher benefit plan non-service income, partially offset by unfavorable currency-related items, higher taxes and lapping prior year dividend income related to our former KDP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-42545</wp:posOffset>
            </wp:positionV>
            <wp:extent cx="248920"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condensed consolidated financial statements indicated below for additional information. Refer also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after-tax per share impacts of these items.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4"/>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242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501"/>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See Note</w:t>
            </w:r>
          </w:p>
        </w:tc>
        <w:tc>
          <w:tcPr>
            <w:tcW w:w="1100" w:type="dxa"/>
            <w:vAlign w:val="bottom"/>
          </w:tcPr>
          <w:p>
            <w:pPr>
              <w:jc w:val="right"/>
              <w:ind w:right="460"/>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120" w:type="dxa"/>
            <w:vAlign w:val="bottom"/>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61"/>
              <w:spacing w:after="0"/>
              <w:rPr>
                <w:sz w:val="20"/>
                <w:szCs w:val="20"/>
                <w:color w:val="auto"/>
              </w:rPr>
            </w:pPr>
            <w:r>
              <w:rPr>
                <w:rFonts w:ascii="Arial" w:cs="Arial" w:eastAsia="Arial" w:hAnsi="Arial"/>
                <w:sz w:val="14"/>
                <w:szCs w:val="14"/>
                <w:b w:val="1"/>
                <w:bCs w:val="1"/>
                <w:color w:val="auto"/>
              </w:rPr>
              <w:t>2024</w:t>
            </w:r>
          </w:p>
        </w:tc>
        <w:tc>
          <w:tcPr>
            <w:tcW w:w="520" w:type="dxa"/>
            <w:vAlign w:val="bottom"/>
          </w:tcPr>
          <w:p>
            <w:pPr>
              <w:spacing w:after="0"/>
              <w:rPr>
                <w:sz w:val="16"/>
                <w:szCs w:val="16"/>
                <w:color w:val="auto"/>
              </w:rPr>
            </w:pPr>
          </w:p>
        </w:tc>
        <w:tc>
          <w:tcPr>
            <w:tcW w:w="820" w:type="dxa"/>
            <w:vAlign w:val="bottom"/>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560" w:type="dxa"/>
            <w:vAlign w:val="bottom"/>
            <w:tcBorders>
              <w:top w:val="single" w:sz="8" w:color="auto"/>
            </w:tcBorders>
            <w:gridSpan w:val="4"/>
          </w:tcPr>
          <w:p>
            <w:pPr>
              <w:jc w:val="right"/>
              <w:ind w:right="201"/>
              <w:spacing w:after="0"/>
              <w:rPr>
                <w:sz w:val="20"/>
                <w:szCs w:val="20"/>
                <w:color w:val="auto"/>
              </w:rPr>
            </w:pPr>
            <w:r>
              <w:rPr>
                <w:rFonts w:ascii="Arial" w:cs="Arial" w:eastAsia="Arial" w:hAnsi="Arial"/>
                <w:sz w:val="14"/>
                <w:szCs w:val="14"/>
                <w:b w:val="1"/>
                <w:bCs w:val="1"/>
                <w:color w:val="auto"/>
              </w:rPr>
              <w:t>(in millions, except percentages)</w:t>
            </w:r>
          </w:p>
        </w:tc>
        <w:tc>
          <w:tcPr>
            <w:tcW w:w="5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Simplify to Grow Program</w:t>
            </w:r>
          </w:p>
        </w:tc>
        <w:tc>
          <w:tcPr>
            <w:tcW w:w="1240" w:type="dxa"/>
            <w:vAlign w:val="bottom"/>
            <w:gridSpan w:val="3"/>
            <w:shd w:val="clear" w:color="auto" w:fill="CCEEFF"/>
          </w:tcPr>
          <w:p>
            <w:pPr>
              <w:jc w:val="center"/>
              <w:ind w:right="320"/>
              <w:spacing w:after="0"/>
              <w:rPr>
                <w:sz w:val="20"/>
                <w:szCs w:val="20"/>
                <w:color w:val="auto"/>
              </w:rPr>
            </w:pPr>
            <w:r>
              <w:rPr>
                <w:rFonts w:ascii="Arial" w:cs="Arial" w:eastAsia="Arial" w:hAnsi="Arial"/>
                <w:sz w:val="16"/>
                <w:szCs w:val="16"/>
                <w:color w:val="auto"/>
              </w:rPr>
              <w:t>Note 7</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140"/>
              <w:spacing w:after="0"/>
              <w:rPr>
                <w:sz w:val="20"/>
                <w:szCs w:val="20"/>
                <w:color w:val="auto"/>
              </w:rPr>
            </w:pPr>
            <w:r>
              <w:rPr>
                <w:rFonts w:ascii="Arial" w:cs="Arial" w:eastAsia="Arial" w:hAnsi="Arial"/>
                <w:sz w:val="16"/>
                <w:szCs w:val="16"/>
                <w:color w:val="auto"/>
              </w:rPr>
              <w:t>Restructuring charges</w:t>
            </w:r>
          </w:p>
        </w:tc>
        <w:tc>
          <w:tcPr>
            <w:tcW w:w="12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(40)</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Implementation charges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(40)</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Intangible asset impairment charges</w:t>
            </w:r>
          </w:p>
        </w:tc>
        <w:tc>
          <w:tcPr>
            <w:tcW w:w="1240" w:type="dxa"/>
            <w:vAlign w:val="bottom"/>
            <w:gridSpan w:val="3"/>
          </w:tcPr>
          <w:p>
            <w:pPr>
              <w:jc w:val="center"/>
              <w:ind w:right="320"/>
              <w:spacing w:after="0"/>
              <w:rPr>
                <w:sz w:val="20"/>
                <w:szCs w:val="20"/>
                <w:color w:val="auto"/>
              </w:rPr>
            </w:pPr>
            <w:r>
              <w:rPr>
                <w:rFonts w:ascii="Arial" w:cs="Arial" w:eastAsia="Arial" w:hAnsi="Arial"/>
                <w:sz w:val="16"/>
                <w:szCs w:val="16"/>
                <w:color w:val="auto"/>
              </w:rPr>
              <w:t>Note 5</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(153)</w:t>
            </w:r>
          </w:p>
        </w:tc>
        <w:tc>
          <w:tcPr>
            <w:tcW w:w="220" w:type="dxa"/>
            <w:vAlign w:val="bottom"/>
          </w:tcPr>
          <w:p>
            <w:pPr>
              <w:spacing w:after="0"/>
              <w:rPr>
                <w:sz w:val="18"/>
                <w:szCs w:val="18"/>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(153)</w:t>
            </w:r>
          </w:p>
        </w:tc>
        <w:tc>
          <w:tcPr>
            <w:tcW w:w="52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Mark-to-market (losses)/gains from derivatives </w:t>
            </w:r>
            <w:r>
              <w:rPr>
                <w:rFonts w:ascii="Arial" w:cs="Arial" w:eastAsia="Arial" w:hAnsi="Arial"/>
                <w:sz w:val="21"/>
                <w:szCs w:val="21"/>
                <w:b w:val="1"/>
                <w:bCs w:val="1"/>
                <w:color w:val="auto"/>
                <w:vertAlign w:val="superscript"/>
              </w:rPr>
              <w:t>(1)</w:t>
            </w:r>
          </w:p>
        </w:tc>
        <w:tc>
          <w:tcPr>
            <w:tcW w:w="1240" w:type="dxa"/>
            <w:vAlign w:val="bottom"/>
            <w:gridSpan w:val="3"/>
            <w:shd w:val="clear" w:color="auto" w:fill="CCEEFF"/>
          </w:tcPr>
          <w:p>
            <w:pPr>
              <w:jc w:val="center"/>
              <w:ind w:right="320"/>
              <w:spacing w:after="0"/>
              <w:rPr>
                <w:sz w:val="20"/>
                <w:szCs w:val="20"/>
                <w:color w:val="auto"/>
              </w:rPr>
            </w:pPr>
            <w:r>
              <w:rPr>
                <w:rFonts w:ascii="Arial" w:cs="Arial" w:eastAsia="Arial" w:hAnsi="Arial"/>
                <w:sz w:val="16"/>
                <w:szCs w:val="16"/>
                <w:color w:val="auto"/>
              </w:rPr>
              <w:t>Note 9</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(707)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(156)</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Acquisition and divestiture-related costs:</w:t>
            </w:r>
          </w:p>
        </w:tc>
        <w:tc>
          <w:tcPr>
            <w:tcW w:w="1240" w:type="dxa"/>
            <w:vAlign w:val="bottom"/>
            <w:gridSpan w:val="3"/>
          </w:tcPr>
          <w:p>
            <w:pPr>
              <w:jc w:val="center"/>
              <w:ind w:right="320"/>
              <w:spacing w:after="0"/>
              <w:rPr>
                <w:sz w:val="20"/>
                <w:szCs w:val="20"/>
                <w:color w:val="auto"/>
              </w:rPr>
            </w:pPr>
            <w:r>
              <w:rPr>
                <w:rFonts w:ascii="Arial" w:cs="Arial" w:eastAsia="Arial" w:hAnsi="Arial"/>
                <w:sz w:val="16"/>
                <w:szCs w:val="16"/>
                <w:color w:val="auto"/>
              </w:rPr>
              <w:t>Note 2</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Acquisition integration costs and</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328</w:t>
            </w:r>
          </w:p>
        </w:tc>
        <w:tc>
          <w:tcPr>
            <w:tcW w:w="2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249</w:t>
            </w:r>
          </w:p>
        </w:tc>
        <w:tc>
          <w:tcPr>
            <w:tcW w:w="5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contingent consideration adjustments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140"/>
              <w:spacing w:after="0"/>
              <w:rPr>
                <w:sz w:val="20"/>
                <w:szCs w:val="20"/>
                <w:color w:val="auto"/>
              </w:rPr>
            </w:pPr>
            <w:r>
              <w:rPr>
                <w:rFonts w:ascii="Arial" w:cs="Arial" w:eastAsia="Arial" w:hAnsi="Arial"/>
                <w:sz w:val="16"/>
                <w:szCs w:val="16"/>
                <w:color w:val="auto"/>
              </w:rPr>
              <w:t>Acquisition-related costs</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(2)</w:t>
            </w:r>
          </w:p>
        </w:tc>
        <w:tc>
          <w:tcPr>
            <w:tcW w:w="5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Divestiture-related costs</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 xml:space="preserve">Incremental costs due to war in Ukraine </w:t>
            </w:r>
            <w:r>
              <w:rPr>
                <w:rFonts w:ascii="Arial" w:cs="Arial" w:eastAsia="Arial" w:hAnsi="Arial"/>
                <w:sz w:val="21"/>
                <w:szCs w:val="21"/>
                <w:b w:val="1"/>
                <w:bCs w:val="1"/>
                <w:color w:val="auto"/>
                <w:vertAlign w:val="superscript"/>
              </w:rPr>
              <w:t>(2)</w:t>
            </w:r>
          </w:p>
        </w:tc>
        <w:tc>
          <w:tcPr>
            <w:tcW w:w="1240" w:type="dxa"/>
            <w:vAlign w:val="bottom"/>
            <w:gridSpan w:val="3"/>
          </w:tcPr>
          <w:p>
            <w:pPr>
              <w:jc w:val="center"/>
              <w:ind w:right="320"/>
              <w:spacing w:after="0"/>
              <w:rPr>
                <w:sz w:val="20"/>
                <w:szCs w:val="20"/>
                <w:color w:val="auto"/>
              </w:rPr>
            </w:pPr>
            <w:r>
              <w:rPr>
                <w:rFonts w:ascii="Arial" w:cs="Arial" w:eastAsia="Arial" w:hAnsi="Arial"/>
                <w:sz w:val="16"/>
                <w:szCs w:val="16"/>
                <w:color w:val="auto"/>
              </w:rPr>
              <w:t>Note 1</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(2)</w:t>
            </w:r>
          </w:p>
        </w:tc>
        <w:tc>
          <w:tcPr>
            <w:tcW w:w="5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European Commission legal matter</w:t>
            </w:r>
          </w:p>
        </w:tc>
        <w:tc>
          <w:tcPr>
            <w:tcW w:w="1240" w:type="dxa"/>
            <w:vAlign w:val="bottom"/>
            <w:gridSpan w:val="3"/>
            <w:shd w:val="clear" w:color="auto" w:fill="CCEEFF"/>
          </w:tcPr>
          <w:p>
            <w:pPr>
              <w:jc w:val="center"/>
              <w:ind w:right="320"/>
              <w:spacing w:after="0"/>
              <w:rPr>
                <w:sz w:val="20"/>
                <w:szCs w:val="20"/>
                <w:color w:val="auto"/>
              </w:rPr>
            </w:pPr>
            <w:r>
              <w:rPr>
                <w:rFonts w:ascii="Arial" w:cs="Arial" w:eastAsia="Arial" w:hAnsi="Arial"/>
                <w:sz w:val="16"/>
                <w:szCs w:val="16"/>
                <w:color w:val="auto"/>
                <w:w w:val="99"/>
              </w:rPr>
              <w:t>Note 12</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3</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 xml:space="preserve">ERP System Implementation costs </w:t>
            </w:r>
            <w:r>
              <w:rPr>
                <w:rFonts w:ascii="Arial" w:cs="Arial" w:eastAsia="Arial" w:hAnsi="Arial"/>
                <w:sz w:val="21"/>
                <w:szCs w:val="21"/>
                <w:b w:val="1"/>
                <w:bCs w:val="1"/>
                <w:color w:val="auto"/>
                <w:vertAlign w:val="superscript"/>
              </w:rPr>
              <w:t>(3)</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(38)</w:t>
            </w:r>
          </w:p>
        </w:tc>
        <w:tc>
          <w:tcPr>
            <w:tcW w:w="5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Remeasurement of net monetary position</w:t>
            </w:r>
          </w:p>
        </w:tc>
        <w:tc>
          <w:tcPr>
            <w:tcW w:w="1240" w:type="dxa"/>
            <w:vAlign w:val="bottom"/>
            <w:gridSpan w:val="3"/>
            <w:shd w:val="clear" w:color="auto" w:fill="CCEEFF"/>
          </w:tcPr>
          <w:p>
            <w:pPr>
              <w:jc w:val="center"/>
              <w:ind w:right="320"/>
              <w:spacing w:after="0"/>
              <w:rPr>
                <w:sz w:val="20"/>
                <w:szCs w:val="20"/>
                <w:color w:val="auto"/>
              </w:rPr>
            </w:pPr>
            <w:r>
              <w:rPr>
                <w:rFonts w:ascii="Arial" w:cs="Arial" w:eastAsia="Arial" w:hAnsi="Arial"/>
                <w:sz w:val="16"/>
                <w:szCs w:val="16"/>
                <w:color w:val="auto"/>
              </w:rPr>
              <w:t>Note 1</w:t>
            </w: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(26)</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Impact from pension participation changes</w:t>
            </w:r>
          </w:p>
        </w:tc>
        <w:tc>
          <w:tcPr>
            <w:tcW w:w="1240" w:type="dxa"/>
            <w:vAlign w:val="bottom"/>
            <w:gridSpan w:val="3"/>
          </w:tcPr>
          <w:p>
            <w:pPr>
              <w:jc w:val="center"/>
              <w:ind w:right="320"/>
              <w:spacing w:after="0"/>
              <w:rPr>
                <w:sz w:val="20"/>
                <w:szCs w:val="20"/>
                <w:color w:val="auto"/>
              </w:rPr>
            </w:pPr>
            <w:r>
              <w:rPr>
                <w:rFonts w:ascii="Arial" w:cs="Arial" w:eastAsia="Arial" w:hAnsi="Arial"/>
                <w:sz w:val="16"/>
                <w:szCs w:val="16"/>
                <w:color w:val="auto"/>
                <w:w w:val="99"/>
              </w:rPr>
              <w:t>Note 10</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(7)</w:t>
            </w:r>
          </w:p>
        </w:tc>
        <w:tc>
          <w:tcPr>
            <w:tcW w:w="52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on debt extinguishment and related expenses</w:t>
            </w:r>
          </w:p>
        </w:tc>
        <w:tc>
          <w:tcPr>
            <w:tcW w:w="1240" w:type="dxa"/>
            <w:vAlign w:val="bottom"/>
            <w:gridSpan w:val="3"/>
            <w:shd w:val="clear" w:color="auto" w:fill="CCEEFF"/>
          </w:tcPr>
          <w:p>
            <w:pPr>
              <w:jc w:val="center"/>
              <w:ind w:right="320"/>
              <w:spacing w:after="0"/>
              <w:rPr>
                <w:sz w:val="20"/>
                <w:szCs w:val="20"/>
                <w:color w:val="auto"/>
              </w:rPr>
            </w:pPr>
            <w:r>
              <w:rPr>
                <w:rFonts w:ascii="Arial" w:cs="Arial" w:eastAsia="Arial" w:hAnsi="Arial"/>
                <w:sz w:val="16"/>
                <w:szCs w:val="16"/>
                <w:color w:val="auto"/>
              </w:rPr>
              <w:t>Note 8</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Initial impacts from enacted tax law changes</w:t>
            </w:r>
          </w:p>
        </w:tc>
        <w:tc>
          <w:tcPr>
            <w:tcW w:w="1240" w:type="dxa"/>
            <w:vAlign w:val="bottom"/>
            <w:gridSpan w:val="3"/>
          </w:tcPr>
          <w:p>
            <w:pPr>
              <w:jc w:val="center"/>
              <w:ind w:right="320"/>
              <w:spacing w:after="0"/>
              <w:rPr>
                <w:sz w:val="20"/>
                <w:szCs w:val="20"/>
                <w:color w:val="auto"/>
              </w:rPr>
            </w:pPr>
            <w:r>
              <w:rPr>
                <w:rFonts w:ascii="Arial" w:cs="Arial" w:eastAsia="Arial" w:hAnsi="Arial"/>
                <w:sz w:val="16"/>
                <w:szCs w:val="16"/>
                <w:color w:val="auto"/>
                <w:w w:val="99"/>
              </w:rPr>
              <w:t>Note 14</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8"/>
                <w:szCs w:val="18"/>
                <w:color w:val="auto"/>
              </w:rPr>
            </w:pPr>
          </w:p>
        </w:tc>
        <w:tc>
          <w:tcPr>
            <w:tcW w:w="1120" w:type="dxa"/>
            <w:vAlign w:val="bottom"/>
          </w:tcPr>
          <w:p>
            <w:pPr>
              <w:jc w:val="right"/>
              <w:ind w:right="8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(12)</w:t>
            </w:r>
          </w:p>
        </w:tc>
        <w:tc>
          <w:tcPr>
            <w:tcW w:w="52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Gain on marketable securities</w:t>
            </w:r>
          </w:p>
        </w:tc>
        <w:tc>
          <w:tcPr>
            <w:tcW w:w="1240" w:type="dxa"/>
            <w:vAlign w:val="bottom"/>
            <w:gridSpan w:val="3"/>
            <w:shd w:val="clear" w:color="auto" w:fill="CCEEFF"/>
          </w:tcPr>
          <w:p>
            <w:pPr>
              <w:jc w:val="center"/>
              <w:ind w:right="320"/>
              <w:spacing w:after="0"/>
              <w:rPr>
                <w:sz w:val="20"/>
                <w:szCs w:val="20"/>
                <w:color w:val="auto"/>
              </w:rPr>
            </w:pPr>
            <w:r>
              <w:rPr>
                <w:rFonts w:ascii="Arial" w:cs="Arial" w:eastAsia="Arial" w:hAnsi="Arial"/>
                <w:sz w:val="16"/>
                <w:szCs w:val="16"/>
                <w:color w:val="auto"/>
              </w:rPr>
              <w:t>Note 6</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162"/>
        </w:trPr>
        <w:tc>
          <w:tcPr>
            <w:tcW w:w="478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(Loss)/gain on equity method investment transactions</w:t>
            </w:r>
          </w:p>
        </w:tc>
        <w:tc>
          <w:tcPr>
            <w:tcW w:w="1240" w:type="dxa"/>
            <w:vAlign w:val="bottom"/>
            <w:gridSpan w:val="3"/>
            <w:vMerge w:val="restart"/>
          </w:tcPr>
          <w:p>
            <w:pPr>
              <w:jc w:val="center"/>
              <w:ind w:right="320"/>
              <w:spacing w:after="0"/>
              <w:rPr>
                <w:sz w:val="20"/>
                <w:szCs w:val="20"/>
                <w:color w:val="auto"/>
              </w:rPr>
            </w:pPr>
            <w:r>
              <w:rPr>
                <w:rFonts w:ascii="Arial" w:cs="Arial" w:eastAsia="Arial" w:hAnsi="Arial"/>
                <w:sz w:val="16"/>
                <w:szCs w:val="16"/>
                <w:color w:val="auto"/>
              </w:rPr>
              <w:t>Note 6</w:t>
            </w:r>
          </w:p>
        </w:tc>
        <w:tc>
          <w:tcPr>
            <w:tcW w:w="1100" w:type="dxa"/>
            <w:vAlign w:val="bottom"/>
            <w:vMerge w:val="restart"/>
          </w:tcPr>
          <w:p>
            <w:pPr>
              <w:jc w:val="right"/>
              <w:ind w:right="14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4"/>
                <w:szCs w:val="14"/>
                <w:color w:val="auto"/>
              </w:rPr>
            </w:pP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80" w:type="dxa"/>
            <w:vAlign w:val="bottom"/>
            <w:vMerge w:val="restart"/>
          </w:tcPr>
          <w:p>
            <w:pPr>
              <w:jc w:val="right"/>
              <w:ind w:right="141"/>
              <w:spacing w:after="0"/>
              <w:rPr>
                <w:sz w:val="20"/>
                <w:szCs w:val="20"/>
                <w:color w:val="auto"/>
              </w:rPr>
            </w:pPr>
            <w:r>
              <w:rPr>
                <w:rFonts w:ascii="Arial" w:cs="Arial" w:eastAsia="Arial" w:hAnsi="Arial"/>
                <w:sz w:val="16"/>
                <w:szCs w:val="16"/>
                <w:color w:val="auto"/>
              </w:rPr>
              <w:t>(669)</w:t>
            </w:r>
          </w:p>
        </w:tc>
        <w:tc>
          <w:tcPr>
            <w:tcW w:w="520" w:type="dxa"/>
            <w:vAlign w:val="bottom"/>
          </w:tcPr>
          <w:p>
            <w:pPr>
              <w:spacing w:after="0"/>
              <w:rPr>
                <w:sz w:val="14"/>
                <w:szCs w:val="14"/>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 xml:space="preserve">including impairments </w:t>
            </w:r>
            <w:r>
              <w:rPr>
                <w:rFonts w:ascii="Arial" w:cs="Arial" w:eastAsia="Arial" w:hAnsi="Arial"/>
                <w:sz w:val="21"/>
                <w:szCs w:val="21"/>
                <w:b w:val="1"/>
                <w:bCs w:val="1"/>
                <w:color w:val="auto"/>
                <w:vertAlign w:val="superscript"/>
              </w:rPr>
              <w:t>(4)</w:t>
            </w:r>
          </w:p>
        </w:tc>
        <w:tc>
          <w:tcPr>
            <w:tcW w:w="1240" w:type="dxa"/>
            <w:vAlign w:val="bottom"/>
            <w:gridSpan w:val="3"/>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Equity method investee items </w:t>
            </w:r>
            <w:r>
              <w:rPr>
                <w:rFonts w:ascii="Arial" w:cs="Arial" w:eastAsia="Arial" w:hAnsi="Arial"/>
                <w:sz w:val="21"/>
                <w:szCs w:val="21"/>
                <w:b w:val="1"/>
                <w:bCs w:val="1"/>
                <w:color w:val="auto"/>
                <w:vertAlign w:val="superscript"/>
              </w:rPr>
              <w:t>(5)</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(52)</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Effective tax rate</w:t>
            </w:r>
          </w:p>
        </w:tc>
        <w:tc>
          <w:tcPr>
            <w:tcW w:w="1240" w:type="dxa"/>
            <w:vAlign w:val="bottom"/>
            <w:gridSpan w:val="3"/>
          </w:tcPr>
          <w:p>
            <w:pPr>
              <w:jc w:val="center"/>
              <w:ind w:right="320"/>
              <w:spacing w:after="0"/>
              <w:rPr>
                <w:sz w:val="20"/>
                <w:szCs w:val="20"/>
                <w:color w:val="auto"/>
              </w:rPr>
            </w:pPr>
            <w:r>
              <w:rPr>
                <w:rFonts w:ascii="Arial" w:cs="Arial" w:eastAsia="Arial" w:hAnsi="Arial"/>
                <w:sz w:val="16"/>
                <w:szCs w:val="16"/>
                <w:color w:val="auto"/>
                <w:w w:val="99"/>
              </w:rPr>
              <w:t>Note 14</w:t>
            </w:r>
          </w:p>
        </w:tc>
        <w:tc>
          <w:tcPr>
            <w:tcW w:w="1100" w:type="dxa"/>
            <w:vAlign w:val="bottom"/>
          </w:tcPr>
          <w:p>
            <w:pPr>
              <w:jc w:val="right"/>
              <w:spacing w:after="0"/>
              <w:rPr>
                <w:sz w:val="20"/>
                <w:szCs w:val="20"/>
                <w:color w:val="auto"/>
              </w:rPr>
            </w:pPr>
            <w:r>
              <w:rPr>
                <w:rFonts w:ascii="Arial" w:cs="Arial" w:eastAsia="Arial" w:hAnsi="Arial"/>
                <w:sz w:val="16"/>
                <w:szCs w:val="16"/>
                <w:color w:val="auto"/>
              </w:rPr>
              <w:t>28.8 %</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26.9 %</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27.1 %</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left="340" w:hanging="332"/>
        <w:spacing w:after="0" w:line="268"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Includes impacts recorded in operating income and interest expense and other, net. Mark-to-market gains/(losses) above also include our equity method investment-related derivative contract mark-to-market gains/(losses) (refer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that are recorded in the (loss)/gain (including non-cash impairment charges) on equity method investment transactions on our condensed consolidated statement of earnings.</w:t>
      </w:r>
    </w:p>
    <w:p>
      <w:pPr>
        <w:spacing w:after="0" w:line="1" w:lineRule="exact"/>
        <w:rPr>
          <w:rFonts w:ascii="Arial" w:cs="Arial" w:eastAsia="Arial" w:hAnsi="Arial"/>
          <w:sz w:val="14"/>
          <w:szCs w:val="14"/>
          <w:color w:val="auto"/>
        </w:rPr>
      </w:pPr>
    </w:p>
    <w:p>
      <w:pPr>
        <w:jc w:val="both"/>
        <w:ind w:left="340" w:hanging="332"/>
        <w:spacing w:after="0" w:line="254"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Incremental costs due to the war in Ukraine include direct charges such as asset impairments due to damaged facilities and inventory, higher expected allowances for uncollectible accounts receivable and committed compensation. 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and Note 1, </w:t>
      </w:r>
      <w:r>
        <w:rPr>
          <w:rFonts w:ascii="Arial" w:cs="Arial" w:eastAsia="Arial" w:hAnsi="Arial"/>
          <w:sz w:val="14"/>
          <w:szCs w:val="14"/>
          <w:i w:val="1"/>
          <w:iCs w:val="1"/>
          <w:color w:val="auto"/>
        </w:rPr>
        <w:t>Basis of</w:t>
      </w:r>
      <w:r>
        <w:rPr>
          <w:rFonts w:ascii="Arial" w:cs="Arial" w:eastAsia="Arial" w:hAnsi="Arial"/>
          <w:sz w:val="14"/>
          <w:szCs w:val="14"/>
          <w:color w:val="auto"/>
        </w:rPr>
        <w:t xml:space="preserve"> </w:t>
      </w:r>
      <w:r>
        <w:rPr>
          <w:rFonts w:ascii="Arial" w:cs="Arial" w:eastAsia="Arial" w:hAnsi="Arial"/>
          <w:sz w:val="14"/>
          <w:szCs w:val="14"/>
          <w:i w:val="1"/>
          <w:iCs w:val="1"/>
          <w:color w:val="auto"/>
        </w:rPr>
        <w:t>Presentation – War in Ukraine</w:t>
      </w:r>
      <w:r>
        <w:rPr>
          <w:rFonts w:ascii="Arial" w:cs="Arial" w:eastAsia="Arial" w:hAnsi="Arial"/>
          <w:sz w:val="14"/>
          <w:szCs w:val="14"/>
          <w:color w:val="auto"/>
        </w:rPr>
        <w:t>, for additional information.</w:t>
      </w:r>
    </w:p>
    <w:p>
      <w:pPr>
        <w:spacing w:after="0" w:line="1" w:lineRule="exact"/>
        <w:rPr>
          <w:rFonts w:ascii="Arial" w:cs="Arial" w:eastAsia="Arial" w:hAnsi="Arial"/>
          <w:sz w:val="14"/>
          <w:szCs w:val="14"/>
          <w:color w:val="auto"/>
        </w:rPr>
      </w:pPr>
    </w:p>
    <w:p>
      <w:pPr>
        <w:jc w:val="both"/>
        <w:ind w:left="340" w:hanging="332"/>
        <w:spacing w:after="0" w:line="261"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ERP System Implementation program costs represent incremental operating expenses above the normal ongoing level of spending on information technology to support operations. These expenses include third-party consulting fees, direct labor costs associated with the program, accelerated depreciation of our existing SAP financial systems and various other expenses, all associated with the implementation of our information technology upgrades.</w:t>
      </w:r>
    </w:p>
    <w:p>
      <w:pPr>
        <w:spacing w:after="0" w:line="1" w:lineRule="exact"/>
        <w:rPr>
          <w:rFonts w:ascii="Arial" w:cs="Arial" w:eastAsia="Arial" w:hAnsi="Arial"/>
          <w:sz w:val="14"/>
          <w:szCs w:val="14"/>
          <w:color w:val="auto"/>
        </w:rPr>
      </w:pPr>
    </w:p>
    <w:p>
      <w:pPr>
        <w:jc w:val="both"/>
        <w:ind w:left="340" w:hanging="332"/>
        <w:spacing w:after="0" w:line="254"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(Loss)/gain (including non-cash impairment charges) on equity method investment transactions is recorded outside pre-tax operating results on the condensed consolidated statement of earnings. See footnote (1) as mark-to-market gains/(losses) on our equity method-investment-related derivative contracts are presented in the table above within mark-to-market gains/(losses) from derivatives.</w:t>
      </w:r>
    </w:p>
    <w:p>
      <w:pPr>
        <w:spacing w:after="0" w:line="1"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equity method investee, including acquisition and divestiture-related costs, restructuring program costs and intangible asset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260985</wp:posOffset>
            </wp:positionV>
            <wp:extent cx="248920" cy="2400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124"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5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9,204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1,153</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1,379</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Net earnings attributable to</w:t>
            </w:r>
          </w:p>
        </w:tc>
        <w:tc>
          <w:tcPr>
            <w:tcW w:w="88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853</w:t>
            </w:r>
          </w:p>
        </w:tc>
        <w:tc>
          <w:tcPr>
            <w:tcW w:w="4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4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shd w:val="clear" w:color="auto" w:fill="CCEEFF"/>
          </w:tcPr>
          <w:p>
            <w:pPr>
              <w:spacing w:after="0"/>
              <w:rPr>
                <w:sz w:val="21"/>
                <w:szCs w:val="21"/>
                <w:color w:val="auto"/>
              </w:rPr>
            </w:pPr>
          </w:p>
        </w:tc>
        <w:tc>
          <w:tcPr>
            <w:tcW w:w="560" w:type="dxa"/>
            <w:vAlign w:val="bottom"/>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56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880" w:type="dxa"/>
            <w:vAlign w:val="bottom"/>
          </w:tcPr>
          <w:p>
            <w:pPr>
              <w:spacing w:after="0"/>
              <w:rPr>
                <w:sz w:val="15"/>
                <w:szCs w:val="15"/>
                <w:color w:val="auto"/>
              </w:rPr>
            </w:pPr>
          </w:p>
        </w:tc>
        <w:tc>
          <w:tcPr>
            <w:tcW w:w="560" w:type="dxa"/>
            <w:vAlign w:val="bottom"/>
            <w:vMerge w:val="restart"/>
          </w:tcPr>
          <w:p>
            <w:pPr>
              <w:jc w:val="right"/>
              <w:ind w:right="14"/>
              <w:spacing w:after="0"/>
              <w:rPr>
                <w:sz w:val="20"/>
                <w:szCs w:val="20"/>
                <w:color w:val="auto"/>
              </w:rPr>
            </w:pPr>
            <w:r>
              <w:rPr>
                <w:rFonts w:ascii="Arial" w:cs="Arial" w:eastAsia="Arial" w:hAnsi="Arial"/>
                <w:sz w:val="18"/>
                <w:szCs w:val="18"/>
                <w:color w:val="auto"/>
              </w:rPr>
              <w:t>0.63</w:t>
            </w:r>
          </w:p>
        </w:tc>
        <w:tc>
          <w:tcPr>
            <w:tcW w:w="4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0.72</w:t>
            </w:r>
          </w:p>
        </w:tc>
        <w:tc>
          <w:tcPr>
            <w:tcW w:w="4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7"/>
        </w:trPr>
        <w:tc>
          <w:tcPr>
            <w:tcW w:w="508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$175 million (1.9%) to $9,204 million in the third quarter of 2024, and Organic Net Revenue</w:t>
      </w:r>
    </w:p>
    <w:p>
      <w:pPr>
        <w:spacing w:after="0" w:line="27" w:lineRule="exact"/>
        <w:rPr>
          <w:sz w:val="20"/>
          <w:szCs w:val="20"/>
          <w:color w:val="auto"/>
        </w:rPr>
      </w:pPr>
    </w:p>
    <w:p>
      <w:pPr>
        <w:jc w:val="both"/>
        <w:ind w:firstLine="8"/>
        <w:spacing w:after="0" w:line="250" w:lineRule="auto"/>
        <w:tabs>
          <w:tab w:leader="none" w:pos="208" w:val="left"/>
        </w:tabs>
        <w:numPr>
          <w:ilvl w:val="0"/>
          <w:numId w:val="21"/>
        </w:numPr>
        <w:rPr>
          <w:rFonts w:ascii="Arial" w:cs="Arial" w:eastAsia="Arial" w:hAnsi="Arial"/>
          <w:sz w:val="11"/>
          <w:szCs w:val="11"/>
          <w:color w:val="auto"/>
        </w:rPr>
      </w:pPr>
      <w:r>
        <w:rPr>
          <w:rFonts w:ascii="Arial" w:cs="Arial" w:eastAsia="Arial" w:hAnsi="Arial"/>
          <w:sz w:val="18"/>
          <w:szCs w:val="18"/>
          <w:color w:val="auto"/>
        </w:rPr>
        <w:t xml:space="preserve">increased $474 million (5.4%) to $9,324 million. Emerging markets net revenues increased 0.1% and emerging markets Organic Net Revenue increased 4.9% </w:t>
      </w:r>
      <w:r>
        <w:rPr>
          <w:rFonts w:ascii="Arial" w:cs="Arial" w:eastAsia="Arial" w:hAnsi="Arial"/>
          <w:sz w:val="10"/>
          <w:szCs w:val="10"/>
          <w:color w:val="auto"/>
        </w:rPr>
        <w:t>(1)</w:t>
      </w:r>
      <w:r>
        <w:rPr>
          <w:rFonts w:ascii="Arial" w:cs="Arial" w:eastAsia="Arial" w:hAnsi="Arial"/>
          <w:sz w:val="18"/>
          <w:szCs w:val="18"/>
          <w:color w:val="auto"/>
        </w:rPr>
        <w:t>. Developed markets net revenues increased 3.1% and developed markets Organic Net Revenue increased 5.6%</w:t>
      </w:r>
    </w:p>
    <w:p>
      <w:pPr>
        <w:ind w:left="240" w:hanging="232"/>
        <w:spacing w:after="0"/>
        <w:tabs>
          <w:tab w:leader="none" w:pos="240" w:val="left"/>
        </w:tabs>
        <w:numPr>
          <w:ilvl w:val="0"/>
          <w:numId w:val="22"/>
        </w:numPr>
        <w:rPr>
          <w:rFonts w:ascii="Arial" w:cs="Arial" w:eastAsia="Arial" w:hAnsi="Arial"/>
          <w:sz w:val="11"/>
          <w:szCs w:val="11"/>
          <w:color w:val="auto"/>
        </w:rPr>
      </w:pPr>
      <w:r>
        <w:rPr>
          <w:rFonts w:ascii="Arial" w:cs="Arial" w:eastAsia="Arial" w:hAnsi="Arial"/>
          <w:sz w:val="18"/>
          <w:szCs w:val="18"/>
          <w:color w:val="auto"/>
        </w:rPr>
        <w:t>The underlying changes in net revenues and Organic Net Revenue are detailed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Emerging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Developed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Mondelēz</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640" w:type="dxa"/>
            <w:vAlign w:val="bottom"/>
            <w:tcBorders>
              <w:bottom w:val="single" w:sz="8" w:color="CCEEFF"/>
            </w:tcBorders>
          </w:tcPr>
          <w:p>
            <w:pPr>
              <w:spacing w:after="0"/>
              <w:rPr>
                <w:sz w:val="21"/>
                <w:szCs w:val="21"/>
                <w:color w:val="auto"/>
              </w:rPr>
            </w:pPr>
          </w:p>
        </w:tc>
        <w:tc>
          <w:tcPr>
            <w:tcW w:w="27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52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9"/>
              </w:rPr>
              <w:t>Three Months Ended September 30, 2024</w:t>
            </w:r>
          </w:p>
        </w:tc>
        <w:tc>
          <w:tcPr>
            <w:tcW w:w="27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Reported (GAAP)</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3,530</w:t>
            </w:r>
          </w:p>
        </w:tc>
        <w:tc>
          <w:tcPr>
            <w:tcW w:w="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5,674</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9,204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Currency-related items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3,700</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5,624</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9,324</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352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9"/>
              </w:rPr>
              <w:t>Three Months Ended September 30, 2023</w:t>
            </w:r>
          </w:p>
        </w:tc>
        <w:tc>
          <w:tcPr>
            <w:tcW w:w="27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Reported (GAAP)</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3,527</w:t>
            </w:r>
          </w:p>
        </w:tc>
        <w:tc>
          <w:tcPr>
            <w:tcW w:w="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5,502</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9,029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Divestitures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3,526</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5,324</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8,850</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8"/>
              </w:rPr>
              <w:t>% Change</w:t>
            </w:r>
          </w:p>
        </w:tc>
        <w:tc>
          <w:tcPr>
            <w:tcW w:w="5340" w:type="dxa"/>
            <w:vAlign w:val="bottom"/>
            <w:tcBorders>
              <w:bottom w:val="single" w:sz="8" w:color="CCEEFF"/>
            </w:tcBorders>
            <w:gridSpan w:val="2"/>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Reported (GAAP)</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Divestitures</w:t>
            </w:r>
          </w:p>
        </w:tc>
        <w:tc>
          <w:tcPr>
            <w:tcW w:w="260" w:type="dxa"/>
            <w:vAlign w:val="bottom"/>
            <w:shd w:val="clear" w:color="auto" w:fill="CCEEFF"/>
          </w:tcPr>
          <w:p>
            <w:pPr>
              <w:spacing w:after="0"/>
              <w:rPr>
                <w:sz w:val="19"/>
                <w:szCs w:val="19"/>
                <w:color w:val="auto"/>
              </w:rPr>
            </w:pPr>
          </w:p>
        </w:tc>
        <w:tc>
          <w:tcPr>
            <w:tcW w:w="1660" w:type="dxa"/>
            <w:vAlign w:val="bottom"/>
            <w:gridSpan w:val="4"/>
            <w:shd w:val="clear" w:color="auto" w:fill="CCEEFF"/>
          </w:tcPr>
          <w:p>
            <w:pPr>
              <w:jc w:val="right"/>
              <w:ind w:right="270"/>
              <w:spacing w:after="0"/>
              <w:rPr>
                <w:sz w:val="20"/>
                <w:szCs w:val="20"/>
                <w:color w:val="auto"/>
              </w:rPr>
            </w:pPr>
            <w:r>
              <w:rPr>
                <w:rFonts w:ascii="Arial" w:cs="Arial" w:eastAsia="Arial" w:hAnsi="Arial"/>
                <w:sz w:val="18"/>
                <w:szCs w:val="18"/>
                <w:color w:val="auto"/>
              </w:rPr>
              <w:t>- pp</w:t>
            </w:r>
          </w:p>
        </w:tc>
        <w:tc>
          <w:tcPr>
            <w:tcW w:w="1660" w:type="dxa"/>
            <w:vAlign w:val="bottom"/>
            <w:gridSpan w:val="4"/>
            <w:shd w:val="clear" w:color="auto" w:fill="CCEEFF"/>
          </w:tcPr>
          <w:p>
            <w:pPr>
              <w:jc w:val="right"/>
              <w:ind w:right="230"/>
              <w:spacing w:after="0"/>
              <w:rPr>
                <w:sz w:val="20"/>
                <w:szCs w:val="20"/>
                <w:color w:val="auto"/>
              </w:rPr>
            </w:pPr>
            <w:r>
              <w:rPr>
                <w:rFonts w:ascii="Arial" w:cs="Arial" w:eastAsia="Arial" w:hAnsi="Arial"/>
                <w:sz w:val="18"/>
                <w:szCs w:val="18"/>
                <w:color w:val="auto"/>
              </w:rPr>
              <w:t>3.5 pp</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pp</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Currency-related items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 pp</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Vol/Mix</w:t>
            </w: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tcBorders>
              <w:top w:val="single" w:sz="8" w:color="CCEEFF"/>
            </w:tcBorders>
            <w:gridSpan w:val="3"/>
            <w:vMerge w:val="continue"/>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(1.0)pp</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1.0 pp</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0.3 pp</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Pricing</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Net revenue increase of 1.9% was driven by our underlying Organic Net Revenue growth of 5.4%, partially offset by the impact of our 2023 divestiture of the developed market gum business and unfavorable currency-related items. Organic Net Revenue growth was driven by higher net pricing and favorable volume/mix. Higher net pricing in all regions was due to the benefit of carryover pricing from 2023 as well as the effects of input cost-driven pricing actions taken during the first nine months of 2024. Overall, positive volume/mix reflected improved volume trends in North America due to increased consumer demand in the U.S. as well as Europe rebounding from last quarter's customer price negotiation disruptions. Favorable volume/mix was driven by gains in North America, Europe and AMEA, partially offset by unfavorable volume/mix in Latin America. The impact of our 2023 divestiture of the developed market gum business resulted in a year-over-year reduction in net revenues of $179 million for the third quarter of 2024.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 Currency-related items decreased net revenues by $120 million, driven by unfavorable currency translation rate changes, partially offset by the adjustment for extreme pricing in Argentina. Refer to </w:t>
      </w:r>
      <w:r>
        <w:rPr>
          <w:rFonts w:ascii="Arial" w:cs="Arial" w:eastAsia="Arial" w:hAnsi="Arial"/>
          <w:sz w:val="18"/>
          <w:szCs w:val="18"/>
          <w:i w:val="1"/>
          <w:iCs w:val="1"/>
          <w:color w:val="auto"/>
        </w:rPr>
        <w:t>Recent Developments and Significant Items Affecting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Comparability </w:t>
      </w:r>
      <w:r>
        <w:rPr>
          <w:rFonts w:ascii="Arial" w:cs="Arial" w:eastAsia="Arial" w:hAnsi="Arial"/>
          <w:sz w:val="18"/>
          <w:szCs w:val="18"/>
          <w:color w:val="auto"/>
        </w:rPr>
        <w:t>for additional information. Unfavorable currency translation rate changes were due to the strength of the U.S. dollar relative to</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currencies, primarily the Argentinean peso, as well as the Brazilian real, Mexican peso, Nigerian naira, Egyptian pound and Turkish lira, partially offset by the strength of several currencies relative to the U.S. dollar, including the British pound sterling, euro, Russian ruble, Polish zloty, Australian dollar and Chinese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-24130</wp:posOffset>
            </wp:positionV>
            <wp:extent cx="248920" cy="240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decreased $226 million (16.4%) to $1,153 million in the third quarter of 2024.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0"/>
          <w:szCs w:val="10"/>
          <w:color w:val="auto"/>
        </w:rPr>
        <w:t>(1)</w:t>
      </w:r>
      <w:r>
        <w:rPr>
          <w:rFonts w:ascii="Arial" w:cs="Arial" w:eastAsia="Arial" w:hAnsi="Arial"/>
          <w:sz w:val="18"/>
          <w:szCs w:val="18"/>
          <w:color w:val="auto"/>
        </w:rPr>
        <w:t xml:space="preserve"> increased $300 million (20.9%) to $1,738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increased $316 million (22.0%) to $1,754 million due to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3"/>
                <w:szCs w:val="23"/>
                <w:color w:val="auto"/>
                <w:vertAlign w:val="superscript"/>
              </w:rPr>
              <w:t>(4)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Acquisition integration costs and</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34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Operating results from divestitures </w:t>
            </w:r>
            <w:r>
              <w:rPr>
                <w:rFonts w:ascii="Arial" w:cs="Arial" w:eastAsia="Arial" w:hAnsi="Arial"/>
                <w:sz w:val="23"/>
                <w:szCs w:val="23"/>
                <w:color w:val="auto"/>
                <w:vertAlign w:val="superscript"/>
              </w:rPr>
              <w:t>(5)</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ERP System Implementation costs </w:t>
            </w:r>
            <w:r>
              <w:rPr>
                <w:rFonts w:ascii="Arial" w:cs="Arial" w:eastAsia="Arial" w:hAnsi="Arial"/>
                <w:sz w:val="23"/>
                <w:szCs w:val="23"/>
                <w:color w:val="auto"/>
                <w:vertAlign w:val="superscript"/>
              </w:rPr>
              <w:t>(7)</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1,738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20.9 %</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22.0 %</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6"/>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Operating Income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net pricing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Higher input costs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(85)</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volume/mix</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Higher selling, general and administrative expenses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(53)</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amortization of intangible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Higher asset impairment charges</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w:t>
            </w: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316</w:t>
            </w:r>
          </w:p>
        </w:tc>
        <w:tc>
          <w:tcPr>
            <w:tcW w:w="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additional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additional information on the unrealized gains/losses on commodity and forecasted currency transaction derivatives.</w:t>
      </w:r>
    </w:p>
    <w:p>
      <w:pPr>
        <w:ind w:left="340" w:hanging="332"/>
        <w:spacing w:after="0" w:line="251"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for additional information on the October 1, 2023 sale of the developed market gum business. Refer to Note 2, </w:t>
      </w:r>
      <w:r>
        <w:rPr>
          <w:rFonts w:ascii="Arial" w:cs="Arial" w:eastAsia="Arial" w:hAnsi="Arial"/>
          <w:sz w:val="14"/>
          <w:szCs w:val="14"/>
          <w:i w:val="1"/>
          <w:iCs w:val="1"/>
          <w:color w:val="auto"/>
        </w:rPr>
        <w:t>Acquisitions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and Divestitures </w:t>
      </w:r>
      <w:r>
        <w:rPr>
          <w:rFonts w:ascii="Arial" w:cs="Arial" w:eastAsia="Arial" w:hAnsi="Arial"/>
          <w:sz w:val="14"/>
          <w:szCs w:val="14"/>
          <w:color w:val="auto"/>
        </w:rPr>
        <w:t>in our Annual Report on Form 10-K for the year ended December 31, 2023 for additional information on our 2022 acquisitions.</w:t>
      </w:r>
    </w:p>
    <w:p>
      <w:pPr>
        <w:ind w:left="340" w:right="20" w:hanging="332"/>
        <w:spacing w:after="0" w:line="261"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information on our accounting for the war in Ukraine and our application of highly inflationary accounting for Argentina and Türkiye.</w:t>
      </w:r>
    </w:p>
    <w:p>
      <w:pPr>
        <w:spacing w:after="0" w:line="175"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MD&amp;A Headlines, </w:t>
      </w:r>
      <w:r>
        <w:rPr>
          <w:rFonts w:ascii="Arial" w:cs="Arial" w:eastAsia="Arial" w:hAnsi="Arial"/>
          <w:sz w:val="14"/>
          <w:szCs w:val="14"/>
          <w:i w:val="1"/>
          <w:iCs w:val="1"/>
          <w:color w:val="auto"/>
        </w:rPr>
        <w:t>ERP System Implementation</w:t>
      </w:r>
      <w:r>
        <w:rPr>
          <w:rFonts w:ascii="Arial" w:cs="Arial" w:eastAsia="Arial" w:hAnsi="Arial"/>
          <w:sz w:val="14"/>
          <w:szCs w:val="14"/>
          <w:color w:val="auto"/>
        </w:rPr>
        <w: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134620</wp:posOffset>
            </wp:positionV>
            <wp:extent cx="248920"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third quarter of 2024, we realized higher net pricing and favorable volume/mix, which were partially offset by increased input costs. Higher net pricing, which included the carryover impact of pricing actions taken in 2023 as well as the effects of input cost-driven pricing actions taken during the first nine months of 2024, was reflected across all regions. Favorable volume/mix was driven by gains in Europe and North America, partially offset by declines in Latin America and AMEA. The increase in input costs was driven by higher raw material costs, partially offset by lower manufacturing costs due to productivity. Higher raw material costs were in part due to higher cocoa, sugar, nuts, dairy and other ingredient costs, as well as unfavorable year-over-year currency exchange transaction costs on imported materials, partially offset by lower energy, edible oils, packaging, and grains costs.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selling, general and administrative expenses decreased $389 million from the third quarter of 2023, which was net of benefits from a number of factors noted in the table above, including in part, a favorable contingent consideration adjustment related to the Clif Bar acquisition and lower acquisition integration costs, the elimination of costs from the developed market gum business divested in 2023, a favorable currency translation impact related to expenses, lower divestiture-related costs and lower remeasurement loss of net monetary position, partially offset by costs incurred for the ERP System Implementation program and higher implementation costs incurred for the Simplify to Grow program. Excluding these factors, selling, general and administrative expenses increased $53 million from the third quarter of 2023. The increase was driven primarily by higher advertising and consumer promotion costs and higher overhead costs in part due to increased investments in route to market capabilities.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Unfavorable currency-related items, net of the adjustment for extreme pricing in Argentina, decreased operating income by $16 million primarily due to the strength of the U.S. dollar relative to several currencies, including the Argentinean peso, Brazilian real, Egyptian pound and Mexican peso, partially offset by the strength of several currencies relative to the U.S. dollar, primarily the British pound sterling, Russian ruble and euro.</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margin decreased from 15.3% in the third quarter of 2023 to 12.5% in the third quarter of 2024. The decrease in operating income margin was driven primarily by the unfavorable year-over-year change in mark-to-market gains/(losses) from commodity and currency hedging activities, higher intangible asset impairment charges, the impact from the developed market gum business divested in 2023 and costs incurred for the ERP System Implementation program, partially offset by favorable year-over-year change in acquisition integration costs and contingent consideration adjustments, higher Adjusted Operating Income margin, lower divestiture-related costs, lower remeasurement loss of net monetary position and lower costs incurred for the Simplify to Grow program. Adjusted Operating Income margin increased from 16.2% for the third quarter of 2023 to 18.9% for the third quarter of 2024. The increase was driven primarily by higher net pricing, lower manufacturing costs driven by productivity and overhead cost leverage, partially offset by higher raw material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120650</wp:posOffset>
            </wp:positionV>
            <wp:extent cx="24892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$ 853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$131 million (13.3%) in the third quarter of 2024. Diluted EPS attributable to Mondelēz International was $0.63 in the third quarter of 2024, down $0.09 (12.5%) from the third quarter of 2023.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$0.99 in the third quarter of 2024, up $0.22 (28.6%) from the third quarter of 2023.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$0.99 in the third quarter of 2024, up $0.22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(28.6%) from the third quarter of 2023.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26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9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6"/>
                <w:szCs w:val="16"/>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1"/>
                <w:szCs w:val="21"/>
                <w:color w:val="auto"/>
                <w:vertAlign w:val="superscript"/>
              </w:rPr>
              <w:t>(2)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Acquisition integration costs and</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34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Operating results from divestitures </w:t>
            </w:r>
            <w:r>
              <w:rPr>
                <w:rFonts w:ascii="Arial" w:cs="Arial" w:eastAsia="Arial" w:hAnsi="Arial"/>
                <w:sz w:val="21"/>
                <w:szCs w:val="21"/>
                <w:color w:val="auto"/>
                <w:vertAlign w:val="superscript"/>
              </w:rPr>
              <w:t>(2)</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ERP System Implementation costs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Gain on marketable securities </w:t>
            </w:r>
            <w:r>
              <w:rPr>
                <w:rFonts w:ascii="Arial" w:cs="Arial" w:eastAsia="Arial" w:hAnsi="Arial"/>
                <w:sz w:val="23"/>
                <w:szCs w:val="23"/>
                <w:color w:val="auto"/>
                <w:vertAlign w:val="superscript"/>
              </w:rPr>
              <w:t>(4)</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(5)</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3"/>
                <w:szCs w:val="23"/>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0.99</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0.77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28.6 %</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Currency-related items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0.99</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0.22</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28.6 %</w:t>
            </w: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EPS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operations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Change in interest and other expense, net </w:t>
            </w:r>
            <w:r>
              <w:rPr>
                <w:rFonts w:ascii="Arial" w:cs="Arial" w:eastAsia="Arial" w:hAnsi="Arial"/>
                <w:sz w:val="23"/>
                <w:szCs w:val="23"/>
                <w:color w:val="auto"/>
                <w:vertAlign w:val="superscript"/>
              </w:rPr>
              <w:t>(6)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equity method investment net earnings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Change in income taxes </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Change in shares outstanding </w:t>
            </w:r>
            <w:r>
              <w:rPr>
                <w:rFonts w:ascii="Arial" w:cs="Arial" w:eastAsia="Arial" w:hAnsi="Arial"/>
                <w:sz w:val="23"/>
                <w:szCs w:val="23"/>
                <w:color w:val="auto"/>
                <w:vertAlign w:val="superscript"/>
              </w:rPr>
              <w:t>(7)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40" w:type="dxa"/>
            <w:vAlign w:val="bottom"/>
            <w:tcBorders>
              <w:bottom w:val="single" w:sz="8" w:color="auto"/>
            </w:tcBorders>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EPS (constant currency) </w:t>
            </w:r>
            <w:r>
              <w:rPr>
                <w:rFonts w:ascii="Arial" w:cs="Arial" w:eastAsia="Arial" w:hAnsi="Arial"/>
                <w:sz w:val="23"/>
                <w:szCs w:val="23"/>
                <w:b w:val="1"/>
                <w:bCs w:val="1"/>
                <w:color w:val="auto"/>
                <w:vertAlign w:val="superscript"/>
              </w:rPr>
              <w:t>(1)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0.22</w:t>
            </w:r>
          </w:p>
        </w:tc>
        <w:tc>
          <w:tcPr>
            <w:tcW w:w="4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hanging="332"/>
        <w:spacing w:after="0" w:line="26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 The tax expense/(benefit) of each of the pre-tax items excluded from our U.S. GAAP results was computed based on the facts and tax assumptions associated with each item, and such impacts have also been excluded from Adjusted EPS.</w:t>
      </w:r>
    </w:p>
    <w:p>
      <w:pPr>
        <w:spacing w:after="0" w:line="1" w:lineRule="exact"/>
        <w:rPr>
          <w:rFonts w:ascii="Arial" w:cs="Arial" w:eastAsia="Arial" w:hAnsi="Arial"/>
          <w:sz w:val="14"/>
          <w:szCs w:val="14"/>
          <w:color w:val="auto"/>
        </w:rPr>
      </w:pPr>
    </w:p>
    <w:p>
      <w:pPr>
        <w:jc w:val="both"/>
        <w:ind w:left="660" w:hanging="328"/>
        <w:spacing w:after="0" w:line="276" w:lineRule="auto"/>
        <w:tabs>
          <w:tab w:leader="none" w:pos="656" w:val="left"/>
        </w:tabs>
        <w:numPr>
          <w:ilvl w:val="1"/>
          <w:numId w:val="24"/>
        </w:numPr>
        <w:rPr>
          <w:rFonts w:ascii="Arial" w:cs="Arial" w:eastAsia="Arial" w:hAnsi="Arial"/>
          <w:sz w:val="14"/>
          <w:szCs w:val="14"/>
          <w:color w:val="auto"/>
        </w:rPr>
      </w:pPr>
      <w:r>
        <w:rPr>
          <w:rFonts w:ascii="Arial" w:cs="Arial" w:eastAsia="Arial" w:hAnsi="Arial"/>
          <w:sz w:val="14"/>
          <w:szCs w:val="14"/>
          <w:color w:val="auto"/>
        </w:rPr>
        <w:t>For the three months ended September 30, 2024, taxes for the: Simplify to Grow Program were $(2) million, intangible asset impairment charges were $(40) million, mark-to-market losses from derivatives were $(144) million, acquisition integration costs and contingent consideration adjustments were $84 million, ERP System Implementation program were $(6) million, remeasurement of net monetary position were zero, initial impacts from enacted tax law changes were $(11) million and equity method investee items were zero.</w:t>
      </w:r>
    </w:p>
    <w:p>
      <w:pPr>
        <w:spacing w:after="0" w:line="1" w:lineRule="exact"/>
        <w:rPr>
          <w:rFonts w:ascii="Arial" w:cs="Arial" w:eastAsia="Arial" w:hAnsi="Arial"/>
          <w:sz w:val="14"/>
          <w:szCs w:val="14"/>
          <w:color w:val="auto"/>
        </w:rPr>
      </w:pPr>
    </w:p>
    <w:p>
      <w:pPr>
        <w:jc w:val="both"/>
        <w:ind w:left="660" w:hanging="328"/>
        <w:spacing w:after="0" w:line="256" w:lineRule="auto"/>
        <w:tabs>
          <w:tab w:leader="none" w:pos="656" w:val="left"/>
        </w:tabs>
        <w:numPr>
          <w:ilvl w:val="1"/>
          <w:numId w:val="24"/>
        </w:numPr>
        <w:rPr>
          <w:rFonts w:ascii="Arial" w:cs="Arial" w:eastAsia="Arial" w:hAnsi="Arial"/>
          <w:sz w:val="14"/>
          <w:szCs w:val="14"/>
          <w:color w:val="auto"/>
        </w:rPr>
      </w:pPr>
      <w:r>
        <w:rPr>
          <w:rFonts w:ascii="Arial" w:cs="Arial" w:eastAsia="Arial" w:hAnsi="Arial"/>
          <w:sz w:val="14"/>
          <w:szCs w:val="14"/>
          <w:color w:val="auto"/>
        </w:rPr>
        <w:t>For the three months ended September 30, 2023, taxes for the: Simplify to Grow Program were $(2) million, intangible asset impairment charges were $(6) million, mark-to-market gains from derivatives were $9 million, acquisition integration costs and contingent consideration adjustments were $(17) million, divestiture-related costs were $(14) million, operating results from divestitures were $17 million, remeasurement of net monetary position were zero, initial impacts from enacted tax law changes were $13 million, gain on marketable securities were $(21) million and equity method investee items were zero.</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additional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additional information on the items affecting income taxes.</w:t>
      </w:r>
    </w:p>
    <w:p>
      <w:pPr>
        <w:spacing w:after="0" w:line="1" w:lineRule="exact"/>
        <w:rPr>
          <w:rFonts w:ascii="Arial" w:cs="Arial" w:eastAsia="Arial" w:hAnsi="Arial"/>
          <w:sz w:val="14"/>
          <w:szCs w:val="14"/>
          <w:color w:val="auto"/>
        </w:rPr>
      </w:pPr>
    </w:p>
    <w:p>
      <w:pPr>
        <w:ind w:left="340" w:right="20" w:hanging="332"/>
        <w:spacing w:after="0" w:line="26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Investments</w:t>
      </w:r>
      <w:r>
        <w:rPr>
          <w:rFonts w:ascii="Arial" w:cs="Arial" w:eastAsia="Arial" w:hAnsi="Arial"/>
          <w:sz w:val="14"/>
          <w:szCs w:val="14"/>
          <w:color w:val="auto"/>
        </w:rPr>
        <w:t>, for additional information on gains/losses (including non-cash impairment charges) on equity method investment transactions and marketable securities.</w:t>
      </w:r>
    </w:p>
    <w:p>
      <w:pPr>
        <w:ind w:left="340" w:right="20" w:hanging="332"/>
        <w:spacing w:after="0" w:line="26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equity method investee, such as acquisition and divestiture-related costs and restructuring program costs.</w:t>
      </w: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non-U.S. dollar-denominated debt, which is included in currency translation.</w:t>
      </w:r>
    </w:p>
    <w:p>
      <w:pPr>
        <w:spacing w:after="0" w:line="1"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additional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260985</wp:posOffset>
            </wp:positionV>
            <wp:extent cx="248920" cy="240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57"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For the Nine Months Ended</w:t>
      </w:r>
    </w:p>
    <w:p>
      <w:pPr>
        <w:spacing w:after="0" w:line="2"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5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26,837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26,702</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9"/>
        </w:trPr>
        <w:tc>
          <w:tcPr>
            <w:tcW w:w="510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4,734</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4,309</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176"/>
        </w:trPr>
        <w:tc>
          <w:tcPr>
            <w:tcW w:w="51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Net earnings attributable to</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2,866</w:t>
            </w:r>
          </w:p>
        </w:tc>
        <w:tc>
          <w:tcPr>
            <w:tcW w:w="4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4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100" w:type="dxa"/>
            <w:vAlign w:val="bottom"/>
          </w:tcPr>
          <w:p>
            <w:pPr>
              <w:ind w:left="56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340" w:type="dxa"/>
            <w:vAlign w:val="bottom"/>
          </w:tcPr>
          <w:p>
            <w:pPr>
              <w:spacing w:after="0"/>
              <w:rPr>
                <w:sz w:val="15"/>
                <w:szCs w:val="15"/>
                <w:color w:val="auto"/>
              </w:rPr>
            </w:pPr>
          </w:p>
        </w:tc>
        <w:tc>
          <w:tcPr>
            <w:tcW w:w="1100" w:type="dxa"/>
            <w:vAlign w:val="bottom"/>
            <w:vMerge w:val="restart"/>
          </w:tcPr>
          <w:p>
            <w:pPr>
              <w:jc w:val="right"/>
              <w:ind w:right="16"/>
              <w:spacing w:after="0"/>
              <w:rPr>
                <w:sz w:val="20"/>
                <w:szCs w:val="20"/>
                <w:color w:val="auto"/>
              </w:rPr>
            </w:pPr>
            <w:r>
              <w:rPr>
                <w:rFonts w:ascii="Arial" w:cs="Arial" w:eastAsia="Arial" w:hAnsi="Arial"/>
                <w:sz w:val="18"/>
                <w:szCs w:val="18"/>
                <w:color w:val="auto"/>
              </w:rPr>
              <w:t>2.12</w:t>
            </w:r>
          </w:p>
        </w:tc>
        <w:tc>
          <w:tcPr>
            <w:tcW w:w="4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2.92</w:t>
            </w:r>
          </w:p>
        </w:tc>
        <w:tc>
          <w:tcPr>
            <w:tcW w:w="4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7"/>
        </w:trPr>
        <w:tc>
          <w:tcPr>
            <w:tcW w:w="510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$135 million (0.5%) to $26,837 million in the first nine months of 2024, and Organic Net Revenue</w:t>
      </w:r>
      <w:r>
        <w:rPr>
          <w:rFonts w:ascii="Arial" w:cs="Arial" w:eastAsia="Arial" w:hAnsi="Arial"/>
          <w:sz w:val="18"/>
          <w:szCs w:val="18"/>
          <w:i w:val="1"/>
          <w:iCs w:val="1"/>
          <w:color w:val="auto"/>
        </w:rPr>
        <w:t xml:space="preserve"> </w:t>
      </w:r>
      <w:r>
        <w:rPr>
          <w:rFonts w:ascii="Arial" w:cs="Arial" w:eastAsia="Arial" w:hAnsi="Arial"/>
          <w:sz w:val="23"/>
          <w:szCs w:val="23"/>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increased $1,061 million (4.0%) to $27,280 million. Emerging markets net revenues increased 0.9% and emerging markets Organic Net Revenue increased 6.0%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Developed markets net revenues increased 0.3% and developed markets Organic Net Revenue increased 2.8% </w:t>
      </w:r>
      <w:r>
        <w:rPr>
          <w:rFonts w:ascii="Arial" w:cs="Arial" w:eastAsia="Arial" w:hAnsi="Arial"/>
          <w:sz w:val="23"/>
          <w:szCs w:val="23"/>
          <w:color w:val="auto"/>
          <w:vertAlign w:val="superscript"/>
        </w:rPr>
        <w:t>(1)</w:t>
      </w:r>
      <w:r>
        <w:rPr>
          <w:rFonts w:ascii="Arial" w:cs="Arial" w:eastAsia="Arial" w:hAnsi="Arial"/>
          <w:sz w:val="18"/>
          <w:szCs w:val="18"/>
          <w:color w:val="auto"/>
        </w:rPr>
        <w:t>. The underlying changes in net revenues and Organic Net Revenue are detailed below:</w:t>
      </w: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70"/>
              <w:spacing w:after="0" w:line="167" w:lineRule="exact"/>
              <w:rPr>
                <w:sz w:val="20"/>
                <w:szCs w:val="20"/>
                <w:color w:val="auto"/>
              </w:rPr>
            </w:pPr>
            <w:r>
              <w:rPr>
                <w:rFonts w:ascii="Arial" w:cs="Arial" w:eastAsia="Arial" w:hAnsi="Arial"/>
                <w:sz w:val="18"/>
                <w:szCs w:val="18"/>
                <w:b w:val="1"/>
                <w:bCs w:val="1"/>
                <w:color w:val="auto"/>
              </w:rPr>
              <w:t>Emerging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30"/>
              <w:spacing w:after="0" w:line="167" w:lineRule="exact"/>
              <w:rPr>
                <w:sz w:val="20"/>
                <w:szCs w:val="20"/>
                <w:color w:val="auto"/>
              </w:rPr>
            </w:pPr>
            <w:r>
              <w:rPr>
                <w:rFonts w:ascii="Arial" w:cs="Arial" w:eastAsia="Arial" w:hAnsi="Arial"/>
                <w:sz w:val="18"/>
                <w:szCs w:val="18"/>
                <w:b w:val="1"/>
                <w:bCs w:val="1"/>
                <w:color w:val="auto"/>
              </w:rPr>
              <w:t>Developed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10"/>
              <w:spacing w:after="0" w:line="167" w:lineRule="exact"/>
              <w:rPr>
                <w:sz w:val="20"/>
                <w:szCs w:val="20"/>
                <w:color w:val="auto"/>
              </w:rPr>
            </w:pPr>
            <w:r>
              <w:rPr>
                <w:rFonts w:ascii="Arial" w:cs="Arial" w:eastAsia="Arial" w:hAnsi="Arial"/>
                <w:sz w:val="18"/>
                <w:szCs w:val="18"/>
                <w:b w:val="1"/>
                <w:bCs w:val="1"/>
                <w:color w:val="auto"/>
              </w:rPr>
              <w:t>Mondelēz</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540" w:type="dxa"/>
            <w:vAlign w:val="bottom"/>
            <w:tcBorders>
              <w:bottom w:val="single" w:sz="8" w:color="CCEEFF"/>
            </w:tcBorders>
          </w:tcPr>
          <w:p>
            <w:pPr>
              <w:spacing w:after="0"/>
              <w:rPr>
                <w:sz w:val="21"/>
                <w:szCs w:val="21"/>
                <w:color w:val="auto"/>
              </w:rPr>
            </w:pPr>
          </w:p>
        </w:tc>
        <w:tc>
          <w:tcPr>
            <w:tcW w:w="28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42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9"/>
              </w:rPr>
              <w:t>Nine Months Ended September 30, 2024</w:t>
            </w:r>
          </w:p>
        </w:tc>
        <w:tc>
          <w:tcPr>
            <w:tcW w:w="28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Reported (GAAP)</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10,523</w:t>
            </w:r>
          </w:p>
        </w:tc>
        <w:tc>
          <w:tcPr>
            <w:tcW w:w="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16,314</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26,837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distributor agreements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Currency-related items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11,049</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16,231</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27,280</w:t>
            </w: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6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Nine Months Ended September 30, 2023</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2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54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Reported (GAAP)</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10,431</w:t>
            </w:r>
          </w:p>
        </w:tc>
        <w:tc>
          <w:tcPr>
            <w:tcW w:w="5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16,271</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26,702</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Divestitures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10,427</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15,792</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26,219</w:t>
            </w: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6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 Change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2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Reported (GAAP)</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Divestitures</w:t>
            </w:r>
          </w:p>
        </w:tc>
        <w:tc>
          <w:tcPr>
            <w:tcW w:w="240" w:type="dxa"/>
            <w:vAlign w:val="bottom"/>
          </w:tcPr>
          <w:p>
            <w:pPr>
              <w:spacing w:after="0"/>
              <w:rPr>
                <w:sz w:val="19"/>
                <w:szCs w:val="19"/>
                <w:color w:val="auto"/>
              </w:rPr>
            </w:pPr>
          </w:p>
        </w:tc>
        <w:tc>
          <w:tcPr>
            <w:tcW w:w="1640" w:type="dxa"/>
            <w:vAlign w:val="bottom"/>
            <w:gridSpan w:val="4"/>
          </w:tcPr>
          <w:p>
            <w:pPr>
              <w:jc w:val="right"/>
              <w:ind w:right="250"/>
              <w:spacing w:after="0"/>
              <w:rPr>
                <w:sz w:val="20"/>
                <w:szCs w:val="20"/>
                <w:color w:val="auto"/>
              </w:rPr>
            </w:pPr>
            <w:r>
              <w:rPr>
                <w:rFonts w:ascii="Arial" w:cs="Arial" w:eastAsia="Arial" w:hAnsi="Arial"/>
                <w:sz w:val="18"/>
                <w:szCs w:val="18"/>
                <w:color w:val="auto"/>
              </w:rPr>
              <w:t>- pp</w:t>
            </w:r>
          </w:p>
        </w:tc>
        <w:tc>
          <w:tcPr>
            <w:tcW w:w="1660" w:type="dxa"/>
            <w:vAlign w:val="bottom"/>
            <w:gridSpan w:val="4"/>
          </w:tcPr>
          <w:p>
            <w:pPr>
              <w:jc w:val="right"/>
              <w:ind w:right="230"/>
              <w:spacing w:after="0"/>
              <w:rPr>
                <w:sz w:val="20"/>
                <w:szCs w:val="20"/>
                <w:color w:val="auto"/>
              </w:rPr>
            </w:pPr>
            <w:r>
              <w:rPr>
                <w:rFonts w:ascii="Arial" w:cs="Arial" w:eastAsia="Arial" w:hAnsi="Arial"/>
                <w:sz w:val="18"/>
                <w:szCs w:val="18"/>
                <w:color w:val="auto"/>
              </w:rPr>
              <w:t>3.0 pp</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 pp</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distributor agreements</w:t>
            </w:r>
          </w:p>
        </w:tc>
        <w:tc>
          <w:tcPr>
            <w:tcW w:w="2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Currency-related items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Vol/Mix</w:t>
            </w: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tcBorders>
              <w:top w:val="single" w:sz="8" w:color="CCEEFF"/>
            </w:tcBorders>
            <w:gridSpan w:val="3"/>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(1.0)pp</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(1.6)pp</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(1.4)pp</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Pricing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Net revenue increase of 0.5% was driven by our underlying Organic Net Revenue growth of 4.0% and the impact of a short-term distributor agreement, partially offset by the impact of our 2023 divestiture of the developed market gum business and unfavorable currency-related items. Organic Net Revenue growth was driven by higher net pricing, partially offset by unfavorable volume/mix. Higher net pricing in all regions was due to the benefit of carryover pricing from 2023 as well as the effects of input cost-driven pricing actions taken during the first nine months of 2024. Overall, unfavorable volume/mix was driven by volume declines, due to the impact of expected customer price negotiation disruptions in Europe, softer consumer demand in the U.S. and Mexico and geopolitical impacts in parts of AMEA, which were partially offset by favorable product mix. Unfavorable volume/mix was reflected across all regions. The short-term distributor agreement related to the October 1, 2023 sale of our developed market gum business added incremental net revenues of $25 million for the first nine months of 2024. The impact of our 2023 divestiture of the developed market gum business resulted in a year-over-year reduction in net revenues of $ 483 million for the first nine months of 2024.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 Currency-related items decreased net revenues by $468 million, driven by unfavorable currency translation rate changes, partially offset by the adjustment for extreme pricing in Argentina. Refer to </w:t>
      </w:r>
      <w:r>
        <w:rPr>
          <w:rFonts w:ascii="Arial" w:cs="Arial" w:eastAsia="Arial" w:hAnsi="Arial"/>
          <w:sz w:val="18"/>
          <w:szCs w:val="18"/>
          <w:i w:val="1"/>
          <w:iCs w:val="1"/>
          <w:color w:val="auto"/>
        </w:rPr>
        <w:t>Recent Developments and Significant Items Affecting Comparability</w:t>
      </w:r>
      <w:r>
        <w:rPr>
          <w:rFonts w:ascii="Arial" w:cs="Arial" w:eastAsia="Arial" w:hAnsi="Arial"/>
          <w:sz w:val="18"/>
          <w:szCs w:val="18"/>
          <w:color w:val="auto"/>
        </w:rPr>
        <w:t xml:space="preserve"> for additional information. Unfavorable currency translation rate changes were due to the strength of the U.S. dollar relative to several currencies, primarily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-32385</wp:posOffset>
            </wp:positionV>
            <wp:extent cx="248920"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Argentinean peso, as well as the Nigerian naira, Turkish Lira, Russian ruble, Brazilian real, Egyptian pound and Chinese yuan, partially offset by the strength of several currencies relative to the U.S. dollar, including the British pound sterling, Polish zloty, euro, Colombian peso and Mexican peso.</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$425 million (9.9%) to $4,734 million in the first nine months of 2024.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0"/>
          <w:szCs w:val="10"/>
          <w:color w:val="auto"/>
        </w:rPr>
        <w:t>(1)</w:t>
      </w:r>
      <w:r>
        <w:rPr>
          <w:rFonts w:ascii="Arial" w:cs="Arial" w:eastAsia="Arial" w:hAnsi="Arial"/>
          <w:sz w:val="18"/>
          <w:szCs w:val="18"/>
          <w:color w:val="auto"/>
        </w:rPr>
        <w:t xml:space="preserve"> increased $709 million (16.8%) to $4,940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increased $852 million (20.1%) to $5,083 million due to the following:</w:t>
      </w:r>
    </w:p>
    <w:tbl>
      <w:tblPr>
        <w:tblLayout w:type="fixed"/>
        <w:tblInd w:w="0" w:type="dxa"/>
        <w:tblCellMar>
          <w:top w:w="0" w:type="dxa"/>
          <w:left w:w="0" w:type="dxa"/>
          <w:bottom w:w="0" w:type="dxa"/>
          <w:right w:w="0" w:type="dxa"/>
        </w:tblCellMar>
      </w:tblPr>
      <w:tr>
        <w:trPr>
          <w:trHeight w:val="153"/>
        </w:trPr>
        <w:tc>
          <w:tcPr>
            <w:tcW w:w="5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rPr>
              <w:t>For the Nine Months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5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9.9 %</w:t>
            </w: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3"/>
                <w:szCs w:val="23"/>
                <w:color w:val="auto"/>
                <w:vertAlign w:val="superscript"/>
              </w:rPr>
              <w:t>(4)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Acquisition integration costs and</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34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Operating results from divestitures </w:t>
            </w:r>
            <w:r>
              <w:rPr>
                <w:rFonts w:ascii="Arial" w:cs="Arial" w:eastAsia="Arial" w:hAnsi="Arial"/>
                <w:sz w:val="23"/>
                <w:szCs w:val="23"/>
                <w:color w:val="auto"/>
                <w:vertAlign w:val="superscript"/>
              </w:rPr>
              <w:t>(5)</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from short-term distributor agreements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European Commission legal matter</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ERP System Implementation costs </w:t>
            </w:r>
            <w:r>
              <w:rPr>
                <w:rFonts w:ascii="Arial" w:cs="Arial" w:eastAsia="Arial" w:hAnsi="Arial"/>
                <w:sz w:val="23"/>
                <w:szCs w:val="23"/>
                <w:color w:val="auto"/>
                <w:vertAlign w:val="superscript"/>
              </w:rPr>
              <w:t>(7)</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4,940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4,231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709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16.8 %</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20.1 %</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5"/>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Operating Income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net pricing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1,417</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Higher input costs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(190)</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volume/mix</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Higher selling, general and administrative expenses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(270)</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amortization of intangible assets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Lower asset impairment charges</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auto"/>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6"/>
                <w:szCs w:val="16"/>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852</w:t>
            </w:r>
          </w:p>
        </w:tc>
        <w:tc>
          <w:tcPr>
            <w:tcW w:w="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Note 16,</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hanging="332"/>
        <w:spacing w:after="0" w:line="251"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for additional information on the October 1, 2023 sale of the developed market gum business. Refer to Note 2, </w:t>
      </w:r>
      <w:r>
        <w:rPr>
          <w:rFonts w:ascii="Arial" w:cs="Arial" w:eastAsia="Arial" w:hAnsi="Arial"/>
          <w:sz w:val="14"/>
          <w:szCs w:val="14"/>
          <w:i w:val="1"/>
          <w:iCs w:val="1"/>
          <w:color w:val="auto"/>
        </w:rPr>
        <w:t>Acquisitions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and Divestitures </w:t>
      </w:r>
      <w:r>
        <w:rPr>
          <w:rFonts w:ascii="Arial" w:cs="Arial" w:eastAsia="Arial" w:hAnsi="Arial"/>
          <w:sz w:val="14"/>
          <w:szCs w:val="14"/>
          <w:color w:val="auto"/>
        </w:rPr>
        <w:t>in our Annual Report on Form 10-K for the year ended December 31, 2023 for additional information on our 2022 acquisitions.</w:t>
      </w:r>
    </w:p>
    <w:p>
      <w:pPr>
        <w:ind w:left="340" w:right="20" w:hanging="332"/>
        <w:spacing w:after="0" w:line="261"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information on our accounting for the war in Ukraine and our application of highly inflationary accounting for Argentina and Türkiye.</w:t>
      </w:r>
    </w:p>
    <w:p>
      <w:pPr>
        <w:spacing w:after="0" w:line="175" w:lineRule="exact"/>
        <w:rPr>
          <w:rFonts w:ascii="Arial" w:cs="Arial" w:eastAsia="Arial" w:hAnsi="Arial"/>
          <w:sz w:val="14"/>
          <w:szCs w:val="14"/>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Refer to MD&amp;A Headlines, </w:t>
      </w:r>
      <w:r>
        <w:rPr>
          <w:rFonts w:ascii="Arial" w:cs="Arial" w:eastAsia="Arial" w:hAnsi="Arial"/>
          <w:sz w:val="14"/>
          <w:szCs w:val="14"/>
          <w:i w:val="1"/>
          <w:iCs w:val="1"/>
          <w:color w:val="auto"/>
        </w:rPr>
        <w:t>ERP System Implementation</w:t>
      </w:r>
      <w:r>
        <w:rPr>
          <w:rFonts w:ascii="Arial" w:cs="Arial" w:eastAsia="Arial" w:hAnsi="Arial"/>
          <w:sz w:val="14"/>
          <w:szCs w:val="14"/>
          <w:color w:val="auto"/>
        </w:rPr>
        <w:t>,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288925</wp:posOffset>
            </wp:positionV>
            <wp:extent cx="248920"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nine months of 2024, we realized higher net pricing, which was partially offset by increased input costs and unfavorable volume/mix. Higher net pricing, which included the carryover impact of pricing actions taken in 2023 as well as the effects of input cost-driven pricing actions taken during the first nine months of 2024, was reflected across all regions. The increase in input costs was driven by higher raw material costs, partially offset by lower manufacturing costs driven by productivity. Higher raw material costs were in part due to higher cocoa, sugar, nuts and other ingredient costs, as well as unfavorable year-over-year currency exchange transaction costs on imported materials, partially offset by lower energy, dairy, edible oils, grains and packaging costs. Overall, unfavorable volume/mix was due to volume declines partially offset by favorable product mix. Unfavorable volume/mix was experienced in all regions.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Total selling, general and administrative expenses decreased $284 million from the first nine months of 2023, which was net of benefits from a number of factors noted in the table above, including in part, a favorable contingent consideration adjustment related to the Clif Bar acquisition and lower acquisition integration costs, the elimination of costs from the developed market gum business divested in 2023, lower divestiture-related costs, lower remeasurement loss of net monetary position and a favorable currency translation impact related to expenses, marginally offset by costs incurred for the ERP System Implementation program and higher implementation costs incurred for the Simplify to Grow program. Excluding these factors, selling, general and administrative expenses increased $ 270 million from the first nine months of 2023. The increase was driven primarily by higher advertising and consumer promotion costs and higher overhead costs in part due to increased investments in route to market capabilities.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Unfavorable currency changes, net of the adjustment for extreme pricing in Argentina, decreased operating income by $143 million primarily due to the strength of the U.S. dollar relative to most currencies, including the Argentinean peso, Russian ruble, Egyptian pound, Chinese yuan, Turkish lira and Nigerian naira, partially offset by the strength of a few currencies relative to the U.S. dollar, primarily the British pound sterling, Polish zloty, euro and Mexican peso.</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margin increased from 16.1% in the first nine months of 2023 to 17.6% in the first nine months of 2024. The increase was driven primarily by higher Adjusted Operating Income margin, favorable year-over-year change in acquisition integration costs and contingent consideration adjustments, lower divestiture-related costs and lower remeasurement loss of net monetary position, partially offset by unfavorable year-over-year change in mark-to-market gains/(losses) from commodity and currency hedging activities, the impact from the developed market gum business divested in 2023, costs incurred for the ERP System Implementation program and higher costs incurred for the Simplify to Grow program. Adjusted Operating Income margin increased from 16.1% for the first nine months of 2023 to 18.4% for the first nine months of 2024. The increase was driven primarily by higher net pricing, lower manufacturing costs driven by productivity and overhead leverage, partially offset by higher raw material costs and higher advertising and consumer promotion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-33020</wp:posOffset>
            </wp:positionV>
            <wp:extent cx="248920" cy="2400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30"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$2,866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decreased by $1,143 million (28.5%) in the first nine months of 2024. Diluted EPS attributable to Mondelēz International was $2.12 in the first nine months of 2024, down $ 0.80 (27.4%) from the first nine months of 2023.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$2.80 in the first nine months of 2024, up $0.45 (19.1%) from the first nine months of 2023.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$2.89 in the first nine months of 2024, up $0.54 (23.0%) from the first nine months of 2023.</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Nine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9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(0.80)</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w:t>
            </w: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21"/>
                <w:szCs w:val="21"/>
                <w:color w:val="auto"/>
                <w:vertAlign w:val="superscript"/>
              </w:rPr>
              <w:t>(2)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Acquisition integration costs and</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34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Operating results from divestitures </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ERP System Implementation costs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Gain on marketable securities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180"/>
              <w:spacing w:after="0" w:line="176" w:lineRule="exact"/>
              <w:rPr>
                <w:sz w:val="20"/>
                <w:szCs w:val="20"/>
                <w:color w:val="auto"/>
              </w:rPr>
            </w:pPr>
            <w:r>
              <w:rPr>
                <w:rFonts w:ascii="Arial" w:cs="Arial" w:eastAsia="Arial" w:hAnsi="Arial"/>
                <w:sz w:val="18"/>
                <w:szCs w:val="18"/>
                <w:color w:val="auto"/>
              </w:rPr>
              <w:t>Losses/(gains) on equity method investment transactions including</w:t>
            </w: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impairments </w:t>
            </w:r>
            <w:r>
              <w:rPr>
                <w:rFonts w:ascii="Arial" w:cs="Arial" w:eastAsia="Arial" w:hAnsi="Arial"/>
                <w:sz w:val="23"/>
                <w:szCs w:val="23"/>
                <w:color w:val="auto"/>
                <w:vertAlign w:val="superscript"/>
              </w:rPr>
              <w:t>(4)</w:t>
            </w:r>
          </w:p>
        </w:tc>
        <w:tc>
          <w:tcPr>
            <w:tcW w:w="1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(5)</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3"/>
                <w:szCs w:val="23"/>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2.80</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0.45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19.1 %</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Currency-related items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23.0 %</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EPS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operations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0.47</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80"/>
              <w:spacing w:after="0"/>
              <w:rPr>
                <w:sz w:val="20"/>
                <w:szCs w:val="20"/>
                <w:color w:val="auto"/>
              </w:rPr>
            </w:pPr>
            <w:r>
              <w:rPr>
                <w:rFonts w:ascii="Arial" w:cs="Arial" w:eastAsia="Arial" w:hAnsi="Arial"/>
                <w:sz w:val="18"/>
                <w:szCs w:val="18"/>
                <w:color w:val="auto"/>
              </w:rPr>
              <w:t>Change in benefit plan non-service income</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0.01</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Change in interest and other expense, net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0.04</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Dividend income from marketable securities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center"/>
              <w:ind w:left="331"/>
              <w:spacing w:after="0"/>
              <w:rPr>
                <w:sz w:val="20"/>
                <w:szCs w:val="20"/>
                <w:color w:val="auto"/>
              </w:rPr>
            </w:pPr>
            <w:r>
              <w:rPr>
                <w:rFonts w:ascii="Arial" w:cs="Arial" w:eastAsia="Arial" w:hAnsi="Arial"/>
                <w:sz w:val="18"/>
                <w:szCs w:val="18"/>
                <w:color w:val="auto"/>
              </w:rPr>
              <w:t>(0.01)</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Change in equity method investment net earnings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0.01</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Change in income taxes </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center"/>
              <w:ind w:left="331"/>
              <w:spacing w:after="0"/>
              <w:rPr>
                <w:sz w:val="20"/>
                <w:szCs w:val="20"/>
                <w:color w:val="auto"/>
              </w:rPr>
            </w:pPr>
            <w:r>
              <w:rPr>
                <w:rFonts w:ascii="Arial" w:cs="Arial" w:eastAsia="Arial" w:hAnsi="Arial"/>
                <w:sz w:val="18"/>
                <w:szCs w:val="18"/>
                <w:color w:val="auto"/>
              </w:rPr>
              <w:t>(0.03)</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Change in shares outstanding </w:t>
            </w:r>
            <w:r>
              <w:rPr>
                <w:rFonts w:ascii="Arial" w:cs="Arial" w:eastAsia="Arial" w:hAnsi="Arial"/>
                <w:sz w:val="23"/>
                <w:szCs w:val="23"/>
                <w:color w:val="auto"/>
                <w:vertAlign w:val="superscript"/>
              </w:rPr>
              <w:t>(7)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0.05</w:t>
            </w:r>
          </w:p>
        </w:tc>
        <w:tc>
          <w:tcPr>
            <w:tcW w:w="40" w:type="dxa"/>
            <w:vAlign w:val="bottom"/>
            <w:tcBorders>
              <w:bottom w:val="single" w:sz="8" w:color="auto"/>
            </w:tcBorders>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EPS (constant currency) </w:t>
            </w:r>
            <w:r>
              <w:rPr>
                <w:rFonts w:ascii="Arial" w:cs="Arial" w:eastAsia="Arial" w:hAnsi="Arial"/>
                <w:sz w:val="23"/>
                <w:szCs w:val="23"/>
                <w:b w:val="1"/>
                <w:bCs w:val="1"/>
                <w:color w:val="auto"/>
                <w:vertAlign w:val="superscript"/>
              </w:rPr>
              <w:t>(1)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gridSpan w:val="2"/>
          </w:tcPr>
          <w:p>
            <w:pPr>
              <w:jc w:val="center"/>
              <w:ind w:left="391"/>
              <w:spacing w:after="0"/>
              <w:rPr>
                <w:sz w:val="20"/>
                <w:szCs w:val="20"/>
                <w:color w:val="auto"/>
              </w:rPr>
            </w:pPr>
            <w:r>
              <w:rPr>
                <w:rFonts w:ascii="Arial" w:cs="Arial" w:eastAsia="Arial" w:hAnsi="Arial"/>
                <w:sz w:val="18"/>
                <w:szCs w:val="18"/>
                <w:b w:val="1"/>
                <w:bCs w:val="1"/>
                <w:color w:val="auto"/>
                <w:w w:val="96"/>
              </w:rPr>
              <w:t>0.54</w:t>
            </w:r>
          </w:p>
        </w:tc>
        <w:tc>
          <w:tcPr>
            <w:tcW w:w="4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hanging="332"/>
        <w:spacing w:after="0" w:line="258" w:lineRule="auto"/>
        <w:tabs>
          <w:tab w:leader="none" w:pos="336"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 The tax expense/(benefit) of each of the pre-tax items excluded from our U.S. GAAP results was computed based on the facts and tax assumptions associated with each item, and such impacts have also been excluded from Adjusted EPS.</w:t>
      </w:r>
    </w:p>
    <w:p>
      <w:pPr>
        <w:jc w:val="both"/>
        <w:ind w:left="660" w:hanging="328"/>
        <w:spacing w:after="0" w:line="251" w:lineRule="auto"/>
        <w:tabs>
          <w:tab w:leader="none" w:pos="655" w:val="left"/>
        </w:tabs>
        <w:numPr>
          <w:ilvl w:val="1"/>
          <w:numId w:val="26"/>
        </w:numPr>
        <w:rPr>
          <w:rFonts w:ascii="Arial" w:cs="Arial" w:eastAsia="Arial" w:hAnsi="Arial"/>
          <w:sz w:val="14"/>
          <w:szCs w:val="14"/>
          <w:color w:val="auto"/>
        </w:rPr>
      </w:pPr>
      <w:r>
        <w:rPr>
          <w:rFonts w:ascii="Arial" w:cs="Arial" w:eastAsia="Arial" w:hAnsi="Arial"/>
          <w:sz w:val="14"/>
          <w:szCs w:val="14"/>
          <w:color w:val="auto"/>
        </w:rPr>
        <w:t>For the nine months ended September 30, 2024, taxes for the: Simplify to Grow Program were $(19) million, intangible asset impairment charges were $(40) million, mark-to-market losses from derivatives were $(28) million, acquisition integration costs and contingent consideration adjustments were $67 million, ERP System Implementation program were $(8) million, remeasurement of net monetary position were zero, initial impacts from enacted tax law changes were $12 million, loss on equity method investment transactions were zero and equity method investee items were zero.</w:t>
      </w:r>
    </w:p>
    <w:p>
      <w:pPr>
        <w:spacing w:after="0" w:line="1" w:lineRule="exact"/>
        <w:rPr>
          <w:rFonts w:ascii="Arial" w:cs="Arial" w:eastAsia="Arial" w:hAnsi="Arial"/>
          <w:sz w:val="14"/>
          <w:szCs w:val="14"/>
          <w:color w:val="auto"/>
        </w:rPr>
      </w:pPr>
    </w:p>
    <w:p>
      <w:pPr>
        <w:jc w:val="both"/>
        <w:ind w:left="660" w:hanging="328"/>
        <w:spacing w:after="0" w:line="250" w:lineRule="auto"/>
        <w:tabs>
          <w:tab w:leader="none" w:pos="655" w:val="left"/>
        </w:tabs>
        <w:numPr>
          <w:ilvl w:val="1"/>
          <w:numId w:val="26"/>
        </w:numPr>
        <w:rPr>
          <w:rFonts w:ascii="Arial" w:cs="Arial" w:eastAsia="Arial" w:hAnsi="Arial"/>
          <w:sz w:val="14"/>
          <w:szCs w:val="14"/>
          <w:color w:val="auto"/>
        </w:rPr>
      </w:pPr>
      <w:r>
        <w:rPr>
          <w:rFonts w:ascii="Arial" w:cs="Arial" w:eastAsia="Arial" w:hAnsi="Arial"/>
          <w:sz w:val="14"/>
          <w:szCs w:val="14"/>
          <w:color w:val="auto"/>
        </w:rPr>
        <w:t>For the nine months ended September 30, 2023, taxes for the: Simplify to Grow Program were $(9) million, intangible asset impairment charges were $(6) million, mark-to-market gains from derivatives were $38 million, acquisition integration costs and contingent consideration adjustments were $(39) million, divestiture-related costs were $(22) million, operating results from divestitures were $45 million, remeasurement of net monetary position were zero, initial impacts from enacted tax law changes were $15 million, gain on marketable securities were $135 million, gain on equity method investment transactions were $124 million and equity method investee items were zero.</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0"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on the items affecting income taxes.</w:t>
      </w:r>
    </w:p>
    <w:p>
      <w:pPr>
        <w:spacing w:after="0" w:line="5"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Investments</w:t>
      </w:r>
      <w:r>
        <w:rPr>
          <w:rFonts w:ascii="Arial" w:cs="Arial" w:eastAsia="Arial" w:hAnsi="Arial"/>
          <w:sz w:val="14"/>
          <w:szCs w:val="14"/>
          <w:color w:val="auto"/>
        </w:rPr>
        <w:t>, for more information on the gain/(loss) on equity method investment transactions and marketable securities.</w:t>
      </w:r>
    </w:p>
    <w:p>
      <w:pPr>
        <w:spacing w:after="0" w:line="1" w:lineRule="exact"/>
        <w:rPr>
          <w:rFonts w:ascii="Arial" w:cs="Arial" w:eastAsia="Arial" w:hAnsi="Arial"/>
          <w:sz w:val="14"/>
          <w:szCs w:val="14"/>
          <w:color w:val="auto"/>
        </w:rPr>
      </w:pPr>
    </w:p>
    <w:p>
      <w:pPr>
        <w:ind w:left="340" w:hanging="332"/>
        <w:spacing w:after="0" w:line="248" w:lineRule="auto"/>
        <w:tabs>
          <w:tab w:leader="none" w:pos="336"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equity method investee, such as acquisition and divestiture-related costs and restructuring program costs.</w:t>
      </w: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5" w:lineRule="exact"/>
        <w:rPr>
          <w:rFonts w:ascii="Arial" w:cs="Arial" w:eastAsia="Arial" w:hAnsi="Arial"/>
          <w:sz w:val="14"/>
          <w:szCs w:val="14"/>
          <w:color w:val="auto"/>
        </w:rPr>
      </w:pPr>
    </w:p>
    <w:p>
      <w:pPr>
        <w:ind w:left="340" w:hanging="332"/>
        <w:spacing w:after="0" w:line="276" w:lineRule="auto"/>
        <w:tabs>
          <w:tab w:leader="none" w:pos="336"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-33655</wp:posOffset>
            </wp:positionV>
            <wp:extent cx="248920"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reconciliation of segment net revenues and earnings to consolidated financial statement totals were:</w:t>
      </w:r>
    </w:p>
    <w:p>
      <w:pPr>
        <w:sectPr>
          <w:pgSz w:w="11900" w:h="16838" w:orient="portrait"/>
          <w:cols w:equalWidth="0" w:num="1">
            <w:col w:w="11240"/>
          </w:cols>
          <w:pgMar w:left="320" w:top="364" w:right="339" w:bottom="1440" w:gutter="0" w:footer="0" w:header="0"/>
        </w:sectPr>
      </w:pPr>
    </w:p>
    <w:p>
      <w:pPr>
        <w:spacing w:after="0" w:line="142"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For the Three Months Ended</w:t>
      </w:r>
    </w:p>
    <w:p>
      <w:pPr>
        <w:jc w:val="center"/>
        <w:ind w:left="52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18859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1" w:lineRule="exact"/>
        <w:rPr>
          <w:sz w:val="20"/>
          <w:szCs w:val="20"/>
          <w:color w:val="auto"/>
        </w:rPr>
      </w:pPr>
    </w:p>
    <w:p>
      <w:pPr>
        <w:ind w:left="5740"/>
        <w:spacing w:after="0"/>
        <w:tabs>
          <w:tab w:leader="none" w:pos="726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23495</wp:posOffset>
            </wp:positionV>
            <wp:extent cx="18859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5"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For the Nine Months Ended</w:t>
      </w:r>
    </w:p>
    <w:p>
      <w:pPr>
        <w:jc w:val="center"/>
        <w:ind w:right="5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14605</wp:posOffset>
            </wp:positionV>
            <wp:extent cx="18859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1"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23495</wp:posOffset>
            </wp:positionV>
            <wp:extent cx="18859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8100" w:space="720"/>
            <w:col w:w="242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Europe</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9,319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Segment operating income:</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AMEA</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(losses)/gains on hedging activities</w:t>
            </w:r>
          </w:p>
        </w:tc>
        <w:tc>
          <w:tcPr>
            <w:tcW w:w="5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(mark-to-market impacts)</w:t>
            </w:r>
          </w:p>
        </w:tc>
        <w:tc>
          <w:tcPr>
            <w:tcW w:w="50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Acquisition-related costs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5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Benefit plan non-service income</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and other expense, net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(Loss)/gain on marketable securities</w:t>
            </w:r>
          </w:p>
        </w:tc>
        <w:tc>
          <w:tcPr>
            <w:tcW w:w="5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497205</wp:posOffset>
            </wp:positionV>
            <wp:extent cx="248920" cy="240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40"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1,204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409"/>
        </w:trPr>
        <w:tc>
          <w:tcPr>
            <w:tcW w:w="50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2024</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3,755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426</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429</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(0.7)%</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decreased $ 101 million (7.7%), due to an unfavorable impact of currency-related items (9.7 pp) and unfavorable volume/mix (3.9 pp), partially offset by higher net pricing (5.9 pp). Currency-related items were unfavorable, net of the adjustment for extreme pricing in Argentina, due to currency translation rate changes. Unfavorable currency translation impacts were primarily due to the strength of the U.S. dollar relative to most currencies in the region, primarily the Argentinean peso, Brazilian real and Mexican peso. Overall, unfavorable volume/mix reflected consumer softness, primarily in Mexico. Unfavorable volume/mix was driven by declines in chocolate, candy, cheese &amp; grocery and refreshment beverages, partially offset by gains in biscuits &amp; baked snacks and gum. Higher net pricing, net of the adjustment for extreme pricing in Argentina, was driven by input cost-driven pricing actions and reflected across all categories, primarily in Argentina, Mexico and Brazil.</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$31 million (19.9%), primarily due to higher raw material costs, unfavorable currency-related items, unfavorable volume/mix, higher advertising and consumer promotion costs, higher other selling, general and administrative expenses, costs incurred for the ERP Systems Implementation program and intangible asset impairment charges incurred in 2024. These unfavorable items were partially offset by higher net pricing, lower manufacturing costs driven by productivity, lower remeasurement loss on net monetary position and lower acquisition integration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$11 million (0.3%), due to higher net pricing (7.2 pp), partially offset by unfavorable impact of currency-related items (4.2 pp) and unfavorable volume/mix (2.7 pp). Higher net pricing, net of the adjustment for extreme pricing in Argentina, was driven by input cost-driven pricing actions and reflected across all categories, primarily in Argentina, Mexico and Brazil. Currency-related items were unfavorable, net of the adjustment for extreme pricing in Argentina, due to currency translation rate changes. Unfavorable currency translation impacts were primarily due to the strength of the U.S. dollar relative to several currencies in the region, primarily the Argentinean peso, Brazilian real and Chilean peso, partially offset by the strength of several currencies relative to the U.S. dollar, primarily the Colombian peso and Mexican peso. Unfavorable volume/mix reflected consumer softness, primarily in Mexico. Overall, unfavorable volume/mix was driven by declines in chocolate, candy, cheese &amp; grocery and gum, partially offset by gains in refreshment beverages and biscuits &amp; baked snacks.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decreased $3 million (0.7%), primarily due to higher raw material costs, unfavorable currency-related items, unfavorable volume/mix, higher advertising and consumer promotion costs, higher costs incurred for the Simplify to Grow Program, costs incurred for the ERP Systems Implementation program and intangible asset impairment charges incurred in 2024. These unfavorable items were mostly offset by higher net pricing, lower manufacturing costs driven by productivity and lower remeasurement loss on net monetary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588645</wp:posOffset>
            </wp:positionV>
            <wp:extent cx="248920" cy="2400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40"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1,851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335</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10.9 %</w:t>
            </w:r>
          </w:p>
        </w:tc>
      </w:tr>
      <w:tr>
        <w:trPr>
          <w:trHeight w:val="342"/>
        </w:trPr>
        <w:tc>
          <w:tcPr>
            <w:tcW w:w="50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2024</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5,388</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1,036</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869</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19.2 %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revenues increased $60 million (3.4%), due to higher net pricing (5.1 pp) and favorable volume/mix (0.7 pp), partially offset by unfavorable currency translation rate changes (2.4 pp). Higher net pricing, driven by input cost-driven pricing actions, was reflected across all categories. Favorable volume/mix was driven by gains in biscuits &amp; baked snacks and gum, partially offset by declines in refreshment beverages, cheese &amp; grocery, candy and chocolate. Unfavorable currency translation impacts were due to the strength of the U.S. dollar relative to several currencies in the region, including the Nigerian naira, Egyptian pound and Indian rupee, partially offset by the strength of several currencies relative to the U.S. dollar, primarily the Australian dollar, Chinese yuan and South African rand.</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increased $33 million (10.9%), primarily due to higher net pricing and lower manufacturing costs driven by productivity. These favorable items were partially offset by higher advertising and consumer promotion costs, higher raw material costs, higher other selling, general and administrative expenses, unfavorable currency translation rate changes, unfavorable volume/mix, an intangible asset impairment charge incurred in 2024 and costs incurred for the ERP Systems Implementation program.</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revenues increased $49 million (0.9%), due to higher net pricing (5.8 pp), mostly offset by unfavorable currency translation rate changes (4.5 pp) and unfavorable volume/mix (0.4 pp). Higher net pricing, driven by input cost-driven pricing actions, was reflected across all categories. Unfavorable currency translation impacts were due to the strength of the U.S. dollar relative to most currencies in the region, including the Nigerian naira, Egyptian pound, Chinese yuan, Indian rupee and Japanese yen. Overall, unfavorable volume/mix was impacted by geopolitical events in the Middle East and Southeast Asia. Unfavorable volume/mix was driven by declines in refreshment beverages, cheese &amp; grocery, biscuits &amp; baked snacks, chocolate and candy, partially offset by a gain in gum.</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Segment operating income increased $167 million (19.2%), primarily due to higher net pricing and lower manufacturing costs driven by productivity. These favorable items were partially offset by higher raw material costs, higher advertising and consumer promotion costs, unfavorable currency translation rate changes, unfavorable volume/mix, higher other selling, general and administrative expenses, an intangible asset impairment charge incurred in 2024 and costs incurred for the ERP Systems Implementation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123825</wp:posOffset>
            </wp:positionV>
            <wp:extent cx="248920" cy="2400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40"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3,323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605</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22.5 %</w:t>
            </w:r>
          </w:p>
        </w:tc>
      </w:tr>
      <w:tr>
        <w:trPr>
          <w:trHeight w:val="598"/>
        </w:trPr>
        <w:tc>
          <w:tcPr>
            <w:tcW w:w="50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2024</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9,565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1,746</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1,450</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20.4 %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$ 237 million (7.7%), due to higher net pricing (7.6 pp), favorable currency translation rate changes (1.7 pp) and favorable volume/mix (0.5 pp), partially offset by the impact of divestitures (2.1 pp). Higher net pricing, driven by input cost-driven pricing actions, was reflected across all categories except cheese &amp; grocery. Favorable currency translation rate changes reflected the strength of several currencies relative to the U.S. dollar, including the British pound sterling, euro, Russian ruble and Polish zloty, partially offset by the strength of the U.S. dollar relative to a few currencies across the region, primarily the Turkish lira and Ukrainian hryvnya. Overall, favorable volume/mix reflected improved product mix as volume trends rebounded from last quarter's customer price negotiation disruptions. Favorable volume/mix was driven by gains in cheese &amp; grocery and gum, partially offset by declines in refreshment beverages, candy, chocolate and biscuits &amp; baked snacks. The impact of our 2023 divestiture of the developed market gum business resulted in a year-over-year reduction in net revenues of $60 million.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increased $111 million (22.5%), primarily due to higher net pricing, favorable volume/mix, favorable currency translation rate changes, lower other selling, general and administrative expenses, lower divestiture-related costs and lower costs incurred for the Simplify to Grow Program. These favorable items were partially offset by intangible asset impairment charges in 2024, higher manufacturing costs, lapping prior-year operating results from the developed market gum business divested in 2023, costs incurred for the ERP Systems Implementation program and higher fixed asset impairment charges.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revenues increased $246 million (2.6%), due to higher net pricing (7.2 pp) and the impact from short-term distributor agreements (0.3 pp</w:t>
      </w:r>
      <w:r>
        <w:rPr>
          <w:rFonts w:ascii="Times New Roman" w:cs="Times New Roman" w:eastAsia="Times New Roman" w:hAnsi="Times New Roman"/>
          <w:sz w:val="18"/>
          <w:szCs w:val="18"/>
          <w:color w:val="auto"/>
        </w:rPr>
        <w:t>)</w:t>
      </w:r>
      <w:r>
        <w:rPr>
          <w:rFonts w:ascii="Arial" w:cs="Arial" w:eastAsia="Arial" w:hAnsi="Arial"/>
          <w:sz w:val="18"/>
          <w:szCs w:val="18"/>
          <w:color w:val="auto"/>
        </w:rPr>
        <w:t>, partially offset by unfavorable volume/mix (2.1 pp</w:t>
      </w:r>
      <w:r>
        <w:rPr>
          <w:rFonts w:ascii="Times New Roman" w:cs="Times New Roman" w:eastAsia="Times New Roman" w:hAnsi="Times New Roman"/>
          <w:sz w:val="18"/>
          <w:szCs w:val="18"/>
          <w:color w:val="auto"/>
        </w:rPr>
        <w:t>)</w:t>
      </w:r>
      <w:r>
        <w:rPr>
          <w:rFonts w:ascii="Arial" w:cs="Arial" w:eastAsia="Arial" w:hAnsi="Arial"/>
          <w:sz w:val="18"/>
          <w:szCs w:val="18"/>
          <w:color w:val="auto"/>
        </w:rPr>
        <w:t>, the impact of divestitures (2.0 pp</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unfavorable currency translation rate changes (0.8 pp). Higher net pricing, driven by input cost-driven pricing actions, was reflected across all categories except cheese &amp; grocery. The short-term distributor agreement related to the October 1, 2023 sale of our developed market gum business added incremental net revenues of $25 million. Overall, unfavorable volume/mix reflected volume declines due to the impact from customer price negotiation disruptions in the second quarter, partially offset by favorable product mix. Unfavorable volume/mix was driven by declines in biscuits &amp; baked snacks, chocolate, candy, refreshment beverages and gum, partially offset by a gain in cheese &amp; grocery. The impact of our 2023 divestiture of the developed market gum business resulted in a year-over-year reduction in net revenues of $174 million. Unfavorable currency translation rate changes reflected the strength of the U.S. dollar relative to several currencies across the region, including the Turkish lira and Russian ruble, partially offset by the strength of a few currencies relative to the U.S. dollar, including the British pound sterling, Polish zloty and euro.</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Segment operating income increased $296 million (20.4%), primarily due to higher net pricing, lower divestiture-related costs, lower remeasurement loss on net monetary position and lower acquisition integration costs. These favorable items were partially offset by intangible asset impairment charges in 2024, higher other selling,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-33655</wp:posOffset>
            </wp:positionV>
            <wp:extent cx="248920"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and administrative expenses, lapping prior-year operating results from the developed market gum business divested in 2023, higher advertising and consumer promotion costs, unfavorable volume/mix, higher manufacturing costs, higher costs incurred for the Simplify to Grow Program, higher fixed asset impairment costs, unfavorable currency translation rate changes, costs incurred for the ERP Systems Implementation program and higher raw material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40"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2,826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918</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532</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72.6 %</w:t>
            </w:r>
          </w:p>
        </w:tc>
      </w:tr>
      <w:tr>
        <w:trPr>
          <w:trHeight w:val="598"/>
        </w:trPr>
        <w:tc>
          <w:tcPr>
            <w:tcW w:w="50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2024</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8,129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20"/>
                <w:szCs w:val="20"/>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2,012</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1,678</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19.9 %</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revenues decreased $21 million (0.7%), due to the impact of divestitures (4.3 pp) and unfavorable currency translation rate changes (0.1 pp), partially offset by higher net pricing (2.0 pp) and favorable volume/mix (1.7 pp). The impact of our 2023 divestiture of the developed market gum business resulted in a year-over-year reduction in net revenues of $119 million. Overall, favorable volume/mix reflected improved volume trends due to increased consumer demand in the U.S. Favorable volume/mix was driven by gains in biscuits &amp; baked snacks, candy and chocolate. Higher net pricing, driven by input cost-driven pricing actions, was reflected across all categories.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operating income increased $386 million (72.6%), primarily due to a favorable contingent consideration adjustment related to Clif Bar as well as lower acquisition integration costs, higher net pricing, lapping prior-year intangible asset impairment charges, lower manufacturing costs due to productivity and favorable volume/mix. These favorable items were partially offset by lapping prior-year operating results from the developed market gum business divested in 2023, higher raw material costs and costs incurred for the ERP Systems Implementation program.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revenues decreased $171 million (2.1%), due to the impact of divestitures (3.8 pp), unfavorable volume/mix (0.5 pp) and unfavorable currency translation rate changes (0.1 pp), partially offset by higher net pricing (2.3 pp). The impact of our 2023 divestiture of the developed market gum business resulted in a year-over-year reduction in net revenues of $309 million. Overall, unfavorable volume/mix reflected consumer softness in the U.S in the first half of 2024 though volume trends have improved in the third quarter of the year. Unfavorable volume/mix was driven by declines in biscuits &amp; baked snacks and candy, partially offset by a gain in chocolate. Unfavorable currency translation rate changes were due to the strength of the U.S. dollar relative to the Canadian dollar. Higher net pricing, driven by input cost-driven pricing actions, was reflected across all categories.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Segment operating income increased $334 million (19.9%), primarily due to a favorable contingent consideration adjustment related to Clif Bar as well as lower acquisition integration costs, higher net pricing, lower manufacturing costs due to productivity, lapping prior-year intangible asset impairment charges, lower other selling, general and administrative expenses, lower divestiture-related costs and lower fixed asset impairment charges. These favorable items were partially offset by lapping prior-year operating results from the developed market gum business divested in 2023, higher raw material costs, higher advertising and consumer promotion costs, unfavorable volume/mix and costs incurred for the ERP Systems Implementation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127635</wp:posOffset>
            </wp:positionV>
            <wp:extent cx="248920" cy="2400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cash from operations, our revolving credit facilities, short-term borrowings and our authorized long-term financing will continue to provide sufficient liquidity for our working capital needs, planned capital expenditures and future payments of our contractual, tax and benefit plan obligations and payments for acquisitions, share repurchases and quarterly dividends. We expect to continue to utilize our commercial paper program and international credit lines as needed. We continually evaluate long-term debt issuances to meet our short- and longer-term funding requirements. We also use intercompany loans with our international subsidiaries to improve financial flexibility. Our investment in JDE Peet's provides us additional flexibility. Overall, we do not expect negative effects to our funding sources that would have a material effect on our liquidity, and we continue to monitor our global operations including the impact of ongoing or new developments in Ukraine and the Middle East. To date, we have been successful in generating cash and raising financing as needed. However, if a serious economic or credit market crisis ensues or other adverse developments arise, it could have a material adverse effect on our liquidity, results of operations and financial condition.</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property, plant and equipment and any significant one-time non-operating items.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Long-term cash requirements primarily relate to funding long-term debt repayments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our U.S. tax reform transition tax liability and deferred taxes (refer to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Annual Report on Form 10-K for the year ended December 31, 2023), our long-term benefit plan obligations (refer to Note 10,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and Note 11</w:t>
      </w:r>
      <w:r>
        <w:rPr>
          <w:rFonts w:ascii="Arial" w:cs="Arial" w:eastAsia="Arial" w:hAnsi="Arial"/>
          <w:sz w:val="18"/>
          <w:szCs w:val="18"/>
          <w:i w:val="1"/>
          <w:iCs w:val="1"/>
          <w:color w:val="auto"/>
        </w:rPr>
        <w:t>, Benefit Plans,</w:t>
      </w:r>
      <w:r>
        <w:rPr>
          <w:rFonts w:ascii="Arial" w:cs="Arial" w:eastAsia="Arial" w:hAnsi="Arial"/>
          <w:sz w:val="18"/>
          <w:szCs w:val="18"/>
          <w:color w:val="auto"/>
        </w:rPr>
        <w:t xml:space="preserve"> in our Annual report on Form 10-K for the year ended December 31, 2023) and commodity-related purchase commitments and derivative contracts (refer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generally fund short- and long-term cash requirements with cash from operating activities as well as cash proceeds from short- and long-term debt financing (refer to </w:t>
      </w:r>
      <w:r>
        <w:rPr>
          <w:rFonts w:ascii="Arial" w:cs="Arial" w:eastAsia="Arial" w:hAnsi="Arial"/>
          <w:sz w:val="18"/>
          <w:szCs w:val="18"/>
          <w:i w:val="1"/>
          <w:iCs w:val="1"/>
          <w:color w:val="auto"/>
        </w:rPr>
        <w:t>Debt</w:t>
      </w:r>
      <w:r>
        <w:rPr>
          <w:rFonts w:ascii="Arial" w:cs="Arial" w:eastAsia="Arial" w:hAnsi="Arial"/>
          <w:sz w:val="18"/>
          <w:szCs w:val="18"/>
          <w:color w:val="auto"/>
        </w:rPr>
        <w:t xml:space="preserve"> below). We generally do not use equity to fund our ongoing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is noted below:</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by/(used in):</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Operating activities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Investing activities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Nine Months Ended</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6350</wp:posOffset>
            </wp:positionV>
            <wp:extent cx="18942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1" w:lineRule="exact"/>
        <w:rPr>
          <w:sz w:val="20"/>
          <w:szCs w:val="20"/>
          <w:color w:val="auto"/>
        </w:rPr>
      </w:pPr>
    </w:p>
    <w:p>
      <w:pPr>
        <w:ind w:left="540"/>
        <w:spacing w:after="0"/>
        <w:tabs>
          <w:tab w:leader="none" w:pos="234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19050</wp:posOffset>
            </wp:positionV>
            <wp:extent cx="18942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8"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23495</wp:posOffset>
            </wp:positionV>
            <wp:extent cx="713232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5" w:lineRule="exact"/>
        <w:rPr>
          <w:sz w:val="20"/>
          <w:szCs w:val="20"/>
          <w:color w:val="auto"/>
        </w:rPr>
      </w:pPr>
    </w:p>
    <w:p>
      <w:pPr>
        <w:spacing w:after="0"/>
        <w:tabs>
          <w:tab w:leader="none" w:pos="880" w:val="left"/>
          <w:tab w:leader="none" w:pos="152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3,451</w:t>
        <w:tab/>
        <w:t>$</w:t>
      </w:r>
      <w:r>
        <w:rPr>
          <w:sz w:val="20"/>
          <w:szCs w:val="20"/>
          <w:color w:val="auto"/>
        </w:rPr>
        <w:tab/>
      </w:r>
      <w:r>
        <w:rPr>
          <w:rFonts w:ascii="Arial" w:cs="Arial" w:eastAsia="Arial" w:hAnsi="Arial"/>
          <w:sz w:val="17"/>
          <w:szCs w:val="17"/>
          <w:color w:val="auto"/>
        </w:rPr>
        <w:t>3,150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17780</wp:posOffset>
            </wp:positionV>
            <wp:extent cx="713232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820"/>
        <w:spacing w:after="0"/>
        <w:tabs>
          <w:tab w:leader="none" w:pos="2420" w:val="left"/>
        </w:tabs>
        <w:rPr>
          <w:sz w:val="20"/>
          <w:szCs w:val="20"/>
          <w:color w:val="auto"/>
        </w:rPr>
      </w:pPr>
      <w:r>
        <w:rPr>
          <w:rFonts w:ascii="Arial" w:cs="Arial" w:eastAsia="Arial" w:hAnsi="Arial"/>
          <w:sz w:val="18"/>
          <w:szCs w:val="18"/>
          <w:color w:val="auto"/>
        </w:rPr>
        <w:t>(1,170)</w:t>
      </w:r>
      <w:r>
        <w:rPr>
          <w:sz w:val="20"/>
          <w:szCs w:val="20"/>
          <w:color w:val="auto"/>
        </w:rPr>
        <w:tab/>
      </w:r>
      <w:r>
        <w:rPr>
          <w:rFonts w:ascii="Arial" w:cs="Arial" w:eastAsia="Arial" w:hAnsi="Arial"/>
          <w:sz w:val="18"/>
          <w:szCs w:val="18"/>
          <w:color w:val="auto"/>
        </w:rPr>
        <w:t>1,786</w:t>
      </w:r>
    </w:p>
    <w:p>
      <w:pPr>
        <w:spacing w:after="0" w:line="50" w:lineRule="exact"/>
        <w:rPr>
          <w:sz w:val="20"/>
          <w:szCs w:val="20"/>
          <w:color w:val="auto"/>
        </w:rPr>
      </w:pPr>
    </w:p>
    <w:p>
      <w:pPr>
        <w:jc w:val="both"/>
        <w:ind w:left="820"/>
        <w:spacing w:after="0"/>
        <w:tabs>
          <w:tab w:leader="none" w:pos="2340" w:val="left"/>
        </w:tabs>
        <w:rPr>
          <w:sz w:val="20"/>
          <w:szCs w:val="20"/>
          <w:color w:val="auto"/>
        </w:rPr>
      </w:pPr>
      <w:r>
        <w:rPr>
          <w:rFonts w:ascii="Arial" w:cs="Arial" w:eastAsia="Arial" w:hAnsi="Arial"/>
          <w:sz w:val="18"/>
          <w:szCs w:val="18"/>
          <w:color w:val="auto"/>
        </w:rPr>
        <w:t>(2,558)</w:t>
      </w:r>
      <w:r>
        <w:rPr>
          <w:sz w:val="20"/>
          <w:szCs w:val="20"/>
          <w:color w:val="auto"/>
        </w:rPr>
        <w:tab/>
      </w:r>
      <w:r>
        <w:rPr>
          <w:rFonts w:ascii="Arial" w:cs="Arial" w:eastAsia="Arial" w:hAnsi="Arial"/>
          <w:sz w:val="18"/>
          <w:szCs w:val="18"/>
          <w:color w:val="auto"/>
        </w:rPr>
        <w:t>(5,074)</w:t>
      </w:r>
    </w:p>
    <w:p>
      <w:pPr>
        <w:spacing w:after="0" w:line="200" w:lineRule="exact"/>
        <w:rPr>
          <w:sz w:val="20"/>
          <w:szCs w:val="20"/>
          <w:color w:val="auto"/>
        </w:rPr>
      </w:pPr>
    </w:p>
    <w:p>
      <w:pPr>
        <w:sectPr>
          <w:pgSz w:w="11900" w:h="16838" w:orient="portrait"/>
          <w:cols w:equalWidth="0" w:num="2">
            <w:col w:w="7560" w:space="720"/>
            <w:col w:w="2960"/>
          </w:cols>
          <w:pgMar w:left="320" w:top="364" w:right="339"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The increase in net cash provided by operating activities was primarily due to an increase in cash-basis net earnings, largely due to operating gains, partially offset by unfavorable year-over-year working capital movements, including the payment of the European Commission matter. Refer to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in)/Provided by Investing Activities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reduction in net cash used in/provided by investing activities was largely driven by lapping prior year proceeds from the KDP and JDEP share sales (refer to Note 6, </w:t>
      </w:r>
      <w:r>
        <w:rPr>
          <w:rFonts w:ascii="Arial" w:cs="Arial" w:eastAsia="Arial" w:hAnsi="Arial"/>
          <w:sz w:val="18"/>
          <w:szCs w:val="18"/>
          <w:i w:val="1"/>
          <w:iCs w:val="1"/>
          <w:color w:val="auto"/>
        </w:rPr>
        <w:t>Investments</w:t>
      </w:r>
      <w:r>
        <w:rPr>
          <w:rFonts w:ascii="Arial" w:cs="Arial" w:eastAsia="Arial" w:hAnsi="Arial"/>
          <w:sz w:val="18"/>
          <w:szCs w:val="18"/>
          <w:color w:val="auto"/>
        </w:rPr>
        <w:t>) combined with higher capital expenditures. We continue to make capital expenditures primarily to modernize manufacturing facilities, implement new product manufacturing and support productivity initiatives. We expect 2024 capital expenditures to be up to $1.5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-26035</wp:posOffset>
            </wp:positionV>
            <wp:extent cx="248920"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including capital expenditures in connection with our Simplify to Grow Program and for funding our strategic priorities. We expect to continue to fund these expenditures with cash from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decrease in cash used in financing activities was primarily due to higher debt proceeds combined with lower debt repayments, partially offset by higher share repurchases and higher dividends paid in the first nine months of 2024 compared to the same prior year period.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of $1,722 million in the first nine months of 2024 and $1,581 million in the first nine months of 2023. The third quarter 2024 dividend of $0.470 per share, declared on July 30, 2024 for shareholders of record as of September 30, 2024, was paid on October 14, 2024.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anticipate that the 2024 distributions will be characterized as dividends under U.S. federal income tax rules. The final determination will be made on an IRS Form 1099–DIV issued in early 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discussed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third-party guarantees primarily to cover the long-term obligations of our vendors. As part of these transactions, we guarantee that third parties will make contractual payments or achieve performance measures. As of September 30, 2024 and December 31, 2023, we had no material third-party guarantees recorded on our condensed consolidated balance sheet. Guarantees do not have, and we do not expect them to have, a material effect on our liquidity.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nature and amount of our long-term and short-term debt and the proportionate amount of each varies as a result of current and expected business requirements, market conditions and other factors. As such, we may issue commercial paper or secure other forms of financing throughout the year to meet our short-term working capital or other financing needs.</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its July 2024 meeting, our Board of Directors approved a new $2 billion long-term financing authorization that replaced the prior long-term financing authorization of $2 billion. As of September 30, 2024, $1.5 billion of the long-term financing authorization remained available.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total debt was $19.8 billion as of September 30, 2024 and $ 19.4 billion as of December 31, 2023. Our debt-to-capitalization ratio was 0.42 at September 30, 2024 and 0.41 at December 31, 2023. At September 30, 2024, the weighted-average term of our outstanding long-term debt was 7.9 years. Our average daily commercial paper borrowings outstanding were $1.0 billion in the first nine months of 2024 and $2.7 billion in the first nine months of 2023.</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One of our subsidiaries, Mondelez International Holdings Netherlands B.V. (“MIHN”), has outstanding debt. The operations held by MIHN generated approximately 72.8% (or $19.5 billion) of the $26.8 billion of consolidated net revenue for the nine months ended September 30, 2024. The operations held by MIHN represented approximately 82.8% (or $23.1 billion) of the $27.9 billion of net assets as of September 30, 2024.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additional information on our debt and debt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nine months of 2024, the primary drivers of the increase in our aggregate commodity costs were higher cocoa, sugar, nuts, and other ingredient costs, as well as unfavorable year-over-year currency exchange transaction costs on imported materials, partially offset by lower energy, dairy, edible oils, grains and packaging costs. While the costs of our principal raw materials fluctuate, generally we believe there will continue to be an adequate supply of the raw materials we use and that they will broadly remain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118745</wp:posOffset>
            </wp:positionV>
            <wp:extent cx="248920" cy="2400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number of external factors such as the current macroeconomic environment, including global inflation, effects of geopolitical uncertainty, climate and weather conditions, commodity, transportation and labor market conditions, exchange rate volatility and the effects of local and global regulations, governmental agricultural or other programs affect the availability and cost of raw materials and agricultural materials used in our products. In particular, the supply of cocoa is exposed to many of these factors, including climate change and weather events, local regulations in cocoa-producing countries, and global regulations such as the EU Deforestation Regulation (which requires companies to ensure that the products they place on the EU market or export from it are not associated with deforestation). These factors could impact the supply of cocoa, which could potentially limit our ability to produce our products and significantly impact profitability.</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nine months of 2024, price volatility and the higher aggregate cost environment increased due to international supply chain and labor market disruptions and generally higher commodity, transportation and labor costs. We expect these conditions to continue to impact our aggregate commodity costs. In particular, we expect to face higher cocoa costs in the near- and medium-term due to these factors. For example, the market price for cocoa beans on the Intercontinental Exchange in London was 79% higher on the last trading day of the third quarter of 2024 compared to the same day in the third quarter of 2023 and it is likely that prices will remain elevated for some time. It is possible that we may not be able to increase prices sufficiently to fully cover the incremental costs of cocoa prices in this environment and/or our hedging strategies may not protect us from increases in cocoa costs, which could result in a significant impact on our profitability.</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Our commodity procurement practices are intended to mitigate price volatility and provide visibility to future costs, but also may potentially limit our ability to benefit from possible future price decreases. Additionally, our costs for major raw materials will not necessarily reflect market price fluctuations because of our forward purchasing and hedging practices. Due to competitive or market conditions, planned trade or promotional incentives, fluctuations in currency exchange rates or other factors, our pricing actions may also lag commodity cost changes temporarily.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and estimates are described in Note 1 to our consolidated financial statements and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respectively, in our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the year ended December 31, 2023. Also refer to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this report.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words, “will,” “may,” “expect,” “would,” “could,” “might,” “intend,” “plan,” “believe,” “likely,” “estimate,” “anticipate,” “objective,” “predict,” “project,” “drive,” “seek,” “aim,” “target,” “potential,” “commitment,” “outlook,” “continue” or any other similar words.</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-41910</wp:posOffset>
            </wp:positionV>
            <wp:extent cx="248920" cy="2400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change and to inherent risks and uncertainties, many of which are beyond our control. Important factors that could cause our actual results or performance to differ materially from those contained in or implied by our forward-looking statements include, but are not limited to, the following:</w:t>
      </w:r>
    </w:p>
    <w:p>
      <w:pPr>
        <w:spacing w:after="0" w:line="1" w:lineRule="exact"/>
        <w:rPr>
          <w:sz w:val="20"/>
          <w:szCs w:val="20"/>
          <w:color w:val="auto"/>
        </w:rPr>
      </w:pP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weakness in macroeconomic conditions in our markets, including as a result of inflation (and related monetary policy actions by governments in response to inflation) and the instability of certain financial institutions;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volatility of commodity and other input costs and availability of commodities, including but not limited to cocoa;</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geopolitical uncertainty, including the impact of ongoing or new developments in Ukraine and the Middle East, related current and future sanctions imposed by governments and other authorities and related impacts, including on our business operations, employees, reputation, brands, financial condition and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and our response to channel shifts and pricing and other competitive pressures;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 actions and customer and consumer responses to such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promotion and protection of our reputation and brand image;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weakness in consumer spending and/or changes in consumer preferences and demand and our ability to predict, identify, interpret and meet these changes;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from operating globally, including in emerging markets, such as political, economic and regulatory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outcome and effects on us of legal and tax proceedings and government investigations;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use of information technology and third party service providers;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disruptions to our business, such as malware incidents, cyberattacks or other security breaches, and supply, commodity, labor and transportation constraints;</w:t>
      </w:r>
    </w:p>
    <w:p>
      <w:pPr>
        <w:ind w:left="660" w:right="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identify, complete, implement, manage and realize the full extent of the benefits, cost savings, efficiencies and/or synergies presented by strategic transactions and initiatives, such as our ERP System Implementation program;</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investments and our ownership interests in those investments, including JDE Peet's;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restructuring program and our other transformation initiatives not yielding the anticipated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assumptions on which the restructuring program is based;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climate change on our supply chain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global or regional health pandemics or epidemics;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consolidation of retail customers and competition with retailer and other economy brands;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relationships with customers, suppliers or distributors;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of our workforce and shifts in labor availability or labor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legal, regulatory, tax and benefit laws and related changes, claims or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perceived or actual product quality issues or product recalls;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maintain effective internal control over financial reporting or disclosure controls and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matters including changes in tax laws and rates, disagreements with taxing authorities and imposition of new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currency exchange rates, controls and restrictions;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volatility of and access to capital or other markets, rising interest rates, the effectiveness of our cash management programs and our liquidity;</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changes in valuation factors that may adversely affect our impairment testing of goodwill and intangible assets; and</w:t>
      </w:r>
    </w:p>
    <w:p>
      <w:pPr>
        <w:spacing w:after="0" w:line="9" w:lineRule="exact"/>
        <w:rPr>
          <w:rFonts w:ascii="Arial" w:cs="Arial" w:eastAsia="Arial" w:hAnsi="Arial"/>
          <w:sz w:val="18"/>
          <w:szCs w:val="18"/>
          <w:color w:val="auto"/>
        </w:rPr>
      </w:pPr>
    </w:p>
    <w:p>
      <w:pPr>
        <w:jc w:val="both"/>
        <w:ind w:left="660" w:hanging="328"/>
        <w:spacing w:after="0" w:line="25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risks and uncertainties, as they may be amended from time to time, set forth in our filings with the U.S. Securities and Exchange Commission, including our Annual Report on Form 10-K for the year ended December 31, 2023 and subsequent Quarterly Reports on Form 10-Q.</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425450</wp:posOffset>
            </wp:positionV>
            <wp:extent cx="248920" cy="2400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and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along with a discussion of our underlying GAAP results throughout our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in this Form 10-Q.</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10"/>
          <w:szCs w:val="10"/>
          <w:color w:val="auto"/>
        </w:rPr>
        <w:t>(1)</w:t>
      </w:r>
      <w:r>
        <w:rPr>
          <w:rFonts w:ascii="Arial" w:cs="Arial" w:eastAsia="Arial" w:hAnsi="Arial"/>
          <w:sz w:val="18"/>
          <w:szCs w:val="18"/>
          <w:color w:val="auto"/>
        </w:rPr>
        <w:t>.</w:t>
      </w:r>
    </w:p>
    <w:p>
      <w:pPr>
        <w:spacing w:after="0" w:line="198" w:lineRule="exact"/>
        <w:rPr>
          <w:sz w:val="20"/>
          <w:szCs w:val="20"/>
          <w:color w:val="auto"/>
        </w:rPr>
      </w:pPr>
    </w:p>
    <w:p>
      <w:pPr>
        <w:jc w:val="both"/>
        <w:ind w:left="660" w:hanging="328"/>
        <w:spacing w:after="0" w:line="24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(the most comparable U.S. GAAP financial measure) excluding the impacts of acquisitions,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short-term distributor agreements related to the sale of business </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and currency rate fluctuations </w:t>
      </w:r>
      <w:r>
        <w:rPr>
          <w:rFonts w:ascii="Arial" w:cs="Arial" w:eastAsia="Arial" w:hAnsi="Arial"/>
          <w:sz w:val="23"/>
          <w:szCs w:val="23"/>
          <w:color w:val="auto"/>
          <w:vertAlign w:val="superscript"/>
        </w:rPr>
        <w:t>(4)</w:t>
      </w:r>
      <w:r>
        <w:rPr>
          <w:rFonts w:ascii="Arial" w:cs="Arial" w:eastAsia="Arial" w:hAnsi="Arial"/>
          <w:sz w:val="18"/>
          <w:szCs w:val="18"/>
          <w:color w:val="auto"/>
        </w:rPr>
        <w:t>. We believe that Organic Net Revenue reflects the underlying growth from the ongoing activities of our business and provides improved comparability of results. We also evaluate Organic Net Revenue growth from emerging markets and developed markets, and these underlying measures are also reconciled to U.S. GAAP above.</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Türkiye,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980" w:right="20" w:hanging="324"/>
        <w:spacing w:after="0" w:line="266" w:lineRule="auto"/>
        <w:tabs>
          <w:tab w:leader="none" w:pos="9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211" w:lineRule="exact"/>
        <w:rPr>
          <w:rFonts w:ascii="Arial" w:cs="Arial" w:eastAsia="Arial" w:hAnsi="Arial"/>
          <w:sz w:val="18"/>
          <w:szCs w:val="18"/>
          <w:color w:val="auto"/>
        </w:rPr>
      </w:pPr>
    </w:p>
    <w:p>
      <w:pPr>
        <w:jc w:val="both"/>
        <w:ind w:left="660" w:hanging="328"/>
        <w:spacing w:after="0" w:line="220" w:lineRule="auto"/>
        <w:tabs>
          <w:tab w:leader="none" w:pos="648" w:val="left"/>
        </w:tabs>
        <w:numPr>
          <w:ilvl w:val="0"/>
          <w:numId w:val="29"/>
        </w:numPr>
        <w:rPr>
          <w:rFonts w:ascii="Arial" w:cs="Arial" w:eastAsia="Arial" w:hAnsi="Arial"/>
          <w:sz w:val="19"/>
          <w:szCs w:val="19"/>
          <w:color w:val="auto"/>
        </w:rPr>
      </w:pPr>
      <w:r>
        <w:rPr>
          <w:rFonts w:ascii="Arial" w:cs="Arial" w:eastAsia="Arial" w:hAnsi="Arial"/>
          <w:sz w:val="17"/>
          <w:szCs w:val="17"/>
          <w:color w:val="auto"/>
        </w:rPr>
        <w:t xml:space="preserve">“Adjusted Operating Income” is defined as operating income (the most comparable U.S. GAAP financial measure) excluding the impacts of the Simplify to Grow Program </w:t>
      </w:r>
      <w:r>
        <w:rPr>
          <w:rFonts w:ascii="Arial" w:cs="Arial" w:eastAsia="Arial" w:hAnsi="Arial"/>
          <w:sz w:val="22"/>
          <w:szCs w:val="22"/>
          <w:color w:val="auto"/>
          <w:vertAlign w:val="superscript"/>
        </w:rPr>
        <w:t>(5)</w:t>
      </w:r>
      <w:r>
        <w:rPr>
          <w:rFonts w:ascii="Arial" w:cs="Arial" w:eastAsia="Arial" w:hAnsi="Arial"/>
          <w:sz w:val="17"/>
          <w:szCs w:val="17"/>
          <w:color w:val="auto"/>
        </w:rPr>
        <w:t xml:space="preserve">; gains or losses (including non-cash impairment charges) on goodwill and intangible assets; divestiture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or acquisition gains or losses, divestiture-related costs </w:t>
      </w:r>
      <w:r>
        <w:rPr>
          <w:rFonts w:ascii="Arial" w:cs="Arial" w:eastAsia="Arial" w:hAnsi="Arial"/>
          <w:sz w:val="22"/>
          <w:szCs w:val="22"/>
          <w:color w:val="auto"/>
          <w:vertAlign w:val="superscript"/>
        </w:rPr>
        <w:t>(6)</w:t>
      </w:r>
      <w:r>
        <w:rPr>
          <w:rFonts w:ascii="Arial" w:cs="Arial" w:eastAsia="Arial" w:hAnsi="Arial"/>
          <w:sz w:val="17"/>
          <w:szCs w:val="17"/>
          <w:color w:val="auto"/>
        </w:rPr>
        <w:t xml:space="preserve">, acquisition-related costs </w:t>
      </w:r>
      <w:r>
        <w:rPr>
          <w:rFonts w:ascii="Arial" w:cs="Arial" w:eastAsia="Arial" w:hAnsi="Arial"/>
          <w:sz w:val="22"/>
          <w:szCs w:val="22"/>
          <w:color w:val="auto"/>
          <w:vertAlign w:val="superscript"/>
        </w:rPr>
        <w:t>(7)</w:t>
      </w:r>
      <w:r>
        <w:rPr>
          <w:rFonts w:ascii="Arial" w:cs="Arial" w:eastAsia="Arial" w:hAnsi="Arial"/>
          <w:sz w:val="17"/>
          <w:szCs w:val="17"/>
          <w:color w:val="auto"/>
        </w:rPr>
        <w:t xml:space="preserve">, and acquisition integration costs and contingent consideration adjustments </w:t>
      </w:r>
      <w:r>
        <w:rPr>
          <w:rFonts w:ascii="Arial" w:cs="Arial" w:eastAsia="Arial" w:hAnsi="Arial"/>
          <w:sz w:val="22"/>
          <w:szCs w:val="22"/>
          <w:color w:val="auto"/>
          <w:vertAlign w:val="superscript"/>
        </w:rPr>
        <w:t>(8)</w:t>
      </w:r>
      <w:r>
        <w:rPr>
          <w:rFonts w:ascii="Arial" w:cs="Arial" w:eastAsia="Arial" w:hAnsi="Arial"/>
          <w:sz w:val="17"/>
          <w:szCs w:val="17"/>
          <w:color w:val="auto"/>
        </w:rPr>
        <w:t xml:space="preserve">; inventory step-up charges </w:t>
      </w:r>
      <w:r>
        <w:rPr>
          <w:rFonts w:ascii="Arial" w:cs="Arial" w:eastAsia="Arial" w:hAnsi="Arial"/>
          <w:sz w:val="22"/>
          <w:szCs w:val="22"/>
          <w:color w:val="auto"/>
          <w:vertAlign w:val="superscript"/>
        </w:rPr>
        <w:t>(9)</w:t>
      </w:r>
      <w:r>
        <w:rPr>
          <w:rFonts w:ascii="Arial" w:cs="Arial" w:eastAsia="Arial" w:hAnsi="Arial"/>
          <w:sz w:val="17"/>
          <w:szCs w:val="17"/>
          <w:color w:val="auto"/>
        </w:rPr>
        <w:t xml:space="preserve">; the operating results of divestitures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operating results from short-term distributor agreements related to the sale of a business </w:t>
      </w:r>
      <w:r>
        <w:rPr>
          <w:rFonts w:ascii="Arial" w:cs="Arial" w:eastAsia="Arial" w:hAnsi="Arial"/>
          <w:sz w:val="22"/>
          <w:szCs w:val="22"/>
          <w:color w:val="auto"/>
          <w:vertAlign w:val="superscript"/>
        </w:rPr>
        <w:t>(3)</w:t>
      </w:r>
      <w:r>
        <w:rPr>
          <w:rFonts w:ascii="Arial" w:cs="Arial" w:eastAsia="Arial" w:hAnsi="Arial"/>
          <w:sz w:val="17"/>
          <w:szCs w:val="17"/>
          <w:color w:val="auto"/>
        </w:rPr>
        <w:t xml:space="preserve">; remeasurement of net monetary position </w:t>
      </w:r>
      <w:r>
        <w:rPr>
          <w:rFonts w:ascii="Arial" w:cs="Arial" w:eastAsia="Arial" w:hAnsi="Arial"/>
          <w:sz w:val="22"/>
          <w:szCs w:val="22"/>
          <w:color w:val="auto"/>
          <w:vertAlign w:val="superscript"/>
        </w:rPr>
        <w:t>(10)</w:t>
      </w:r>
      <w:r>
        <w:rPr>
          <w:rFonts w:ascii="Arial" w:cs="Arial" w:eastAsia="Arial" w:hAnsi="Arial"/>
          <w:sz w:val="17"/>
          <w:szCs w:val="17"/>
          <w:color w:val="auto"/>
        </w:rPr>
        <w:t xml:space="preserve">; mark-to-market impacts from commodity, forecasted currency and equity method investment transaction derivative contracts </w:t>
      </w:r>
      <w:r>
        <w:rPr>
          <w:rFonts w:ascii="Arial" w:cs="Arial" w:eastAsia="Arial" w:hAnsi="Arial"/>
          <w:sz w:val="22"/>
          <w:szCs w:val="22"/>
          <w:color w:val="auto"/>
          <w:vertAlign w:val="superscript"/>
        </w:rPr>
        <w:t>(11)</w:t>
      </w:r>
      <w:r>
        <w:rPr>
          <w:rFonts w:ascii="Arial" w:cs="Arial" w:eastAsia="Arial" w:hAnsi="Arial"/>
          <w:sz w:val="17"/>
          <w:szCs w:val="17"/>
          <w:color w:val="auto"/>
        </w:rPr>
        <w:t xml:space="preserve">; impact from resolution of tax matters </w:t>
      </w:r>
      <w:r>
        <w:rPr>
          <w:rFonts w:ascii="Arial" w:cs="Arial" w:eastAsia="Arial" w:hAnsi="Arial"/>
          <w:sz w:val="22"/>
          <w:szCs w:val="22"/>
          <w:color w:val="auto"/>
          <w:vertAlign w:val="superscript"/>
        </w:rPr>
        <w:t>(12)</w:t>
      </w:r>
      <w:r>
        <w:rPr>
          <w:rFonts w:ascii="Arial" w:cs="Arial" w:eastAsia="Arial" w:hAnsi="Arial"/>
          <w:sz w:val="17"/>
          <w:szCs w:val="17"/>
          <w:color w:val="auto"/>
        </w:rPr>
        <w:t xml:space="preserve">; 2017 malware incident net recoveries; incremental costs due to the war in Ukraine </w:t>
      </w:r>
      <w:r>
        <w:rPr>
          <w:rFonts w:ascii="Arial" w:cs="Arial" w:eastAsia="Arial" w:hAnsi="Arial"/>
          <w:sz w:val="22"/>
          <w:szCs w:val="22"/>
          <w:color w:val="auto"/>
          <w:vertAlign w:val="superscript"/>
        </w:rPr>
        <w:t>(13)</w:t>
      </w:r>
      <w:r>
        <w:rPr>
          <w:rFonts w:ascii="Arial" w:cs="Arial" w:eastAsia="Arial" w:hAnsi="Arial"/>
          <w:sz w:val="17"/>
          <w:szCs w:val="17"/>
          <w:color w:val="auto"/>
        </w:rPr>
        <w:t xml:space="preserve">; impact from the European Commission legal matter </w:t>
      </w:r>
      <w:r>
        <w:rPr>
          <w:rFonts w:ascii="Arial" w:cs="Arial" w:eastAsia="Arial" w:hAnsi="Arial"/>
          <w:sz w:val="22"/>
          <w:szCs w:val="22"/>
          <w:color w:val="auto"/>
          <w:vertAlign w:val="superscript"/>
        </w:rPr>
        <w:t>(14)</w:t>
      </w:r>
      <w:r>
        <w:rPr>
          <w:rFonts w:ascii="Arial" w:cs="Arial" w:eastAsia="Arial" w:hAnsi="Arial"/>
          <w:sz w:val="17"/>
          <w:szCs w:val="17"/>
          <w:color w:val="auto"/>
        </w:rPr>
        <w:t xml:space="preserve">; the impact from pension participation changes </w:t>
      </w:r>
      <w:r>
        <w:rPr>
          <w:rFonts w:ascii="Arial" w:cs="Arial" w:eastAsia="Arial" w:hAnsi="Arial"/>
          <w:sz w:val="22"/>
          <w:szCs w:val="22"/>
          <w:color w:val="auto"/>
          <w:vertAlign w:val="superscript"/>
        </w:rPr>
        <w:t>(15)</w:t>
      </w:r>
      <w:r>
        <w:rPr>
          <w:rFonts w:ascii="Arial" w:cs="Arial" w:eastAsia="Arial" w:hAnsi="Arial"/>
          <w:sz w:val="17"/>
          <w:szCs w:val="17"/>
          <w:color w:val="auto"/>
        </w:rPr>
        <w:t xml:space="preserve">; and operating costs from the ERP System Implementation program </w:t>
      </w:r>
      <w:r>
        <w:rPr>
          <w:rFonts w:ascii="Arial" w:cs="Arial" w:eastAsia="Arial" w:hAnsi="Arial"/>
          <w:sz w:val="22"/>
          <w:szCs w:val="22"/>
          <w:color w:val="auto"/>
          <w:vertAlign w:val="superscript"/>
        </w:rPr>
        <w:t>(16)</w:t>
      </w:r>
      <w:r>
        <w:rPr>
          <w:rFonts w:ascii="Arial" w:cs="Arial" w:eastAsia="Arial" w:hAnsi="Arial"/>
          <w:sz w:val="17"/>
          <w:szCs w:val="17"/>
          <w:color w:val="auto"/>
        </w:rPr>
        <w:t>. We also present “Adjusted Operating Income margin,” which is subject to the same adjustments as Adjusted Operating Income. We also evaluate growth in our Adjusted Operating Income on a constant currency basis</w:t>
      </w:r>
    </w:p>
    <w:p>
      <w:pPr>
        <w:spacing w:after="0" w:line="9"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3"/>
          <w:szCs w:val="23"/>
          <w:color w:val="auto"/>
          <w:vertAlign w:val="superscript"/>
        </w:rPr>
        <w:t>(4)</w:t>
      </w:r>
      <w:r>
        <w:rPr>
          <w:rFonts w:ascii="Arial" w:cs="Arial" w:eastAsia="Arial" w:hAnsi="Arial"/>
          <w:sz w:val="18"/>
          <w:szCs w:val="18"/>
          <w:color w:val="auto"/>
        </w:rPr>
        <w:t>. We believe these measures provide improved comparability of underlying operating results.</w:t>
      </w:r>
    </w:p>
    <w:p>
      <w:pPr>
        <w:spacing w:after="0" w:line="190" w:lineRule="exact"/>
        <w:rPr>
          <w:rFonts w:ascii="Arial" w:cs="Arial" w:eastAsia="Arial" w:hAnsi="Arial"/>
          <w:sz w:val="19"/>
          <w:szCs w:val="19"/>
          <w:color w:val="auto"/>
        </w:rPr>
      </w:pPr>
    </w:p>
    <w:p>
      <w:pPr>
        <w:jc w:val="both"/>
        <w:ind w:left="660" w:hanging="328"/>
        <w:spacing w:after="0" w:line="239"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18"/>
          <w:szCs w:val="18"/>
          <w:color w:val="auto"/>
        </w:rPr>
        <w:t xml:space="preserve">“Adjusted EPS” is defined as diluted EPS attributable to Mondelēz International (the most comparable U.S. GAAP financial measure) from continuing operations excluding the impacts of the items listed in the Adjusted Operating Income definition as well as losses on debt extinguishment and related expenses; gains or losses on interest rate swaps no longer designated as accounting cash flow hedges due to changed financing and hedging plans; mark-to-market unrealized gains or losses and realized gains or losses from marketable securities </w:t>
      </w:r>
      <w:r>
        <w:rPr>
          <w:rFonts w:ascii="Arial" w:cs="Arial" w:eastAsia="Arial" w:hAnsi="Arial"/>
          <w:sz w:val="23"/>
          <w:szCs w:val="23"/>
          <w:color w:val="auto"/>
          <w:vertAlign w:val="superscript"/>
        </w:rPr>
        <w:t>(17)</w:t>
      </w:r>
      <w:r>
        <w:rPr>
          <w:rFonts w:ascii="Arial" w:cs="Arial" w:eastAsia="Arial" w:hAnsi="Arial"/>
          <w:sz w:val="18"/>
          <w:szCs w:val="18"/>
          <w:color w:val="auto"/>
        </w:rPr>
        <w:t xml:space="preserve">; initial impacts from enacted tax law changes </w:t>
      </w:r>
      <w:r>
        <w:rPr>
          <w:rFonts w:ascii="Arial" w:cs="Arial" w:eastAsia="Arial" w:hAnsi="Arial"/>
          <w:sz w:val="23"/>
          <w:szCs w:val="23"/>
          <w:color w:val="auto"/>
          <w:vertAlign w:val="superscript"/>
        </w:rPr>
        <w:t>(18)</w:t>
      </w:r>
      <w:r>
        <w:rPr>
          <w:rFonts w:ascii="Arial" w:cs="Arial" w:eastAsia="Arial" w:hAnsi="Arial"/>
          <w:sz w:val="18"/>
          <w:szCs w:val="18"/>
          <w:color w:val="auto"/>
        </w:rPr>
        <w:t>; and gains or losses on equity method investment transactions including impairments. Similarly, within Adjusted EPS, our equity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-17780</wp:posOffset>
            </wp:positionV>
            <wp:extent cx="248920"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317"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 xml:space="preserve">investment net earnings exclude our proportionate share of our investee's significant operating and non-operating items </w:t>
      </w:r>
      <w:r>
        <w:rPr>
          <w:rFonts w:ascii="Arial" w:cs="Arial" w:eastAsia="Arial" w:hAnsi="Arial"/>
          <w:sz w:val="23"/>
          <w:szCs w:val="23"/>
          <w:color w:val="auto"/>
          <w:vertAlign w:val="superscript"/>
        </w:rPr>
        <w:t>(19)</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3"/>
          <w:szCs w:val="23"/>
          <w:color w:val="auto"/>
          <w:vertAlign w:val="superscript"/>
        </w:rPr>
        <w:t>(4)</w:t>
      </w:r>
      <w:r>
        <w:rPr>
          <w:rFonts w:ascii="Arial" w:cs="Arial" w:eastAsia="Arial" w:hAnsi="Arial"/>
          <w:sz w:val="18"/>
          <w:szCs w:val="18"/>
          <w:color w:val="auto"/>
        </w:rPr>
        <w:t>. We believe Adjusted EPS provides improved comparability of underlying operating results.</w:t>
      </w:r>
    </w:p>
    <w:p>
      <w:pPr>
        <w:spacing w:after="0" w:line="218" w:lineRule="exact"/>
        <w:rPr>
          <w:sz w:val="20"/>
          <w:szCs w:val="20"/>
          <w:color w:val="auto"/>
        </w:rPr>
      </w:pPr>
    </w:p>
    <w:p>
      <w:pPr>
        <w:jc w:val="both"/>
        <w:ind w:left="980" w:hanging="324"/>
        <w:spacing w:after="0"/>
        <w:tabs>
          <w:tab w:leader="none" w:pos="967" w:val="left"/>
        </w:tabs>
        <w:numPr>
          <w:ilvl w:val="0"/>
          <w:numId w:val="30"/>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 Beginning in Q1 2024, due to a significant devaluation of the Argentinean peso that occurred in December 2023 and the resulting distortion it would cause on our non-GAAP constant currency growth rate measures, we now exclude the impact of pricing in excess of 26% year-over-year ("extreme pricing") in Argentina, which is the level at which hyperinflation generally occurs cumulatively over a 3-year period. We have excluded the impact of extreme pricing in Argentina from our calculation of Organic Net Revenue, Organic Net Revenue growth and other non-GAAP financial constant currency growth measures with a corresponding adjustment to changes in currency exchange rates. We made this change on a prospective basis due to the distorting effect expected in the current period and future periods following the Argentinian peso devaluation that occurred in December 2023 and did not revise our historical non-GAAP constant currency growth measures. Beginning in Q2 2024, we added to the non-GAAP definitions the exclusion of operating expenses associated with the ERP System Implementation program as they represent incremental transformational costs above the normal ongoing level of spending on information technology to support operations (see footnote (16) below).</w:t>
      </w:r>
    </w:p>
    <w:p>
      <w:pPr>
        <w:spacing w:after="0" w:line="117" w:lineRule="exact"/>
        <w:rPr>
          <w:rFonts w:ascii="Arial" w:cs="Arial" w:eastAsia="Arial" w:hAnsi="Arial"/>
          <w:sz w:val="14"/>
          <w:szCs w:val="14"/>
          <w:color w:val="auto"/>
        </w:rPr>
      </w:pPr>
    </w:p>
    <w:p>
      <w:pPr>
        <w:jc w:val="both"/>
        <w:ind w:left="980" w:hanging="324"/>
        <w:spacing w:after="0" w:line="264" w:lineRule="auto"/>
        <w:tabs>
          <w:tab w:leader="none" w:pos="967" w:val="left"/>
        </w:tabs>
        <w:numPr>
          <w:ilvl w:val="0"/>
          <w:numId w:val="30"/>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exits of major product lines upon completion of a sale or licensing agreement, the partial or full sale of an equity method investment and changes from equity method investment accounting to accounting for marketable securities. As we record our share of JDE Peet’s ongoing earnings on a one-quarter lag basis, any JDE Peet’s ownership reductions are reflected as divestitures within our non-GAAP results the following quarter.</w:t>
      </w:r>
    </w:p>
    <w:p>
      <w:pPr>
        <w:spacing w:after="0" w:line="157" w:lineRule="exact"/>
        <w:rPr>
          <w:rFonts w:ascii="Arial" w:cs="Arial" w:eastAsia="Arial" w:hAnsi="Arial"/>
          <w:sz w:val="14"/>
          <w:szCs w:val="14"/>
          <w:color w:val="auto"/>
        </w:rPr>
      </w:pPr>
    </w:p>
    <w:p>
      <w:pPr>
        <w:ind w:left="980" w:hanging="324"/>
        <w:spacing w:after="0" w:line="261" w:lineRule="auto"/>
        <w:tabs>
          <w:tab w:leader="none" w:pos="967"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the fourth quarter of 2023, we began to exclude the operating results from short-term distributor agreements that have been executed in conjunction with the sale of a business. We exclude this item to better facilitate comparisons of our underlying operating performance across periods.</w:t>
      </w:r>
    </w:p>
    <w:p>
      <w:pPr>
        <w:jc w:val="both"/>
        <w:ind w:left="980" w:hanging="324"/>
        <w:spacing w:after="0" w:line="256" w:lineRule="auto"/>
        <w:tabs>
          <w:tab w:leader="none" w:pos="967"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 Beginning in the first quarter of 2024, we also now include within our currency-related impacts a corresponding adjustment associated with the impact of extreme pricing in Argentina.</w:t>
      </w:r>
    </w:p>
    <w:p>
      <w:pPr>
        <w:spacing w:after="0" w:line="1" w:lineRule="exact"/>
        <w:rPr>
          <w:rFonts w:ascii="Arial" w:cs="Arial" w:eastAsia="Arial" w:hAnsi="Arial"/>
          <w:sz w:val="14"/>
          <w:szCs w:val="14"/>
          <w:color w:val="auto"/>
        </w:rPr>
      </w:pPr>
    </w:p>
    <w:p>
      <w:pPr>
        <w:ind w:left="980" w:hanging="324"/>
        <w:spacing w:after="0" w:line="261" w:lineRule="auto"/>
        <w:tabs>
          <w:tab w:leader="none" w:pos="967"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jc w:val="both"/>
        <w:ind w:left="980" w:hanging="324"/>
        <w:spacing w:after="0" w:line="254" w:lineRule="auto"/>
        <w:tabs>
          <w:tab w:leader="none" w:pos="967" w:val="left"/>
        </w:tabs>
        <w:numPr>
          <w:ilvl w:val="0"/>
          <w:numId w:val="30"/>
        </w:numPr>
        <w:rPr>
          <w:rFonts w:ascii="Arial" w:cs="Arial" w:eastAsia="Arial" w:hAnsi="Arial"/>
          <w:sz w:val="14"/>
          <w:szCs w:val="14"/>
          <w:color w:val="auto"/>
        </w:rPr>
      </w:pPr>
      <w:r>
        <w:rPr>
          <w:rFonts w:ascii="Arial" w:cs="Arial" w:eastAsia="Arial" w:hAnsi="Arial"/>
          <w:sz w:val="14"/>
          <w:szCs w:val="14"/>
          <w:color w:val="auto"/>
        </w:rPr>
        <w:t>Divestiture-related costs, which includes costs incurred in relation to the preparation and completion (including one-time costs such as severance related to elimination of stranded costs) of our divestitures as defined in footnote (2), also includes costs incurred associated with our publicly announced processes to sell businesses. We exclude these items to better facilitate comparisons of our underlying operating performance across periods.</w:t>
      </w:r>
    </w:p>
    <w:p>
      <w:pPr>
        <w:spacing w:after="0" w:line="1" w:lineRule="exact"/>
        <w:rPr>
          <w:rFonts w:ascii="Arial" w:cs="Arial" w:eastAsia="Arial" w:hAnsi="Arial"/>
          <w:sz w:val="14"/>
          <w:szCs w:val="14"/>
          <w:color w:val="auto"/>
        </w:rPr>
      </w:pPr>
    </w:p>
    <w:p>
      <w:pPr>
        <w:jc w:val="both"/>
        <w:ind w:left="980" w:hanging="324"/>
        <w:spacing w:after="0" w:line="254" w:lineRule="auto"/>
        <w:tabs>
          <w:tab w:leader="none" w:pos="967" w:val="left"/>
        </w:tabs>
        <w:numPr>
          <w:ilvl w:val="0"/>
          <w:numId w:val="30"/>
        </w:numPr>
        <w:rPr>
          <w:rFonts w:ascii="Arial" w:cs="Arial" w:eastAsia="Arial" w:hAnsi="Arial"/>
          <w:sz w:val="14"/>
          <w:szCs w:val="14"/>
          <w:color w:val="auto"/>
        </w:rPr>
      </w:pPr>
      <w:r>
        <w:rPr>
          <w:rFonts w:ascii="Arial" w:cs="Arial" w:eastAsia="Arial" w:hAnsi="Arial"/>
          <w:sz w:val="14"/>
          <w:szCs w:val="14"/>
          <w:color w:val="auto"/>
        </w:rPr>
        <w:t>Acquisition-related costs, which includes transaction costs such as third party advisor, investment banking and legal fees, also includes one-time compensation expense related to the buyout of non-vested ESOP shares and realized gains or losses from hedging activities associated with acquisition funds. We exclude these items to better facilitate comparisons of our underlying operating performance across periods.</w:t>
      </w:r>
    </w:p>
    <w:p>
      <w:pPr>
        <w:spacing w:after="0" w:line="1" w:lineRule="exact"/>
        <w:rPr>
          <w:rFonts w:ascii="Arial" w:cs="Arial" w:eastAsia="Arial" w:hAnsi="Arial"/>
          <w:sz w:val="14"/>
          <w:szCs w:val="14"/>
          <w:color w:val="auto"/>
        </w:rPr>
      </w:pPr>
    </w:p>
    <w:p>
      <w:pPr>
        <w:jc w:val="both"/>
        <w:ind w:left="980" w:hanging="324"/>
        <w:spacing w:after="0" w:line="261" w:lineRule="auto"/>
        <w:tabs>
          <w:tab w:leader="none" w:pos="967" w:val="left"/>
        </w:tabs>
        <w:numPr>
          <w:ilvl w:val="0"/>
          <w:numId w:val="30"/>
        </w:numPr>
        <w:rPr>
          <w:rFonts w:ascii="Arial" w:cs="Arial" w:eastAsia="Arial" w:hAnsi="Arial"/>
          <w:sz w:val="14"/>
          <w:szCs w:val="14"/>
          <w:color w:val="auto"/>
        </w:rPr>
      </w:pPr>
      <w:r>
        <w:rPr>
          <w:rFonts w:ascii="Arial" w:cs="Arial" w:eastAsia="Arial" w:hAnsi="Arial"/>
          <w:sz w:val="14"/>
          <w:szCs w:val="14"/>
          <w:color w:val="auto"/>
        </w:rPr>
        <w:t>Acquisition integration costs and contingent consideration adjustments include one-time costs related to the integration of acquisitions as well as any adjustments made to the fair market value of contingent compensation liabilities that have been previously booked for earn-outs related to acquisitions that do not relate to recurring employee compensation expense. We exclude these items to better facilitate comparisons of our underlying operating performance across periods.</w:t>
      </w:r>
    </w:p>
    <w:p>
      <w:pPr>
        <w:spacing w:after="0" w:line="1" w:lineRule="exact"/>
        <w:rPr>
          <w:rFonts w:ascii="Arial" w:cs="Arial" w:eastAsia="Arial" w:hAnsi="Arial"/>
          <w:sz w:val="14"/>
          <w:szCs w:val="14"/>
          <w:color w:val="auto"/>
        </w:rPr>
      </w:pPr>
    </w:p>
    <w:p>
      <w:pPr>
        <w:ind w:left="980" w:hanging="324"/>
        <w:spacing w:after="0" w:line="251" w:lineRule="auto"/>
        <w:tabs>
          <w:tab w:leader="none" w:pos="967"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the third quarter of 2022, we began to exclude the one-time inventory step-up charges associated with acquired companies related to the fair market valuation of the acquired inventory. We exclude this item to better facilitate comparisons of our underlying operating performance across periods.</w:t>
      </w:r>
    </w:p>
    <w:p>
      <w:pPr>
        <w:jc w:val="both"/>
        <w:ind w:left="980" w:hanging="324"/>
        <w:spacing w:after="0" w:line="261" w:lineRule="auto"/>
        <w:tabs>
          <w:tab w:leader="none" w:pos="979"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In connection with our applying highly inflationary accounting (refer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Argentina (beginning in the third quarter of 2018) and Türkiye (beginning in the second quarter of 2022), we exclude the related remeasurement gains or losses related to remeasuring net monetary assets or liabilities denominated in the local currency to the U.S. dollar during the periods presented and the realized gains and losses from derivatives that mitigate the foreign currency volatility related to the remeasurement of the respective net monetary assets or liabilities during the periods presented.</w:t>
      </w:r>
    </w:p>
    <w:p>
      <w:pPr>
        <w:spacing w:after="0" w:line="1" w:lineRule="exact"/>
        <w:rPr>
          <w:rFonts w:ascii="Arial" w:cs="Arial" w:eastAsia="Arial" w:hAnsi="Arial"/>
          <w:sz w:val="14"/>
          <w:szCs w:val="14"/>
          <w:color w:val="auto"/>
        </w:rPr>
      </w:pPr>
    </w:p>
    <w:p>
      <w:pPr>
        <w:jc w:val="both"/>
        <w:ind w:left="980" w:hanging="324"/>
        <w:spacing w:after="0" w:line="254" w:lineRule="auto"/>
        <w:tabs>
          <w:tab w:leader="none" w:pos="969"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exclude unrealized gains and losses (mark-to-market impacts) from outstanding commodity and forecasted currency and equity method investment transaction derivatives from our non-GAAP earnings measures. The mark-to-market impacts of commodity and forecasted currency transaction derivatives are excluded until such time that the related exposures impact our operating results. Since we purchase commodity and forecasted currency transaction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 We exclude equity method investment transaction derivative contract settlements as they represent protection of value for future divestitures.</w:t>
      </w:r>
    </w:p>
    <w:p>
      <w:pPr>
        <w:spacing w:after="0" w:line="3" w:lineRule="exact"/>
        <w:rPr>
          <w:rFonts w:ascii="Arial" w:cs="Arial" w:eastAsia="Arial" w:hAnsi="Arial"/>
          <w:sz w:val="14"/>
          <w:szCs w:val="14"/>
          <w:color w:val="auto"/>
        </w:rPr>
      </w:pPr>
    </w:p>
    <w:p>
      <w:pPr>
        <w:ind w:left="980" w:right="20" w:hanging="324"/>
        <w:spacing w:after="0" w:line="261" w:lineRule="auto"/>
        <w:tabs>
          <w:tab w:leader="none" w:pos="979"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See Note 12,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in this report, and Note 14,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in our Annual Report on Form 10-K for the year ended December 31, 2023.</w:t>
      </w:r>
    </w:p>
    <w:p>
      <w:pPr>
        <w:jc w:val="both"/>
        <w:ind w:left="980" w:hanging="324"/>
        <w:spacing w:after="0" w:line="257" w:lineRule="auto"/>
        <w:tabs>
          <w:tab w:leader="none" w:pos="979"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February 2022, Russia began a military invasion of Ukraine and we stopped our production and closed our facilities in Ukraine for a period of time due to damage incurred to our facilities during the invasion. We began to incur incremental costs directly related to the war including asset impairments, such as property and inventory losses, higher expected allowances for uncollectible accounts receivable and committed compensation. We have isolated and exclude these costs and related impacts as well as subsequent recoveries from our operating results to facilitate evaluation and comparisons of our ongoing results. Incremental costs related to increasing operations in other primarily European facilities are not included with these costs.</w:t>
      </w:r>
    </w:p>
    <w:p>
      <w:pPr>
        <w:spacing w:after="0" w:line="2" w:lineRule="exact"/>
        <w:rPr>
          <w:rFonts w:ascii="Arial" w:cs="Arial" w:eastAsia="Arial" w:hAnsi="Arial"/>
          <w:sz w:val="14"/>
          <w:szCs w:val="14"/>
          <w:color w:val="auto"/>
        </w:rPr>
      </w:pPr>
    </w:p>
    <w:p>
      <w:pPr>
        <w:jc w:val="both"/>
        <w:ind w:left="980" w:hanging="324"/>
        <w:spacing w:after="0" w:line="262" w:lineRule="auto"/>
        <w:tabs>
          <w:tab w:leader="none" w:pos="979"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the fourth quarter of 2022, we began to exclude the impact from the European Commission legal matter.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As of December 31. 2022, we recorded an estimate of the possible cost to resolve this matter. We have cooperated with the investigation and have reached a negotiated resolution to this matter. We subsequently adjusted our accrual accordingly and fulfilled our payment obligation in August 2024. Due to the unique nature of this matter, we believe it to be infrequent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-37465</wp:posOffset>
            </wp:positionV>
            <wp:extent cx="248920" cy="2400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329" w:lineRule="exact"/>
        <w:rPr>
          <w:sz w:val="20"/>
          <w:szCs w:val="20"/>
          <w:color w:val="auto"/>
        </w:rPr>
      </w:pPr>
    </w:p>
    <w:p>
      <w:pPr>
        <w:ind w:left="980"/>
        <w:spacing w:after="0" w:line="272" w:lineRule="auto"/>
        <w:rPr>
          <w:sz w:val="20"/>
          <w:szCs w:val="20"/>
          <w:color w:val="auto"/>
        </w:rPr>
      </w:pPr>
      <w:r>
        <w:rPr>
          <w:rFonts w:ascii="Arial" w:cs="Arial" w:eastAsia="Arial" w:hAnsi="Arial"/>
          <w:sz w:val="14"/>
          <w:szCs w:val="14"/>
          <w:color w:val="auto"/>
        </w:rPr>
        <w:t xml:space="preserve">unusual and therefore exclude it to better facilitate comparisons of our underlying operating performance across periods. Refer to Note 12, </w:t>
      </w:r>
      <w:r>
        <w:rPr>
          <w:rFonts w:ascii="Arial" w:cs="Arial" w:eastAsia="Arial" w:hAnsi="Arial"/>
          <w:sz w:val="14"/>
          <w:szCs w:val="14"/>
          <w:i w:val="1"/>
          <w:iCs w:val="1"/>
          <w:color w:val="auto"/>
        </w:rPr>
        <w:t>Commitments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Contingencies, </w:t>
      </w:r>
      <w:r>
        <w:rPr>
          <w:rFonts w:ascii="Arial" w:cs="Arial" w:eastAsia="Arial" w:hAnsi="Arial"/>
          <w:sz w:val="14"/>
          <w:szCs w:val="14"/>
          <w:color w:val="auto"/>
        </w:rPr>
        <w:t>for additional information.</w:t>
      </w:r>
    </w:p>
    <w:p>
      <w:pPr>
        <w:jc w:val="both"/>
        <w:ind w:left="980" w:hanging="324"/>
        <w:spacing w:after="0" w:line="254" w:lineRule="auto"/>
        <w:tabs>
          <w:tab w:leader="none" w:pos="979"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additional information on the multiemployer pension plan withdrawal.</w:t>
      </w:r>
    </w:p>
    <w:p>
      <w:pPr>
        <w:spacing w:after="0" w:line="1" w:lineRule="exact"/>
        <w:rPr>
          <w:rFonts w:ascii="Arial" w:cs="Arial" w:eastAsia="Arial" w:hAnsi="Arial"/>
          <w:sz w:val="14"/>
          <w:szCs w:val="14"/>
          <w:color w:val="auto"/>
        </w:rPr>
      </w:pPr>
    </w:p>
    <w:p>
      <w:pPr>
        <w:jc w:val="both"/>
        <w:ind w:left="980" w:hanging="324"/>
        <w:spacing w:after="0" w:line="256" w:lineRule="auto"/>
        <w:tabs>
          <w:tab w:leader="none" w:pos="979"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July 2024, our Board of Directors approved funding of $1.2 billion for a multi-year systems transformation program to upgrade our global ERP and supply chain systems (the “ERP System Implementation”), which is comprised of both capital expenditures and operating expenses, of which a majority is expected to be operating expenses. The ERP System Implementation program will be implemented in several phases with spending occurring over the next five years, with expected completion by year-end 2028. The operating expenses associated with the ERP System Implementation represent incremental transformational costs above the normal ongoing level of spending on information technology to support operations. These expenses include third-party consulting fees, direct labor costs associated with the program, accelerated depreciation of our existing SAP financial systems and various other expenses, all associated with the implementation of our information technology upgrades. These operating expenses will be excluded from our non-GAAP financial measures as they are nonrecurring and excluding those costs will better facilitate comparisons of our underlying operating performance across periods.</w:t>
      </w:r>
    </w:p>
    <w:p>
      <w:pPr>
        <w:spacing w:after="0" w:line="3" w:lineRule="exact"/>
        <w:rPr>
          <w:rFonts w:ascii="Arial" w:cs="Arial" w:eastAsia="Arial" w:hAnsi="Arial"/>
          <w:sz w:val="14"/>
          <w:szCs w:val="14"/>
          <w:color w:val="auto"/>
        </w:rPr>
      </w:pPr>
    </w:p>
    <w:p>
      <w:pPr>
        <w:jc w:val="both"/>
        <w:ind w:left="980" w:hanging="324"/>
        <w:spacing w:after="0" w:line="261" w:lineRule="auto"/>
        <w:tabs>
          <w:tab w:leader="none" w:pos="979"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the first quarter of 2023, we began to exclude mark-to-market unrealized gains or losses, as well as realized gains or losses, associated with our marketable securities from our non-GAAP earnings measures. These marketable securities gains or losses are not indicative of underlying operations and are excluded to better facilitate comparisons of our underlying operating performance across periods.</w:t>
      </w:r>
    </w:p>
    <w:p>
      <w:pPr>
        <w:spacing w:after="0" w:line="1" w:lineRule="exact"/>
        <w:rPr>
          <w:rFonts w:ascii="Arial" w:cs="Arial" w:eastAsia="Arial" w:hAnsi="Arial"/>
          <w:sz w:val="14"/>
          <w:szCs w:val="14"/>
          <w:color w:val="auto"/>
        </w:rPr>
      </w:pPr>
    </w:p>
    <w:p>
      <w:pPr>
        <w:jc w:val="both"/>
        <w:ind w:left="980" w:right="20" w:hanging="324"/>
        <w:spacing w:after="0" w:line="254" w:lineRule="auto"/>
        <w:tabs>
          <w:tab w:leader="none" w:pos="979"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have excluded the initial impacts from enacted tax law changes. Initial impacts include items such as the remeasurement of deferred tax balances and the transition tax from the 2017 U.S. tax reform. We exclude initial impacts from enacted tax law changes from our Adjusted EPS as they do not reflect our ongoing tax obligations under the enacted tax law changes.</w:t>
      </w:r>
    </w:p>
    <w:p>
      <w:pPr>
        <w:spacing w:after="0" w:line="1" w:lineRule="exact"/>
        <w:rPr>
          <w:rFonts w:ascii="Arial" w:cs="Arial" w:eastAsia="Arial" w:hAnsi="Arial"/>
          <w:sz w:val="14"/>
          <w:szCs w:val="14"/>
          <w:color w:val="auto"/>
        </w:rPr>
      </w:pPr>
    </w:p>
    <w:p>
      <w:pPr>
        <w:jc w:val="both"/>
        <w:ind w:left="980" w:hanging="324"/>
        <w:spacing w:after="0" w:line="262" w:lineRule="auto"/>
        <w:tabs>
          <w:tab w:leader="none" w:pos="979"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significant operating and non-operating items such as acquisition and divestiture-related costs, restructuring program costs and initial impacts from enacted tax law changes, in order to provide investors with a comparable view of our performance across periods. Although we have shareholder rights and board representation commensurate with our ownership interests in our equity method investees and review the underlying operating results and significant operating and non-operating items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significant operating and non-operating items.</w:t>
      </w:r>
    </w:p>
    <w:p>
      <w:pPr>
        <w:spacing w:after="0" w:line="3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believe that the presentation of these non-GAAP financial measures, when considered together with our U.S. GAAP financial measures and the reconciliations to the corresponding U.S. GAAP financial measures, provides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measures. A limitation of these non-GAAP financial measures is they exclude items that have an impact on our U.S. GAAP reported results. The best way this limitation can be addressed is by evaluating our non-GAAP financial measures in combination with our U.S. GAAP reported results and carefully evaluating the tables that reconcile U.S. GAAP reported figures to the non-GAAP financial measures in this Form 10-Q, which can be found above under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487045</wp:posOffset>
            </wp:positionV>
            <wp:extent cx="248920" cy="2400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principally utilize derivative instruments to reduce significant, unanticipated earnings fluctuations that may arise from volatility in currency exchange rates, commodity prices and interest rates. Additionally, we periodically use interest rate swaps and forward interest rate contracts to achieve a desired proportion of variable versus fixed rate debt based on current and projected market conditions. For additional information on our derivative activity and the types of derivative instruments we use to hedge our currency exchange, commodity price and interest rate exposures, see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and for additional information on our debt activity, see Note 8, </w:t>
      </w:r>
      <w:r>
        <w:rPr>
          <w:rFonts w:ascii="Arial" w:cs="Arial" w:eastAsia="Arial" w:hAnsi="Arial"/>
          <w:sz w:val="18"/>
          <w:szCs w:val="18"/>
          <w:i w:val="1"/>
          <w:iCs w:val="1"/>
          <w:color w:val="auto"/>
        </w:rPr>
        <w:t>Debt and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additional information on our strategies, policies and practices on an ongoing basis, refer to our Annual Report on Form 10-K for the year ended December 31,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September 30, 2024. Based on this evaluation, the CEO and CFO concluded that our disclosure controls and procedures were effective as of September 30, 2024.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2024. There were no material changes in our internal control over financial reporting during the quarter ended September 30, 2024,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111760</wp:posOffset>
            </wp:positionV>
            <wp:extent cx="248920" cy="2400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Information regarding legal proceedings is available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September 30, 2024 was: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gridSpan w:val="2"/>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9"/>
              </w:rPr>
              <w:t xml:space="preserve">Purchased </w:t>
            </w:r>
            <w:r>
              <w:rPr>
                <w:rFonts w:ascii="Arial" w:cs="Arial" w:eastAsia="Arial" w:hAnsi="Arial"/>
                <w:sz w:val="18"/>
                <w:szCs w:val="18"/>
                <w:b w:val="1"/>
                <w:bCs w:val="1"/>
                <w:color w:val="auto"/>
                <w:w w:val="99"/>
                <w:vertAlign w:val="superscript"/>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line="162" w:lineRule="exact"/>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8"/>
                <w:szCs w:val="18"/>
                <w:b w:val="1"/>
                <w:bCs w:val="1"/>
                <w:color w:val="auto"/>
                <w:w w:val="98"/>
                <w:vertAlign w:val="superscript"/>
              </w:rPr>
              <w:t>(1)</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9"/>
                <w:szCs w:val="9"/>
                <w:b w:val="1"/>
                <w:bCs w:val="1"/>
                <w:color w:val="auto"/>
              </w:rPr>
              <w:t>(2) (3)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ind w:right="77"/>
              <w:spacing w:after="0" w:line="162" w:lineRule="exact"/>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1-31, 2024</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1,633,585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August 1-31, 2024</w:t>
            </w:r>
          </w:p>
        </w:tc>
        <w:tc>
          <w:tcPr>
            <w:tcW w:w="1520" w:type="dxa"/>
            <w:vAlign w:val="bottom"/>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66.19</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1-30,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For the Quarter Ended September 30, 2024</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1,637,816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66.12</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1,626,664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both"/>
        <w:ind w:left="340" w:hanging="332"/>
        <w:spacing w:after="0" w:line="261"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7,521 shares, 2,937 shares and 694 shares for the fiscal months of July, August and September 2024, respectively.</w:t>
      </w:r>
    </w:p>
    <w:p>
      <w:pPr>
        <w:spacing w:after="0" w:line="1" w:lineRule="exact"/>
        <w:rPr>
          <w:rFonts w:ascii="Arial" w:cs="Arial" w:eastAsia="Arial" w:hAnsi="Arial"/>
          <w:sz w:val="14"/>
          <w:szCs w:val="14"/>
          <w:color w:val="auto"/>
        </w:rPr>
      </w:pPr>
    </w:p>
    <w:p>
      <w:pPr>
        <w:jc w:val="both"/>
        <w:ind w:left="340" w:hanging="332"/>
        <w:spacing w:after="0" w:line="256"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Dollar values stated in millions. Effective January 1, 2023, our Board of Directors authorized a program for the repurchase of $6.0 billion of our Common Stock through December 31, 2025, excluding excise tax. During the year ended December 31, 2023, we repurchased approximately $1.6 billion of Common Stock pursuant to this authorization. During the nine months ended September 30, 2024, we repurchased $1.2 billion, and as of September 30, 2024, we had approximately $3.2 billion share repurchase authorization remaining. See related information in Note 11,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share repurchases in excess of issuances are subject to a 1% excise tax enacted by the Inflation Reduction Act. Any excise tax incurred on share repurchases is recognized as part of the cost basis of the shares acquired in the consolidated statements of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Insider Trading Arrangements</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directors and executive officers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September 30, 2024, no such plans or other arrangements were adopted or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-36830</wp:posOffset>
            </wp:positionV>
            <wp:extent cx="248920" cy="2400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220"/>
          </w:cols>
          <w:pgMar w:left="320" w:top="364" w:right="359" w:bottom="1440" w:gutter="0" w:footer="0" w:header="0"/>
        </w:sect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w:t>
      </w:r>
    </w:p>
    <w:p>
      <w:pPr>
        <w:ind w:left="20"/>
        <w:spacing w:after="0"/>
        <w:rPr>
          <w:sz w:val="20"/>
          <w:szCs w:val="20"/>
          <w:color w:val="auto"/>
        </w:rPr>
      </w:pPr>
      <w:r>
        <w:rPr>
          <w:rFonts w:ascii="Arial" w:cs="Arial" w:eastAsia="Arial" w:hAnsi="Arial"/>
          <w:sz w:val="17"/>
          <w:szCs w:val="17"/>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626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Description</w:t>
      </w:r>
    </w:p>
    <w:p>
      <w:pPr>
        <w:spacing w:after="0" w:line="32"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The Registrant agrees to furnish to the SEC upon request copies of any instruments defining the rights of holders of long-term debt of the Registrant and its consolidated subsidiaries that does not exceed 10 percent of the total assets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Registrant and its consolidated subsidiaries.</w:t>
      </w:r>
    </w:p>
    <w:p>
      <w:pPr>
        <w:spacing w:after="0" w:line="14" w:lineRule="exact"/>
        <w:rPr>
          <w:sz w:val="20"/>
          <w:szCs w:val="20"/>
          <w:color w:val="auto"/>
        </w:rPr>
      </w:pPr>
    </w:p>
    <w:p>
      <w:pPr>
        <w:spacing w:after="0" w:line="234" w:lineRule="auto"/>
        <w:rPr>
          <w:sz w:val="20"/>
          <w:szCs w:val="20"/>
          <w:color w:val="auto"/>
        </w:rPr>
      </w:pPr>
      <w:r>
        <w:rPr>
          <w:rFonts w:ascii="Arial" w:cs="Arial" w:eastAsia="Arial" w:hAnsi="Arial"/>
          <w:sz w:val="18"/>
          <w:szCs w:val="18"/>
          <w:u w:val="single" w:color="auto"/>
          <w:color w:val="0000FF"/>
        </w:rPr>
        <w:t>Certification of Chief Executive Officer pursuant to Rule 13a-14(a)/15d-14(a) of the Securities Exchange Act of 1934, as amended.</w:t>
      </w:r>
    </w:p>
    <w:p>
      <w:pPr>
        <w:spacing w:after="0" w:line="1" w:lineRule="exact"/>
        <w:rPr>
          <w:sz w:val="20"/>
          <w:szCs w:val="20"/>
          <w:color w:val="auto"/>
        </w:rPr>
      </w:pPr>
    </w:p>
    <w:p>
      <w:pPr>
        <w:sectPr>
          <w:pgSz w:w="11900" w:h="16838" w:orient="portrait"/>
          <w:cols w:equalWidth="0" w:num="2">
            <w:col w:w="660" w:space="680"/>
            <w:col w:w="9880"/>
          </w:cols>
          <w:pgMar w:left="320" w:top="364" w:right="359" w:bottom="1440" w:gutter="0" w:footer="0" w:header="0"/>
          <w:type w:val="continuous"/>
        </w:sectPr>
      </w:pPr>
    </w:p>
    <w:tbl>
      <w:tblPr>
        <w:tblLayout w:type="fixed"/>
        <w:tblInd w:w="20" w:type="dxa"/>
        <w:tblCellMar>
          <w:top w:w="0" w:type="dxa"/>
          <w:left w:w="0" w:type="dxa"/>
          <w:bottom w:w="0" w:type="dxa"/>
          <w:right w:w="0" w:type="dxa"/>
        </w:tblCellMar>
      </w:tblPr>
      <w:tr>
        <w:trPr>
          <w:trHeight w:val="200"/>
        </w:trPr>
        <w:tc>
          <w:tcPr>
            <w:tcW w:w="1320" w:type="dxa"/>
            <w:vAlign w:val="bottom"/>
          </w:tcPr>
          <w:p>
            <w:pPr>
              <w:jc w:val="right"/>
              <w:ind w:right="870"/>
              <w:spacing w:after="0" w:line="200" w:lineRule="exact"/>
              <w:rPr>
                <w:sz w:val="20"/>
                <w:szCs w:val="20"/>
                <w:color w:val="auto"/>
              </w:rPr>
            </w:pPr>
            <w:r>
              <w:rPr>
                <w:rFonts w:ascii="Arial" w:cs="Arial" w:eastAsia="Arial" w:hAnsi="Arial"/>
                <w:sz w:val="18"/>
                <w:szCs w:val="18"/>
                <w:color w:val="auto"/>
                <w:w w:val="96"/>
              </w:rPr>
              <w:t>31.2</w:t>
            </w:r>
          </w:p>
        </w:tc>
        <w:tc>
          <w:tcPr>
            <w:tcW w:w="9920" w:type="dxa"/>
            <w:vAlign w:val="bottom"/>
            <w:gridSpan w:val="5"/>
          </w:tcPr>
          <w:p>
            <w:pPr>
              <w:spacing w:after="0" w:line="200" w:lineRule="exact"/>
              <w:rPr>
                <w:sz w:val="20"/>
                <w:szCs w:val="20"/>
                <w:color w:val="auto"/>
              </w:rPr>
            </w:pPr>
            <w:r>
              <w:rPr>
                <w:rFonts w:ascii="Arial" w:cs="Arial" w:eastAsia="Arial" w:hAnsi="Arial"/>
                <w:sz w:val="18"/>
                <w:szCs w:val="18"/>
                <w:color w:val="0000FF"/>
              </w:rPr>
              <w:t>Certification of Chief Financial Officer pursuant to Rule 13a-14(a)/15d-14(a) of the Securities Exchange Act of 1934, as</w:t>
            </w:r>
          </w:p>
        </w:tc>
      </w:tr>
      <w:tr>
        <w:trPr>
          <w:trHeight w:val="155"/>
        </w:trPr>
        <w:tc>
          <w:tcPr>
            <w:tcW w:w="1320" w:type="dxa"/>
            <w:vAlign w:val="bottom"/>
          </w:tcPr>
          <w:p>
            <w:pPr>
              <w:spacing w:after="0"/>
              <w:rPr>
                <w:sz w:val="13"/>
                <w:szCs w:val="13"/>
                <w:color w:val="auto"/>
              </w:rPr>
            </w:pPr>
          </w:p>
        </w:tc>
        <w:tc>
          <w:tcPr>
            <w:tcW w:w="8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amended.</w:t>
            </w:r>
          </w:p>
        </w:tc>
        <w:tc>
          <w:tcPr>
            <w:tcW w:w="90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20" w:type="dxa"/>
            <w:vAlign w:val="bottom"/>
          </w:tcPr>
          <w:p>
            <w:pPr>
              <w:jc w:val="right"/>
              <w:ind w:right="870"/>
              <w:spacing w:after="0"/>
              <w:rPr>
                <w:sz w:val="20"/>
                <w:szCs w:val="20"/>
                <w:color w:val="auto"/>
              </w:rPr>
            </w:pPr>
            <w:r>
              <w:rPr>
                <w:rFonts w:ascii="Arial" w:cs="Arial" w:eastAsia="Arial" w:hAnsi="Arial"/>
                <w:sz w:val="18"/>
                <w:szCs w:val="18"/>
                <w:color w:val="auto"/>
                <w:w w:val="96"/>
              </w:rPr>
              <w:t>32.1</w:t>
            </w:r>
          </w:p>
        </w:tc>
        <w:tc>
          <w:tcPr>
            <w:tcW w:w="9920" w:type="dxa"/>
            <w:vAlign w:val="bottom"/>
            <w:gridSpan w:val="5"/>
          </w:tcPr>
          <w:p>
            <w:pPr>
              <w:spacing w:after="0"/>
              <w:rPr>
                <w:sz w:val="20"/>
                <w:szCs w:val="20"/>
                <w:color w:val="auto"/>
              </w:rPr>
            </w:pPr>
            <w:r>
              <w:rPr>
                <w:rFonts w:ascii="Arial" w:cs="Arial" w:eastAsia="Arial" w:hAnsi="Arial"/>
                <w:sz w:val="18"/>
                <w:szCs w:val="18"/>
                <w:color w:val="0000FF"/>
              </w:rPr>
              <w:t>Certifications of Chief Executive Officer and Chief Financial Officer pursuant to 18 U.S.C. 1350, as adopted pursuant to</w:t>
            </w:r>
          </w:p>
        </w:tc>
      </w:tr>
      <w:tr>
        <w:trPr>
          <w:trHeight w:val="156"/>
        </w:trPr>
        <w:tc>
          <w:tcPr>
            <w:tcW w:w="13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9"/>
              </w:rPr>
              <w:t>Section 906 of the Sarbanes-Oxley Act of 2002.</w:t>
            </w:r>
          </w:p>
        </w:tc>
        <w:tc>
          <w:tcPr>
            <w:tcW w:w="61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bl>
    <w:p>
      <w:pPr>
        <w:spacing w:after="0" w:line="35" w:lineRule="exact"/>
        <w:rPr>
          <w:sz w:val="20"/>
          <w:szCs w:val="20"/>
          <w:color w:val="auto"/>
        </w:rPr>
      </w:pPr>
    </w:p>
    <w:p>
      <w:pPr>
        <w:jc w:val="both"/>
        <w:ind w:left="1340" w:hanging="1314"/>
        <w:spacing w:after="0" w:line="221" w:lineRule="auto"/>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materials from Mondelēz International’s Quarterly Report on Form 10-Q for the quarter ended September 30, 2024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(vi) Notes to Condensed Consolidated Financial Statements and (vii) Part II, Item 5.</w:t>
      </w:r>
    </w:p>
    <w:p>
      <w:pPr>
        <w:spacing w:after="0" w:line="6" w:lineRule="exact"/>
        <w:rPr>
          <w:sz w:val="20"/>
          <w:szCs w:val="20"/>
          <w:color w:val="auto"/>
        </w:rPr>
      </w:pPr>
    </w:p>
    <w:p>
      <w:pPr>
        <w:ind w:left="1340" w:hanging="1314"/>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cover page from Mondelēz International’s Quarterly Report on Form 10-Q for the quarter ended September 30, 2024, formatted in Inline 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408940</wp:posOffset>
            </wp:positionV>
            <wp:extent cx="248920" cy="2400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571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2C2C2C"/>
        </w:rPr>
        <w:t>(Duly Authorized Officer)</w:t>
      </w:r>
    </w:p>
    <w:p>
      <w:pPr>
        <w:spacing w:after="0" w:line="28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October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206375</wp:posOffset>
            </wp:positionV>
            <wp:extent cx="248920" cy="2400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364" w:right="3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52"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260" w:hanging="332"/>
        <w:spacing w:after="0" w:line="268"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300" w:right="20" w:hanging="320"/>
        <w:spacing w:after="0" w:line="268" w:lineRule="auto"/>
        <w:tabs>
          <w:tab w:leader="none" w:pos="12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right="440" w:hanging="320"/>
        <w:spacing w:after="0" w:line="268" w:lineRule="auto"/>
        <w:tabs>
          <w:tab w:leader="none" w:pos="12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17780</wp:posOffset>
            </wp:positionV>
            <wp:extent cx="30861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Dirk Van de Put</w:t>
      </w:r>
    </w:p>
    <w:p>
      <w:pPr>
        <w:ind w:left="64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9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52"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340" w:right="260" w:hanging="332"/>
        <w:spacing w:after="0" w:line="268"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20" w:hanging="320"/>
        <w:spacing w:after="0" w:line="268"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320"/>
        <w:spacing w:after="0" w:line="268"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5"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8"/>
          <w:szCs w:val="18"/>
          <w:color w:val="auto"/>
        </w:rPr>
      </w:pPr>
    </w:p>
    <w:p>
      <w:pPr>
        <w:jc w:val="both"/>
        <w:ind w:left="1300" w:right="440" w:hanging="320"/>
        <w:spacing w:after="0" w:line="268"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17780</wp:posOffset>
            </wp:positionV>
            <wp:extent cx="30861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Luca Zaramella</w:t>
      </w:r>
    </w:p>
    <w:p>
      <w:pPr>
        <w:ind w:left="6400"/>
        <w:spacing w:after="0" w:line="203" w:lineRule="auto"/>
        <w:rPr>
          <w:sz w:val="20"/>
          <w:szCs w:val="20"/>
          <w:color w:val="auto"/>
        </w:rPr>
      </w:pPr>
      <w:r>
        <w:rPr>
          <w:rFonts w:ascii="Arial" w:cs="Arial" w:eastAsia="Arial" w:hAnsi="Arial"/>
          <w:sz w:val="18"/>
          <w:szCs w:val="18"/>
          <w:color w:val="auto"/>
        </w:rPr>
        <w:t>Executive Vice President and</w:t>
      </w: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September 30, 2024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775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29, 2024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September 30, 2024 (the "Report"), fully complies with the requirements of</w:t>
      </w:r>
    </w:p>
    <w:p>
      <w:pPr>
        <w:spacing w:after="0" w:line="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Section 13(a) or 15(d) of the Securities Exchange Act of 1934 and that the information contained in the Report fairly presents, in all material respects, Mondelēz International’s financial condition and results of operations.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775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Luca Zaramella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29, 2024</w:t>
      </w:r>
    </w:p>
    <w:p>
      <w:pPr>
        <w:spacing w:after="0" w:line="32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amp;"/>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lvl w:ilvl="1">
      <w:lvlJc w:val="left"/>
      <w:lvlText w:val="\endash "/>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lvl w:ilvl="1">
      <w:lvlJc w:val="left"/>
      <w:lvlText w:val="•"/>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lvl w:ilvl="1">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lvl w:ilvl="1">
      <w:lvlJc w:val="left"/>
      <w:lvlText w:val="•"/>
      <w:numFmt w:val="bullet"/>
      <w:start w:val="1"/>
    </w:lvl>
  </w:abstractNum>
  <w:abstractNum w:abstractNumId="29">
    <w:nsid w:val="4516DDE9"/>
    <w:multiLevelType w:val="hybridMultilevel"/>
    <w:lvl w:ilvl="0">
      <w:lvlJc w:val="left"/>
      <w:lvlText w:val="(%1)"/>
      <w:numFmt w:val="decimal"/>
      <w:start w:val="1"/>
    </w:lvl>
  </w:abstractNum>
  <w:abstractNum w:abstractNumId="30">
    <w:nsid w:val="3006C83E"/>
    <w:multiLevelType w:val="hybridMultilevel"/>
    <w:lvl w:ilvl="0">
      <w:lvlJc w:val="left"/>
      <w:lvlText w:val="(%1)"/>
      <w:numFmt w:val="decimal"/>
      <w:start w:val="15"/>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01"/>
    </w:lvl>
  </w:abstractNum>
  <w:abstractNum w:abstractNumId="33">
    <w:nsid w:val="5577F8E1"/>
    <w:multiLevelType w:val="hybridMultilevel"/>
    <w:lvl w:ilvl="0">
      <w:lvlJc w:val="left"/>
      <w:lvlText w:val="%1"/>
      <w:numFmt w:val="decimal"/>
      <w:start w:val="104"/>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2024-10-29T15:34:06Z</dcterms:created>
  <dcterms:modified xsi:type="dcterms:W3CDTF">2024-10-29T15:34:06Z</dcterms:modified>
</cp:coreProperties>
</file>